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25645A" w14:textId="5DCCDD99" w:rsidR="00032971" w:rsidRPr="00032971" w:rsidRDefault="00032971" w:rsidP="00032971">
      <w:pPr>
        <w:pStyle w:val="Titel"/>
        <w:rPr>
          <w:sz w:val="44"/>
          <w:szCs w:val="44"/>
        </w:rPr>
      </w:pPr>
      <w:r w:rsidRPr="00032971">
        <w:rPr>
          <w:sz w:val="44"/>
          <w:szCs w:val="44"/>
        </w:rPr>
        <w:t xml:space="preserve">Children’s </w:t>
      </w:r>
      <w:r w:rsidR="00E14547">
        <w:rPr>
          <w:sz w:val="44"/>
          <w:szCs w:val="44"/>
        </w:rPr>
        <w:t>n</w:t>
      </w:r>
      <w:r w:rsidRPr="00032971">
        <w:rPr>
          <w:sz w:val="44"/>
          <w:szCs w:val="44"/>
        </w:rPr>
        <w:t xml:space="preserve">arratives of </w:t>
      </w:r>
      <w:r w:rsidR="00E14547">
        <w:rPr>
          <w:sz w:val="44"/>
          <w:szCs w:val="44"/>
        </w:rPr>
        <w:t>c</w:t>
      </w:r>
      <w:r w:rsidRPr="00032971">
        <w:rPr>
          <w:sz w:val="44"/>
          <w:szCs w:val="44"/>
        </w:rPr>
        <w:t xml:space="preserve">hronic Illness: A </w:t>
      </w:r>
      <w:r w:rsidR="00E14547">
        <w:rPr>
          <w:sz w:val="44"/>
          <w:szCs w:val="44"/>
        </w:rPr>
        <w:t>t</w:t>
      </w:r>
      <w:r w:rsidRPr="00032971">
        <w:rPr>
          <w:sz w:val="44"/>
          <w:szCs w:val="44"/>
        </w:rPr>
        <w:t xml:space="preserve">hematic </w:t>
      </w:r>
      <w:r w:rsidR="00E14547">
        <w:rPr>
          <w:sz w:val="44"/>
          <w:szCs w:val="44"/>
        </w:rPr>
        <w:t>a</w:t>
      </w:r>
      <w:r w:rsidRPr="00032971">
        <w:rPr>
          <w:sz w:val="44"/>
          <w:szCs w:val="44"/>
        </w:rPr>
        <w:t xml:space="preserve">nalysis </w:t>
      </w:r>
      <w:r w:rsidR="00E14547">
        <w:rPr>
          <w:sz w:val="44"/>
          <w:szCs w:val="44"/>
        </w:rPr>
        <w:t>u</w:t>
      </w:r>
      <w:r w:rsidRPr="00032971">
        <w:rPr>
          <w:sz w:val="44"/>
          <w:szCs w:val="44"/>
        </w:rPr>
        <w:t>sing the 6-F</w:t>
      </w:r>
      <w:r w:rsidR="00247A9D">
        <w:rPr>
          <w:sz w:val="44"/>
          <w:szCs w:val="44"/>
        </w:rPr>
        <w:t xml:space="preserve"> </w:t>
      </w:r>
      <w:r w:rsidRPr="00032971">
        <w:rPr>
          <w:sz w:val="44"/>
          <w:szCs w:val="44"/>
        </w:rPr>
        <w:t>Model</w:t>
      </w:r>
    </w:p>
    <w:p w14:paraId="7205BBD8" w14:textId="1B05DE59" w:rsidR="000F6486" w:rsidRPr="00D7291D" w:rsidRDefault="00000000">
      <w:pPr>
        <w:rPr>
          <w:rFonts w:ascii="Arial" w:hAnsi="Arial" w:cs="Arial"/>
          <w:i/>
          <w:iCs/>
          <w:sz w:val="20"/>
          <w:szCs w:val="20"/>
          <w:lang w:val="nl-NL"/>
        </w:rPr>
      </w:pPr>
      <w:r w:rsidRPr="00D7291D">
        <w:rPr>
          <w:rFonts w:ascii="Arial" w:hAnsi="Arial" w:cs="Arial"/>
          <w:i/>
          <w:iCs/>
          <w:sz w:val="20"/>
          <w:szCs w:val="20"/>
          <w:lang w:val="nl-NL"/>
        </w:rPr>
        <w:t>Sander van Zutphen</w:t>
      </w:r>
      <w:r w:rsidR="00E83595" w:rsidRPr="00D7291D">
        <w:rPr>
          <w:rFonts w:ascii="Arial" w:hAnsi="Arial" w:cs="Arial"/>
          <w:i/>
          <w:iCs/>
          <w:sz w:val="20"/>
          <w:szCs w:val="20"/>
          <w:lang w:val="nl-NL"/>
        </w:rPr>
        <w:t>, medical student</w:t>
      </w:r>
      <w:r w:rsidRPr="00D7291D">
        <w:rPr>
          <w:rFonts w:ascii="Arial" w:hAnsi="Arial" w:cs="Arial"/>
          <w:i/>
          <w:iCs/>
          <w:sz w:val="20"/>
          <w:szCs w:val="20"/>
          <w:lang w:val="nl-NL"/>
        </w:rPr>
        <w:t xml:space="preserve"> (5530121)</w:t>
      </w:r>
      <w:r w:rsidR="00A456FB" w:rsidRPr="00D7291D">
        <w:rPr>
          <w:rFonts w:ascii="Arial" w:hAnsi="Arial" w:cs="Arial"/>
          <w:i/>
          <w:iCs/>
          <w:sz w:val="20"/>
          <w:szCs w:val="20"/>
          <w:lang w:val="nl-NL"/>
        </w:rPr>
        <w:t>, Bio Ethics Department UMC</w:t>
      </w:r>
      <w:r w:rsidR="00D7291D" w:rsidRPr="00D7291D">
        <w:rPr>
          <w:rFonts w:ascii="Arial" w:hAnsi="Arial" w:cs="Arial"/>
          <w:i/>
          <w:iCs/>
          <w:sz w:val="20"/>
          <w:szCs w:val="20"/>
          <w:lang w:val="nl-NL"/>
        </w:rPr>
        <w:t xml:space="preserve"> Utrecht</w:t>
      </w:r>
    </w:p>
    <w:p w14:paraId="4AAF8C3C" w14:textId="52AF5581" w:rsidR="00223F1B" w:rsidRPr="00A456FB" w:rsidRDefault="000E3979">
      <w:pPr>
        <w:rPr>
          <w:rFonts w:ascii="Arial" w:hAnsi="Arial" w:cs="Arial"/>
          <w:i/>
          <w:iCs/>
          <w:sz w:val="20"/>
          <w:szCs w:val="20"/>
        </w:rPr>
      </w:pPr>
      <w:r>
        <w:rPr>
          <w:rFonts w:ascii="Arial" w:hAnsi="Arial" w:cs="Arial"/>
          <w:i/>
          <w:iCs/>
          <w:sz w:val="20"/>
          <w:szCs w:val="20"/>
          <w:lang w:val="en-GB"/>
        </w:rPr>
        <w:t xml:space="preserve">Supervisor: </w:t>
      </w:r>
      <w:r w:rsidR="003147A8" w:rsidRPr="00A456FB">
        <w:rPr>
          <w:rFonts w:ascii="Arial" w:hAnsi="Arial" w:cs="Arial"/>
          <w:i/>
          <w:iCs/>
          <w:sz w:val="20"/>
          <w:szCs w:val="20"/>
          <w:lang w:val="en-GB"/>
        </w:rPr>
        <w:t>Megan Milota</w:t>
      </w:r>
      <w:r w:rsidR="000F6486" w:rsidRPr="00A456FB">
        <w:rPr>
          <w:rFonts w:ascii="Arial" w:hAnsi="Arial" w:cs="Arial"/>
          <w:i/>
          <w:iCs/>
          <w:sz w:val="20"/>
          <w:szCs w:val="20"/>
          <w:lang w:val="en-GB"/>
        </w:rPr>
        <w:t xml:space="preserve">, </w:t>
      </w:r>
      <w:r w:rsidR="000F6486" w:rsidRPr="00A456FB">
        <w:rPr>
          <w:rFonts w:ascii="Arial" w:hAnsi="Arial" w:cs="Arial"/>
          <w:i/>
          <w:iCs/>
          <w:sz w:val="20"/>
          <w:szCs w:val="20"/>
        </w:rPr>
        <w:t xml:space="preserve">Associate Professor in Narrative Medicine </w:t>
      </w:r>
      <w:r w:rsidR="00A456FB" w:rsidRPr="00A456FB">
        <w:rPr>
          <w:rFonts w:ascii="Arial" w:hAnsi="Arial" w:cs="Arial"/>
          <w:i/>
          <w:iCs/>
          <w:sz w:val="20"/>
          <w:szCs w:val="20"/>
        </w:rPr>
        <w:t xml:space="preserve">UMC </w:t>
      </w:r>
      <w:r w:rsidR="00D7291D">
        <w:rPr>
          <w:rFonts w:ascii="Arial" w:hAnsi="Arial" w:cs="Arial"/>
          <w:i/>
          <w:iCs/>
          <w:sz w:val="20"/>
          <w:szCs w:val="20"/>
        </w:rPr>
        <w:t>Utrecht</w:t>
      </w:r>
    </w:p>
    <w:p w14:paraId="4CE810ED" w14:textId="13D7B449" w:rsidR="00A456FB" w:rsidRPr="00A456FB" w:rsidRDefault="00491452">
      <w:pPr>
        <w:rPr>
          <w:rFonts w:ascii="Arial" w:hAnsi="Arial" w:cs="Arial"/>
          <w:i/>
          <w:iCs/>
          <w:sz w:val="20"/>
          <w:szCs w:val="20"/>
          <w:lang w:val="en-GB"/>
        </w:rPr>
      </w:pPr>
      <w:r>
        <w:rPr>
          <w:rFonts w:ascii="Arial" w:hAnsi="Arial" w:cs="Arial"/>
          <w:i/>
          <w:iCs/>
          <w:sz w:val="20"/>
          <w:szCs w:val="20"/>
        </w:rPr>
        <w:t>Date: July 14</w:t>
      </w:r>
      <w:r w:rsidRPr="00491452">
        <w:rPr>
          <w:rFonts w:ascii="Arial" w:hAnsi="Arial" w:cs="Arial"/>
          <w:i/>
          <w:iCs/>
          <w:sz w:val="20"/>
          <w:szCs w:val="20"/>
          <w:vertAlign w:val="superscript"/>
        </w:rPr>
        <w:t>th</w:t>
      </w:r>
      <w:r>
        <w:rPr>
          <w:rFonts w:ascii="Arial" w:hAnsi="Arial" w:cs="Arial"/>
          <w:i/>
          <w:iCs/>
          <w:sz w:val="20"/>
          <w:szCs w:val="20"/>
        </w:rPr>
        <w:t xml:space="preserve"> 2025 till 3</w:t>
      </w:r>
      <w:r w:rsidRPr="00491452">
        <w:rPr>
          <w:rFonts w:ascii="Arial" w:hAnsi="Arial" w:cs="Arial"/>
          <w:i/>
          <w:iCs/>
          <w:sz w:val="20"/>
          <w:szCs w:val="20"/>
          <w:vertAlign w:val="superscript"/>
        </w:rPr>
        <w:t>rd</w:t>
      </w:r>
      <w:r>
        <w:rPr>
          <w:rFonts w:ascii="Arial" w:hAnsi="Arial" w:cs="Arial"/>
          <w:i/>
          <w:iCs/>
          <w:sz w:val="20"/>
          <w:szCs w:val="20"/>
        </w:rPr>
        <w:t xml:space="preserve"> </w:t>
      </w:r>
      <w:r w:rsidR="00A456FB" w:rsidRPr="00A456FB">
        <w:rPr>
          <w:rFonts w:ascii="Arial" w:hAnsi="Arial" w:cs="Arial"/>
          <w:i/>
          <w:iCs/>
          <w:sz w:val="20"/>
          <w:szCs w:val="20"/>
        </w:rPr>
        <w:t>of October, 2025</w:t>
      </w:r>
    </w:p>
    <w:p w14:paraId="41375A95" w14:textId="5B5D6F62" w:rsidR="00707147" w:rsidRPr="006265CD" w:rsidRDefault="00707147" w:rsidP="00707147">
      <w:pPr>
        <w:pStyle w:val="Kop1"/>
        <w:rPr>
          <w:rFonts w:ascii="Arial" w:hAnsi="Arial" w:cs="Arial"/>
          <w:lang w:val="en-GB"/>
        </w:rPr>
      </w:pPr>
      <w:r w:rsidRPr="006265CD">
        <w:rPr>
          <w:rFonts w:ascii="Arial" w:hAnsi="Arial" w:cs="Arial"/>
          <w:lang w:val="en-GB"/>
        </w:rPr>
        <w:t>Abstract</w:t>
      </w:r>
    </w:p>
    <w:p w14:paraId="48BC7D74" w14:textId="39FE7B13" w:rsidR="00707147" w:rsidRPr="00AF7CDC" w:rsidRDefault="00707147" w:rsidP="00707147">
      <w:pPr>
        <w:rPr>
          <w:rFonts w:ascii="Arial" w:hAnsi="Arial" w:cs="Arial"/>
          <w:sz w:val="16"/>
          <w:szCs w:val="16"/>
          <w:lang w:val="en-GB"/>
        </w:rPr>
      </w:pPr>
      <w:r w:rsidRPr="00AF7CDC">
        <w:rPr>
          <w:rFonts w:ascii="Arial" w:hAnsi="Arial" w:cs="Arial"/>
          <w:b/>
          <w:bCs/>
          <w:sz w:val="16"/>
          <w:szCs w:val="16"/>
          <w:lang w:val="en-GB"/>
        </w:rPr>
        <w:t>Background:</w:t>
      </w:r>
      <w:r w:rsidRPr="00AF7CDC">
        <w:rPr>
          <w:rFonts w:ascii="Arial" w:hAnsi="Arial" w:cs="Arial"/>
          <w:sz w:val="16"/>
          <w:szCs w:val="16"/>
          <w:lang w:val="en-GB"/>
        </w:rPr>
        <w:t xml:space="preserve"> Narrative medicine emphasizes the value of patient stories as essential to diagnosis, treatment, and holistic care. In pediatrics, this approach is especially relevant, as children with chronic conditions often depend on adults to interpret their experiences. The Children’s Story Bank WKZ</w:t>
      </w:r>
      <w:r w:rsidR="00E95FAE">
        <w:rPr>
          <w:rFonts w:ascii="Arial" w:hAnsi="Arial" w:cs="Arial"/>
          <w:sz w:val="16"/>
          <w:szCs w:val="16"/>
          <w:lang w:val="en-GB"/>
        </w:rPr>
        <w:t xml:space="preserve">* </w:t>
      </w:r>
      <w:r w:rsidRPr="00AF7CDC">
        <w:rPr>
          <w:rFonts w:ascii="Arial" w:hAnsi="Arial" w:cs="Arial"/>
          <w:sz w:val="16"/>
          <w:szCs w:val="16"/>
          <w:lang w:val="en-GB"/>
        </w:rPr>
        <w:t>(est. 2023) offers a platform for children to anonymously share their narratives.</w:t>
      </w:r>
    </w:p>
    <w:p w14:paraId="02259566" w14:textId="47A3BE45" w:rsidR="00707147" w:rsidRPr="00AF7CDC" w:rsidRDefault="00707147" w:rsidP="00707147">
      <w:pPr>
        <w:rPr>
          <w:rFonts w:ascii="Arial" w:hAnsi="Arial" w:cs="Arial"/>
          <w:sz w:val="16"/>
          <w:szCs w:val="16"/>
          <w:lang w:val="en-GB"/>
        </w:rPr>
      </w:pPr>
      <w:r w:rsidRPr="00AF7CDC">
        <w:rPr>
          <w:rFonts w:ascii="Arial" w:hAnsi="Arial" w:cs="Arial"/>
          <w:b/>
          <w:bCs/>
          <w:sz w:val="16"/>
          <w:szCs w:val="16"/>
          <w:lang w:val="en-GB"/>
        </w:rPr>
        <w:t>Objective:</w:t>
      </w:r>
      <w:r w:rsidRPr="00AF7CDC">
        <w:rPr>
          <w:rFonts w:ascii="Arial" w:hAnsi="Arial" w:cs="Arial"/>
          <w:sz w:val="16"/>
          <w:szCs w:val="16"/>
          <w:lang w:val="en-GB"/>
        </w:rPr>
        <w:t xml:space="preserve"> This study applies the 6-F model, Function, Family, Fitness, Friends, Fun, and Future, as an analytical framework to explore the lived experiences of children with chronic conditions. The central research question was: </w:t>
      </w:r>
      <w:r w:rsidRPr="00AF7CDC">
        <w:rPr>
          <w:rFonts w:ascii="Arial" w:hAnsi="Arial" w:cs="Arial"/>
          <w:i/>
          <w:iCs/>
          <w:sz w:val="16"/>
          <w:szCs w:val="16"/>
          <w:lang w:val="en-GB"/>
        </w:rPr>
        <w:t>What similarities and differences emerge in these stories across the six domains?</w:t>
      </w:r>
    </w:p>
    <w:p w14:paraId="76E11DC1" w14:textId="79136CCE" w:rsidR="00707147" w:rsidRPr="00AF7CDC" w:rsidRDefault="00707147" w:rsidP="00707147">
      <w:pPr>
        <w:rPr>
          <w:rFonts w:ascii="Arial" w:hAnsi="Arial" w:cs="Arial"/>
          <w:sz w:val="16"/>
          <w:szCs w:val="16"/>
          <w:lang w:val="en-GB"/>
        </w:rPr>
      </w:pPr>
      <w:r w:rsidRPr="00AF7CDC">
        <w:rPr>
          <w:rFonts w:ascii="Arial" w:hAnsi="Arial" w:cs="Arial"/>
          <w:b/>
          <w:bCs/>
          <w:sz w:val="16"/>
          <w:szCs w:val="16"/>
          <w:lang w:val="en-GB"/>
        </w:rPr>
        <w:t>Method:</w:t>
      </w:r>
      <w:r w:rsidRPr="00AF7CDC">
        <w:rPr>
          <w:rFonts w:ascii="Arial" w:hAnsi="Arial" w:cs="Arial"/>
          <w:sz w:val="16"/>
          <w:szCs w:val="16"/>
          <w:lang w:val="en-GB"/>
        </w:rPr>
        <w:t xml:space="preserve"> A thematic analysis of ten stories from </w:t>
      </w:r>
      <w:r w:rsidR="00E95FAE">
        <w:rPr>
          <w:rFonts w:ascii="Arial" w:hAnsi="Arial" w:cs="Arial"/>
          <w:sz w:val="16"/>
          <w:szCs w:val="16"/>
          <w:lang w:val="en-GB"/>
        </w:rPr>
        <w:t>children</w:t>
      </w:r>
      <w:r w:rsidRPr="00AF7CDC">
        <w:rPr>
          <w:rFonts w:ascii="Arial" w:hAnsi="Arial" w:cs="Arial"/>
          <w:sz w:val="16"/>
          <w:szCs w:val="16"/>
          <w:lang w:val="en-GB"/>
        </w:rPr>
        <w:t xml:space="preserve"> was conducted using NVivo. Stories were coded according to the six domains, with interpretation performed by one researcher.</w:t>
      </w:r>
    </w:p>
    <w:p w14:paraId="353F5BB2" w14:textId="20DF7879" w:rsidR="00707147" w:rsidRPr="00AF7CDC" w:rsidRDefault="00707147" w:rsidP="00707147">
      <w:pPr>
        <w:rPr>
          <w:rFonts w:ascii="Arial" w:hAnsi="Arial" w:cs="Arial"/>
          <w:sz w:val="16"/>
          <w:szCs w:val="16"/>
          <w:lang w:val="en-GB"/>
        </w:rPr>
      </w:pPr>
      <w:r w:rsidRPr="00AF7CDC">
        <w:rPr>
          <w:rFonts w:ascii="Arial" w:hAnsi="Arial" w:cs="Arial"/>
          <w:b/>
          <w:bCs/>
          <w:sz w:val="16"/>
          <w:szCs w:val="16"/>
          <w:lang w:val="en-GB"/>
        </w:rPr>
        <w:t>Result</w:t>
      </w:r>
      <w:r w:rsidR="00A05ED2" w:rsidRPr="00AF7CDC">
        <w:rPr>
          <w:rFonts w:ascii="Arial" w:hAnsi="Arial" w:cs="Arial"/>
          <w:b/>
          <w:bCs/>
          <w:sz w:val="16"/>
          <w:szCs w:val="16"/>
          <w:lang w:val="en-GB"/>
        </w:rPr>
        <w:t>s</w:t>
      </w:r>
      <w:r w:rsidRPr="00AF7CDC">
        <w:rPr>
          <w:rFonts w:ascii="Arial" w:hAnsi="Arial" w:cs="Arial"/>
          <w:b/>
          <w:bCs/>
          <w:sz w:val="16"/>
          <w:szCs w:val="16"/>
          <w:lang w:val="en-GB"/>
        </w:rPr>
        <w:t>:</w:t>
      </w:r>
      <w:r w:rsidRPr="00AF7CDC">
        <w:rPr>
          <w:rFonts w:ascii="Arial" w:hAnsi="Arial" w:cs="Arial"/>
          <w:sz w:val="16"/>
          <w:szCs w:val="16"/>
          <w:lang w:val="en-GB"/>
        </w:rPr>
        <w:t xml:space="preserve"> “Function” was the most frequently mentioned domain, highlighting children’s adaptations in daily life and education. “Family” and “Friends” consistently served as emotional and practical anchors, while “Fun” was described as a deliberate coping strategy to maintain identity and wellbeing. In contrast, “Fitness” and “Future” were referenced less often and showed considerable variation. Across narratives, children demonstrated resilience, creativity, and agency in managing illness-related challenges.</w:t>
      </w:r>
    </w:p>
    <w:p w14:paraId="16F3DC7D" w14:textId="518FD628" w:rsidR="00707147" w:rsidRPr="00AF7CDC" w:rsidRDefault="00707147" w:rsidP="00707147">
      <w:pPr>
        <w:rPr>
          <w:rFonts w:ascii="Arial" w:hAnsi="Arial" w:cs="Arial"/>
          <w:sz w:val="16"/>
          <w:szCs w:val="16"/>
          <w:lang w:val="en-GB"/>
        </w:rPr>
      </w:pPr>
      <w:r w:rsidRPr="00AF7CDC">
        <w:rPr>
          <w:rFonts w:ascii="Arial" w:hAnsi="Arial" w:cs="Arial"/>
          <w:b/>
          <w:bCs/>
          <w:sz w:val="16"/>
          <w:szCs w:val="16"/>
          <w:lang w:val="en-GB"/>
        </w:rPr>
        <w:t>Conclusion:</w:t>
      </w:r>
      <w:r w:rsidRPr="00AF7CDC">
        <w:rPr>
          <w:rFonts w:ascii="Arial" w:hAnsi="Arial" w:cs="Arial"/>
          <w:sz w:val="16"/>
          <w:szCs w:val="16"/>
          <w:lang w:val="en-GB"/>
        </w:rPr>
        <w:t xml:space="preserve"> </w:t>
      </w:r>
      <w:r w:rsidR="006265CD" w:rsidRPr="00AF7CDC">
        <w:rPr>
          <w:rFonts w:ascii="Arial" w:hAnsi="Arial" w:cs="Arial"/>
          <w:sz w:val="16"/>
          <w:szCs w:val="16"/>
        </w:rPr>
        <w:t>Across all six domains, children demonstrated resilience and a search for normality, yet differences emerged in how much emphasis was placed on physical fitness, openness about illness in friendships, and expectations for the future. These findings highlight both shared coping patterns and individual variation in the lived experiences of children with chronic conditions.</w:t>
      </w:r>
    </w:p>
    <w:p w14:paraId="4BA3B775" w14:textId="77777777" w:rsidR="00223F1B" w:rsidRPr="000F6486" w:rsidRDefault="00000000" w:rsidP="003A2B29">
      <w:pPr>
        <w:pStyle w:val="Kop1"/>
        <w:rPr>
          <w:rFonts w:ascii="Arial" w:hAnsi="Arial" w:cs="Arial"/>
        </w:rPr>
      </w:pPr>
      <w:r w:rsidRPr="000F6486">
        <w:rPr>
          <w:rFonts w:ascii="Arial" w:hAnsi="Arial" w:cs="Arial"/>
        </w:rPr>
        <w:t>Introduction</w:t>
      </w:r>
    </w:p>
    <w:p w14:paraId="62C1DF4A" w14:textId="7B3C8F2F" w:rsidR="00223F1B" w:rsidRPr="00A23517" w:rsidRDefault="00000000">
      <w:pPr>
        <w:rPr>
          <w:rFonts w:ascii="Arial" w:hAnsi="Arial" w:cs="Arial"/>
          <w:sz w:val="20"/>
          <w:szCs w:val="20"/>
          <w:vertAlign w:val="superscript"/>
        </w:rPr>
      </w:pPr>
      <w:r w:rsidRPr="00E83595">
        <w:rPr>
          <w:rFonts w:ascii="Arial" w:hAnsi="Arial" w:cs="Arial"/>
          <w:sz w:val="20"/>
          <w:szCs w:val="20"/>
        </w:rPr>
        <w:t>In an era where healthcare is increasingly dominated by technological advancement, standardization, and evidence-based protocols, there is also a growing recognition of approaches that place the individual patient back at the center: Narrative Medicine. Emerging at the intersection of medicine, literary studies, and medical ethics, this approach emphasizes the importance of the patient’s story as an essential component of diagnosis, treatment, and the care relationship.</w:t>
      </w:r>
      <w:r w:rsidR="00A23517">
        <w:rPr>
          <w:rFonts w:ascii="Arial" w:hAnsi="Arial" w:cs="Arial"/>
          <w:sz w:val="20"/>
          <w:szCs w:val="20"/>
          <w:vertAlign w:val="superscript"/>
        </w:rPr>
        <w:t>1</w:t>
      </w:r>
      <w:r w:rsidRPr="00E83595">
        <w:rPr>
          <w:rFonts w:ascii="Arial" w:hAnsi="Arial" w:cs="Arial"/>
          <w:sz w:val="20"/>
          <w:szCs w:val="20"/>
        </w:rPr>
        <w:t xml:space="preserve"> Narrative Medicine </w:t>
      </w:r>
      <w:r w:rsidR="006265CD">
        <w:rPr>
          <w:rFonts w:ascii="Arial" w:hAnsi="Arial" w:cs="Arial"/>
          <w:sz w:val="20"/>
          <w:szCs w:val="20"/>
        </w:rPr>
        <w:t>shows</w:t>
      </w:r>
      <w:r w:rsidRPr="00E83595">
        <w:rPr>
          <w:rFonts w:ascii="Arial" w:hAnsi="Arial" w:cs="Arial"/>
          <w:sz w:val="20"/>
          <w:szCs w:val="20"/>
        </w:rPr>
        <w:t xml:space="preserve"> that the ability of physicians to actively listen, empathize with the patient’s lived world, and interpret their narrative is fundamental to providing good care.</w:t>
      </w:r>
      <w:r w:rsidR="00462CCF">
        <w:rPr>
          <w:rFonts w:ascii="Arial" w:hAnsi="Arial" w:cs="Arial"/>
          <w:sz w:val="20"/>
          <w:szCs w:val="20"/>
          <w:vertAlign w:val="superscript"/>
        </w:rPr>
        <w:t>2,3</w:t>
      </w:r>
    </w:p>
    <w:p w14:paraId="42A00747" w14:textId="5D4DE58C" w:rsidR="00223F1B" w:rsidRPr="00E83595" w:rsidRDefault="00000000">
      <w:pPr>
        <w:rPr>
          <w:rFonts w:ascii="Arial" w:hAnsi="Arial" w:cs="Arial"/>
          <w:sz w:val="20"/>
          <w:szCs w:val="20"/>
          <w:vertAlign w:val="superscript"/>
        </w:rPr>
      </w:pPr>
      <w:r w:rsidRPr="00E83595">
        <w:rPr>
          <w:rFonts w:ascii="Arial" w:hAnsi="Arial" w:cs="Arial"/>
          <w:sz w:val="20"/>
          <w:szCs w:val="20"/>
        </w:rPr>
        <w:t>Within pediatrics, narrative medicine takes on a particular meaning. Children with chronic conditions often occupy a vulnerable position in which they are dependent on adults to interpret and communicate their experiences.</w:t>
      </w:r>
      <w:r w:rsidR="00462CCF">
        <w:rPr>
          <w:rFonts w:ascii="Arial" w:hAnsi="Arial" w:cs="Arial"/>
          <w:sz w:val="20"/>
          <w:szCs w:val="20"/>
          <w:vertAlign w:val="superscript"/>
        </w:rPr>
        <w:t>4</w:t>
      </w:r>
      <w:r w:rsidR="0021619A">
        <w:rPr>
          <w:rFonts w:ascii="Arial" w:hAnsi="Arial" w:cs="Arial"/>
          <w:sz w:val="20"/>
          <w:szCs w:val="20"/>
        </w:rPr>
        <w:t xml:space="preserve"> </w:t>
      </w:r>
      <w:r w:rsidR="0021619A" w:rsidRPr="00E83595">
        <w:rPr>
          <w:rFonts w:ascii="Arial" w:hAnsi="Arial" w:cs="Arial"/>
          <w:sz w:val="20"/>
          <w:szCs w:val="20"/>
        </w:rPr>
        <w:t>A mixed methods study has demonstrated this as well, showing that in outpatient consultations, only 11 percent of the words spoken come from the child.</w:t>
      </w:r>
      <w:r w:rsidR="00A23517">
        <w:rPr>
          <w:rFonts w:ascii="Arial" w:hAnsi="Arial" w:cs="Arial"/>
          <w:sz w:val="20"/>
          <w:szCs w:val="20"/>
          <w:vertAlign w:val="superscript"/>
        </w:rPr>
        <w:t>5</w:t>
      </w:r>
      <w:r w:rsidRPr="00E83595">
        <w:rPr>
          <w:rFonts w:ascii="Arial" w:hAnsi="Arial" w:cs="Arial"/>
          <w:sz w:val="20"/>
          <w:szCs w:val="20"/>
        </w:rPr>
        <w:t xml:space="preserve"> Storytelling allows them to gain control over their illness, process emotions, and make sense of their situation. At the same time, these stories provide caregivers with valuable insights into the child’s world</w:t>
      </w:r>
      <w:r w:rsidR="00707147" w:rsidRPr="00E83595">
        <w:rPr>
          <w:rFonts w:ascii="Arial" w:hAnsi="Arial" w:cs="Arial"/>
          <w:sz w:val="20"/>
          <w:szCs w:val="20"/>
        </w:rPr>
        <w:t xml:space="preserve">, </w:t>
      </w:r>
      <w:r w:rsidRPr="00E83595">
        <w:rPr>
          <w:rFonts w:ascii="Arial" w:hAnsi="Arial" w:cs="Arial"/>
          <w:sz w:val="20"/>
          <w:szCs w:val="20"/>
        </w:rPr>
        <w:t xml:space="preserve">insights that often remain unused in standard medical communication. </w:t>
      </w:r>
    </w:p>
    <w:p w14:paraId="10441021" w14:textId="6C725A14" w:rsidR="00223F1B" w:rsidRPr="00E83595" w:rsidRDefault="00000000">
      <w:pPr>
        <w:rPr>
          <w:rFonts w:ascii="Arial" w:hAnsi="Arial" w:cs="Arial"/>
          <w:sz w:val="20"/>
          <w:szCs w:val="20"/>
          <w:vertAlign w:val="superscript"/>
        </w:rPr>
      </w:pPr>
      <w:r w:rsidRPr="00E83595">
        <w:rPr>
          <w:rFonts w:ascii="Arial" w:hAnsi="Arial" w:cs="Arial"/>
          <w:sz w:val="20"/>
          <w:szCs w:val="20"/>
        </w:rPr>
        <w:lastRenderedPageBreak/>
        <w:t>Recent studies further highlight the importance of this narrative dimension within pediatric care. For example, a 202</w:t>
      </w:r>
      <w:r w:rsidR="00591356">
        <w:rPr>
          <w:rFonts w:ascii="Arial" w:hAnsi="Arial" w:cs="Arial"/>
          <w:sz w:val="20"/>
          <w:szCs w:val="20"/>
        </w:rPr>
        <w:t>5 narrative</w:t>
      </w:r>
      <w:r w:rsidRPr="00E83595">
        <w:rPr>
          <w:rFonts w:ascii="Arial" w:hAnsi="Arial" w:cs="Arial"/>
          <w:sz w:val="20"/>
          <w:szCs w:val="20"/>
        </w:rPr>
        <w:t xml:space="preserve"> review by </w:t>
      </w:r>
      <w:proofErr w:type="spellStart"/>
      <w:r w:rsidR="00591356">
        <w:rPr>
          <w:rFonts w:ascii="Arial" w:hAnsi="Arial" w:cs="Arial"/>
          <w:sz w:val="20"/>
          <w:szCs w:val="20"/>
        </w:rPr>
        <w:t>Mastorci</w:t>
      </w:r>
      <w:proofErr w:type="spellEnd"/>
      <w:r w:rsidRPr="00E83595">
        <w:rPr>
          <w:rFonts w:ascii="Arial" w:hAnsi="Arial" w:cs="Arial"/>
          <w:sz w:val="20"/>
          <w:szCs w:val="20"/>
        </w:rPr>
        <w:t xml:space="preserve"> et al.</w:t>
      </w:r>
      <w:r w:rsidR="00A23517">
        <w:rPr>
          <w:rFonts w:ascii="Arial" w:hAnsi="Arial" w:cs="Arial"/>
          <w:sz w:val="20"/>
          <w:szCs w:val="20"/>
          <w:vertAlign w:val="superscript"/>
        </w:rPr>
        <w:t>6</w:t>
      </w:r>
      <w:r w:rsidRPr="00E83595">
        <w:rPr>
          <w:rFonts w:ascii="Arial" w:hAnsi="Arial" w:cs="Arial"/>
          <w:sz w:val="20"/>
          <w:szCs w:val="20"/>
        </w:rPr>
        <w:t xml:space="preserve"> points to the central role of psychosocial factors in the lives of children with chronic conditions, such as emotions, relationships, and family dynamics, which are not always visible in medical records.</w:t>
      </w:r>
      <w:r w:rsidR="008A5624">
        <w:rPr>
          <w:rFonts w:ascii="Arial" w:hAnsi="Arial" w:cs="Arial"/>
          <w:sz w:val="20"/>
          <w:szCs w:val="20"/>
        </w:rPr>
        <w:t xml:space="preserve"> This also supported by other studies</w:t>
      </w:r>
      <w:r w:rsidR="00A23517">
        <w:rPr>
          <w:rFonts w:ascii="Arial" w:hAnsi="Arial" w:cs="Arial"/>
          <w:sz w:val="20"/>
          <w:szCs w:val="20"/>
          <w:vertAlign w:val="superscript"/>
        </w:rPr>
        <w:t>7</w:t>
      </w:r>
      <w:r w:rsidR="008A5624">
        <w:rPr>
          <w:rFonts w:ascii="Arial" w:hAnsi="Arial" w:cs="Arial"/>
          <w:sz w:val="20"/>
          <w:szCs w:val="20"/>
          <w:vertAlign w:val="superscript"/>
        </w:rPr>
        <w:t>,</w:t>
      </w:r>
      <w:r w:rsidR="00A23517">
        <w:rPr>
          <w:rFonts w:ascii="Arial" w:hAnsi="Arial" w:cs="Arial"/>
          <w:sz w:val="20"/>
          <w:szCs w:val="20"/>
          <w:vertAlign w:val="superscript"/>
        </w:rPr>
        <w:t>8</w:t>
      </w:r>
      <w:r w:rsidR="008A5624">
        <w:rPr>
          <w:rFonts w:ascii="Arial" w:hAnsi="Arial" w:cs="Arial"/>
          <w:sz w:val="20"/>
          <w:szCs w:val="20"/>
          <w:vertAlign w:val="superscript"/>
        </w:rPr>
        <w:t>,</w:t>
      </w:r>
      <w:r w:rsidR="00A23517">
        <w:rPr>
          <w:rFonts w:ascii="Arial" w:hAnsi="Arial" w:cs="Arial"/>
          <w:sz w:val="20"/>
          <w:szCs w:val="20"/>
          <w:vertAlign w:val="superscript"/>
        </w:rPr>
        <w:t>9</w:t>
      </w:r>
      <w:r w:rsidRPr="00E83595">
        <w:rPr>
          <w:rFonts w:ascii="Arial" w:hAnsi="Arial" w:cs="Arial"/>
          <w:sz w:val="20"/>
          <w:szCs w:val="20"/>
        </w:rPr>
        <w:t xml:space="preserve"> A cross-sectional study of 115 pediatric nurses using various questionnaires revealed that the ability to hear, understand, and apply children’s stories in care practice</w:t>
      </w:r>
      <w:r w:rsidR="00707147" w:rsidRPr="00E83595">
        <w:rPr>
          <w:rFonts w:ascii="Arial" w:hAnsi="Arial" w:cs="Arial"/>
          <w:sz w:val="20"/>
          <w:szCs w:val="20"/>
        </w:rPr>
        <w:t xml:space="preserve">, </w:t>
      </w:r>
      <w:r w:rsidRPr="00E83595">
        <w:rPr>
          <w:rFonts w:ascii="Arial" w:hAnsi="Arial" w:cs="Arial"/>
          <w:sz w:val="20"/>
          <w:szCs w:val="20"/>
        </w:rPr>
        <w:t>so-called narrative competence</w:t>
      </w:r>
      <w:r w:rsidR="00707147" w:rsidRPr="00E83595">
        <w:rPr>
          <w:rFonts w:ascii="Arial" w:hAnsi="Arial" w:cs="Arial"/>
          <w:sz w:val="20"/>
          <w:szCs w:val="20"/>
        </w:rPr>
        <w:t xml:space="preserve">, </w:t>
      </w:r>
      <w:r w:rsidRPr="00E83595">
        <w:rPr>
          <w:rFonts w:ascii="Arial" w:hAnsi="Arial" w:cs="Arial"/>
          <w:sz w:val="20"/>
          <w:szCs w:val="20"/>
        </w:rPr>
        <w:t>is essential but not self-evident.</w:t>
      </w:r>
      <w:r w:rsidR="00A23517">
        <w:rPr>
          <w:rFonts w:ascii="Arial" w:hAnsi="Arial" w:cs="Arial"/>
          <w:sz w:val="20"/>
          <w:szCs w:val="20"/>
          <w:vertAlign w:val="superscript"/>
        </w:rPr>
        <w:t>10</w:t>
      </w:r>
      <w:r w:rsidRPr="00E83595">
        <w:rPr>
          <w:rFonts w:ascii="Arial" w:hAnsi="Arial" w:cs="Arial"/>
          <w:sz w:val="20"/>
          <w:szCs w:val="20"/>
        </w:rPr>
        <w:t xml:space="preserve"> In addition, a qualitative study in 2025, based on 18 workshops with stories and discussions among 35 physicians in complex pediatric care, shows that narrative work contributes to a shift in perspective: </w:t>
      </w:r>
      <w:r w:rsidR="0021619A">
        <w:rPr>
          <w:rFonts w:ascii="Arial" w:hAnsi="Arial" w:cs="Arial"/>
          <w:sz w:val="20"/>
          <w:szCs w:val="20"/>
        </w:rPr>
        <w:t>F</w:t>
      </w:r>
      <w:r w:rsidRPr="00E83595">
        <w:rPr>
          <w:rFonts w:ascii="Arial" w:hAnsi="Arial" w:cs="Arial"/>
          <w:sz w:val="20"/>
          <w:szCs w:val="20"/>
        </w:rPr>
        <w:t>rom fragmented and technical thinking to a more relational and holistic approach to care.</w:t>
      </w:r>
      <w:r w:rsidR="00A23517">
        <w:rPr>
          <w:rFonts w:ascii="Arial" w:hAnsi="Arial" w:cs="Arial"/>
          <w:sz w:val="20"/>
          <w:szCs w:val="20"/>
          <w:vertAlign w:val="superscript"/>
        </w:rPr>
        <w:t>11</w:t>
      </w:r>
    </w:p>
    <w:p w14:paraId="1E2B7398" w14:textId="7A6FDA49" w:rsidR="00223F1B" w:rsidRPr="00E83595" w:rsidRDefault="00000000">
      <w:pPr>
        <w:rPr>
          <w:rFonts w:ascii="Arial" w:hAnsi="Arial" w:cs="Arial"/>
          <w:sz w:val="20"/>
          <w:szCs w:val="20"/>
        </w:rPr>
      </w:pPr>
      <w:r w:rsidRPr="00E83595">
        <w:rPr>
          <w:rFonts w:ascii="Arial" w:hAnsi="Arial" w:cs="Arial"/>
          <w:sz w:val="20"/>
          <w:szCs w:val="20"/>
        </w:rPr>
        <w:t>The importance of this perspective becomes visible in an ongoing project at the Wilhelmina Children’s Hospital: the Children’s Story Bank WKZ</w:t>
      </w:r>
      <w:r w:rsidR="009022C0">
        <w:rPr>
          <w:rFonts w:ascii="Arial" w:hAnsi="Arial" w:cs="Arial"/>
          <w:sz w:val="20"/>
          <w:szCs w:val="20"/>
        </w:rPr>
        <w:t>`in Utrecht</w:t>
      </w:r>
      <w:r w:rsidRPr="00E83595">
        <w:rPr>
          <w:rFonts w:ascii="Arial" w:hAnsi="Arial" w:cs="Arial"/>
          <w:sz w:val="20"/>
          <w:szCs w:val="20"/>
        </w:rPr>
        <w:t>. Launched in 2023, this initiative gives children the opportunity to anonymously share their stories.</w:t>
      </w:r>
      <w:r w:rsidR="008C7DE3" w:rsidRPr="008C7DE3">
        <w:rPr>
          <w:rFonts w:ascii="Arial" w:hAnsi="Arial" w:cs="Arial"/>
          <w:sz w:val="20"/>
          <w:szCs w:val="20"/>
          <w:vertAlign w:val="superscript"/>
        </w:rPr>
        <w:t xml:space="preserve"> </w:t>
      </w:r>
      <w:r w:rsidR="00A23517">
        <w:rPr>
          <w:rFonts w:ascii="Arial" w:hAnsi="Arial" w:cs="Arial"/>
          <w:sz w:val="20"/>
          <w:szCs w:val="20"/>
          <w:vertAlign w:val="superscript"/>
        </w:rPr>
        <w:t>12</w:t>
      </w:r>
      <w:r w:rsidRPr="00E83595">
        <w:rPr>
          <w:rFonts w:ascii="Arial" w:hAnsi="Arial" w:cs="Arial"/>
          <w:sz w:val="20"/>
          <w:szCs w:val="20"/>
        </w:rPr>
        <w:t xml:space="preserve"> Other children can find recognition in these stories, while caregivers are invited to listen from a different perspective and look beyond the illness itself. However, no prior analysis has been conducted on the current stories in this Children’s Story Bank.</w:t>
      </w:r>
    </w:p>
    <w:p w14:paraId="42FA84A5" w14:textId="3AE3E042" w:rsidR="00E83595" w:rsidRDefault="00000000" w:rsidP="00E83595">
      <w:pPr>
        <w:rPr>
          <w:rFonts w:ascii="Arial" w:hAnsi="Arial" w:cs="Arial"/>
          <w:sz w:val="20"/>
          <w:szCs w:val="20"/>
        </w:rPr>
      </w:pPr>
      <w:r w:rsidRPr="00E83595">
        <w:rPr>
          <w:rFonts w:ascii="Arial" w:hAnsi="Arial" w:cs="Arial"/>
          <w:sz w:val="20"/>
          <w:szCs w:val="20"/>
        </w:rPr>
        <w:t>To structure the themes, the 6-F model by Jan-Willem Gorter was used, further explained in the method</w:t>
      </w:r>
      <w:r w:rsidR="0021619A">
        <w:rPr>
          <w:rFonts w:ascii="Arial" w:hAnsi="Arial" w:cs="Arial"/>
          <w:sz w:val="20"/>
          <w:szCs w:val="20"/>
        </w:rPr>
        <w:t xml:space="preserve"> section</w:t>
      </w:r>
      <w:r w:rsidRPr="00E83595">
        <w:rPr>
          <w:rFonts w:ascii="Arial" w:hAnsi="Arial" w:cs="Arial"/>
          <w:sz w:val="20"/>
          <w:szCs w:val="20"/>
        </w:rPr>
        <w:t>. In this article, this model is applied as a framework for a thematic analysis of stories from the Children’s Story Bank. The central question is: Which similarities and differences are visible in the stories of children with chronic conditions across these six domains?</w:t>
      </w:r>
    </w:p>
    <w:p w14:paraId="4D954B0A" w14:textId="2B99B67C" w:rsidR="00223F1B" w:rsidRDefault="00000000" w:rsidP="00E83595">
      <w:pPr>
        <w:pStyle w:val="Kop1"/>
      </w:pPr>
      <w:r w:rsidRPr="000F6486">
        <w:t>Method</w:t>
      </w:r>
    </w:p>
    <w:p w14:paraId="7000DB7A" w14:textId="0CCED7F3" w:rsidR="00E5270B" w:rsidRPr="00E5270B" w:rsidRDefault="00E5270B" w:rsidP="00E5270B">
      <w:pPr>
        <w:rPr>
          <w:rFonts w:ascii="Arial" w:hAnsi="Arial" w:cs="Arial"/>
          <w:sz w:val="20"/>
          <w:szCs w:val="20"/>
          <w:vertAlign w:val="superscript"/>
        </w:rPr>
      </w:pPr>
      <w:r>
        <w:rPr>
          <w:rFonts w:ascii="Arial" w:hAnsi="Arial" w:cs="Arial"/>
          <w:sz w:val="20"/>
          <w:szCs w:val="20"/>
        </w:rPr>
        <w:t xml:space="preserve">This study was conducted between July 14, 2025 and October 3, 2025. </w:t>
      </w:r>
      <w:r w:rsidRPr="00373CFF">
        <w:rPr>
          <w:rFonts w:ascii="Arial" w:hAnsi="Arial" w:cs="Arial"/>
          <w:sz w:val="20"/>
          <w:szCs w:val="20"/>
        </w:rPr>
        <w:t>The interviews were conducted following a structured topic guide administered by a trained interviewer. Each interview lasted approximately 30 minutes. With the consent of both children and their parents, the interviews were transcribed into narrative accounts. The analysis was performed on these processed stories rather than on the raw interview transcripts. The study focused on children aged 6 to 18 who were receiving treatment at the WKZ and had explicitly provided consent to participate</w:t>
      </w:r>
      <w:r>
        <w:rPr>
          <w:rFonts w:ascii="Arial" w:hAnsi="Arial" w:cs="Arial"/>
          <w:sz w:val="20"/>
          <w:szCs w:val="20"/>
        </w:rPr>
        <w:t>. Children in critical health emergencies were excluded.</w:t>
      </w:r>
    </w:p>
    <w:p w14:paraId="736CA9DA" w14:textId="5D21FACF" w:rsidR="00223F1B" w:rsidRPr="00E83595" w:rsidRDefault="00000000">
      <w:pPr>
        <w:rPr>
          <w:rFonts w:ascii="Arial" w:hAnsi="Arial" w:cs="Arial"/>
          <w:sz w:val="20"/>
          <w:szCs w:val="20"/>
        </w:rPr>
      </w:pPr>
      <w:r w:rsidRPr="00E83595">
        <w:rPr>
          <w:rFonts w:ascii="Arial" w:hAnsi="Arial" w:cs="Arial"/>
          <w:sz w:val="20"/>
          <w:szCs w:val="20"/>
        </w:rPr>
        <w:t>The holistic approach at the heart of the Children’s Story Bank aligns with the 6-F model, developed by pediatric rehabilitation physician Jan Willem Gorter</w:t>
      </w:r>
      <w:r w:rsidR="008A5624">
        <w:rPr>
          <w:rFonts w:ascii="Arial" w:hAnsi="Arial" w:cs="Arial"/>
          <w:sz w:val="20"/>
          <w:szCs w:val="20"/>
          <w:vertAlign w:val="superscript"/>
        </w:rPr>
        <w:t>1</w:t>
      </w:r>
      <w:r w:rsidR="00A23517">
        <w:rPr>
          <w:rFonts w:ascii="Arial" w:hAnsi="Arial" w:cs="Arial"/>
          <w:sz w:val="20"/>
          <w:szCs w:val="20"/>
          <w:vertAlign w:val="superscript"/>
        </w:rPr>
        <w:t>3</w:t>
      </w:r>
      <w:r w:rsidRPr="00E83595">
        <w:rPr>
          <w:rFonts w:ascii="Arial" w:hAnsi="Arial" w:cs="Arial"/>
          <w:sz w:val="20"/>
          <w:szCs w:val="20"/>
        </w:rPr>
        <w:t>. This model is based on the ICF framework from rehabilitation medicine and is specifically designed to better reflect the daily lives of children. The 6-F model distinguishes six domains: ‘Function’, ‘Family’, ‘Fitness’, ‘Friends’, ‘Fun’, and ‘Future’.</w:t>
      </w:r>
    </w:p>
    <w:p w14:paraId="2ABD0DA0" w14:textId="77777777" w:rsidR="00223F1B" w:rsidRPr="00E83595" w:rsidRDefault="00000000" w:rsidP="00707147">
      <w:pPr>
        <w:pStyle w:val="Lijstalinea"/>
        <w:numPr>
          <w:ilvl w:val="0"/>
          <w:numId w:val="11"/>
        </w:numPr>
        <w:rPr>
          <w:rFonts w:ascii="Arial" w:hAnsi="Arial" w:cs="Arial"/>
          <w:sz w:val="20"/>
          <w:szCs w:val="20"/>
        </w:rPr>
      </w:pPr>
      <w:r w:rsidRPr="00E83595">
        <w:rPr>
          <w:rFonts w:ascii="Arial" w:hAnsi="Arial" w:cs="Arial"/>
          <w:sz w:val="20"/>
          <w:szCs w:val="20"/>
        </w:rPr>
        <w:t>‘Function’ refers to the child’s everyday functioning, such as independence in daily activities.</w:t>
      </w:r>
    </w:p>
    <w:p w14:paraId="31C08FAA" w14:textId="77777777" w:rsidR="00223F1B" w:rsidRPr="00E83595" w:rsidRDefault="00000000" w:rsidP="00707147">
      <w:pPr>
        <w:pStyle w:val="Lijstalinea"/>
        <w:numPr>
          <w:ilvl w:val="0"/>
          <w:numId w:val="11"/>
        </w:numPr>
        <w:rPr>
          <w:rFonts w:ascii="Arial" w:hAnsi="Arial" w:cs="Arial"/>
          <w:sz w:val="20"/>
          <w:szCs w:val="20"/>
        </w:rPr>
      </w:pPr>
      <w:r w:rsidRPr="00E83595">
        <w:rPr>
          <w:rFonts w:ascii="Arial" w:hAnsi="Arial" w:cs="Arial"/>
          <w:sz w:val="20"/>
          <w:szCs w:val="20"/>
        </w:rPr>
        <w:t>‘Fitness’ focuses on physical fitness, energy levels, and factors influencing physical endurance.</w:t>
      </w:r>
    </w:p>
    <w:p w14:paraId="43542CBF" w14:textId="77777777" w:rsidR="00223F1B" w:rsidRPr="00E83595" w:rsidRDefault="00000000" w:rsidP="00707147">
      <w:pPr>
        <w:pStyle w:val="Lijstalinea"/>
        <w:numPr>
          <w:ilvl w:val="0"/>
          <w:numId w:val="11"/>
        </w:numPr>
        <w:rPr>
          <w:rFonts w:ascii="Arial" w:hAnsi="Arial" w:cs="Arial"/>
          <w:sz w:val="20"/>
          <w:szCs w:val="20"/>
        </w:rPr>
      </w:pPr>
      <w:r w:rsidRPr="00E83595">
        <w:rPr>
          <w:rFonts w:ascii="Arial" w:hAnsi="Arial" w:cs="Arial"/>
          <w:sz w:val="20"/>
          <w:szCs w:val="20"/>
        </w:rPr>
        <w:t>‘Fun’ encompasses activities that bring children joy, but also the resilience required to maintain pleasure despite limitations.</w:t>
      </w:r>
    </w:p>
    <w:p w14:paraId="0F4579E0" w14:textId="77777777" w:rsidR="00223F1B" w:rsidRPr="00E83595" w:rsidRDefault="00000000" w:rsidP="00707147">
      <w:pPr>
        <w:pStyle w:val="Lijstalinea"/>
        <w:numPr>
          <w:ilvl w:val="0"/>
          <w:numId w:val="11"/>
        </w:numPr>
        <w:rPr>
          <w:rFonts w:ascii="Arial" w:hAnsi="Arial" w:cs="Arial"/>
          <w:sz w:val="20"/>
          <w:szCs w:val="20"/>
        </w:rPr>
      </w:pPr>
      <w:r w:rsidRPr="00E83595">
        <w:rPr>
          <w:rFonts w:ascii="Arial" w:hAnsi="Arial" w:cs="Arial"/>
          <w:sz w:val="20"/>
          <w:szCs w:val="20"/>
        </w:rPr>
        <w:t>‘Family’ refers to the role of the family, the home environment, and social interactions within the family.</w:t>
      </w:r>
    </w:p>
    <w:p w14:paraId="77613BB9" w14:textId="77777777" w:rsidR="00223F1B" w:rsidRPr="00E83595" w:rsidRDefault="00000000" w:rsidP="00707147">
      <w:pPr>
        <w:pStyle w:val="Lijstalinea"/>
        <w:numPr>
          <w:ilvl w:val="0"/>
          <w:numId w:val="11"/>
        </w:numPr>
        <w:rPr>
          <w:rFonts w:ascii="Arial" w:hAnsi="Arial" w:cs="Arial"/>
          <w:sz w:val="20"/>
          <w:szCs w:val="20"/>
        </w:rPr>
      </w:pPr>
      <w:r w:rsidRPr="00E83595">
        <w:rPr>
          <w:rFonts w:ascii="Arial" w:hAnsi="Arial" w:cs="Arial"/>
          <w:sz w:val="20"/>
          <w:szCs w:val="20"/>
        </w:rPr>
        <w:t>‘Friends’ covers the role of friendships and activities with peers.</w:t>
      </w:r>
    </w:p>
    <w:p w14:paraId="683D0EA2" w14:textId="77777777" w:rsidR="00223F1B" w:rsidRPr="00E83595" w:rsidRDefault="00000000" w:rsidP="00707147">
      <w:pPr>
        <w:pStyle w:val="Lijstalinea"/>
        <w:numPr>
          <w:ilvl w:val="0"/>
          <w:numId w:val="11"/>
        </w:numPr>
        <w:rPr>
          <w:rFonts w:ascii="Arial" w:hAnsi="Arial" w:cs="Arial"/>
          <w:sz w:val="20"/>
          <w:szCs w:val="20"/>
        </w:rPr>
      </w:pPr>
      <w:r w:rsidRPr="00E83595">
        <w:rPr>
          <w:rFonts w:ascii="Arial" w:hAnsi="Arial" w:cs="Arial"/>
          <w:sz w:val="20"/>
          <w:szCs w:val="20"/>
        </w:rPr>
        <w:t>‘Future’ refers to expectations or hopes for the future.</w:t>
      </w:r>
    </w:p>
    <w:p w14:paraId="09674262" w14:textId="77777777" w:rsidR="00223F1B" w:rsidRPr="00E83595" w:rsidRDefault="00000000">
      <w:pPr>
        <w:rPr>
          <w:rFonts w:ascii="Arial" w:hAnsi="Arial" w:cs="Arial"/>
          <w:sz w:val="20"/>
          <w:szCs w:val="20"/>
        </w:rPr>
      </w:pPr>
      <w:r w:rsidRPr="00E83595">
        <w:rPr>
          <w:rFonts w:ascii="Arial" w:hAnsi="Arial" w:cs="Arial"/>
          <w:sz w:val="20"/>
          <w:szCs w:val="20"/>
        </w:rPr>
        <w:lastRenderedPageBreak/>
        <w:t>Originally, this model was designed to stimulate behavioral change, promote physical health, and assess quality of life in children. In this study, the model is applied differently: as an analytical framework for thematically categorizing children’s stories. Until now, the model has rarely been used for qualitative analysis of narratives, which provides an opportunity to uncover patterns, similarities, and differences in the experiences of children with chronic conditions.</w:t>
      </w:r>
    </w:p>
    <w:p w14:paraId="596A61CC" w14:textId="68E0BACB" w:rsidR="00223F1B" w:rsidRPr="00E83595" w:rsidRDefault="00000000">
      <w:pPr>
        <w:rPr>
          <w:rFonts w:ascii="Arial" w:hAnsi="Arial" w:cs="Arial"/>
          <w:sz w:val="20"/>
          <w:szCs w:val="20"/>
        </w:rPr>
      </w:pPr>
      <w:r w:rsidRPr="00E83595">
        <w:rPr>
          <w:rFonts w:ascii="Arial" w:hAnsi="Arial" w:cs="Arial"/>
          <w:sz w:val="20"/>
          <w:szCs w:val="20"/>
        </w:rPr>
        <w:t>The six domains of the 6-F model serve as the main themes in this analysis. Within each domain, relevant text fragments (quotes) from the stories are coded. Coding and thematic organization were performed using the qualitative analysis software ‘NVivo’. The interpretation of the quotes and their allocation to themes were carried out by a single researcher</w:t>
      </w:r>
      <w:r w:rsidR="008E37DC">
        <w:rPr>
          <w:rFonts w:ascii="Arial" w:hAnsi="Arial" w:cs="Arial"/>
          <w:sz w:val="20"/>
          <w:szCs w:val="20"/>
        </w:rPr>
        <w:t xml:space="preserve"> </w:t>
      </w:r>
      <w:r w:rsidR="00B947A1">
        <w:rPr>
          <w:rFonts w:ascii="Arial" w:hAnsi="Arial" w:cs="Arial"/>
          <w:sz w:val="20"/>
          <w:szCs w:val="20"/>
        </w:rPr>
        <w:t>using a deductive approach.</w:t>
      </w:r>
    </w:p>
    <w:p w14:paraId="0A4F74B1" w14:textId="77777777" w:rsidR="00223F1B" w:rsidRPr="000F6486" w:rsidRDefault="00000000" w:rsidP="003A2B29">
      <w:pPr>
        <w:pStyle w:val="Kop1"/>
        <w:rPr>
          <w:rFonts w:ascii="Arial" w:hAnsi="Arial" w:cs="Arial"/>
        </w:rPr>
      </w:pPr>
      <w:r w:rsidRPr="000F6486">
        <w:rPr>
          <w:rFonts w:ascii="Arial" w:hAnsi="Arial" w:cs="Arial"/>
        </w:rPr>
        <w:t>Results</w:t>
      </w:r>
    </w:p>
    <w:p w14:paraId="253C69C4" w14:textId="705C189B" w:rsidR="00223F1B" w:rsidRPr="00E83595" w:rsidRDefault="00E83595">
      <w:pPr>
        <w:rPr>
          <w:rFonts w:ascii="Arial" w:hAnsi="Arial" w:cs="Arial"/>
          <w:sz w:val="20"/>
          <w:szCs w:val="20"/>
        </w:rPr>
      </w:pPr>
      <w:r w:rsidRPr="00E83595">
        <w:rPr>
          <w:rFonts w:ascii="Arial" w:hAnsi="Arial" w:cs="Arial"/>
          <w:noProof/>
        </w:rPr>
        <mc:AlternateContent>
          <mc:Choice Requires="wps">
            <w:drawing>
              <wp:anchor distT="45720" distB="45720" distL="114300" distR="114300" simplePos="0" relativeHeight="251658752" behindDoc="0" locked="0" layoutInCell="1" allowOverlap="1" wp14:anchorId="0E6166DE" wp14:editId="55DA329F">
                <wp:simplePos x="0" y="0"/>
                <wp:positionH relativeFrom="column">
                  <wp:posOffset>-124691</wp:posOffset>
                </wp:positionH>
                <wp:positionV relativeFrom="paragraph">
                  <wp:posOffset>5240020</wp:posOffset>
                </wp:positionV>
                <wp:extent cx="5666105" cy="238125"/>
                <wp:effectExtent l="0" t="0" r="0" b="9525"/>
                <wp:wrapThrough wrapText="bothSides">
                  <wp:wrapPolygon edited="0">
                    <wp:start x="0" y="0"/>
                    <wp:lineTo x="0" y="20736"/>
                    <wp:lineTo x="21496" y="20736"/>
                    <wp:lineTo x="21496" y="0"/>
                    <wp:lineTo x="0" y="0"/>
                  </wp:wrapPolygon>
                </wp:wrapThrough>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6105" cy="238125"/>
                        </a:xfrm>
                        <a:prstGeom prst="rect">
                          <a:avLst/>
                        </a:prstGeom>
                        <a:solidFill>
                          <a:srgbClr val="FFFFFF"/>
                        </a:solidFill>
                        <a:ln w="9525">
                          <a:noFill/>
                          <a:miter lim="800000"/>
                          <a:headEnd/>
                          <a:tailEnd/>
                        </a:ln>
                      </wps:spPr>
                      <wps:txbx>
                        <w:txbxContent>
                          <w:p w14:paraId="5B06F738" w14:textId="3917393C" w:rsidR="00E83595" w:rsidRPr="00E83595" w:rsidRDefault="00E83595">
                            <w:pPr>
                              <w:rPr>
                                <w:sz w:val="16"/>
                                <w:szCs w:val="16"/>
                                <w:lang w:val="en-GB"/>
                              </w:rPr>
                            </w:pPr>
                            <w:r w:rsidRPr="00E83595">
                              <w:rPr>
                                <w:sz w:val="16"/>
                                <w:szCs w:val="16"/>
                              </w:rPr>
                              <w:t xml:space="preserve">Table 1: </w:t>
                            </w:r>
                            <w:r w:rsidR="009822E1" w:rsidRPr="00E83595">
                              <w:rPr>
                                <w:sz w:val="16"/>
                                <w:szCs w:val="16"/>
                              </w:rPr>
                              <w:t>Number</w:t>
                            </w:r>
                            <w:r w:rsidRPr="00E83595">
                              <w:rPr>
                                <w:sz w:val="16"/>
                                <w:szCs w:val="16"/>
                              </w:rPr>
                              <w:t xml:space="preserve"> of stories per participants</w:t>
                            </w:r>
                            <w:r w:rsidR="007F5552">
                              <w:rPr>
                                <w:sz w:val="16"/>
                                <w:szCs w:val="16"/>
                              </w:rPr>
                              <w:t>: Vertical-axis represents the participants, horizontal-axis represents the domains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6166DE" id="_x0000_t202" coordsize="21600,21600" o:spt="202" path="m,l,21600r21600,l21600,xe">
                <v:stroke joinstyle="miter"/>
                <v:path gradientshapeok="t" o:connecttype="rect"/>
              </v:shapetype>
              <v:shape id="Tekstvak 2" o:spid="_x0000_s1026" type="#_x0000_t202" style="position:absolute;margin-left:-9.8pt;margin-top:412.6pt;width:446.15pt;height:18.7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" stroked="f">
                <v:textbox>
                  <w:txbxContent>
                    <w:p w14:paraId="5B06F738" w14:textId="3917393C" w:rsidR="00E83595" w:rsidRPr="00E83595" w:rsidRDefault="00E83595">
                      <w:pPr>
                        <w:rPr>
                          <w:sz w:val="16"/>
                          <w:szCs w:val="16"/>
                          <w:lang w:val="en-GB"/>
                        </w:rPr>
                      </w:pPr>
                      <w:r w:rsidRPr="00E83595">
                        <w:rPr>
                          <w:sz w:val="16"/>
                          <w:szCs w:val="16"/>
                        </w:rPr>
                        <w:t xml:space="preserve">Table 1: </w:t>
                      </w:r>
                      <w:r w:rsidR="009822E1" w:rsidRPr="00E83595">
                        <w:rPr>
                          <w:sz w:val="16"/>
                          <w:szCs w:val="16"/>
                        </w:rPr>
                        <w:t>Number</w:t>
                      </w:r>
                      <w:r w:rsidRPr="00E83595">
                        <w:rPr>
                          <w:sz w:val="16"/>
                          <w:szCs w:val="16"/>
                        </w:rPr>
                        <w:t xml:space="preserve"> of stories per participants</w:t>
                      </w:r>
                      <w:r w:rsidR="007F5552">
                        <w:rPr>
                          <w:sz w:val="16"/>
                          <w:szCs w:val="16"/>
                        </w:rPr>
                        <w:t>: Vertical-axis represents the participants, horizontal-axis represents the domains</w:t>
                      </w:r>
                    </w:p>
                  </w:txbxContent>
                </v:textbox>
                <w10:wrap type="through"/>
              </v:shape>
            </w:pict>
          </mc:Fallback>
        </mc:AlternateContent>
      </w:r>
      <w:r w:rsidRPr="00E83595">
        <w:rPr>
          <w:rFonts w:ascii="Arial" w:hAnsi="Arial" w:cs="Arial"/>
          <w:sz w:val="20"/>
          <w:szCs w:val="20"/>
        </w:rPr>
        <w:t xml:space="preserve">A total of 10 stories were analyzed. The analysis also considered how often each element of the 6-F model was mentioned by each participant. </w:t>
      </w:r>
      <w:r w:rsidR="006A2758">
        <w:rPr>
          <w:rFonts w:ascii="Arial" w:hAnsi="Arial" w:cs="Arial"/>
          <w:sz w:val="20"/>
          <w:szCs w:val="20"/>
        </w:rPr>
        <w:t>Findings indicated</w:t>
      </w:r>
      <w:r w:rsidRPr="00E83595">
        <w:rPr>
          <w:rFonts w:ascii="Arial" w:hAnsi="Arial" w:cs="Arial"/>
          <w:sz w:val="20"/>
          <w:szCs w:val="20"/>
        </w:rPr>
        <w:t xml:space="preserve"> that participants primarily spoke about function in daily life. Conversely, the fewest quotes were found related to the domains of ‘fitness’ and ‘future’.</w:t>
      </w:r>
    </w:p>
    <w:tbl>
      <w:tblPr>
        <w:tblW w:w="8360" w:type="dxa"/>
        <w:tblCellMar>
          <w:left w:w="0" w:type="dxa"/>
          <w:right w:w="0" w:type="dxa"/>
        </w:tblCellMar>
        <w:tblLook w:val="0600" w:firstRow="0" w:lastRow="0" w:firstColumn="0" w:lastColumn="0" w:noHBand="1" w:noVBand="1"/>
      </w:tblPr>
      <w:tblGrid>
        <w:gridCol w:w="823"/>
        <w:gridCol w:w="1243"/>
        <w:gridCol w:w="1303"/>
        <w:gridCol w:w="1343"/>
        <w:gridCol w:w="982"/>
        <w:gridCol w:w="1443"/>
        <w:gridCol w:w="1223"/>
      </w:tblGrid>
      <w:tr w:rsidR="003A2B29" w:rsidRPr="000F6486" w14:paraId="6FD86DCC" w14:textId="77777777" w:rsidTr="00993670">
        <w:trPr>
          <w:trHeight w:val="482"/>
        </w:trPr>
        <w:tc>
          <w:tcPr>
            <w:tcW w:w="820" w:type="dxa"/>
            <w:tcBorders>
              <w:top w:val="nil"/>
              <w:left w:val="nil"/>
              <w:bottom w:val="single" w:sz="4" w:space="0" w:color="000000"/>
              <w:right w:val="single" w:sz="4" w:space="0" w:color="000000"/>
            </w:tcBorders>
            <w:tcMar>
              <w:top w:w="22" w:type="dxa"/>
              <w:left w:w="22" w:type="dxa"/>
              <w:bottom w:w="0" w:type="dxa"/>
              <w:right w:w="22" w:type="dxa"/>
            </w:tcMar>
            <w:vAlign w:val="bottom"/>
            <w:hideMark/>
          </w:tcPr>
          <w:p w14:paraId="6DF1EE6D" w14:textId="77777777" w:rsidR="003A2B29" w:rsidRPr="000F7601" w:rsidRDefault="003A2B29" w:rsidP="000F7601">
            <w:pPr>
              <w:jc w:val="center"/>
              <w:rPr>
                <w:rFonts w:ascii="Arial" w:hAnsi="Arial" w:cs="Arial"/>
              </w:rPr>
            </w:pPr>
          </w:p>
        </w:tc>
        <w:tc>
          <w:tcPr>
            <w:tcW w:w="1240" w:type="dxa"/>
            <w:tcBorders>
              <w:top w:val="single" w:sz="4" w:space="0" w:color="000000"/>
              <w:left w:val="single" w:sz="4" w:space="0" w:color="000000"/>
              <w:bottom w:val="single" w:sz="4" w:space="0" w:color="000000"/>
              <w:right w:val="single" w:sz="4" w:space="0" w:color="000000"/>
            </w:tcBorders>
            <w:shd w:val="clear" w:color="auto" w:fill="F0F0F0"/>
            <w:tcMar>
              <w:top w:w="22" w:type="dxa"/>
              <w:left w:w="22" w:type="dxa"/>
              <w:bottom w:w="0" w:type="dxa"/>
              <w:right w:w="22" w:type="dxa"/>
            </w:tcMar>
            <w:vAlign w:val="center"/>
            <w:hideMark/>
          </w:tcPr>
          <w:p w14:paraId="7554BBB0" w14:textId="77777777" w:rsidR="003A2B29" w:rsidRPr="000F7601" w:rsidRDefault="003A2B29" w:rsidP="000F7601">
            <w:pPr>
              <w:jc w:val="center"/>
              <w:rPr>
                <w:rFonts w:ascii="Arial" w:hAnsi="Arial" w:cs="Arial"/>
              </w:rPr>
            </w:pPr>
            <w:r w:rsidRPr="000F7601">
              <w:rPr>
                <w:rFonts w:ascii="Arial" w:hAnsi="Arial" w:cs="Arial"/>
              </w:rPr>
              <w:t>Family</w:t>
            </w:r>
          </w:p>
        </w:tc>
        <w:tc>
          <w:tcPr>
            <w:tcW w:w="1300" w:type="dxa"/>
            <w:tcBorders>
              <w:top w:val="single" w:sz="4" w:space="0" w:color="000000"/>
              <w:left w:val="single" w:sz="4" w:space="0" w:color="000000"/>
              <w:bottom w:val="single" w:sz="4" w:space="0" w:color="000000"/>
              <w:right w:val="single" w:sz="4" w:space="0" w:color="000000"/>
            </w:tcBorders>
            <w:shd w:val="clear" w:color="auto" w:fill="F0F0F0"/>
            <w:tcMar>
              <w:top w:w="22" w:type="dxa"/>
              <w:left w:w="22" w:type="dxa"/>
              <w:bottom w:w="0" w:type="dxa"/>
              <w:right w:w="22" w:type="dxa"/>
            </w:tcMar>
            <w:vAlign w:val="center"/>
            <w:hideMark/>
          </w:tcPr>
          <w:p w14:paraId="4EB144F3" w14:textId="77777777" w:rsidR="003A2B29" w:rsidRPr="000F7601" w:rsidRDefault="003A2B29" w:rsidP="000F7601">
            <w:pPr>
              <w:jc w:val="center"/>
              <w:rPr>
                <w:rFonts w:ascii="Arial" w:hAnsi="Arial" w:cs="Arial"/>
              </w:rPr>
            </w:pPr>
            <w:r w:rsidRPr="000F7601">
              <w:rPr>
                <w:rFonts w:ascii="Arial" w:hAnsi="Arial" w:cs="Arial"/>
              </w:rPr>
              <w:t>Fitness</w:t>
            </w:r>
          </w:p>
        </w:tc>
        <w:tc>
          <w:tcPr>
            <w:tcW w:w="1340" w:type="dxa"/>
            <w:tcBorders>
              <w:top w:val="single" w:sz="4" w:space="0" w:color="000000"/>
              <w:left w:val="single" w:sz="4" w:space="0" w:color="000000"/>
              <w:bottom w:val="single" w:sz="4" w:space="0" w:color="000000"/>
              <w:right w:val="single" w:sz="4" w:space="0" w:color="000000"/>
            </w:tcBorders>
            <w:shd w:val="clear" w:color="auto" w:fill="F0F0F0"/>
            <w:tcMar>
              <w:top w:w="22" w:type="dxa"/>
              <w:left w:w="22" w:type="dxa"/>
              <w:bottom w:w="0" w:type="dxa"/>
              <w:right w:w="22" w:type="dxa"/>
            </w:tcMar>
            <w:vAlign w:val="center"/>
            <w:hideMark/>
          </w:tcPr>
          <w:p w14:paraId="01AEFB6B" w14:textId="77777777" w:rsidR="003A2B29" w:rsidRPr="000F7601" w:rsidRDefault="003A2B29" w:rsidP="000F7601">
            <w:pPr>
              <w:jc w:val="center"/>
              <w:rPr>
                <w:rFonts w:ascii="Arial" w:hAnsi="Arial" w:cs="Arial"/>
              </w:rPr>
            </w:pPr>
            <w:r w:rsidRPr="000F7601">
              <w:rPr>
                <w:rFonts w:ascii="Arial" w:hAnsi="Arial" w:cs="Arial"/>
              </w:rPr>
              <w:t>Friends</w:t>
            </w:r>
          </w:p>
        </w:tc>
        <w:tc>
          <w:tcPr>
            <w:tcW w:w="980" w:type="dxa"/>
            <w:tcBorders>
              <w:top w:val="single" w:sz="4" w:space="0" w:color="000000"/>
              <w:left w:val="single" w:sz="4" w:space="0" w:color="000000"/>
              <w:bottom w:val="single" w:sz="4" w:space="0" w:color="000000"/>
              <w:right w:val="single" w:sz="4" w:space="0" w:color="000000"/>
            </w:tcBorders>
            <w:shd w:val="clear" w:color="auto" w:fill="F0F0F0"/>
            <w:tcMar>
              <w:top w:w="22" w:type="dxa"/>
              <w:left w:w="22" w:type="dxa"/>
              <w:bottom w:w="0" w:type="dxa"/>
              <w:right w:w="22" w:type="dxa"/>
            </w:tcMar>
            <w:vAlign w:val="center"/>
            <w:hideMark/>
          </w:tcPr>
          <w:p w14:paraId="30EFE2E2" w14:textId="77777777" w:rsidR="003A2B29" w:rsidRPr="000F7601" w:rsidRDefault="003A2B29" w:rsidP="000F7601">
            <w:pPr>
              <w:jc w:val="center"/>
              <w:rPr>
                <w:rFonts w:ascii="Arial" w:hAnsi="Arial" w:cs="Arial"/>
              </w:rPr>
            </w:pPr>
            <w:r w:rsidRPr="000F7601">
              <w:rPr>
                <w:rFonts w:ascii="Arial" w:hAnsi="Arial" w:cs="Arial"/>
              </w:rPr>
              <w:t>Fun</w:t>
            </w:r>
          </w:p>
        </w:tc>
        <w:tc>
          <w:tcPr>
            <w:tcW w:w="1440" w:type="dxa"/>
            <w:tcBorders>
              <w:top w:val="single" w:sz="4" w:space="0" w:color="000000"/>
              <w:left w:val="single" w:sz="4" w:space="0" w:color="000000"/>
              <w:bottom w:val="single" w:sz="4" w:space="0" w:color="000000"/>
              <w:right w:val="single" w:sz="4" w:space="0" w:color="000000"/>
            </w:tcBorders>
            <w:shd w:val="clear" w:color="auto" w:fill="F0F0F0"/>
            <w:tcMar>
              <w:top w:w="22" w:type="dxa"/>
              <w:left w:w="22" w:type="dxa"/>
              <w:bottom w:w="0" w:type="dxa"/>
              <w:right w:w="22" w:type="dxa"/>
            </w:tcMar>
            <w:vAlign w:val="center"/>
            <w:hideMark/>
          </w:tcPr>
          <w:p w14:paraId="7DDFB59E" w14:textId="77777777" w:rsidR="003A2B29" w:rsidRPr="000F7601" w:rsidRDefault="003A2B29" w:rsidP="000F7601">
            <w:pPr>
              <w:jc w:val="center"/>
              <w:rPr>
                <w:rFonts w:ascii="Arial" w:hAnsi="Arial" w:cs="Arial"/>
              </w:rPr>
            </w:pPr>
            <w:r w:rsidRPr="000F7601">
              <w:rPr>
                <w:rFonts w:ascii="Arial" w:hAnsi="Arial" w:cs="Arial"/>
              </w:rPr>
              <w:t>Function</w:t>
            </w:r>
          </w:p>
        </w:tc>
        <w:tc>
          <w:tcPr>
            <w:tcW w:w="1220" w:type="dxa"/>
            <w:tcBorders>
              <w:top w:val="single" w:sz="4" w:space="0" w:color="000000"/>
              <w:left w:val="single" w:sz="4" w:space="0" w:color="000000"/>
              <w:bottom w:val="single" w:sz="4" w:space="0" w:color="000000"/>
              <w:right w:val="single" w:sz="4" w:space="0" w:color="000000"/>
            </w:tcBorders>
            <w:shd w:val="clear" w:color="auto" w:fill="F0F0F0"/>
            <w:tcMar>
              <w:top w:w="22" w:type="dxa"/>
              <w:left w:w="22" w:type="dxa"/>
              <w:bottom w:w="0" w:type="dxa"/>
              <w:right w:w="22" w:type="dxa"/>
            </w:tcMar>
            <w:vAlign w:val="center"/>
            <w:hideMark/>
          </w:tcPr>
          <w:p w14:paraId="0A47641D" w14:textId="77777777" w:rsidR="003A2B29" w:rsidRPr="000F7601" w:rsidRDefault="003A2B29" w:rsidP="000F7601">
            <w:pPr>
              <w:jc w:val="center"/>
              <w:rPr>
                <w:rFonts w:ascii="Arial" w:hAnsi="Arial" w:cs="Arial"/>
              </w:rPr>
            </w:pPr>
            <w:r w:rsidRPr="000F7601">
              <w:rPr>
                <w:rFonts w:ascii="Arial" w:hAnsi="Arial" w:cs="Arial"/>
              </w:rPr>
              <w:t>Future</w:t>
            </w:r>
          </w:p>
        </w:tc>
      </w:tr>
      <w:tr w:rsidR="003A2B29" w:rsidRPr="000F6486" w14:paraId="0D1B596D"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5CF90CF7" w14:textId="77777777" w:rsidR="003A2B29" w:rsidRPr="000F7601" w:rsidRDefault="003A2B29" w:rsidP="000F7601">
            <w:pPr>
              <w:jc w:val="center"/>
              <w:rPr>
                <w:rFonts w:ascii="Arial" w:hAnsi="Arial" w:cs="Arial"/>
              </w:rPr>
            </w:pPr>
            <w:r w:rsidRPr="000F7601">
              <w:rPr>
                <w:rFonts w:ascii="Arial" w:hAnsi="Arial" w:cs="Arial"/>
              </w:rPr>
              <w:t>P1</w:t>
            </w:r>
          </w:p>
        </w:tc>
        <w:tc>
          <w:tcPr>
            <w:tcW w:w="12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59734243" w14:textId="77777777" w:rsidR="003A2B29" w:rsidRPr="000F7601" w:rsidRDefault="003A2B29" w:rsidP="000F7601">
            <w:pPr>
              <w:jc w:val="center"/>
              <w:rPr>
                <w:rFonts w:ascii="Arial" w:hAnsi="Arial" w:cs="Arial"/>
              </w:rPr>
            </w:pPr>
            <w:r w:rsidRPr="000F7601">
              <w:rPr>
                <w:rFonts w:ascii="Arial" w:hAnsi="Arial" w:cs="Arial"/>
              </w:rPr>
              <w:t>2</w:t>
            </w:r>
          </w:p>
        </w:tc>
        <w:tc>
          <w:tcPr>
            <w:tcW w:w="130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35C1D8B6" w14:textId="77777777" w:rsidR="003A2B29" w:rsidRPr="000F7601" w:rsidRDefault="003A2B29" w:rsidP="000F7601">
            <w:pPr>
              <w:jc w:val="center"/>
              <w:rPr>
                <w:rFonts w:ascii="Arial" w:hAnsi="Arial" w:cs="Arial"/>
              </w:rPr>
            </w:pPr>
            <w:r w:rsidRPr="000F7601">
              <w:rPr>
                <w:rFonts w:ascii="Arial" w:hAnsi="Arial" w:cs="Arial"/>
              </w:rPr>
              <w:t>1</w:t>
            </w:r>
          </w:p>
        </w:tc>
        <w:tc>
          <w:tcPr>
            <w:tcW w:w="13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8A385D2" w14:textId="77777777" w:rsidR="003A2B29" w:rsidRPr="000F7601" w:rsidRDefault="003A2B29" w:rsidP="000F7601">
            <w:pPr>
              <w:jc w:val="center"/>
              <w:rPr>
                <w:rFonts w:ascii="Arial" w:hAnsi="Arial" w:cs="Arial"/>
              </w:rPr>
            </w:pPr>
            <w:r w:rsidRPr="000F7601">
              <w:rPr>
                <w:rFonts w:ascii="Arial" w:hAnsi="Arial" w:cs="Arial"/>
              </w:rPr>
              <w:t>3</w:t>
            </w:r>
          </w:p>
        </w:tc>
        <w:tc>
          <w:tcPr>
            <w:tcW w:w="98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451C2F9" w14:textId="77777777" w:rsidR="003A2B29" w:rsidRPr="000F7601" w:rsidRDefault="003A2B29" w:rsidP="000F7601">
            <w:pPr>
              <w:jc w:val="center"/>
              <w:rPr>
                <w:rFonts w:ascii="Arial" w:hAnsi="Arial" w:cs="Arial"/>
              </w:rPr>
            </w:pPr>
            <w:r w:rsidRPr="000F7601">
              <w:rPr>
                <w:rFonts w:ascii="Arial" w:hAnsi="Arial" w:cs="Arial"/>
              </w:rPr>
              <w:t>3</w:t>
            </w:r>
          </w:p>
        </w:tc>
        <w:tc>
          <w:tcPr>
            <w:tcW w:w="14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2FB1A3B3" w14:textId="77777777" w:rsidR="003A2B29" w:rsidRPr="000F7601" w:rsidRDefault="003A2B29" w:rsidP="000F7601">
            <w:pPr>
              <w:jc w:val="center"/>
              <w:rPr>
                <w:rFonts w:ascii="Arial" w:hAnsi="Arial" w:cs="Arial"/>
              </w:rPr>
            </w:pPr>
            <w:r w:rsidRPr="000F7601">
              <w:rPr>
                <w:rFonts w:ascii="Arial" w:hAnsi="Arial" w:cs="Arial"/>
              </w:rPr>
              <w:t>3</w:t>
            </w:r>
          </w:p>
        </w:tc>
        <w:tc>
          <w:tcPr>
            <w:tcW w:w="122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4CE1CA51" w14:textId="77777777" w:rsidR="003A2B29" w:rsidRPr="000F7601" w:rsidRDefault="003A2B29" w:rsidP="000F7601">
            <w:pPr>
              <w:jc w:val="center"/>
              <w:rPr>
                <w:rFonts w:ascii="Arial" w:hAnsi="Arial" w:cs="Arial"/>
              </w:rPr>
            </w:pPr>
            <w:r w:rsidRPr="000F7601">
              <w:rPr>
                <w:rFonts w:ascii="Arial" w:hAnsi="Arial" w:cs="Arial"/>
              </w:rPr>
              <w:t>1</w:t>
            </w:r>
          </w:p>
        </w:tc>
      </w:tr>
      <w:tr w:rsidR="003A2B29" w:rsidRPr="000F6486" w14:paraId="7B5F4CDD"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6D424F76" w14:textId="77777777" w:rsidR="003A2B29" w:rsidRPr="000F7601" w:rsidRDefault="003A2B29" w:rsidP="000F7601">
            <w:pPr>
              <w:jc w:val="center"/>
              <w:rPr>
                <w:rFonts w:ascii="Arial" w:hAnsi="Arial" w:cs="Arial"/>
              </w:rPr>
            </w:pPr>
            <w:r w:rsidRPr="000F7601">
              <w:rPr>
                <w:rFonts w:ascii="Arial" w:hAnsi="Arial" w:cs="Arial"/>
              </w:rPr>
              <w:t>P2</w:t>
            </w:r>
          </w:p>
        </w:tc>
        <w:tc>
          <w:tcPr>
            <w:tcW w:w="124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23EF49CB" w14:textId="77777777" w:rsidR="003A2B29" w:rsidRPr="000F7601" w:rsidRDefault="003A2B29" w:rsidP="000F7601">
            <w:pPr>
              <w:jc w:val="center"/>
              <w:rPr>
                <w:rFonts w:ascii="Arial" w:hAnsi="Arial" w:cs="Arial"/>
              </w:rPr>
            </w:pPr>
            <w:r w:rsidRPr="000F7601">
              <w:rPr>
                <w:rFonts w:ascii="Arial" w:hAnsi="Arial" w:cs="Arial"/>
              </w:rPr>
              <w:t>1</w:t>
            </w:r>
          </w:p>
        </w:tc>
        <w:tc>
          <w:tcPr>
            <w:tcW w:w="130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2DEEC830" w14:textId="77777777" w:rsidR="003A2B29" w:rsidRPr="000F7601" w:rsidRDefault="003A2B29" w:rsidP="000F7601">
            <w:pPr>
              <w:jc w:val="center"/>
              <w:rPr>
                <w:rFonts w:ascii="Arial" w:hAnsi="Arial" w:cs="Arial"/>
              </w:rPr>
            </w:pPr>
            <w:r w:rsidRPr="000F7601">
              <w:rPr>
                <w:rFonts w:ascii="Arial" w:hAnsi="Arial" w:cs="Arial"/>
              </w:rPr>
              <w:t>2</w:t>
            </w:r>
          </w:p>
        </w:tc>
        <w:tc>
          <w:tcPr>
            <w:tcW w:w="134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3C82B24E" w14:textId="77777777" w:rsidR="003A2B29" w:rsidRPr="000F7601" w:rsidRDefault="003A2B29" w:rsidP="000F7601">
            <w:pPr>
              <w:jc w:val="center"/>
              <w:rPr>
                <w:rFonts w:ascii="Arial" w:hAnsi="Arial" w:cs="Arial"/>
              </w:rPr>
            </w:pPr>
            <w:r w:rsidRPr="000F7601">
              <w:rPr>
                <w:rFonts w:ascii="Arial" w:hAnsi="Arial" w:cs="Arial"/>
              </w:rPr>
              <w:t>1</w:t>
            </w:r>
          </w:p>
        </w:tc>
        <w:tc>
          <w:tcPr>
            <w:tcW w:w="98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7CFF1E25" w14:textId="77777777" w:rsidR="003A2B29" w:rsidRPr="000F7601" w:rsidRDefault="003A2B29" w:rsidP="000F7601">
            <w:pPr>
              <w:jc w:val="center"/>
              <w:rPr>
                <w:rFonts w:ascii="Arial" w:hAnsi="Arial" w:cs="Arial"/>
              </w:rPr>
            </w:pPr>
            <w:r w:rsidRPr="000F7601">
              <w:rPr>
                <w:rFonts w:ascii="Arial" w:hAnsi="Arial" w:cs="Arial"/>
              </w:rPr>
              <w:t>2</w:t>
            </w:r>
          </w:p>
        </w:tc>
        <w:tc>
          <w:tcPr>
            <w:tcW w:w="14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2345A0A" w14:textId="77777777" w:rsidR="003A2B29" w:rsidRPr="000F7601" w:rsidRDefault="003A2B29" w:rsidP="000F7601">
            <w:pPr>
              <w:jc w:val="center"/>
              <w:rPr>
                <w:rFonts w:ascii="Arial" w:hAnsi="Arial" w:cs="Arial"/>
              </w:rPr>
            </w:pPr>
            <w:r w:rsidRPr="000F7601">
              <w:rPr>
                <w:rFonts w:ascii="Arial" w:hAnsi="Arial" w:cs="Arial"/>
              </w:rPr>
              <w:t>2</w:t>
            </w:r>
          </w:p>
        </w:tc>
        <w:tc>
          <w:tcPr>
            <w:tcW w:w="122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0D6F215B" w14:textId="77777777" w:rsidR="003A2B29" w:rsidRPr="000F7601" w:rsidRDefault="003A2B29" w:rsidP="000F7601">
            <w:pPr>
              <w:jc w:val="center"/>
              <w:rPr>
                <w:rFonts w:ascii="Arial" w:hAnsi="Arial" w:cs="Arial"/>
              </w:rPr>
            </w:pPr>
            <w:r w:rsidRPr="000F7601">
              <w:rPr>
                <w:rFonts w:ascii="Arial" w:hAnsi="Arial" w:cs="Arial"/>
              </w:rPr>
              <w:t>2</w:t>
            </w:r>
          </w:p>
        </w:tc>
      </w:tr>
      <w:tr w:rsidR="003A2B29" w:rsidRPr="000F6486" w14:paraId="17E6A1AE"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1214ABF4" w14:textId="77777777" w:rsidR="003A2B29" w:rsidRPr="000F7601" w:rsidRDefault="003A2B29" w:rsidP="000F7601">
            <w:pPr>
              <w:jc w:val="center"/>
              <w:rPr>
                <w:rFonts w:ascii="Arial" w:hAnsi="Arial" w:cs="Arial"/>
              </w:rPr>
            </w:pPr>
            <w:r w:rsidRPr="000F7601">
              <w:rPr>
                <w:rFonts w:ascii="Arial" w:hAnsi="Arial" w:cs="Arial"/>
              </w:rPr>
              <w:t>P3</w:t>
            </w:r>
          </w:p>
        </w:tc>
        <w:tc>
          <w:tcPr>
            <w:tcW w:w="12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3E15783F" w14:textId="77777777" w:rsidR="003A2B29" w:rsidRPr="000F7601" w:rsidRDefault="003A2B29" w:rsidP="000F7601">
            <w:pPr>
              <w:jc w:val="center"/>
              <w:rPr>
                <w:rFonts w:ascii="Arial" w:hAnsi="Arial" w:cs="Arial"/>
              </w:rPr>
            </w:pPr>
            <w:r w:rsidRPr="000F7601">
              <w:rPr>
                <w:rFonts w:ascii="Arial" w:hAnsi="Arial" w:cs="Arial"/>
              </w:rPr>
              <w:t>2</w:t>
            </w:r>
          </w:p>
        </w:tc>
        <w:tc>
          <w:tcPr>
            <w:tcW w:w="130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58B2E319" w14:textId="77777777" w:rsidR="003A2B29" w:rsidRPr="000F7601" w:rsidRDefault="003A2B29" w:rsidP="000F7601">
            <w:pPr>
              <w:jc w:val="center"/>
              <w:rPr>
                <w:rFonts w:ascii="Arial" w:hAnsi="Arial" w:cs="Arial"/>
              </w:rPr>
            </w:pPr>
            <w:r w:rsidRPr="000F7601">
              <w:rPr>
                <w:rFonts w:ascii="Arial" w:hAnsi="Arial" w:cs="Arial"/>
              </w:rPr>
              <w:t>2</w:t>
            </w:r>
          </w:p>
        </w:tc>
        <w:tc>
          <w:tcPr>
            <w:tcW w:w="13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1BF2A98" w14:textId="77777777" w:rsidR="003A2B29" w:rsidRPr="000F7601" w:rsidRDefault="003A2B29" w:rsidP="000F7601">
            <w:pPr>
              <w:jc w:val="center"/>
              <w:rPr>
                <w:rFonts w:ascii="Arial" w:hAnsi="Arial" w:cs="Arial"/>
              </w:rPr>
            </w:pPr>
            <w:r w:rsidRPr="000F7601">
              <w:rPr>
                <w:rFonts w:ascii="Arial" w:hAnsi="Arial" w:cs="Arial"/>
              </w:rPr>
              <w:t>2</w:t>
            </w:r>
          </w:p>
        </w:tc>
        <w:tc>
          <w:tcPr>
            <w:tcW w:w="98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7DD1F45D" w14:textId="77777777" w:rsidR="003A2B29" w:rsidRPr="000F7601" w:rsidRDefault="003A2B29" w:rsidP="000F7601">
            <w:pPr>
              <w:jc w:val="center"/>
              <w:rPr>
                <w:rFonts w:ascii="Arial" w:hAnsi="Arial" w:cs="Arial"/>
              </w:rPr>
            </w:pPr>
            <w:r w:rsidRPr="000F7601">
              <w:rPr>
                <w:rFonts w:ascii="Arial" w:hAnsi="Arial" w:cs="Arial"/>
              </w:rPr>
              <w:t>2</w:t>
            </w:r>
          </w:p>
        </w:tc>
        <w:tc>
          <w:tcPr>
            <w:tcW w:w="1440" w:type="dxa"/>
            <w:tcBorders>
              <w:top w:val="single" w:sz="4" w:space="0" w:color="000000"/>
              <w:left w:val="single" w:sz="4" w:space="0" w:color="000000"/>
              <w:bottom w:val="single" w:sz="4" w:space="0" w:color="000000"/>
              <w:right w:val="single" w:sz="4" w:space="0" w:color="000000"/>
            </w:tcBorders>
            <w:shd w:val="clear" w:color="auto" w:fill="4040FF"/>
            <w:tcMar>
              <w:top w:w="22" w:type="dxa"/>
              <w:left w:w="22" w:type="dxa"/>
              <w:bottom w:w="0" w:type="dxa"/>
              <w:right w:w="22" w:type="dxa"/>
            </w:tcMar>
            <w:hideMark/>
          </w:tcPr>
          <w:p w14:paraId="7A988A3E" w14:textId="77777777" w:rsidR="003A2B29" w:rsidRPr="000F7601" w:rsidRDefault="003A2B29" w:rsidP="000F7601">
            <w:pPr>
              <w:jc w:val="center"/>
              <w:rPr>
                <w:rFonts w:ascii="Arial" w:hAnsi="Arial" w:cs="Arial"/>
              </w:rPr>
            </w:pPr>
            <w:r w:rsidRPr="000F7601">
              <w:rPr>
                <w:rFonts w:ascii="Arial" w:hAnsi="Arial" w:cs="Arial"/>
              </w:rPr>
              <w:t>5</w:t>
            </w:r>
          </w:p>
        </w:tc>
        <w:tc>
          <w:tcPr>
            <w:tcW w:w="1220" w:type="dxa"/>
            <w:tcBorders>
              <w:top w:val="single" w:sz="4" w:space="0" w:color="000000"/>
              <w:left w:val="single" w:sz="4" w:space="0" w:color="000000"/>
              <w:bottom w:val="single" w:sz="4" w:space="0" w:color="000000"/>
              <w:right w:val="single" w:sz="4" w:space="0" w:color="000000"/>
            </w:tcBorders>
            <w:shd w:val="clear" w:color="auto" w:fill="6B6BFF"/>
            <w:tcMar>
              <w:top w:w="22" w:type="dxa"/>
              <w:left w:w="22" w:type="dxa"/>
              <w:bottom w:w="0" w:type="dxa"/>
              <w:right w:w="22" w:type="dxa"/>
            </w:tcMar>
            <w:hideMark/>
          </w:tcPr>
          <w:p w14:paraId="48FC7378" w14:textId="77777777" w:rsidR="003A2B29" w:rsidRPr="000F7601" w:rsidRDefault="003A2B29" w:rsidP="000F7601">
            <w:pPr>
              <w:jc w:val="center"/>
              <w:rPr>
                <w:rFonts w:ascii="Arial" w:hAnsi="Arial" w:cs="Arial"/>
              </w:rPr>
            </w:pPr>
            <w:r w:rsidRPr="000F7601">
              <w:rPr>
                <w:rFonts w:ascii="Arial" w:hAnsi="Arial" w:cs="Arial"/>
              </w:rPr>
              <w:t>4</w:t>
            </w:r>
          </w:p>
        </w:tc>
      </w:tr>
      <w:tr w:rsidR="003A2B29" w:rsidRPr="000F6486" w14:paraId="457FA084"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05D556F2" w14:textId="77777777" w:rsidR="003A2B29" w:rsidRPr="000F7601" w:rsidRDefault="003A2B29" w:rsidP="000F7601">
            <w:pPr>
              <w:jc w:val="center"/>
              <w:rPr>
                <w:rFonts w:ascii="Arial" w:hAnsi="Arial" w:cs="Arial"/>
              </w:rPr>
            </w:pPr>
            <w:r w:rsidRPr="000F7601">
              <w:rPr>
                <w:rFonts w:ascii="Arial" w:hAnsi="Arial" w:cs="Arial"/>
              </w:rPr>
              <w:t>P4</w:t>
            </w:r>
          </w:p>
        </w:tc>
        <w:tc>
          <w:tcPr>
            <w:tcW w:w="1240" w:type="dxa"/>
            <w:tcBorders>
              <w:top w:val="single" w:sz="4" w:space="0" w:color="000000"/>
              <w:left w:val="single" w:sz="4" w:space="0" w:color="000000"/>
              <w:bottom w:val="single" w:sz="4" w:space="0" w:color="000000"/>
              <w:right w:val="single" w:sz="4" w:space="0" w:color="000000"/>
            </w:tcBorders>
            <w:shd w:val="clear" w:color="auto" w:fill="6B6BFF"/>
            <w:tcMar>
              <w:top w:w="22" w:type="dxa"/>
              <w:left w:w="22" w:type="dxa"/>
              <w:bottom w:w="0" w:type="dxa"/>
              <w:right w:w="22" w:type="dxa"/>
            </w:tcMar>
            <w:hideMark/>
          </w:tcPr>
          <w:p w14:paraId="6475475F" w14:textId="77777777" w:rsidR="003A2B29" w:rsidRPr="000F7601" w:rsidRDefault="003A2B29" w:rsidP="000F7601">
            <w:pPr>
              <w:jc w:val="center"/>
              <w:rPr>
                <w:rFonts w:ascii="Arial" w:hAnsi="Arial" w:cs="Arial"/>
              </w:rPr>
            </w:pPr>
            <w:r w:rsidRPr="000F7601">
              <w:rPr>
                <w:rFonts w:ascii="Arial" w:hAnsi="Arial" w:cs="Arial"/>
              </w:rPr>
              <w:t>4</w:t>
            </w:r>
          </w:p>
        </w:tc>
        <w:tc>
          <w:tcPr>
            <w:tcW w:w="130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023FEFF7" w14:textId="77777777" w:rsidR="003A2B29" w:rsidRPr="000F7601" w:rsidRDefault="003A2B29" w:rsidP="000F7601">
            <w:pPr>
              <w:jc w:val="center"/>
              <w:rPr>
                <w:rFonts w:ascii="Arial" w:hAnsi="Arial" w:cs="Arial"/>
              </w:rPr>
            </w:pPr>
            <w:r w:rsidRPr="000F7601">
              <w:rPr>
                <w:rFonts w:ascii="Arial" w:hAnsi="Arial" w:cs="Arial"/>
              </w:rPr>
              <w:t>3</w:t>
            </w:r>
          </w:p>
        </w:tc>
        <w:tc>
          <w:tcPr>
            <w:tcW w:w="13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9E59225" w14:textId="77777777" w:rsidR="003A2B29" w:rsidRPr="000F7601" w:rsidRDefault="003A2B29" w:rsidP="000F7601">
            <w:pPr>
              <w:jc w:val="center"/>
              <w:rPr>
                <w:rFonts w:ascii="Arial" w:hAnsi="Arial" w:cs="Arial"/>
              </w:rPr>
            </w:pPr>
            <w:r w:rsidRPr="000F7601">
              <w:rPr>
                <w:rFonts w:ascii="Arial" w:hAnsi="Arial" w:cs="Arial"/>
              </w:rPr>
              <w:t>3</w:t>
            </w:r>
          </w:p>
        </w:tc>
        <w:tc>
          <w:tcPr>
            <w:tcW w:w="98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27249739" w14:textId="77777777" w:rsidR="003A2B29" w:rsidRPr="000F7601" w:rsidRDefault="003A2B29" w:rsidP="000F7601">
            <w:pPr>
              <w:jc w:val="center"/>
              <w:rPr>
                <w:rFonts w:ascii="Arial" w:hAnsi="Arial" w:cs="Arial"/>
              </w:rPr>
            </w:pPr>
            <w:r w:rsidRPr="000F7601">
              <w:rPr>
                <w:rFonts w:ascii="Arial" w:hAnsi="Arial" w:cs="Arial"/>
              </w:rPr>
              <w:t>2</w:t>
            </w:r>
          </w:p>
        </w:tc>
        <w:tc>
          <w:tcPr>
            <w:tcW w:w="14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41CA20E7" w14:textId="77777777" w:rsidR="003A2B29" w:rsidRPr="000F7601" w:rsidRDefault="003A2B29" w:rsidP="000F7601">
            <w:pPr>
              <w:jc w:val="center"/>
              <w:rPr>
                <w:rFonts w:ascii="Arial" w:hAnsi="Arial" w:cs="Arial"/>
              </w:rPr>
            </w:pPr>
            <w:r w:rsidRPr="000F7601">
              <w:rPr>
                <w:rFonts w:ascii="Arial" w:hAnsi="Arial" w:cs="Arial"/>
              </w:rPr>
              <w:t>3</w:t>
            </w:r>
          </w:p>
        </w:tc>
        <w:tc>
          <w:tcPr>
            <w:tcW w:w="122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025D046E" w14:textId="77777777" w:rsidR="003A2B29" w:rsidRPr="000F7601" w:rsidRDefault="003A2B29" w:rsidP="000F7601">
            <w:pPr>
              <w:jc w:val="center"/>
              <w:rPr>
                <w:rFonts w:ascii="Arial" w:hAnsi="Arial" w:cs="Arial"/>
              </w:rPr>
            </w:pPr>
            <w:r w:rsidRPr="000F7601">
              <w:rPr>
                <w:rFonts w:ascii="Arial" w:hAnsi="Arial" w:cs="Arial"/>
              </w:rPr>
              <w:t>1</w:t>
            </w:r>
          </w:p>
        </w:tc>
      </w:tr>
      <w:tr w:rsidR="003A2B29" w:rsidRPr="000F6486" w14:paraId="1AE27B2B"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4C3DB668" w14:textId="77777777" w:rsidR="003A2B29" w:rsidRPr="000F7601" w:rsidRDefault="003A2B29" w:rsidP="000F7601">
            <w:pPr>
              <w:jc w:val="center"/>
              <w:rPr>
                <w:rFonts w:ascii="Arial" w:hAnsi="Arial" w:cs="Arial"/>
              </w:rPr>
            </w:pPr>
            <w:r w:rsidRPr="000F7601">
              <w:rPr>
                <w:rFonts w:ascii="Arial" w:hAnsi="Arial" w:cs="Arial"/>
              </w:rPr>
              <w:t>P5</w:t>
            </w:r>
          </w:p>
        </w:tc>
        <w:tc>
          <w:tcPr>
            <w:tcW w:w="12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768B8513" w14:textId="77777777" w:rsidR="003A2B29" w:rsidRPr="000F7601" w:rsidRDefault="003A2B29" w:rsidP="000F7601">
            <w:pPr>
              <w:jc w:val="center"/>
              <w:rPr>
                <w:rFonts w:ascii="Arial" w:hAnsi="Arial" w:cs="Arial"/>
              </w:rPr>
            </w:pPr>
            <w:r w:rsidRPr="000F7601">
              <w:rPr>
                <w:rFonts w:ascii="Arial" w:hAnsi="Arial" w:cs="Arial"/>
              </w:rPr>
              <w:t>2</w:t>
            </w:r>
          </w:p>
        </w:tc>
        <w:tc>
          <w:tcPr>
            <w:tcW w:w="130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617D2D2D" w14:textId="77777777" w:rsidR="003A2B29" w:rsidRPr="000F7601" w:rsidRDefault="003A2B29" w:rsidP="000F7601">
            <w:pPr>
              <w:jc w:val="center"/>
              <w:rPr>
                <w:rFonts w:ascii="Arial" w:hAnsi="Arial" w:cs="Arial"/>
              </w:rPr>
            </w:pPr>
            <w:r w:rsidRPr="000F7601">
              <w:rPr>
                <w:rFonts w:ascii="Arial" w:hAnsi="Arial" w:cs="Arial"/>
              </w:rPr>
              <w:t>1</w:t>
            </w:r>
          </w:p>
        </w:tc>
        <w:tc>
          <w:tcPr>
            <w:tcW w:w="134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1A3AFA2E" w14:textId="77777777" w:rsidR="003A2B29" w:rsidRPr="000F7601" w:rsidRDefault="003A2B29" w:rsidP="000F7601">
            <w:pPr>
              <w:jc w:val="center"/>
              <w:rPr>
                <w:rFonts w:ascii="Arial" w:hAnsi="Arial" w:cs="Arial"/>
              </w:rPr>
            </w:pPr>
            <w:r w:rsidRPr="000F7601">
              <w:rPr>
                <w:rFonts w:ascii="Arial" w:hAnsi="Arial" w:cs="Arial"/>
              </w:rPr>
              <w:t>1</w:t>
            </w:r>
          </w:p>
        </w:tc>
        <w:tc>
          <w:tcPr>
            <w:tcW w:w="98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39C8097" w14:textId="77777777" w:rsidR="003A2B29" w:rsidRPr="000F7601" w:rsidRDefault="003A2B29" w:rsidP="000F7601">
            <w:pPr>
              <w:jc w:val="center"/>
              <w:rPr>
                <w:rFonts w:ascii="Arial" w:hAnsi="Arial" w:cs="Arial"/>
              </w:rPr>
            </w:pPr>
            <w:r w:rsidRPr="000F7601">
              <w:rPr>
                <w:rFonts w:ascii="Arial" w:hAnsi="Arial" w:cs="Arial"/>
              </w:rPr>
              <w:t>2</w:t>
            </w:r>
          </w:p>
        </w:tc>
        <w:tc>
          <w:tcPr>
            <w:tcW w:w="14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05FDFE72" w14:textId="77777777" w:rsidR="003A2B29" w:rsidRPr="000F7601" w:rsidRDefault="003A2B29" w:rsidP="000F7601">
            <w:pPr>
              <w:jc w:val="center"/>
              <w:rPr>
                <w:rFonts w:ascii="Arial" w:hAnsi="Arial" w:cs="Arial"/>
              </w:rPr>
            </w:pPr>
            <w:r w:rsidRPr="000F7601">
              <w:rPr>
                <w:rFonts w:ascii="Arial" w:hAnsi="Arial" w:cs="Arial"/>
              </w:rPr>
              <w:t>3</w:t>
            </w:r>
          </w:p>
        </w:tc>
        <w:tc>
          <w:tcPr>
            <w:tcW w:w="122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7C1709DE" w14:textId="77777777" w:rsidR="003A2B29" w:rsidRPr="000F7601" w:rsidRDefault="003A2B29" w:rsidP="000F7601">
            <w:pPr>
              <w:jc w:val="center"/>
              <w:rPr>
                <w:rFonts w:ascii="Arial" w:hAnsi="Arial" w:cs="Arial"/>
              </w:rPr>
            </w:pPr>
            <w:r w:rsidRPr="000F7601">
              <w:rPr>
                <w:rFonts w:ascii="Arial" w:hAnsi="Arial" w:cs="Arial"/>
              </w:rPr>
              <w:t>2</w:t>
            </w:r>
          </w:p>
        </w:tc>
      </w:tr>
      <w:tr w:rsidR="003A2B29" w:rsidRPr="000F6486" w14:paraId="0259A8E4"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7D9BDB49" w14:textId="77777777" w:rsidR="003A2B29" w:rsidRPr="000F7601" w:rsidRDefault="003A2B29" w:rsidP="000F7601">
            <w:pPr>
              <w:jc w:val="center"/>
              <w:rPr>
                <w:rFonts w:ascii="Arial" w:hAnsi="Arial" w:cs="Arial"/>
              </w:rPr>
            </w:pPr>
            <w:r w:rsidRPr="000F7601">
              <w:rPr>
                <w:rFonts w:ascii="Arial" w:hAnsi="Arial" w:cs="Arial"/>
              </w:rPr>
              <w:t>P6</w:t>
            </w:r>
          </w:p>
        </w:tc>
        <w:tc>
          <w:tcPr>
            <w:tcW w:w="124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5F388856" w14:textId="77777777" w:rsidR="003A2B29" w:rsidRPr="000F7601" w:rsidRDefault="003A2B29" w:rsidP="000F7601">
            <w:pPr>
              <w:jc w:val="center"/>
              <w:rPr>
                <w:rFonts w:ascii="Arial" w:hAnsi="Arial" w:cs="Arial"/>
              </w:rPr>
            </w:pPr>
            <w:r w:rsidRPr="000F7601">
              <w:rPr>
                <w:rFonts w:ascii="Arial" w:hAnsi="Arial" w:cs="Arial"/>
              </w:rPr>
              <w:t>1</w:t>
            </w:r>
          </w:p>
        </w:tc>
        <w:tc>
          <w:tcPr>
            <w:tcW w:w="130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16D33F29" w14:textId="77777777" w:rsidR="003A2B29" w:rsidRPr="000F7601" w:rsidRDefault="003A2B29" w:rsidP="000F7601">
            <w:pPr>
              <w:jc w:val="center"/>
              <w:rPr>
                <w:rFonts w:ascii="Arial" w:hAnsi="Arial" w:cs="Arial"/>
              </w:rPr>
            </w:pPr>
            <w:r w:rsidRPr="000F7601">
              <w:rPr>
                <w:rFonts w:ascii="Arial" w:hAnsi="Arial" w:cs="Arial"/>
              </w:rPr>
              <w:t>1</w:t>
            </w:r>
          </w:p>
        </w:tc>
        <w:tc>
          <w:tcPr>
            <w:tcW w:w="13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412ABB4C" w14:textId="77777777" w:rsidR="003A2B29" w:rsidRPr="000F7601" w:rsidRDefault="003A2B29" w:rsidP="000F7601">
            <w:pPr>
              <w:jc w:val="center"/>
              <w:rPr>
                <w:rFonts w:ascii="Arial" w:hAnsi="Arial" w:cs="Arial"/>
              </w:rPr>
            </w:pPr>
            <w:r w:rsidRPr="000F7601">
              <w:rPr>
                <w:rFonts w:ascii="Arial" w:hAnsi="Arial" w:cs="Arial"/>
              </w:rPr>
              <w:t>3</w:t>
            </w:r>
          </w:p>
        </w:tc>
        <w:tc>
          <w:tcPr>
            <w:tcW w:w="98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1F601D51" w14:textId="77777777" w:rsidR="003A2B29" w:rsidRPr="000F7601" w:rsidRDefault="003A2B29" w:rsidP="000F7601">
            <w:pPr>
              <w:jc w:val="center"/>
              <w:rPr>
                <w:rFonts w:ascii="Arial" w:hAnsi="Arial" w:cs="Arial"/>
              </w:rPr>
            </w:pPr>
            <w:r w:rsidRPr="000F7601">
              <w:rPr>
                <w:rFonts w:ascii="Arial" w:hAnsi="Arial" w:cs="Arial"/>
              </w:rPr>
              <w:t>1</w:t>
            </w:r>
          </w:p>
        </w:tc>
        <w:tc>
          <w:tcPr>
            <w:tcW w:w="1440" w:type="dxa"/>
            <w:tcBorders>
              <w:top w:val="single" w:sz="4" w:space="0" w:color="000000"/>
              <w:left w:val="single" w:sz="4" w:space="0" w:color="000000"/>
              <w:bottom w:val="single" w:sz="4" w:space="0" w:color="000000"/>
              <w:right w:val="single" w:sz="4" w:space="0" w:color="000000"/>
            </w:tcBorders>
            <w:shd w:val="clear" w:color="auto" w:fill="6B6BFF"/>
            <w:tcMar>
              <w:top w:w="22" w:type="dxa"/>
              <w:left w:w="22" w:type="dxa"/>
              <w:bottom w:w="0" w:type="dxa"/>
              <w:right w:w="22" w:type="dxa"/>
            </w:tcMar>
            <w:hideMark/>
          </w:tcPr>
          <w:p w14:paraId="45516393" w14:textId="77777777" w:rsidR="003A2B29" w:rsidRPr="000F7601" w:rsidRDefault="003A2B29" w:rsidP="000F7601">
            <w:pPr>
              <w:jc w:val="center"/>
              <w:rPr>
                <w:rFonts w:ascii="Arial" w:hAnsi="Arial" w:cs="Arial"/>
              </w:rPr>
            </w:pPr>
            <w:r w:rsidRPr="000F7601">
              <w:rPr>
                <w:rFonts w:ascii="Arial" w:hAnsi="Arial" w:cs="Arial"/>
              </w:rPr>
              <w:t>4</w:t>
            </w:r>
          </w:p>
        </w:tc>
        <w:tc>
          <w:tcPr>
            <w:tcW w:w="122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5E65CC40" w14:textId="77777777" w:rsidR="003A2B29" w:rsidRPr="000F7601" w:rsidRDefault="003A2B29" w:rsidP="000F7601">
            <w:pPr>
              <w:jc w:val="center"/>
              <w:rPr>
                <w:rFonts w:ascii="Arial" w:hAnsi="Arial" w:cs="Arial"/>
              </w:rPr>
            </w:pPr>
            <w:r w:rsidRPr="000F7601">
              <w:rPr>
                <w:rFonts w:ascii="Arial" w:hAnsi="Arial" w:cs="Arial"/>
              </w:rPr>
              <w:t>1</w:t>
            </w:r>
          </w:p>
        </w:tc>
      </w:tr>
      <w:tr w:rsidR="003A2B29" w:rsidRPr="000F6486" w14:paraId="71F67B5C"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44B0ED0C" w14:textId="77777777" w:rsidR="003A2B29" w:rsidRPr="000F7601" w:rsidRDefault="003A2B29" w:rsidP="000F7601">
            <w:pPr>
              <w:jc w:val="center"/>
              <w:rPr>
                <w:rFonts w:ascii="Arial" w:hAnsi="Arial" w:cs="Arial"/>
              </w:rPr>
            </w:pPr>
            <w:r w:rsidRPr="000F7601">
              <w:rPr>
                <w:rFonts w:ascii="Arial" w:hAnsi="Arial" w:cs="Arial"/>
              </w:rPr>
              <w:t>P7</w:t>
            </w:r>
          </w:p>
        </w:tc>
        <w:tc>
          <w:tcPr>
            <w:tcW w:w="124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5282C45F" w14:textId="77777777" w:rsidR="003A2B29" w:rsidRPr="000F7601" w:rsidRDefault="003A2B29" w:rsidP="000F7601">
            <w:pPr>
              <w:jc w:val="center"/>
              <w:rPr>
                <w:rFonts w:ascii="Arial" w:hAnsi="Arial" w:cs="Arial"/>
              </w:rPr>
            </w:pPr>
            <w:r w:rsidRPr="000F7601">
              <w:rPr>
                <w:rFonts w:ascii="Arial" w:hAnsi="Arial" w:cs="Arial"/>
              </w:rPr>
              <w:t>1</w:t>
            </w:r>
          </w:p>
        </w:tc>
        <w:tc>
          <w:tcPr>
            <w:tcW w:w="130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7DB44746" w14:textId="77777777" w:rsidR="003A2B29" w:rsidRPr="000F7601" w:rsidRDefault="003A2B29" w:rsidP="000F7601">
            <w:pPr>
              <w:jc w:val="center"/>
              <w:rPr>
                <w:rFonts w:ascii="Arial" w:hAnsi="Arial" w:cs="Arial"/>
              </w:rPr>
            </w:pPr>
            <w:r w:rsidRPr="000F7601">
              <w:rPr>
                <w:rFonts w:ascii="Arial" w:hAnsi="Arial" w:cs="Arial"/>
              </w:rPr>
              <w:t>1</w:t>
            </w:r>
          </w:p>
        </w:tc>
        <w:tc>
          <w:tcPr>
            <w:tcW w:w="134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081F55AC" w14:textId="77777777" w:rsidR="003A2B29" w:rsidRPr="000F7601" w:rsidRDefault="003A2B29" w:rsidP="000F7601">
            <w:pPr>
              <w:jc w:val="center"/>
              <w:rPr>
                <w:rFonts w:ascii="Arial" w:hAnsi="Arial" w:cs="Arial"/>
              </w:rPr>
            </w:pPr>
            <w:r w:rsidRPr="000F7601">
              <w:rPr>
                <w:rFonts w:ascii="Arial" w:hAnsi="Arial" w:cs="Arial"/>
              </w:rPr>
              <w:t>1</w:t>
            </w:r>
          </w:p>
        </w:tc>
        <w:tc>
          <w:tcPr>
            <w:tcW w:w="98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35266A19" w14:textId="77777777" w:rsidR="003A2B29" w:rsidRPr="000F7601" w:rsidRDefault="003A2B29" w:rsidP="000F7601">
            <w:pPr>
              <w:jc w:val="center"/>
              <w:rPr>
                <w:rFonts w:ascii="Arial" w:hAnsi="Arial" w:cs="Arial"/>
              </w:rPr>
            </w:pPr>
            <w:r w:rsidRPr="000F7601">
              <w:rPr>
                <w:rFonts w:ascii="Arial" w:hAnsi="Arial" w:cs="Arial"/>
              </w:rPr>
              <w:t>2</w:t>
            </w:r>
          </w:p>
        </w:tc>
        <w:tc>
          <w:tcPr>
            <w:tcW w:w="14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1DC106EB" w14:textId="77777777" w:rsidR="003A2B29" w:rsidRPr="000F7601" w:rsidRDefault="003A2B29" w:rsidP="000F7601">
            <w:pPr>
              <w:jc w:val="center"/>
              <w:rPr>
                <w:rFonts w:ascii="Arial" w:hAnsi="Arial" w:cs="Arial"/>
              </w:rPr>
            </w:pPr>
            <w:r w:rsidRPr="000F7601">
              <w:rPr>
                <w:rFonts w:ascii="Arial" w:hAnsi="Arial" w:cs="Arial"/>
              </w:rPr>
              <w:t>3</w:t>
            </w:r>
          </w:p>
        </w:tc>
        <w:tc>
          <w:tcPr>
            <w:tcW w:w="122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113323F0" w14:textId="77777777" w:rsidR="003A2B29" w:rsidRPr="000F7601" w:rsidRDefault="003A2B29" w:rsidP="000F7601">
            <w:pPr>
              <w:jc w:val="center"/>
              <w:rPr>
                <w:rFonts w:ascii="Arial" w:hAnsi="Arial" w:cs="Arial"/>
              </w:rPr>
            </w:pPr>
            <w:r w:rsidRPr="000F7601">
              <w:rPr>
                <w:rFonts w:ascii="Arial" w:hAnsi="Arial" w:cs="Arial"/>
              </w:rPr>
              <w:t>1</w:t>
            </w:r>
          </w:p>
        </w:tc>
      </w:tr>
      <w:tr w:rsidR="003A2B29" w:rsidRPr="000F6486" w14:paraId="2958955A"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17E77C13" w14:textId="77777777" w:rsidR="003A2B29" w:rsidRPr="000F7601" w:rsidRDefault="003A2B29" w:rsidP="000F7601">
            <w:pPr>
              <w:jc w:val="center"/>
              <w:rPr>
                <w:rFonts w:ascii="Arial" w:hAnsi="Arial" w:cs="Arial"/>
              </w:rPr>
            </w:pPr>
            <w:r w:rsidRPr="000F7601">
              <w:rPr>
                <w:rFonts w:ascii="Arial" w:hAnsi="Arial" w:cs="Arial"/>
              </w:rPr>
              <w:t>P8</w:t>
            </w:r>
          </w:p>
        </w:tc>
        <w:tc>
          <w:tcPr>
            <w:tcW w:w="12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268F9DED" w14:textId="77777777" w:rsidR="003A2B29" w:rsidRPr="000F7601" w:rsidRDefault="003A2B29" w:rsidP="000F7601">
            <w:pPr>
              <w:jc w:val="center"/>
              <w:rPr>
                <w:rFonts w:ascii="Arial" w:hAnsi="Arial" w:cs="Arial"/>
              </w:rPr>
            </w:pPr>
            <w:r w:rsidRPr="000F7601">
              <w:rPr>
                <w:rFonts w:ascii="Arial" w:hAnsi="Arial" w:cs="Arial"/>
              </w:rPr>
              <w:t>2</w:t>
            </w:r>
          </w:p>
        </w:tc>
        <w:tc>
          <w:tcPr>
            <w:tcW w:w="130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6EAA4956" w14:textId="77777777" w:rsidR="003A2B29" w:rsidRPr="000F7601" w:rsidRDefault="003A2B29" w:rsidP="000F7601">
            <w:pPr>
              <w:jc w:val="center"/>
              <w:rPr>
                <w:rFonts w:ascii="Arial" w:hAnsi="Arial" w:cs="Arial"/>
              </w:rPr>
            </w:pPr>
            <w:r w:rsidRPr="000F7601">
              <w:rPr>
                <w:rFonts w:ascii="Arial" w:hAnsi="Arial" w:cs="Arial"/>
              </w:rPr>
              <w:t>1</w:t>
            </w:r>
          </w:p>
        </w:tc>
        <w:tc>
          <w:tcPr>
            <w:tcW w:w="13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15CC69F2" w14:textId="77777777" w:rsidR="003A2B29" w:rsidRPr="000F7601" w:rsidRDefault="003A2B29" w:rsidP="000F7601">
            <w:pPr>
              <w:jc w:val="center"/>
              <w:rPr>
                <w:rFonts w:ascii="Arial" w:hAnsi="Arial" w:cs="Arial"/>
              </w:rPr>
            </w:pPr>
            <w:r w:rsidRPr="000F7601">
              <w:rPr>
                <w:rFonts w:ascii="Arial" w:hAnsi="Arial" w:cs="Arial"/>
              </w:rPr>
              <w:t>3</w:t>
            </w:r>
          </w:p>
        </w:tc>
        <w:tc>
          <w:tcPr>
            <w:tcW w:w="980" w:type="dxa"/>
            <w:tcBorders>
              <w:top w:val="single" w:sz="4" w:space="0" w:color="000000"/>
              <w:left w:val="single" w:sz="4" w:space="0" w:color="000000"/>
              <w:bottom w:val="single" w:sz="4" w:space="0" w:color="000000"/>
              <w:right w:val="single" w:sz="4" w:space="0" w:color="000000"/>
            </w:tcBorders>
            <w:shd w:val="clear" w:color="auto" w:fill="6B6BFF"/>
            <w:tcMar>
              <w:top w:w="22" w:type="dxa"/>
              <w:left w:w="22" w:type="dxa"/>
              <w:bottom w:w="0" w:type="dxa"/>
              <w:right w:w="22" w:type="dxa"/>
            </w:tcMar>
            <w:hideMark/>
          </w:tcPr>
          <w:p w14:paraId="5E092C93" w14:textId="77777777" w:rsidR="003A2B29" w:rsidRPr="000F7601" w:rsidRDefault="003A2B29" w:rsidP="000F7601">
            <w:pPr>
              <w:jc w:val="center"/>
              <w:rPr>
                <w:rFonts w:ascii="Arial" w:hAnsi="Arial" w:cs="Arial"/>
              </w:rPr>
            </w:pPr>
            <w:r w:rsidRPr="000F7601">
              <w:rPr>
                <w:rFonts w:ascii="Arial" w:hAnsi="Arial" w:cs="Arial"/>
              </w:rPr>
              <w:t>4</w:t>
            </w:r>
          </w:p>
        </w:tc>
        <w:tc>
          <w:tcPr>
            <w:tcW w:w="14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20FFDE11" w14:textId="77777777" w:rsidR="003A2B29" w:rsidRPr="000F7601" w:rsidRDefault="003A2B29" w:rsidP="000F7601">
            <w:pPr>
              <w:jc w:val="center"/>
              <w:rPr>
                <w:rFonts w:ascii="Arial" w:hAnsi="Arial" w:cs="Arial"/>
              </w:rPr>
            </w:pPr>
            <w:r w:rsidRPr="000F7601">
              <w:rPr>
                <w:rFonts w:ascii="Arial" w:hAnsi="Arial" w:cs="Arial"/>
              </w:rPr>
              <w:t>2</w:t>
            </w:r>
          </w:p>
        </w:tc>
        <w:tc>
          <w:tcPr>
            <w:tcW w:w="122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12F703C7" w14:textId="77777777" w:rsidR="003A2B29" w:rsidRPr="000F7601" w:rsidRDefault="003A2B29" w:rsidP="000F7601">
            <w:pPr>
              <w:jc w:val="center"/>
              <w:rPr>
                <w:rFonts w:ascii="Arial" w:hAnsi="Arial" w:cs="Arial"/>
              </w:rPr>
            </w:pPr>
            <w:r w:rsidRPr="000F7601">
              <w:rPr>
                <w:rFonts w:ascii="Arial" w:hAnsi="Arial" w:cs="Arial"/>
              </w:rPr>
              <w:t>2</w:t>
            </w:r>
          </w:p>
        </w:tc>
      </w:tr>
      <w:tr w:rsidR="003A2B29" w:rsidRPr="000F6486" w14:paraId="10E2203A"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4666700B" w14:textId="77777777" w:rsidR="003A2B29" w:rsidRPr="000F7601" w:rsidRDefault="003A2B29" w:rsidP="000F7601">
            <w:pPr>
              <w:jc w:val="center"/>
              <w:rPr>
                <w:rFonts w:ascii="Arial" w:hAnsi="Arial" w:cs="Arial"/>
              </w:rPr>
            </w:pPr>
            <w:r w:rsidRPr="000F7601">
              <w:rPr>
                <w:rFonts w:ascii="Arial" w:hAnsi="Arial" w:cs="Arial"/>
              </w:rPr>
              <w:t>P9</w:t>
            </w:r>
          </w:p>
        </w:tc>
        <w:tc>
          <w:tcPr>
            <w:tcW w:w="12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2E5215F" w14:textId="77777777" w:rsidR="003A2B29" w:rsidRPr="000F7601" w:rsidRDefault="003A2B29" w:rsidP="000F7601">
            <w:pPr>
              <w:jc w:val="center"/>
              <w:rPr>
                <w:rFonts w:ascii="Arial" w:hAnsi="Arial" w:cs="Arial"/>
              </w:rPr>
            </w:pPr>
            <w:r w:rsidRPr="000F7601">
              <w:rPr>
                <w:rFonts w:ascii="Arial" w:hAnsi="Arial" w:cs="Arial"/>
              </w:rPr>
              <w:t>2</w:t>
            </w:r>
          </w:p>
        </w:tc>
        <w:tc>
          <w:tcPr>
            <w:tcW w:w="130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0B3E2F61" w14:textId="77777777" w:rsidR="003A2B29" w:rsidRPr="000F7601" w:rsidRDefault="003A2B29" w:rsidP="000F7601">
            <w:pPr>
              <w:jc w:val="center"/>
              <w:rPr>
                <w:rFonts w:ascii="Arial" w:hAnsi="Arial" w:cs="Arial"/>
              </w:rPr>
            </w:pPr>
            <w:r w:rsidRPr="000F7601">
              <w:rPr>
                <w:rFonts w:ascii="Arial" w:hAnsi="Arial" w:cs="Arial"/>
              </w:rPr>
              <w:t>2</w:t>
            </w:r>
          </w:p>
        </w:tc>
        <w:tc>
          <w:tcPr>
            <w:tcW w:w="13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6BAC44FF" w14:textId="77777777" w:rsidR="003A2B29" w:rsidRPr="000F7601" w:rsidRDefault="003A2B29" w:rsidP="000F7601">
            <w:pPr>
              <w:jc w:val="center"/>
              <w:rPr>
                <w:rFonts w:ascii="Arial" w:hAnsi="Arial" w:cs="Arial"/>
              </w:rPr>
            </w:pPr>
            <w:r w:rsidRPr="000F7601">
              <w:rPr>
                <w:rFonts w:ascii="Arial" w:hAnsi="Arial" w:cs="Arial"/>
              </w:rPr>
              <w:t>2</w:t>
            </w:r>
          </w:p>
        </w:tc>
        <w:tc>
          <w:tcPr>
            <w:tcW w:w="98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4ADFE3A5" w14:textId="77777777" w:rsidR="003A2B29" w:rsidRPr="000F7601" w:rsidRDefault="003A2B29" w:rsidP="000F7601">
            <w:pPr>
              <w:jc w:val="center"/>
              <w:rPr>
                <w:rFonts w:ascii="Arial" w:hAnsi="Arial" w:cs="Arial"/>
              </w:rPr>
            </w:pPr>
            <w:r w:rsidRPr="000F7601">
              <w:rPr>
                <w:rFonts w:ascii="Arial" w:hAnsi="Arial" w:cs="Arial"/>
              </w:rPr>
              <w:t>3</w:t>
            </w:r>
          </w:p>
        </w:tc>
        <w:tc>
          <w:tcPr>
            <w:tcW w:w="1440" w:type="dxa"/>
            <w:tcBorders>
              <w:top w:val="single" w:sz="4" w:space="0" w:color="000000"/>
              <w:left w:val="single" w:sz="4" w:space="0" w:color="000000"/>
              <w:bottom w:val="single" w:sz="4" w:space="0" w:color="000000"/>
              <w:right w:val="single" w:sz="4" w:space="0" w:color="000000"/>
            </w:tcBorders>
            <w:shd w:val="clear" w:color="auto" w:fill="4040FF"/>
            <w:tcMar>
              <w:top w:w="22" w:type="dxa"/>
              <w:left w:w="22" w:type="dxa"/>
              <w:bottom w:w="0" w:type="dxa"/>
              <w:right w:w="22" w:type="dxa"/>
            </w:tcMar>
            <w:hideMark/>
          </w:tcPr>
          <w:p w14:paraId="0A2D1845" w14:textId="77777777" w:rsidR="003A2B29" w:rsidRPr="000F7601" w:rsidRDefault="003A2B29" w:rsidP="000F7601">
            <w:pPr>
              <w:jc w:val="center"/>
              <w:rPr>
                <w:rFonts w:ascii="Arial" w:hAnsi="Arial" w:cs="Arial"/>
              </w:rPr>
            </w:pPr>
            <w:r w:rsidRPr="000F7601">
              <w:rPr>
                <w:rFonts w:ascii="Arial" w:hAnsi="Arial" w:cs="Arial"/>
              </w:rPr>
              <w:t>5</w:t>
            </w:r>
          </w:p>
        </w:tc>
        <w:tc>
          <w:tcPr>
            <w:tcW w:w="122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7F08D50C" w14:textId="77777777" w:rsidR="003A2B29" w:rsidRPr="000F7601" w:rsidRDefault="003A2B29" w:rsidP="000F7601">
            <w:pPr>
              <w:jc w:val="center"/>
              <w:rPr>
                <w:rFonts w:ascii="Arial" w:hAnsi="Arial" w:cs="Arial"/>
              </w:rPr>
            </w:pPr>
            <w:r w:rsidRPr="000F7601">
              <w:rPr>
                <w:rFonts w:ascii="Arial" w:hAnsi="Arial" w:cs="Arial"/>
              </w:rPr>
              <w:t>2</w:t>
            </w:r>
          </w:p>
        </w:tc>
      </w:tr>
      <w:tr w:rsidR="003A2B29" w:rsidRPr="000F6486" w14:paraId="0442D0E6" w14:textId="77777777" w:rsidTr="00993670">
        <w:trPr>
          <w:trHeight w:val="615"/>
        </w:trPr>
        <w:tc>
          <w:tcPr>
            <w:tcW w:w="820" w:type="dxa"/>
            <w:tcBorders>
              <w:top w:val="single" w:sz="4" w:space="0" w:color="000000"/>
              <w:left w:val="nil"/>
              <w:bottom w:val="single" w:sz="4" w:space="0" w:color="000000"/>
              <w:right w:val="single" w:sz="4" w:space="0" w:color="000000"/>
            </w:tcBorders>
            <w:shd w:val="clear" w:color="auto" w:fill="F0F0F0"/>
            <w:tcMar>
              <w:top w:w="22" w:type="dxa"/>
              <w:left w:w="22" w:type="dxa"/>
              <w:bottom w:w="0" w:type="dxa"/>
              <w:right w:w="22" w:type="dxa"/>
            </w:tcMar>
            <w:vAlign w:val="bottom"/>
            <w:hideMark/>
          </w:tcPr>
          <w:p w14:paraId="4DFB1614" w14:textId="77777777" w:rsidR="003A2B29" w:rsidRPr="000F7601" w:rsidRDefault="003A2B29" w:rsidP="000F7601">
            <w:pPr>
              <w:jc w:val="center"/>
              <w:rPr>
                <w:rFonts w:ascii="Arial" w:hAnsi="Arial" w:cs="Arial"/>
              </w:rPr>
            </w:pPr>
            <w:r w:rsidRPr="000F7601">
              <w:rPr>
                <w:rFonts w:ascii="Arial" w:hAnsi="Arial" w:cs="Arial"/>
              </w:rPr>
              <w:t>P10</w:t>
            </w:r>
          </w:p>
        </w:tc>
        <w:tc>
          <w:tcPr>
            <w:tcW w:w="12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348AE245" w14:textId="77777777" w:rsidR="003A2B29" w:rsidRPr="000F7601" w:rsidRDefault="003A2B29" w:rsidP="000F7601">
            <w:pPr>
              <w:jc w:val="center"/>
              <w:rPr>
                <w:rFonts w:ascii="Arial" w:hAnsi="Arial" w:cs="Arial"/>
              </w:rPr>
            </w:pPr>
            <w:r w:rsidRPr="000F7601">
              <w:rPr>
                <w:rFonts w:ascii="Arial" w:hAnsi="Arial" w:cs="Arial"/>
              </w:rPr>
              <w:t>3</w:t>
            </w:r>
          </w:p>
        </w:tc>
        <w:tc>
          <w:tcPr>
            <w:tcW w:w="1300" w:type="dxa"/>
            <w:tcBorders>
              <w:top w:val="single" w:sz="4" w:space="0" w:color="000000"/>
              <w:left w:val="single" w:sz="4" w:space="0" w:color="000000"/>
              <w:bottom w:val="single" w:sz="4" w:space="0" w:color="000000"/>
              <w:right w:val="single" w:sz="4" w:space="0" w:color="000000"/>
            </w:tcBorders>
            <w:shd w:val="clear" w:color="auto" w:fill="C0C0FF"/>
            <w:tcMar>
              <w:top w:w="22" w:type="dxa"/>
              <w:left w:w="22" w:type="dxa"/>
              <w:bottom w:w="0" w:type="dxa"/>
              <w:right w:w="22" w:type="dxa"/>
            </w:tcMar>
            <w:hideMark/>
          </w:tcPr>
          <w:p w14:paraId="4F174536" w14:textId="77777777" w:rsidR="003A2B29" w:rsidRPr="000F7601" w:rsidRDefault="003A2B29" w:rsidP="000F7601">
            <w:pPr>
              <w:jc w:val="center"/>
              <w:rPr>
                <w:rFonts w:ascii="Arial" w:hAnsi="Arial" w:cs="Arial"/>
              </w:rPr>
            </w:pPr>
            <w:r w:rsidRPr="000F7601">
              <w:rPr>
                <w:rFonts w:ascii="Arial" w:hAnsi="Arial" w:cs="Arial"/>
              </w:rPr>
              <w:t>1</w:t>
            </w:r>
          </w:p>
        </w:tc>
        <w:tc>
          <w:tcPr>
            <w:tcW w:w="1340" w:type="dxa"/>
            <w:tcBorders>
              <w:top w:val="single" w:sz="4" w:space="0" w:color="000000"/>
              <w:left w:val="single" w:sz="4" w:space="0" w:color="000000"/>
              <w:bottom w:val="single" w:sz="4" w:space="0" w:color="000000"/>
              <w:right w:val="single" w:sz="4" w:space="0" w:color="000000"/>
            </w:tcBorders>
            <w:shd w:val="clear" w:color="auto" w:fill="9595FF"/>
            <w:tcMar>
              <w:top w:w="22" w:type="dxa"/>
              <w:left w:w="22" w:type="dxa"/>
              <w:bottom w:w="0" w:type="dxa"/>
              <w:right w:w="22" w:type="dxa"/>
            </w:tcMar>
            <w:hideMark/>
          </w:tcPr>
          <w:p w14:paraId="4AC701C8" w14:textId="45CB3800" w:rsidR="003A2B29" w:rsidRPr="000F7601" w:rsidRDefault="003A2B29" w:rsidP="000F7601">
            <w:pPr>
              <w:jc w:val="center"/>
              <w:rPr>
                <w:rFonts w:ascii="Arial" w:hAnsi="Arial" w:cs="Arial"/>
              </w:rPr>
            </w:pPr>
            <w:r w:rsidRPr="000F7601">
              <w:rPr>
                <w:rFonts w:ascii="Arial" w:hAnsi="Arial" w:cs="Arial"/>
              </w:rPr>
              <w:t>3</w:t>
            </w:r>
          </w:p>
        </w:tc>
        <w:tc>
          <w:tcPr>
            <w:tcW w:w="980" w:type="dxa"/>
            <w:tcBorders>
              <w:top w:val="single" w:sz="4" w:space="0" w:color="000000"/>
              <w:left w:val="single" w:sz="4" w:space="0" w:color="000000"/>
              <w:bottom w:val="single" w:sz="4" w:space="0" w:color="000000"/>
              <w:right w:val="single" w:sz="4" w:space="0" w:color="000000"/>
            </w:tcBorders>
            <w:tcMar>
              <w:top w:w="22" w:type="dxa"/>
              <w:left w:w="22" w:type="dxa"/>
              <w:bottom w:w="0" w:type="dxa"/>
              <w:right w:w="22" w:type="dxa"/>
            </w:tcMar>
            <w:hideMark/>
          </w:tcPr>
          <w:p w14:paraId="4F9C3557" w14:textId="77777777" w:rsidR="003A2B29" w:rsidRPr="000F7601" w:rsidRDefault="003A2B29" w:rsidP="000F7601">
            <w:pPr>
              <w:jc w:val="center"/>
              <w:rPr>
                <w:rFonts w:ascii="Arial" w:hAnsi="Arial" w:cs="Arial"/>
              </w:rPr>
            </w:pPr>
            <w:r w:rsidRPr="000F7601">
              <w:rPr>
                <w:rFonts w:ascii="Arial" w:hAnsi="Arial" w:cs="Arial"/>
              </w:rPr>
              <w:t>0</w:t>
            </w:r>
          </w:p>
        </w:tc>
        <w:tc>
          <w:tcPr>
            <w:tcW w:w="1440" w:type="dxa"/>
            <w:tcBorders>
              <w:top w:val="single" w:sz="4" w:space="0" w:color="000000"/>
              <w:left w:val="single" w:sz="4" w:space="0" w:color="000000"/>
              <w:bottom w:val="single" w:sz="4" w:space="0" w:color="000000"/>
              <w:right w:val="single" w:sz="4" w:space="0" w:color="000000"/>
            </w:tcBorders>
            <w:shd w:val="clear" w:color="auto" w:fill="4040FF"/>
            <w:tcMar>
              <w:top w:w="22" w:type="dxa"/>
              <w:left w:w="22" w:type="dxa"/>
              <w:bottom w:w="0" w:type="dxa"/>
              <w:right w:w="22" w:type="dxa"/>
            </w:tcMar>
            <w:hideMark/>
          </w:tcPr>
          <w:p w14:paraId="36B722B9" w14:textId="77777777" w:rsidR="003A2B29" w:rsidRPr="000F7601" w:rsidRDefault="003A2B29" w:rsidP="000F7601">
            <w:pPr>
              <w:jc w:val="center"/>
              <w:rPr>
                <w:rFonts w:ascii="Arial" w:hAnsi="Arial" w:cs="Arial"/>
              </w:rPr>
            </w:pPr>
            <w:r w:rsidRPr="000F7601">
              <w:rPr>
                <w:rFonts w:ascii="Arial" w:hAnsi="Arial" w:cs="Arial"/>
              </w:rPr>
              <w:t>6</w:t>
            </w:r>
          </w:p>
        </w:tc>
        <w:tc>
          <w:tcPr>
            <w:tcW w:w="1220" w:type="dxa"/>
            <w:tcBorders>
              <w:top w:val="single" w:sz="4" w:space="0" w:color="000000"/>
              <w:left w:val="single" w:sz="4" w:space="0" w:color="000000"/>
              <w:bottom w:val="single" w:sz="4" w:space="0" w:color="000000"/>
              <w:right w:val="single" w:sz="4" w:space="0" w:color="000000"/>
            </w:tcBorders>
            <w:tcMar>
              <w:top w:w="22" w:type="dxa"/>
              <w:left w:w="22" w:type="dxa"/>
              <w:bottom w:w="0" w:type="dxa"/>
              <w:right w:w="22" w:type="dxa"/>
            </w:tcMar>
            <w:hideMark/>
          </w:tcPr>
          <w:p w14:paraId="2ABBDE10" w14:textId="77777777" w:rsidR="003A2B29" w:rsidRPr="000F7601" w:rsidRDefault="003A2B29" w:rsidP="000F7601">
            <w:pPr>
              <w:jc w:val="center"/>
              <w:rPr>
                <w:rFonts w:ascii="Arial" w:hAnsi="Arial" w:cs="Arial"/>
              </w:rPr>
            </w:pPr>
            <w:r w:rsidRPr="000F7601">
              <w:rPr>
                <w:rFonts w:ascii="Arial" w:hAnsi="Arial" w:cs="Arial"/>
              </w:rPr>
              <w:t>0</w:t>
            </w:r>
          </w:p>
        </w:tc>
      </w:tr>
    </w:tbl>
    <w:p w14:paraId="73E9BFFB" w14:textId="4E81C307" w:rsidR="003A2B29" w:rsidRPr="000F6486" w:rsidRDefault="003A2B29" w:rsidP="003A2B29">
      <w:pPr>
        <w:pStyle w:val="Kop2"/>
        <w:rPr>
          <w:rFonts w:ascii="Arial" w:hAnsi="Arial" w:cs="Arial"/>
          <w:lang w:val="en-GB"/>
        </w:rPr>
      </w:pPr>
      <w:r w:rsidRPr="000F6486">
        <w:rPr>
          <w:rFonts w:ascii="Arial" w:hAnsi="Arial" w:cs="Arial"/>
          <w:lang w:val="en-GB"/>
        </w:rPr>
        <w:lastRenderedPageBreak/>
        <w:t>Function</w:t>
      </w:r>
    </w:p>
    <w:p w14:paraId="6976EDA7" w14:textId="4D9CB9A3" w:rsidR="003A2B29" w:rsidRPr="00E83595" w:rsidRDefault="003A2B29" w:rsidP="003A2B29">
      <w:pPr>
        <w:rPr>
          <w:rFonts w:ascii="Arial" w:hAnsi="Arial" w:cs="Arial"/>
          <w:sz w:val="20"/>
          <w:szCs w:val="20"/>
          <w:lang w:val="en-GB"/>
        </w:rPr>
      </w:pPr>
      <w:r w:rsidRPr="00E83595">
        <w:rPr>
          <w:rFonts w:ascii="Arial" w:hAnsi="Arial" w:cs="Arial"/>
          <w:sz w:val="20"/>
          <w:szCs w:val="20"/>
          <w:lang w:val="en-GB"/>
        </w:rPr>
        <w:t>The narratives show that children with a chronic condition or disability adapt their daily functioning in varied</w:t>
      </w:r>
      <w:r w:rsidR="00707147" w:rsidRPr="00E83595">
        <w:rPr>
          <w:rFonts w:ascii="Arial" w:hAnsi="Arial" w:cs="Arial"/>
          <w:sz w:val="20"/>
          <w:szCs w:val="20"/>
          <w:lang w:val="en-GB"/>
        </w:rPr>
        <w:t>,</w:t>
      </w:r>
      <w:r w:rsidRPr="00E83595">
        <w:rPr>
          <w:rFonts w:ascii="Arial" w:hAnsi="Arial" w:cs="Arial"/>
          <w:sz w:val="20"/>
          <w:szCs w:val="20"/>
          <w:lang w:val="en-GB"/>
        </w:rPr>
        <w:t xml:space="preserve"> often creative</w:t>
      </w:r>
      <w:r w:rsidR="00707147" w:rsidRPr="00E83595">
        <w:rPr>
          <w:rFonts w:ascii="Arial" w:hAnsi="Arial" w:cs="Arial"/>
          <w:sz w:val="20"/>
          <w:szCs w:val="20"/>
          <w:lang w:val="en-GB"/>
        </w:rPr>
        <w:t>,</w:t>
      </w:r>
      <w:r w:rsidRPr="00E83595">
        <w:rPr>
          <w:rFonts w:ascii="Arial" w:hAnsi="Arial" w:cs="Arial"/>
          <w:sz w:val="20"/>
          <w:szCs w:val="20"/>
          <w:lang w:val="en-GB"/>
        </w:rPr>
        <w:t xml:space="preserve"> ways. Despite physical, cognitive, or medical challenges, they demonstrate considerable capacity for self-regulation, problem-solving, and functional adaptation, frequently supported by their environment. </w:t>
      </w:r>
    </w:p>
    <w:p w14:paraId="0926ACBD" w14:textId="0F3745B3"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Illness-related limitations and compensations</w:t>
      </w:r>
      <w:r w:rsidRPr="00E83595">
        <w:rPr>
          <w:rFonts w:ascii="Arial" w:hAnsi="Arial" w:cs="Arial"/>
          <w:sz w:val="20"/>
          <w:szCs w:val="20"/>
          <w:lang w:val="en-GB"/>
        </w:rPr>
        <w:br/>
        <w:t xml:space="preserve">The physical impact of their condition </w:t>
      </w:r>
      <w:r w:rsidR="009822E1" w:rsidRPr="00E83595">
        <w:rPr>
          <w:rFonts w:ascii="Arial" w:hAnsi="Arial" w:cs="Arial"/>
          <w:sz w:val="20"/>
          <w:szCs w:val="20"/>
          <w:lang w:val="en-GB"/>
        </w:rPr>
        <w:t>(pain</w:t>
      </w:r>
      <w:r w:rsidRPr="00E83595">
        <w:rPr>
          <w:rFonts w:ascii="Arial" w:hAnsi="Arial" w:cs="Arial"/>
          <w:sz w:val="20"/>
          <w:szCs w:val="20"/>
          <w:lang w:val="en-GB"/>
        </w:rPr>
        <w:t>, fatigue, feeding problems, mobility restrictions, or sensory sensitivities) strongly affects daily functioning. Children describe situations in which they cannot eat, shower, or attend school independently without adjustments or help. Medication, infusions and pumps are often a structural part of their daily schedule. Nevertheless, they seek ways to preserve autonomy</w:t>
      </w:r>
      <w:r w:rsidR="00707147" w:rsidRPr="00E83595">
        <w:rPr>
          <w:rFonts w:ascii="Arial" w:hAnsi="Arial" w:cs="Arial"/>
          <w:sz w:val="20"/>
          <w:szCs w:val="20"/>
          <w:lang w:val="en-GB"/>
        </w:rPr>
        <w:t>,</w:t>
      </w:r>
      <w:r w:rsidRPr="00E83595">
        <w:rPr>
          <w:rFonts w:ascii="Arial" w:hAnsi="Arial" w:cs="Arial"/>
          <w:sz w:val="20"/>
          <w:szCs w:val="20"/>
          <w:lang w:val="en-GB"/>
        </w:rPr>
        <w:t xml:space="preserve"> for example by learning to inject medication themselves or by using aids such as adapted toilets and daily schedules to manage independently. “Today I learned</w:t>
      </w:r>
      <w:r w:rsidR="00707147" w:rsidRPr="00E83595">
        <w:rPr>
          <w:rFonts w:ascii="Arial" w:hAnsi="Arial" w:cs="Arial"/>
          <w:sz w:val="20"/>
          <w:szCs w:val="20"/>
          <w:lang w:val="en-GB"/>
        </w:rPr>
        <w:t>,</w:t>
      </w:r>
      <w:r w:rsidRPr="00E83595">
        <w:rPr>
          <w:rFonts w:ascii="Arial" w:hAnsi="Arial" w:cs="Arial"/>
          <w:sz w:val="20"/>
          <w:szCs w:val="20"/>
          <w:lang w:val="en-GB"/>
        </w:rPr>
        <w:t xml:space="preserve"> ten minutes ago</w:t>
      </w:r>
      <w:r w:rsidR="00707147" w:rsidRPr="00E83595">
        <w:rPr>
          <w:rFonts w:ascii="Arial" w:hAnsi="Arial" w:cs="Arial"/>
          <w:sz w:val="20"/>
          <w:szCs w:val="20"/>
          <w:lang w:val="en-GB"/>
        </w:rPr>
        <w:t>,</w:t>
      </w:r>
      <w:r w:rsidRPr="00E83595">
        <w:rPr>
          <w:rFonts w:ascii="Arial" w:hAnsi="Arial" w:cs="Arial"/>
          <w:sz w:val="20"/>
          <w:szCs w:val="20"/>
          <w:lang w:val="en-GB"/>
        </w:rPr>
        <w:t xml:space="preserve"> how to inject the drug MTX; it went very well, so I will do it myself from now on.” (P5). </w:t>
      </w:r>
    </w:p>
    <w:p w14:paraId="2BBD727A" w14:textId="567991CF"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School and education</w:t>
      </w:r>
      <w:r w:rsidRPr="00E83595">
        <w:rPr>
          <w:rFonts w:ascii="Arial" w:hAnsi="Arial" w:cs="Arial"/>
          <w:sz w:val="20"/>
          <w:szCs w:val="20"/>
          <w:lang w:val="en-GB"/>
        </w:rPr>
        <w:br/>
        <w:t>Despite their medical trajectories, most children remain active in mainstream education. Some attend specific arrangements (</w:t>
      </w:r>
      <w:r w:rsidR="00AC08E1">
        <w:rPr>
          <w:rFonts w:ascii="Arial" w:hAnsi="Arial" w:cs="Arial"/>
          <w:sz w:val="20"/>
          <w:szCs w:val="20"/>
          <w:lang w:val="en-GB"/>
        </w:rPr>
        <w:t>for example</w:t>
      </w:r>
      <w:r w:rsidRPr="00E83595">
        <w:rPr>
          <w:rFonts w:ascii="Arial" w:hAnsi="Arial" w:cs="Arial"/>
          <w:sz w:val="20"/>
          <w:szCs w:val="20"/>
          <w:lang w:val="en-GB"/>
        </w:rPr>
        <w:t xml:space="preserve">, integration classes) that provide extra support and rest opportunities. Several children pursue education at </w:t>
      </w:r>
      <w:r w:rsidR="00AC08E1">
        <w:rPr>
          <w:rFonts w:ascii="Arial" w:hAnsi="Arial" w:cs="Arial"/>
          <w:sz w:val="20"/>
          <w:szCs w:val="20"/>
          <w:lang w:val="en-GB"/>
        </w:rPr>
        <w:t xml:space="preserve">a high </w:t>
      </w:r>
      <w:r w:rsidRPr="00E83595">
        <w:rPr>
          <w:rFonts w:ascii="Arial" w:hAnsi="Arial" w:cs="Arial"/>
          <w:sz w:val="20"/>
          <w:szCs w:val="20"/>
          <w:lang w:val="en-GB"/>
        </w:rPr>
        <w:t>level</w:t>
      </w:r>
      <w:r w:rsidR="00AC08E1">
        <w:rPr>
          <w:rFonts w:ascii="Arial" w:hAnsi="Arial" w:cs="Arial"/>
          <w:sz w:val="20"/>
          <w:szCs w:val="20"/>
          <w:lang w:val="en-GB"/>
        </w:rPr>
        <w:t xml:space="preserve"> (Atheneum and gymnasium level in the Netherlands)</w:t>
      </w:r>
      <w:r w:rsidRPr="00E83595">
        <w:rPr>
          <w:rFonts w:ascii="Arial" w:hAnsi="Arial" w:cs="Arial"/>
          <w:sz w:val="20"/>
          <w:szCs w:val="20"/>
          <w:lang w:val="en-GB"/>
        </w:rPr>
        <w:t xml:space="preserve">. School is rarely framed as an obstacle; rather, it is described as a place where they “can just participate” (P4). Fatigue and absences due to medical appointments are recurring challenges that are often mitigated by flexible homework policies or support from parents and teachers. </w:t>
      </w:r>
    </w:p>
    <w:p w14:paraId="56541E34" w14:textId="10DB8B5E"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Leisure and independence</w:t>
      </w:r>
      <w:r w:rsidRPr="00E83595">
        <w:rPr>
          <w:rFonts w:ascii="Arial" w:hAnsi="Arial" w:cs="Arial"/>
          <w:sz w:val="20"/>
          <w:szCs w:val="20"/>
          <w:lang w:val="en-GB"/>
        </w:rPr>
        <w:br/>
        <w:t>Leisure activities and hobbies contribute to a sense of normality. Children report gaming, going out, caring for animals, or day trips</w:t>
      </w:r>
      <w:r w:rsidR="00707147" w:rsidRPr="00E83595">
        <w:rPr>
          <w:rFonts w:ascii="Arial" w:hAnsi="Arial" w:cs="Arial"/>
          <w:sz w:val="20"/>
          <w:szCs w:val="20"/>
          <w:lang w:val="en-GB"/>
        </w:rPr>
        <w:t>,</w:t>
      </w:r>
      <w:r w:rsidRPr="00E83595">
        <w:rPr>
          <w:rFonts w:ascii="Arial" w:hAnsi="Arial" w:cs="Arial"/>
          <w:sz w:val="20"/>
          <w:szCs w:val="20"/>
          <w:lang w:val="en-GB"/>
        </w:rPr>
        <w:t xml:space="preserve"> sometimes with planning or adaptations. Online gaming and contact are mentioned as ways to stay connected when physical participation is not possible. Some adolescents explicitly prefer to avoid a visible “label”, for instance by not requesting a special toilet pass, or by showing extra responsibility at work or internships: “I could of course apply for a special pass, but I won’t</w:t>
      </w:r>
      <w:r w:rsidR="00707147" w:rsidRPr="00E83595">
        <w:rPr>
          <w:rFonts w:ascii="Arial" w:hAnsi="Arial" w:cs="Arial"/>
          <w:sz w:val="20"/>
          <w:szCs w:val="20"/>
          <w:lang w:val="en-GB"/>
        </w:rPr>
        <w:t>,</w:t>
      </w:r>
      <w:r w:rsidRPr="00E83595">
        <w:rPr>
          <w:rFonts w:ascii="Arial" w:hAnsi="Arial" w:cs="Arial"/>
          <w:sz w:val="20"/>
          <w:szCs w:val="20"/>
          <w:lang w:val="en-GB"/>
        </w:rPr>
        <w:t xml:space="preserve"> I don’t want to seem pitiful.” (P3). </w:t>
      </w:r>
    </w:p>
    <w:p w14:paraId="49F7CE27" w14:textId="517E4E78"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Adaptation strategies and acceptance</w:t>
      </w:r>
      <w:r w:rsidRPr="00E83595">
        <w:rPr>
          <w:rFonts w:ascii="Arial" w:hAnsi="Arial" w:cs="Arial"/>
          <w:sz w:val="20"/>
          <w:szCs w:val="20"/>
          <w:lang w:val="en-GB"/>
        </w:rPr>
        <w:br/>
        <w:t xml:space="preserve">Many children display high levels of acceptance and reflection, adjusting </w:t>
      </w:r>
      <w:r w:rsidR="003D3E10" w:rsidRPr="00E83595">
        <w:rPr>
          <w:rFonts w:ascii="Arial" w:hAnsi="Arial" w:cs="Arial"/>
          <w:sz w:val="20"/>
          <w:szCs w:val="20"/>
          <w:lang w:val="en-GB"/>
        </w:rPr>
        <w:t>behaviour</w:t>
      </w:r>
      <w:r w:rsidRPr="00E83595">
        <w:rPr>
          <w:rFonts w:ascii="Arial" w:hAnsi="Arial" w:cs="Arial"/>
          <w:sz w:val="20"/>
          <w:szCs w:val="20"/>
          <w:lang w:val="en-GB"/>
        </w:rPr>
        <w:t xml:space="preserve"> to avoid overburden (</w:t>
      </w:r>
      <w:r w:rsidR="003D3E10">
        <w:rPr>
          <w:rFonts w:ascii="Arial" w:hAnsi="Arial" w:cs="Arial"/>
          <w:sz w:val="20"/>
          <w:szCs w:val="20"/>
          <w:lang w:val="en-GB"/>
        </w:rPr>
        <w:t>for example</w:t>
      </w:r>
      <w:r w:rsidRPr="00E83595">
        <w:rPr>
          <w:rFonts w:ascii="Arial" w:hAnsi="Arial" w:cs="Arial"/>
          <w:sz w:val="20"/>
          <w:szCs w:val="20"/>
          <w:lang w:val="en-GB"/>
        </w:rPr>
        <w:t xml:space="preserve">, meeting less frequently or choosing alternative activities). Some describe their coping with </w:t>
      </w:r>
      <w:r w:rsidR="003D3E10" w:rsidRPr="00E83595">
        <w:rPr>
          <w:rFonts w:ascii="Arial" w:hAnsi="Arial" w:cs="Arial"/>
          <w:sz w:val="20"/>
          <w:szCs w:val="20"/>
          <w:lang w:val="en-GB"/>
        </w:rPr>
        <w:t>humour</w:t>
      </w:r>
      <w:r w:rsidRPr="00E83595">
        <w:rPr>
          <w:rFonts w:ascii="Arial" w:hAnsi="Arial" w:cs="Arial"/>
          <w:sz w:val="20"/>
          <w:szCs w:val="20"/>
          <w:lang w:val="en-GB"/>
        </w:rPr>
        <w:t xml:space="preserve"> (naming an aid “Emmy” the bucket), which may indicate resilient coping. Adaptations are often seamlessly integrated into daily life and are described in predominantly positive terms: “I basically take part in everything.” (P7). </w:t>
      </w:r>
    </w:p>
    <w:p w14:paraId="3DF4C3E7" w14:textId="759529B5" w:rsidR="003A2B29" w:rsidRPr="000F6486" w:rsidRDefault="003A2B29">
      <w:pPr>
        <w:rPr>
          <w:rFonts w:ascii="Arial" w:hAnsi="Arial" w:cs="Arial"/>
          <w:lang w:val="en-GB"/>
        </w:rPr>
      </w:pPr>
      <w:r w:rsidRPr="00E83595">
        <w:rPr>
          <w:rFonts w:ascii="Arial" w:hAnsi="Arial" w:cs="Arial"/>
          <w:b/>
          <w:bCs/>
          <w:sz w:val="20"/>
          <w:szCs w:val="20"/>
          <w:lang w:val="en-GB"/>
        </w:rPr>
        <w:t>Summary</w:t>
      </w:r>
      <w:r w:rsidRPr="00E83595">
        <w:rPr>
          <w:rFonts w:ascii="Arial" w:hAnsi="Arial" w:cs="Arial"/>
          <w:sz w:val="20"/>
          <w:szCs w:val="20"/>
          <w:lang w:val="en-GB"/>
        </w:rPr>
        <w:br/>
        <w:t>The “Function” theme shows how children, despite significant physical and medical limitations, strive for normality, autonomy, and participation. This requires ongoing adjustment but is usually approached pragmatically and with resilience. School, leisure, social interaction and daily routines are arranged to maximize participation, with the illness as part of life but not the defining feature of it.</w:t>
      </w:r>
    </w:p>
    <w:p w14:paraId="33076F60" w14:textId="77777777" w:rsidR="003A2B29" w:rsidRPr="000F6486" w:rsidRDefault="003A2B29" w:rsidP="003A2B29">
      <w:pPr>
        <w:pStyle w:val="Kop2"/>
        <w:rPr>
          <w:rFonts w:ascii="Arial" w:hAnsi="Arial" w:cs="Arial"/>
          <w:lang w:val="en-GB"/>
        </w:rPr>
      </w:pPr>
      <w:r w:rsidRPr="000F6486">
        <w:rPr>
          <w:rFonts w:ascii="Arial" w:hAnsi="Arial" w:cs="Arial"/>
          <w:lang w:val="en-GB"/>
        </w:rPr>
        <w:lastRenderedPageBreak/>
        <w:t>Family</w:t>
      </w:r>
    </w:p>
    <w:p w14:paraId="3F487740" w14:textId="1544480F" w:rsidR="003A2B29" w:rsidRPr="00E83595" w:rsidRDefault="003A2B29" w:rsidP="003A2B29">
      <w:pPr>
        <w:rPr>
          <w:rFonts w:ascii="Arial" w:hAnsi="Arial" w:cs="Arial"/>
          <w:sz w:val="20"/>
          <w:szCs w:val="20"/>
          <w:lang w:val="en-GB"/>
        </w:rPr>
      </w:pPr>
      <w:r w:rsidRPr="00E83595">
        <w:rPr>
          <w:rFonts w:ascii="Arial" w:hAnsi="Arial" w:cs="Arial"/>
          <w:sz w:val="20"/>
          <w:szCs w:val="20"/>
          <w:lang w:val="en-GB"/>
        </w:rPr>
        <w:t>Within the “Family” theme, the family emerges as a central source of safety, continuity and emotional support. In nearly all narratives the family is portrayed as the primary provider of care, closeness and security</w:t>
      </w:r>
      <w:r w:rsidR="003D3E10">
        <w:rPr>
          <w:rFonts w:ascii="Arial" w:hAnsi="Arial" w:cs="Arial"/>
          <w:sz w:val="20"/>
          <w:szCs w:val="20"/>
          <w:lang w:val="en-GB"/>
        </w:rPr>
        <w:t>,</w:t>
      </w:r>
      <w:r w:rsidRPr="00E83595">
        <w:rPr>
          <w:rFonts w:ascii="Arial" w:hAnsi="Arial" w:cs="Arial"/>
          <w:sz w:val="20"/>
          <w:szCs w:val="20"/>
          <w:lang w:val="en-GB"/>
        </w:rPr>
        <w:t xml:space="preserve"> both practically and emotionally. “My mother is there for me during the day. She looks after me when I’m in pain, rubs my back when I vomit, helps me to the toilet, and prepares meals. In the evenings and </w:t>
      </w:r>
      <w:r w:rsidR="009822E1" w:rsidRPr="00E83595">
        <w:rPr>
          <w:rFonts w:ascii="Arial" w:hAnsi="Arial" w:cs="Arial"/>
          <w:sz w:val="20"/>
          <w:szCs w:val="20"/>
          <w:lang w:val="en-GB"/>
        </w:rPr>
        <w:t>nights,</w:t>
      </w:r>
      <w:r w:rsidRPr="00E83595">
        <w:rPr>
          <w:rFonts w:ascii="Arial" w:hAnsi="Arial" w:cs="Arial"/>
          <w:sz w:val="20"/>
          <w:szCs w:val="20"/>
          <w:lang w:val="en-GB"/>
        </w:rPr>
        <w:t xml:space="preserve"> I have my father. After a day of caring for </w:t>
      </w:r>
      <w:r w:rsidR="009822E1" w:rsidRPr="00E83595">
        <w:rPr>
          <w:rFonts w:ascii="Arial" w:hAnsi="Arial" w:cs="Arial"/>
          <w:sz w:val="20"/>
          <w:szCs w:val="20"/>
          <w:lang w:val="en-GB"/>
        </w:rPr>
        <w:t>me,</w:t>
      </w:r>
      <w:r w:rsidRPr="00E83595">
        <w:rPr>
          <w:rFonts w:ascii="Arial" w:hAnsi="Arial" w:cs="Arial"/>
          <w:sz w:val="20"/>
          <w:szCs w:val="20"/>
          <w:lang w:val="en-GB"/>
        </w:rPr>
        <w:t xml:space="preserve"> my mother is exhausted, so I sit downstairs with my father every evening.” (P10). </w:t>
      </w:r>
    </w:p>
    <w:p w14:paraId="3FA27138" w14:textId="766DF5F8"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Role distribution</w:t>
      </w:r>
      <w:r w:rsidRPr="00E83595">
        <w:rPr>
          <w:rFonts w:ascii="Arial" w:hAnsi="Arial" w:cs="Arial"/>
          <w:sz w:val="20"/>
          <w:szCs w:val="20"/>
          <w:lang w:val="en-GB"/>
        </w:rPr>
        <w:br/>
        <w:t xml:space="preserve">A recurrent pattern is the experienced unconditional availability of family members. Children describe how parents anticipate their needs without the child having to explain (“then they’d </w:t>
      </w:r>
      <w:r w:rsidR="009822E1" w:rsidRPr="00E83595">
        <w:rPr>
          <w:rFonts w:ascii="Arial" w:hAnsi="Arial" w:cs="Arial"/>
          <w:sz w:val="20"/>
          <w:szCs w:val="20"/>
          <w:lang w:val="en-GB"/>
        </w:rPr>
        <w:t>say,</w:t>
      </w:r>
      <w:r w:rsidRPr="00E83595">
        <w:rPr>
          <w:rFonts w:ascii="Arial" w:hAnsi="Arial" w:cs="Arial"/>
          <w:sz w:val="20"/>
          <w:szCs w:val="20"/>
          <w:lang w:val="en-GB"/>
        </w:rPr>
        <w:t xml:space="preserve"> ‘come on, let’s go’ and I didn’t have to ask or explain” (P3)), and how family members step in immediately during crises. Shared experiences of illness may create rituals (</w:t>
      </w:r>
      <w:r w:rsidR="003D3E10">
        <w:rPr>
          <w:rFonts w:ascii="Arial" w:hAnsi="Arial" w:cs="Arial"/>
          <w:sz w:val="20"/>
          <w:szCs w:val="20"/>
          <w:lang w:val="en-GB"/>
        </w:rPr>
        <w:t>for example</w:t>
      </w:r>
      <w:r w:rsidRPr="00E83595">
        <w:rPr>
          <w:rFonts w:ascii="Arial" w:hAnsi="Arial" w:cs="Arial"/>
          <w:sz w:val="20"/>
          <w:szCs w:val="20"/>
          <w:lang w:val="en-GB"/>
        </w:rPr>
        <w:t xml:space="preserve">, family prayer in religious families, or family messaging groups where support is exchanged). </w:t>
      </w:r>
    </w:p>
    <w:p w14:paraId="4B7E612D" w14:textId="7382169D"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Siblings</w:t>
      </w:r>
      <w:r w:rsidRPr="00E83595">
        <w:rPr>
          <w:rFonts w:ascii="Arial" w:hAnsi="Arial" w:cs="Arial"/>
          <w:sz w:val="20"/>
          <w:szCs w:val="20"/>
          <w:lang w:val="en-GB"/>
        </w:rPr>
        <w:br/>
        <w:t xml:space="preserve">Siblings have a variable role: sometimes supportive, sometimes a source of conflict. Tension arises when siblings feel they must give up aspects of their own lives, leading to friction: “My little sister sometimes finds it annoying when we can’t do things. Like when I’m in a foreign town in summer and want to go home after half an hour.” (P4). </w:t>
      </w:r>
    </w:p>
    <w:p w14:paraId="4F794300" w14:textId="60AA780C"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Guilt and tensions</w:t>
      </w:r>
      <w:r w:rsidRPr="00E83595">
        <w:rPr>
          <w:rFonts w:ascii="Arial" w:hAnsi="Arial" w:cs="Arial"/>
          <w:sz w:val="20"/>
          <w:szCs w:val="20"/>
          <w:lang w:val="en-GB"/>
        </w:rPr>
        <w:br/>
        <w:t>Children recognise that their condition affects the lives of siblings and parents; some feel guilty about adjustments or cancellations. While most describe their family as supportive, some note irritations or tensions, including negative experiences with home care</w:t>
      </w:r>
      <w:r w:rsidR="00707147" w:rsidRPr="00E83595">
        <w:rPr>
          <w:rFonts w:ascii="Arial" w:hAnsi="Arial" w:cs="Arial"/>
          <w:sz w:val="20"/>
          <w:szCs w:val="20"/>
          <w:lang w:val="en-GB"/>
        </w:rPr>
        <w:t>,</w:t>
      </w:r>
      <w:r w:rsidRPr="00E83595">
        <w:rPr>
          <w:rFonts w:ascii="Arial" w:hAnsi="Arial" w:cs="Arial"/>
          <w:sz w:val="20"/>
          <w:szCs w:val="20"/>
          <w:lang w:val="en-GB"/>
        </w:rPr>
        <w:t xml:space="preserve"> “we no longer have home care visits because I feel safer when my parents help me.” (P8). </w:t>
      </w:r>
    </w:p>
    <w:p w14:paraId="4C4D7A7E" w14:textId="06CC5DAC" w:rsidR="003A2B29" w:rsidRPr="000F6486" w:rsidRDefault="003A2B29" w:rsidP="003A2B29">
      <w:pPr>
        <w:rPr>
          <w:rFonts w:ascii="Arial" w:hAnsi="Arial" w:cs="Arial"/>
          <w:lang w:val="en-GB"/>
        </w:rPr>
      </w:pPr>
      <w:r w:rsidRPr="00E83595">
        <w:rPr>
          <w:rFonts w:ascii="Arial" w:hAnsi="Arial" w:cs="Arial"/>
          <w:b/>
          <w:bCs/>
          <w:sz w:val="20"/>
          <w:szCs w:val="20"/>
          <w:lang w:val="en-GB"/>
        </w:rPr>
        <w:t>Summary</w:t>
      </w:r>
      <w:r w:rsidRPr="00E83595">
        <w:rPr>
          <w:rFonts w:ascii="Arial" w:hAnsi="Arial" w:cs="Arial"/>
          <w:sz w:val="20"/>
          <w:szCs w:val="20"/>
          <w:lang w:val="en-GB"/>
        </w:rPr>
        <w:br/>
        <w:t>Family functions not only as a practical resource but primarily as an emotional anchor and normalizing force. It is the environment where care and love converge and where children, despite complexity, can still feel “just like a child.”</w:t>
      </w:r>
      <w:r w:rsidRPr="000F6486">
        <w:rPr>
          <w:rFonts w:ascii="Arial" w:hAnsi="Arial" w:cs="Arial"/>
          <w:lang w:val="en-GB"/>
        </w:rPr>
        <w:t xml:space="preserve"> </w:t>
      </w:r>
    </w:p>
    <w:p w14:paraId="536101A0" w14:textId="77777777" w:rsidR="003A2B29" w:rsidRPr="000F6486" w:rsidRDefault="003A2B29" w:rsidP="003A2B29">
      <w:pPr>
        <w:pStyle w:val="Kop2"/>
        <w:rPr>
          <w:rFonts w:ascii="Arial" w:hAnsi="Arial" w:cs="Arial"/>
          <w:lang w:val="en-GB"/>
        </w:rPr>
      </w:pPr>
      <w:r w:rsidRPr="000F6486">
        <w:rPr>
          <w:rFonts w:ascii="Arial" w:hAnsi="Arial" w:cs="Arial"/>
          <w:lang w:val="en-GB"/>
        </w:rPr>
        <w:t>Fitness</w:t>
      </w:r>
    </w:p>
    <w:p w14:paraId="4B882666" w14:textId="77777777" w:rsidR="003A2B29" w:rsidRPr="00E83595" w:rsidRDefault="003A2B29" w:rsidP="003A2B29">
      <w:pPr>
        <w:rPr>
          <w:rFonts w:ascii="Arial" w:hAnsi="Arial" w:cs="Arial"/>
          <w:sz w:val="20"/>
          <w:szCs w:val="20"/>
          <w:lang w:val="en-GB"/>
        </w:rPr>
      </w:pPr>
      <w:r w:rsidRPr="00E83595">
        <w:rPr>
          <w:rFonts w:ascii="Arial" w:hAnsi="Arial" w:cs="Arial"/>
          <w:sz w:val="20"/>
          <w:szCs w:val="20"/>
          <w:lang w:val="en-GB"/>
        </w:rPr>
        <w:t xml:space="preserve">The “Fitness” theme shows that physical activity is both a source of pleasure and a confrontation with limits. Children emphasize movement as an outlet, structure and source of self-worth; activities mentioned include swimming, dance, gymnastics, tennis and football. “Swimming gives me a feeling of freedom and pleasure that I do not find in any other sport.” (P1). </w:t>
      </w:r>
    </w:p>
    <w:p w14:paraId="4E6A0739" w14:textId="693245E1"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Physical load and medical limitation</w:t>
      </w:r>
      <w:r w:rsidRPr="00E83595">
        <w:rPr>
          <w:rFonts w:ascii="Arial" w:hAnsi="Arial" w:cs="Arial"/>
          <w:sz w:val="20"/>
          <w:szCs w:val="20"/>
          <w:lang w:val="en-GB"/>
        </w:rPr>
        <w:br/>
        <w:t>At the same time, fatigue, pain, heat-sensitivity or medication affect physical tolerance, forcing children to make choices to avoid overload or symptom exacerbation. Participation in sport rarely comes without planning or medical adjustments (</w:t>
      </w:r>
      <w:r w:rsidR="003D3E10">
        <w:rPr>
          <w:rFonts w:ascii="Arial" w:hAnsi="Arial" w:cs="Arial"/>
          <w:sz w:val="20"/>
          <w:szCs w:val="20"/>
          <w:lang w:val="en-GB"/>
        </w:rPr>
        <w:t xml:space="preserve">including </w:t>
      </w:r>
      <w:r w:rsidRPr="00E83595">
        <w:rPr>
          <w:rFonts w:ascii="Arial" w:hAnsi="Arial" w:cs="Arial"/>
          <w:sz w:val="20"/>
          <w:szCs w:val="20"/>
          <w:lang w:val="en-GB"/>
        </w:rPr>
        <w:t xml:space="preserve">timing pump use around dance lessons or avoiding sun in outdoor activities). These constraints are not always explicitly described as psychologically burdensome but are continuously present in daily life: “I can’t do certain </w:t>
      </w:r>
      <w:r w:rsidR="009822E1" w:rsidRPr="00E83595">
        <w:rPr>
          <w:rFonts w:ascii="Arial" w:hAnsi="Arial" w:cs="Arial"/>
          <w:sz w:val="20"/>
          <w:szCs w:val="20"/>
          <w:lang w:val="en-GB"/>
        </w:rPr>
        <w:t>sports,</w:t>
      </w:r>
      <w:r w:rsidRPr="00E83595">
        <w:rPr>
          <w:rFonts w:ascii="Arial" w:hAnsi="Arial" w:cs="Arial"/>
          <w:sz w:val="20"/>
          <w:szCs w:val="20"/>
          <w:lang w:val="en-GB"/>
        </w:rPr>
        <w:t xml:space="preserve"> and I get tired more quickly. In that case they have to pay more attention, but otherwise not really.” (P9). </w:t>
      </w:r>
    </w:p>
    <w:p w14:paraId="32010A53" w14:textId="48AFC3FF"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Coping strategies and autonomy</w:t>
      </w:r>
      <w:r w:rsidRPr="00E83595">
        <w:rPr>
          <w:rFonts w:ascii="Arial" w:hAnsi="Arial" w:cs="Arial"/>
          <w:sz w:val="20"/>
          <w:szCs w:val="20"/>
          <w:lang w:val="en-GB"/>
        </w:rPr>
        <w:br/>
        <w:t xml:space="preserve">A recurring pattern is finding alternatives or adjusting expectations. Where some have had to give up former competitive sport, they often preserve a sporting identity through other forms of </w:t>
      </w:r>
      <w:r w:rsidRPr="00E83595">
        <w:rPr>
          <w:rFonts w:ascii="Arial" w:hAnsi="Arial" w:cs="Arial"/>
          <w:sz w:val="20"/>
          <w:szCs w:val="20"/>
          <w:lang w:val="en-GB"/>
        </w:rPr>
        <w:lastRenderedPageBreak/>
        <w:t>movement (</w:t>
      </w:r>
      <w:r w:rsidR="003D3E10">
        <w:rPr>
          <w:rFonts w:ascii="Arial" w:hAnsi="Arial" w:cs="Arial"/>
          <w:sz w:val="20"/>
          <w:szCs w:val="20"/>
          <w:lang w:val="en-GB"/>
        </w:rPr>
        <w:t>such as</w:t>
      </w:r>
      <w:r w:rsidRPr="00E83595">
        <w:rPr>
          <w:rFonts w:ascii="Arial" w:hAnsi="Arial" w:cs="Arial"/>
          <w:sz w:val="20"/>
          <w:szCs w:val="20"/>
          <w:lang w:val="en-GB"/>
        </w:rPr>
        <w:t xml:space="preserve">, recreational rather than competitive swimming). There is a clear desire for autonomy; some strongly resist passive alternatives: “I’m not going to be in a wheelchair. I don’t want that.” (P4). </w:t>
      </w:r>
    </w:p>
    <w:p w14:paraId="2DCDAA97" w14:textId="19FEDFC3"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Psychosocial value</w:t>
      </w:r>
      <w:r w:rsidRPr="00E83595">
        <w:rPr>
          <w:rFonts w:ascii="Arial" w:hAnsi="Arial" w:cs="Arial"/>
          <w:sz w:val="20"/>
          <w:szCs w:val="20"/>
          <w:lang w:val="en-GB"/>
        </w:rPr>
        <w:br/>
        <w:t>Physical activity is linked not only to physical health but also to social participation and psychological wellbeing. Dance classes, sport or general movement are mentioned in relation to relaxation, self-confidence and enjoyment</w:t>
      </w:r>
      <w:r w:rsidR="00707147" w:rsidRPr="00E83595">
        <w:rPr>
          <w:rFonts w:ascii="Arial" w:hAnsi="Arial" w:cs="Arial"/>
          <w:sz w:val="20"/>
          <w:szCs w:val="20"/>
          <w:lang w:val="en-GB"/>
        </w:rPr>
        <w:t>,</w:t>
      </w:r>
      <w:r w:rsidRPr="00E83595">
        <w:rPr>
          <w:rFonts w:ascii="Arial" w:hAnsi="Arial" w:cs="Arial"/>
          <w:sz w:val="20"/>
          <w:szCs w:val="20"/>
          <w:lang w:val="en-GB"/>
        </w:rPr>
        <w:t xml:space="preserve"> important means of identity preservation in coping with illness. </w:t>
      </w:r>
    </w:p>
    <w:p w14:paraId="2A59CF48" w14:textId="61DAF250"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Summary</w:t>
      </w:r>
      <w:r w:rsidRPr="00E83595">
        <w:rPr>
          <w:rFonts w:ascii="Arial" w:hAnsi="Arial" w:cs="Arial"/>
          <w:sz w:val="20"/>
          <w:szCs w:val="20"/>
          <w:lang w:val="en-GB"/>
        </w:rPr>
        <w:br/>
        <w:t xml:space="preserve">Fitness for these children is less about athletic performance and more about balance between exertion and recovery, between capability and desire, and between accepting limits and maintaining control. </w:t>
      </w:r>
    </w:p>
    <w:p w14:paraId="5271C250" w14:textId="77777777" w:rsidR="003A2B29" w:rsidRPr="000F6486" w:rsidRDefault="003A2B29" w:rsidP="003A2B29">
      <w:pPr>
        <w:pStyle w:val="Kop2"/>
        <w:rPr>
          <w:rFonts w:ascii="Arial" w:hAnsi="Arial" w:cs="Arial"/>
          <w:lang w:val="en-GB"/>
        </w:rPr>
      </w:pPr>
      <w:r w:rsidRPr="000F6486">
        <w:rPr>
          <w:rFonts w:ascii="Arial" w:hAnsi="Arial" w:cs="Arial"/>
          <w:lang w:val="en-GB"/>
        </w:rPr>
        <w:t>Friends</w:t>
      </w:r>
    </w:p>
    <w:p w14:paraId="71386A00" w14:textId="2F327568" w:rsidR="003A2B29" w:rsidRPr="00E83595" w:rsidRDefault="003A2B29" w:rsidP="003A2B29">
      <w:pPr>
        <w:rPr>
          <w:rFonts w:ascii="Arial" w:hAnsi="Arial" w:cs="Arial"/>
          <w:sz w:val="20"/>
          <w:szCs w:val="20"/>
          <w:lang w:val="en-GB"/>
        </w:rPr>
      </w:pPr>
      <w:r w:rsidRPr="00E83595">
        <w:rPr>
          <w:rFonts w:ascii="Arial" w:hAnsi="Arial" w:cs="Arial"/>
          <w:sz w:val="20"/>
          <w:szCs w:val="20"/>
          <w:lang w:val="en-GB"/>
        </w:rPr>
        <w:t xml:space="preserve">Friendships are fundamental to daily wellbeing, identity maintenance and social participation. Children describe friends as people who treat them “just like everyone else” while still taking their medical situation into account: “My friends are amazing, they treat me like everyone </w:t>
      </w:r>
      <w:r w:rsidR="009822E1" w:rsidRPr="00E83595">
        <w:rPr>
          <w:rFonts w:ascii="Arial" w:hAnsi="Arial" w:cs="Arial"/>
          <w:sz w:val="20"/>
          <w:szCs w:val="20"/>
          <w:lang w:val="en-GB"/>
        </w:rPr>
        <w:t>else,</w:t>
      </w:r>
      <w:r w:rsidRPr="00E83595">
        <w:rPr>
          <w:rFonts w:ascii="Arial" w:hAnsi="Arial" w:cs="Arial"/>
          <w:sz w:val="20"/>
          <w:szCs w:val="20"/>
          <w:lang w:val="en-GB"/>
        </w:rPr>
        <w:t xml:space="preserve"> and I appreciate that a lot.” (P1). </w:t>
      </w:r>
    </w:p>
    <w:p w14:paraId="7C442EB0" w14:textId="278EC2ED"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Practical and emotional support</w:t>
      </w:r>
      <w:r w:rsidRPr="00E83595">
        <w:rPr>
          <w:rFonts w:ascii="Arial" w:hAnsi="Arial" w:cs="Arial"/>
          <w:sz w:val="20"/>
          <w:szCs w:val="20"/>
          <w:lang w:val="en-GB"/>
        </w:rPr>
        <w:br/>
        <w:t>Friendship extends beyond the social domain: friends offer emotional support and practical help (</w:t>
      </w:r>
      <w:r w:rsidR="003D3E10">
        <w:rPr>
          <w:rFonts w:ascii="Arial" w:hAnsi="Arial" w:cs="Arial"/>
          <w:sz w:val="20"/>
          <w:szCs w:val="20"/>
          <w:lang w:val="en-GB"/>
        </w:rPr>
        <w:t>such as</w:t>
      </w:r>
      <w:r w:rsidRPr="00E83595">
        <w:rPr>
          <w:rFonts w:ascii="Arial" w:hAnsi="Arial" w:cs="Arial"/>
          <w:sz w:val="20"/>
          <w:szCs w:val="20"/>
          <w:lang w:val="en-GB"/>
        </w:rPr>
        <w:t xml:space="preserve">, when physical symptoms occur), and often adapt activities to include the child. Examples include choosing different activities if a friend cannot participate or helping in stressful situations (such as finding a toilet when needed). “My friend can help me well. If we go somewhere and I get cramp, he calms me down and quickly looks for a gas station or another place with a toilet.” (P3). </w:t>
      </w:r>
    </w:p>
    <w:p w14:paraId="0AFB8ACC" w14:textId="2AD8CC1A"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Peer-support &amp; fellow sufferers</w:t>
      </w:r>
      <w:r w:rsidRPr="00E83595">
        <w:rPr>
          <w:rFonts w:ascii="Arial" w:hAnsi="Arial" w:cs="Arial"/>
          <w:sz w:val="20"/>
          <w:szCs w:val="20"/>
          <w:lang w:val="en-GB"/>
        </w:rPr>
        <w:br/>
        <w:t xml:space="preserve">Peer contact with other children who have a condition ( through hospital projects or special days like an ‘eczema kids day’) is described as deepening and supportive since it offers understanding without lengthy explanations: “It’s nice to have someone who really understands you.” (P1). </w:t>
      </w:r>
    </w:p>
    <w:p w14:paraId="2ED9E9EB" w14:textId="5A1AB84B"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Misunderstanding and open communication</w:t>
      </w:r>
      <w:r w:rsidRPr="00E83595">
        <w:rPr>
          <w:rFonts w:ascii="Arial" w:hAnsi="Arial" w:cs="Arial"/>
          <w:sz w:val="20"/>
          <w:szCs w:val="20"/>
          <w:lang w:val="en-GB"/>
        </w:rPr>
        <w:br/>
        <w:t xml:space="preserve">Not all experiences are positive. Some children have experienced bullying or misunderstanding at school, resulting in social withdrawal or even a school change. One child explains why they did not tell classmates earlier: “At my old school I was bullied a lot… I didn’t dare tell at home because I was afraid it would make the bullying worse. </w:t>
      </w:r>
      <w:r w:rsidR="009822E1" w:rsidRPr="00E83595">
        <w:rPr>
          <w:rFonts w:ascii="Arial" w:hAnsi="Arial" w:cs="Arial"/>
          <w:sz w:val="20"/>
          <w:szCs w:val="20"/>
          <w:lang w:val="en-GB"/>
        </w:rPr>
        <w:t>So,</w:t>
      </w:r>
      <w:r w:rsidRPr="00E83595">
        <w:rPr>
          <w:rFonts w:ascii="Arial" w:hAnsi="Arial" w:cs="Arial"/>
          <w:sz w:val="20"/>
          <w:szCs w:val="20"/>
          <w:lang w:val="en-GB"/>
        </w:rPr>
        <w:t xml:space="preserve"> it took a long time before I told.” (P6). Conversely, many </w:t>
      </w:r>
      <w:r w:rsidR="003D3E10">
        <w:rPr>
          <w:rFonts w:ascii="Arial" w:hAnsi="Arial" w:cs="Arial"/>
          <w:sz w:val="20"/>
          <w:szCs w:val="20"/>
          <w:lang w:val="en-GB"/>
        </w:rPr>
        <w:t>explain</w:t>
      </w:r>
      <w:r w:rsidRPr="00E83595">
        <w:rPr>
          <w:rFonts w:ascii="Arial" w:hAnsi="Arial" w:cs="Arial"/>
          <w:sz w:val="20"/>
          <w:szCs w:val="20"/>
          <w:lang w:val="en-GB"/>
        </w:rPr>
        <w:t xml:space="preserve"> that early explanation of their condition to classmates helps </w:t>
      </w:r>
      <w:r w:rsidR="003D3E10">
        <w:rPr>
          <w:rFonts w:ascii="Arial" w:hAnsi="Arial" w:cs="Arial"/>
          <w:sz w:val="20"/>
          <w:szCs w:val="20"/>
          <w:lang w:val="en-GB"/>
        </w:rPr>
        <w:t>encourage</w:t>
      </w:r>
      <w:r w:rsidRPr="00E83595">
        <w:rPr>
          <w:rFonts w:ascii="Arial" w:hAnsi="Arial" w:cs="Arial"/>
          <w:sz w:val="20"/>
          <w:szCs w:val="20"/>
          <w:lang w:val="en-GB"/>
        </w:rPr>
        <w:t xml:space="preserve"> understanding and acceptance. </w:t>
      </w:r>
    </w:p>
    <w:p w14:paraId="538A6DA4" w14:textId="4E1CED96" w:rsidR="003A2B29" w:rsidRPr="000F6486" w:rsidRDefault="003A2B29" w:rsidP="003A2B29">
      <w:pPr>
        <w:rPr>
          <w:rFonts w:ascii="Arial" w:hAnsi="Arial" w:cs="Arial"/>
          <w:lang w:val="en-GB"/>
        </w:rPr>
      </w:pPr>
      <w:r w:rsidRPr="00E83595">
        <w:rPr>
          <w:rFonts w:ascii="Arial" w:hAnsi="Arial" w:cs="Arial"/>
          <w:b/>
          <w:bCs/>
          <w:sz w:val="20"/>
          <w:szCs w:val="20"/>
          <w:lang w:val="en-GB"/>
        </w:rPr>
        <w:t>Summary</w:t>
      </w:r>
      <w:r w:rsidRPr="00E83595">
        <w:rPr>
          <w:rFonts w:ascii="Arial" w:hAnsi="Arial" w:cs="Arial"/>
          <w:sz w:val="20"/>
          <w:szCs w:val="20"/>
          <w:lang w:val="en-GB"/>
        </w:rPr>
        <w:br/>
        <w:t xml:space="preserve">Friends are crucial not only for belonging but also for developing a positive self-image and maintaining social resilience. Respect, reciprocity and humour are central elements of these relationships. </w:t>
      </w:r>
    </w:p>
    <w:p w14:paraId="009D06DF" w14:textId="77777777" w:rsidR="003A2B29" w:rsidRPr="000F6486" w:rsidRDefault="003A2B29" w:rsidP="003A2B29">
      <w:pPr>
        <w:pStyle w:val="Kop2"/>
        <w:rPr>
          <w:rFonts w:ascii="Arial" w:hAnsi="Arial" w:cs="Arial"/>
          <w:lang w:val="en-GB"/>
        </w:rPr>
      </w:pPr>
      <w:r w:rsidRPr="000F6486">
        <w:rPr>
          <w:rFonts w:ascii="Arial" w:hAnsi="Arial" w:cs="Arial"/>
          <w:lang w:val="en-GB"/>
        </w:rPr>
        <w:t>Fun</w:t>
      </w:r>
    </w:p>
    <w:p w14:paraId="231D47C5" w14:textId="14821C37" w:rsidR="003A2B29" w:rsidRPr="00E83595" w:rsidRDefault="003A2B29" w:rsidP="003A2B29">
      <w:pPr>
        <w:rPr>
          <w:rFonts w:ascii="Arial" w:hAnsi="Arial" w:cs="Arial"/>
          <w:sz w:val="20"/>
          <w:szCs w:val="20"/>
          <w:lang w:val="en-GB"/>
        </w:rPr>
      </w:pPr>
      <w:r w:rsidRPr="00E83595">
        <w:rPr>
          <w:rFonts w:ascii="Arial" w:hAnsi="Arial" w:cs="Arial"/>
          <w:sz w:val="20"/>
          <w:szCs w:val="20"/>
          <w:lang w:val="en-GB"/>
        </w:rPr>
        <w:t>For these children, fun is more than distraction</w:t>
      </w:r>
      <w:r w:rsidR="00707147" w:rsidRPr="00E83595">
        <w:rPr>
          <w:rFonts w:ascii="Arial" w:hAnsi="Arial" w:cs="Arial"/>
          <w:sz w:val="20"/>
          <w:szCs w:val="20"/>
          <w:lang w:val="en-GB"/>
        </w:rPr>
        <w:t>,</w:t>
      </w:r>
      <w:r w:rsidRPr="00E83595">
        <w:rPr>
          <w:rFonts w:ascii="Arial" w:hAnsi="Arial" w:cs="Arial"/>
          <w:sz w:val="20"/>
          <w:szCs w:val="20"/>
          <w:lang w:val="en-GB"/>
        </w:rPr>
        <w:t xml:space="preserve"> it is a deliberate life stance. Fun helps preserve identity, </w:t>
      </w:r>
      <w:r w:rsidR="00667C04">
        <w:rPr>
          <w:rFonts w:ascii="Arial" w:hAnsi="Arial" w:cs="Arial"/>
          <w:sz w:val="20"/>
          <w:szCs w:val="20"/>
          <w:lang w:val="en-GB"/>
        </w:rPr>
        <w:t>enhances</w:t>
      </w:r>
      <w:r w:rsidRPr="00E83595">
        <w:rPr>
          <w:rFonts w:ascii="Arial" w:hAnsi="Arial" w:cs="Arial"/>
          <w:sz w:val="20"/>
          <w:szCs w:val="20"/>
          <w:lang w:val="en-GB"/>
        </w:rPr>
        <w:t xml:space="preserve"> social connection, gives meaning, and allows children to retain control over </w:t>
      </w:r>
      <w:r w:rsidRPr="00E83595">
        <w:rPr>
          <w:rFonts w:ascii="Arial" w:hAnsi="Arial" w:cs="Arial"/>
          <w:sz w:val="20"/>
          <w:szCs w:val="20"/>
          <w:lang w:val="en-GB"/>
        </w:rPr>
        <w:lastRenderedPageBreak/>
        <w:t xml:space="preserve">how they relate to illness. Despite individual differences in openness, interests and reflection, children consistently use fun as a strength rather than as mere escape. </w:t>
      </w:r>
    </w:p>
    <w:p w14:paraId="683CE068" w14:textId="46D37340"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Social and individual sources</w:t>
      </w:r>
      <w:r w:rsidRPr="00E83595">
        <w:rPr>
          <w:rFonts w:ascii="Arial" w:hAnsi="Arial" w:cs="Arial"/>
          <w:sz w:val="20"/>
          <w:szCs w:val="20"/>
          <w:lang w:val="en-GB"/>
        </w:rPr>
        <w:br/>
        <w:t xml:space="preserve">Children actively seek positive experiences as coping and meaning-making strategies. Fun is both social (gaming, sports, dance, conversations with friends) and individual (reading, writing, chess). “I simply keep my pleasure in the things I can do and do not think about the things I can’t do.” (P1). </w:t>
      </w:r>
    </w:p>
    <w:p w14:paraId="18C989C2" w14:textId="38F93D56"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Mindset and positivity</w:t>
      </w:r>
      <w:r w:rsidRPr="00E83595">
        <w:rPr>
          <w:rFonts w:ascii="Arial" w:hAnsi="Arial" w:cs="Arial"/>
          <w:sz w:val="20"/>
          <w:szCs w:val="20"/>
          <w:lang w:val="en-GB"/>
        </w:rPr>
        <w:br/>
        <w:t>A striking commonality is an active choice for a positive outlook</w:t>
      </w:r>
      <w:r w:rsidR="00707147" w:rsidRPr="00E83595">
        <w:rPr>
          <w:rFonts w:ascii="Arial" w:hAnsi="Arial" w:cs="Arial"/>
          <w:sz w:val="20"/>
          <w:szCs w:val="20"/>
          <w:lang w:val="en-GB"/>
        </w:rPr>
        <w:t>,</w:t>
      </w:r>
      <w:r w:rsidRPr="00E83595">
        <w:rPr>
          <w:rFonts w:ascii="Arial" w:hAnsi="Arial" w:cs="Arial"/>
          <w:sz w:val="20"/>
          <w:szCs w:val="20"/>
          <w:lang w:val="en-GB"/>
        </w:rPr>
        <w:t xml:space="preserve"> fun is often framed as a mindset (“I always try to look at the positive things” (P9)) rather than as mere chance. Children vary in how they position their illness relative to fun: some adopt openness and public involvement (</w:t>
      </w:r>
      <w:r w:rsidR="00667C04">
        <w:rPr>
          <w:rFonts w:ascii="Arial" w:hAnsi="Arial" w:cs="Arial"/>
          <w:sz w:val="20"/>
          <w:szCs w:val="20"/>
          <w:lang w:val="en-GB"/>
        </w:rPr>
        <w:t>like</w:t>
      </w:r>
      <w:r w:rsidRPr="00E83595">
        <w:rPr>
          <w:rFonts w:ascii="Arial" w:hAnsi="Arial" w:cs="Arial"/>
          <w:sz w:val="20"/>
          <w:szCs w:val="20"/>
          <w:lang w:val="en-GB"/>
        </w:rPr>
        <w:t xml:space="preserve">, participating in advisory groups), others downplay their condition to remain “just” children. </w:t>
      </w:r>
    </w:p>
    <w:p w14:paraId="273F35D0" w14:textId="4CB2D2F9"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Summary</w:t>
      </w:r>
      <w:r w:rsidRPr="00E83595">
        <w:rPr>
          <w:rFonts w:ascii="Arial" w:hAnsi="Arial" w:cs="Arial"/>
          <w:sz w:val="20"/>
          <w:szCs w:val="20"/>
          <w:lang w:val="en-GB"/>
        </w:rPr>
        <w:br/>
        <w:t xml:space="preserve">Across narratives, fun functions as an important psychological resource supporting autonomy, social connection and identity development. </w:t>
      </w:r>
    </w:p>
    <w:p w14:paraId="3C7C1329" w14:textId="77777777" w:rsidR="003A2B29" w:rsidRPr="000F6486" w:rsidRDefault="003A2B29" w:rsidP="003A2B29">
      <w:pPr>
        <w:pStyle w:val="Kop2"/>
        <w:rPr>
          <w:rFonts w:ascii="Arial" w:hAnsi="Arial" w:cs="Arial"/>
          <w:lang w:val="en-GB"/>
        </w:rPr>
      </w:pPr>
      <w:r w:rsidRPr="000F6486">
        <w:rPr>
          <w:rFonts w:ascii="Arial" w:hAnsi="Arial" w:cs="Arial"/>
          <w:lang w:val="en-GB"/>
        </w:rPr>
        <w:t>Future</w:t>
      </w:r>
    </w:p>
    <w:p w14:paraId="7EF7DA0B" w14:textId="77777777" w:rsidR="003A2B29" w:rsidRPr="00E83595" w:rsidRDefault="003A2B29" w:rsidP="003A2B29">
      <w:pPr>
        <w:rPr>
          <w:rFonts w:ascii="Arial" w:hAnsi="Arial" w:cs="Arial"/>
          <w:sz w:val="20"/>
          <w:szCs w:val="20"/>
          <w:lang w:val="en-GB"/>
        </w:rPr>
      </w:pPr>
      <w:r w:rsidRPr="00E83595">
        <w:rPr>
          <w:rFonts w:ascii="Arial" w:hAnsi="Arial" w:cs="Arial"/>
          <w:sz w:val="20"/>
          <w:szCs w:val="20"/>
          <w:lang w:val="en-GB"/>
        </w:rPr>
        <w:t xml:space="preserve">The “Future” theme shows that adolescents with chronic conditions reflect on long-term life plans with hope and purpose. Plans range from finishing education to learning to self-inject, pursuing careers in care, or realizing childhood dreams such as working with animals or in the circus. </w:t>
      </w:r>
    </w:p>
    <w:p w14:paraId="6B6F32B0" w14:textId="03548648"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Future-oriented motivation</w:t>
      </w:r>
      <w:r w:rsidRPr="00E83595">
        <w:rPr>
          <w:rFonts w:ascii="Arial" w:hAnsi="Arial" w:cs="Arial"/>
          <w:sz w:val="20"/>
          <w:szCs w:val="20"/>
          <w:lang w:val="en-GB"/>
        </w:rPr>
        <w:br/>
        <w:t>Many adolescents describe ambitious study or career goals. They attend various educational levels</w:t>
      </w:r>
      <w:r w:rsidR="00667C04">
        <w:rPr>
          <w:rFonts w:ascii="Arial" w:hAnsi="Arial" w:cs="Arial"/>
          <w:sz w:val="20"/>
          <w:szCs w:val="20"/>
          <w:lang w:val="en-GB"/>
        </w:rPr>
        <w:t xml:space="preserve">, </w:t>
      </w:r>
      <w:r w:rsidRPr="00E83595">
        <w:rPr>
          <w:rFonts w:ascii="Arial" w:hAnsi="Arial" w:cs="Arial"/>
          <w:sz w:val="20"/>
          <w:szCs w:val="20"/>
          <w:lang w:val="en-GB"/>
        </w:rPr>
        <w:t>often combining education with internships or part-time jobs. Some consider further study or identify professions such as lawyer, judge, pedagogical worker or scientific researcher</w:t>
      </w:r>
      <w:r w:rsidR="00707147" w:rsidRPr="00E83595">
        <w:rPr>
          <w:rFonts w:ascii="Arial" w:hAnsi="Arial" w:cs="Arial"/>
          <w:sz w:val="20"/>
          <w:szCs w:val="20"/>
          <w:lang w:val="en-GB"/>
        </w:rPr>
        <w:t>,</w:t>
      </w:r>
      <w:r w:rsidRPr="00E83595">
        <w:rPr>
          <w:rFonts w:ascii="Arial" w:hAnsi="Arial" w:cs="Arial"/>
          <w:sz w:val="20"/>
          <w:szCs w:val="20"/>
          <w:lang w:val="en-GB"/>
        </w:rPr>
        <w:t xml:space="preserve"> frequently motivated by a desire to help others, sometimes inspired by their own experiences as patients: “In the future I want to do something that helps people… maybe something in science.” (P8). </w:t>
      </w:r>
    </w:p>
    <w:p w14:paraId="0E2F178E" w14:textId="5CB03A3E"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Illness and future perspective</w:t>
      </w:r>
      <w:r w:rsidRPr="00E83595">
        <w:rPr>
          <w:rFonts w:ascii="Arial" w:hAnsi="Arial" w:cs="Arial"/>
          <w:sz w:val="20"/>
          <w:szCs w:val="20"/>
          <w:lang w:val="en-GB"/>
        </w:rPr>
        <w:br/>
        <w:t xml:space="preserve">Although young people acknowledge that their condition is a lasting factor, most do not regard it as an insurmountable barrier. Practical obstacles (motor limitations, frequent hospital visits) are acknowledged but often paired with strategies to cope. There is a strong desire to “just continue with life”: “I just want to do what I used to do. Even if it gives me belly pain.” (P3). </w:t>
      </w:r>
    </w:p>
    <w:p w14:paraId="1086A208" w14:textId="6FB73E4E"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 xml:space="preserve">Self-determination and </w:t>
      </w:r>
      <w:r w:rsidR="00667C04">
        <w:rPr>
          <w:rFonts w:ascii="Arial" w:hAnsi="Arial" w:cs="Arial"/>
          <w:b/>
          <w:bCs/>
          <w:sz w:val="20"/>
          <w:szCs w:val="20"/>
          <w:lang w:val="en-GB"/>
        </w:rPr>
        <w:t>autonomy</w:t>
      </w:r>
      <w:r w:rsidRPr="00E83595">
        <w:rPr>
          <w:rFonts w:ascii="Arial" w:hAnsi="Arial" w:cs="Arial"/>
          <w:sz w:val="20"/>
          <w:szCs w:val="20"/>
          <w:lang w:val="en-GB"/>
        </w:rPr>
        <w:br/>
        <w:t xml:space="preserve">Taking control over treatment and health is important; adolescents want to be involved in medical decisions (timing of an injection or learning to self-inject). They express frustration when excluded from decisions that concern them, underscoring the need for child-centred communication: “And for people who work in hospitals I think they should sometimes ask more about what children find important. It’s not just between nurses or </w:t>
      </w:r>
      <w:r w:rsidR="009822E1" w:rsidRPr="00E83595">
        <w:rPr>
          <w:rFonts w:ascii="Arial" w:hAnsi="Arial" w:cs="Arial"/>
          <w:sz w:val="20"/>
          <w:szCs w:val="20"/>
          <w:lang w:val="en-GB"/>
        </w:rPr>
        <w:t>parents;</w:t>
      </w:r>
      <w:r w:rsidRPr="00E83595">
        <w:rPr>
          <w:rFonts w:ascii="Arial" w:hAnsi="Arial" w:cs="Arial"/>
          <w:sz w:val="20"/>
          <w:szCs w:val="20"/>
          <w:lang w:val="en-GB"/>
        </w:rPr>
        <w:t xml:space="preserve"> it’s also about me.” (P2). </w:t>
      </w:r>
    </w:p>
    <w:p w14:paraId="3EF4063F" w14:textId="63DE28C0" w:rsidR="003A2B29" w:rsidRPr="00E83595" w:rsidRDefault="003A2B29" w:rsidP="003A2B29">
      <w:pPr>
        <w:rPr>
          <w:rFonts w:ascii="Arial" w:hAnsi="Arial" w:cs="Arial"/>
          <w:sz w:val="20"/>
          <w:szCs w:val="20"/>
          <w:lang w:val="en-GB"/>
        </w:rPr>
      </w:pPr>
      <w:r w:rsidRPr="00E83595">
        <w:rPr>
          <w:rFonts w:ascii="Arial" w:hAnsi="Arial" w:cs="Arial"/>
          <w:b/>
          <w:bCs/>
          <w:sz w:val="20"/>
          <w:szCs w:val="20"/>
          <w:lang w:val="en-GB"/>
        </w:rPr>
        <w:t>Meaning and ideals</w:t>
      </w:r>
      <w:r w:rsidRPr="00E83595">
        <w:rPr>
          <w:rFonts w:ascii="Arial" w:hAnsi="Arial" w:cs="Arial"/>
          <w:sz w:val="20"/>
          <w:szCs w:val="20"/>
          <w:lang w:val="en-GB"/>
        </w:rPr>
        <w:br/>
        <w:t xml:space="preserve">Beyond concrete plans there is a focus on meaning and idealism. Many want to turn their experiences into something positive for others (helping other sick children, starting a children’s farm, researching medicines), reflecting empathy, engagement and future-oriented thinking despite ongoing limitations. </w:t>
      </w:r>
    </w:p>
    <w:p w14:paraId="5724CE4B" w14:textId="5CCE35AD" w:rsidR="003A2B29" w:rsidRPr="000F6486" w:rsidRDefault="003A2B29">
      <w:pPr>
        <w:rPr>
          <w:rFonts w:ascii="Arial" w:hAnsi="Arial" w:cs="Arial"/>
          <w:lang w:val="en-GB"/>
        </w:rPr>
      </w:pPr>
      <w:r w:rsidRPr="00E83595">
        <w:rPr>
          <w:rFonts w:ascii="Arial" w:hAnsi="Arial" w:cs="Arial"/>
          <w:b/>
          <w:bCs/>
          <w:sz w:val="20"/>
          <w:szCs w:val="20"/>
          <w:lang w:val="en-GB"/>
        </w:rPr>
        <w:lastRenderedPageBreak/>
        <w:t>Summary</w:t>
      </w:r>
      <w:r w:rsidRPr="00E83595">
        <w:rPr>
          <w:rFonts w:ascii="Arial" w:hAnsi="Arial" w:cs="Arial"/>
          <w:sz w:val="20"/>
          <w:szCs w:val="20"/>
          <w:lang w:val="en-GB"/>
        </w:rPr>
        <w:br/>
        <w:t>The “Future” theme balances hope and realism. Adolescents actively build toward their future, placing high value on autonomy, participation in decisions, and a meaningful life. The illness remains present but is usually positioned as a background against which ambitions are pursued.</w:t>
      </w:r>
    </w:p>
    <w:p w14:paraId="5EA94770" w14:textId="77777777" w:rsidR="00223F1B" w:rsidRPr="000F6486" w:rsidRDefault="00000000" w:rsidP="003A2B29">
      <w:pPr>
        <w:pStyle w:val="Kop1"/>
        <w:rPr>
          <w:rFonts w:ascii="Arial" w:hAnsi="Arial" w:cs="Arial"/>
        </w:rPr>
      </w:pPr>
      <w:r w:rsidRPr="000F6486">
        <w:rPr>
          <w:rFonts w:ascii="Arial" w:hAnsi="Arial" w:cs="Arial"/>
        </w:rPr>
        <w:t>Discussion</w:t>
      </w:r>
    </w:p>
    <w:p w14:paraId="1F2688E1" w14:textId="77777777" w:rsidR="00223F1B" w:rsidRPr="00E83595" w:rsidRDefault="00000000">
      <w:pPr>
        <w:rPr>
          <w:rFonts w:ascii="Arial" w:hAnsi="Arial" w:cs="Arial"/>
          <w:sz w:val="20"/>
          <w:szCs w:val="20"/>
        </w:rPr>
      </w:pPr>
      <w:r w:rsidRPr="00E83595">
        <w:rPr>
          <w:rFonts w:ascii="Arial" w:hAnsi="Arial" w:cs="Arial"/>
          <w:sz w:val="20"/>
          <w:szCs w:val="20"/>
        </w:rPr>
        <w:t>Applying the 6-F model to the Children’s Story Bank confirms the broad applicability of this holistic framework. The six domains provided structure to the diversity of experiences and revealed clear patterns: ‘Function’ was the most frequently referenced, while ‘Fitness’ and ‘Future’ were mentioned relatively less often. This may reflect the immediate importance of daily functioning for children, and the less prominent role of physical fitness and future expectations in their stories.</w:t>
      </w:r>
    </w:p>
    <w:p w14:paraId="245DD683" w14:textId="518E3A16" w:rsidR="00223F1B" w:rsidRPr="00E83595" w:rsidRDefault="00000000">
      <w:pPr>
        <w:rPr>
          <w:rFonts w:ascii="Arial" w:hAnsi="Arial" w:cs="Arial"/>
          <w:sz w:val="20"/>
          <w:szCs w:val="20"/>
        </w:rPr>
      </w:pPr>
      <w:r w:rsidRPr="00E83595">
        <w:rPr>
          <w:rFonts w:ascii="Arial" w:hAnsi="Arial" w:cs="Arial"/>
          <w:sz w:val="20"/>
          <w:szCs w:val="20"/>
        </w:rPr>
        <w:t>Traditionally, the 6-F model is used as a discussion or evaluation tool in rehabilitation medicine.</w:t>
      </w:r>
      <w:r w:rsidR="008A5624">
        <w:rPr>
          <w:rFonts w:ascii="Arial" w:hAnsi="Arial" w:cs="Arial"/>
          <w:sz w:val="20"/>
          <w:szCs w:val="20"/>
          <w:vertAlign w:val="superscript"/>
        </w:rPr>
        <w:t>1</w:t>
      </w:r>
      <w:r w:rsidR="00A23517">
        <w:rPr>
          <w:rFonts w:ascii="Arial" w:hAnsi="Arial" w:cs="Arial"/>
          <w:sz w:val="20"/>
          <w:szCs w:val="20"/>
          <w:vertAlign w:val="superscript"/>
        </w:rPr>
        <w:t>4</w:t>
      </w:r>
      <w:r w:rsidR="008A5624">
        <w:rPr>
          <w:rFonts w:ascii="Arial" w:hAnsi="Arial" w:cs="Arial"/>
          <w:sz w:val="20"/>
          <w:szCs w:val="20"/>
          <w:vertAlign w:val="superscript"/>
        </w:rPr>
        <w:t>,1</w:t>
      </w:r>
      <w:r w:rsidR="00A23517">
        <w:rPr>
          <w:rFonts w:ascii="Arial" w:hAnsi="Arial" w:cs="Arial"/>
          <w:sz w:val="20"/>
          <w:szCs w:val="20"/>
          <w:vertAlign w:val="superscript"/>
        </w:rPr>
        <w:t>5</w:t>
      </w:r>
      <w:r w:rsidR="008A5624">
        <w:rPr>
          <w:rFonts w:ascii="Arial" w:hAnsi="Arial" w:cs="Arial"/>
          <w:sz w:val="20"/>
          <w:szCs w:val="20"/>
          <w:vertAlign w:val="superscript"/>
        </w:rPr>
        <w:t>,1</w:t>
      </w:r>
      <w:r w:rsidR="00A23517">
        <w:rPr>
          <w:rFonts w:ascii="Arial" w:hAnsi="Arial" w:cs="Arial"/>
          <w:sz w:val="20"/>
          <w:szCs w:val="20"/>
          <w:vertAlign w:val="superscript"/>
        </w:rPr>
        <w:t>6</w:t>
      </w:r>
      <w:r w:rsidR="008A5624">
        <w:rPr>
          <w:rFonts w:ascii="Arial" w:hAnsi="Arial" w:cs="Arial"/>
          <w:sz w:val="20"/>
          <w:szCs w:val="20"/>
          <w:vertAlign w:val="superscript"/>
        </w:rPr>
        <w:t>,1</w:t>
      </w:r>
      <w:r w:rsidR="00A23517">
        <w:rPr>
          <w:rFonts w:ascii="Arial" w:hAnsi="Arial" w:cs="Arial"/>
          <w:sz w:val="20"/>
          <w:szCs w:val="20"/>
          <w:vertAlign w:val="superscript"/>
        </w:rPr>
        <w:t>7</w:t>
      </w:r>
      <w:r w:rsidRPr="00E83595">
        <w:rPr>
          <w:rFonts w:ascii="Arial" w:hAnsi="Arial" w:cs="Arial"/>
          <w:sz w:val="20"/>
          <w:szCs w:val="20"/>
        </w:rPr>
        <w:t xml:space="preserve"> Recent studies, such as research on the impact of the COVID-19 pandemic on children with cerebral palsy, have demonstrated that the model helps make changes across multiple life domains visible, though mental health and coping are only implicitly addressed.</w:t>
      </w:r>
      <w:r w:rsidR="008A5624">
        <w:rPr>
          <w:rFonts w:ascii="Arial" w:hAnsi="Arial" w:cs="Arial"/>
          <w:sz w:val="20"/>
          <w:szCs w:val="20"/>
          <w:vertAlign w:val="superscript"/>
        </w:rPr>
        <w:t>1</w:t>
      </w:r>
      <w:r w:rsidR="00A23517">
        <w:rPr>
          <w:rFonts w:ascii="Arial" w:hAnsi="Arial" w:cs="Arial"/>
          <w:sz w:val="20"/>
          <w:szCs w:val="20"/>
          <w:vertAlign w:val="superscript"/>
        </w:rPr>
        <w:t>8</w:t>
      </w:r>
      <w:r w:rsidRPr="00E83595">
        <w:rPr>
          <w:rFonts w:ascii="Arial" w:hAnsi="Arial" w:cs="Arial"/>
          <w:sz w:val="20"/>
          <w:szCs w:val="20"/>
        </w:rPr>
        <w:t xml:space="preserve"> Applying the model as an analytical framework for narrative data in this study demonstrates that it is also suitable for qualitative research, but also highlights a limitation.</w:t>
      </w:r>
    </w:p>
    <w:p w14:paraId="3EFB30F6" w14:textId="51C380A7" w:rsidR="00223F1B" w:rsidRPr="00E83595" w:rsidRDefault="00000000">
      <w:pPr>
        <w:rPr>
          <w:rFonts w:ascii="Arial" w:hAnsi="Arial" w:cs="Arial"/>
          <w:sz w:val="20"/>
          <w:szCs w:val="20"/>
          <w:vertAlign w:val="superscript"/>
        </w:rPr>
      </w:pPr>
      <w:r w:rsidRPr="00E83595">
        <w:rPr>
          <w:rFonts w:ascii="Arial" w:hAnsi="Arial" w:cs="Arial"/>
          <w:sz w:val="20"/>
          <w:szCs w:val="20"/>
        </w:rPr>
        <w:t>The thematic analysis showed that children speak extensively about emotions, stress, and strategies for coping with their condition, yet these experiences do not fit fully within any of the existing domains. The scientific literature underscores the importance of this. Children with chronic illnesses face an elevated risk of anxiety and mood disorders</w:t>
      </w:r>
      <w:r w:rsidR="00F043A8" w:rsidRPr="00E83595">
        <w:rPr>
          <w:rFonts w:ascii="Arial" w:hAnsi="Arial" w:cs="Arial"/>
          <w:sz w:val="20"/>
          <w:szCs w:val="20"/>
        </w:rPr>
        <w:t>.</w:t>
      </w:r>
      <w:r w:rsidR="008A5624">
        <w:rPr>
          <w:rFonts w:ascii="Arial" w:hAnsi="Arial" w:cs="Arial"/>
          <w:sz w:val="20"/>
          <w:szCs w:val="20"/>
          <w:vertAlign w:val="superscript"/>
        </w:rPr>
        <w:t>1</w:t>
      </w:r>
      <w:r w:rsidR="00A23517">
        <w:rPr>
          <w:rFonts w:ascii="Arial" w:hAnsi="Arial" w:cs="Arial"/>
          <w:sz w:val="20"/>
          <w:szCs w:val="20"/>
          <w:vertAlign w:val="superscript"/>
        </w:rPr>
        <w:t>9</w:t>
      </w:r>
      <w:r w:rsidRPr="00E83595">
        <w:rPr>
          <w:rFonts w:ascii="Arial" w:hAnsi="Arial" w:cs="Arial"/>
          <w:sz w:val="20"/>
          <w:szCs w:val="20"/>
        </w:rPr>
        <w:t xml:space="preserve"> </w:t>
      </w:r>
      <w:r w:rsidR="00667C04">
        <w:rPr>
          <w:rFonts w:ascii="Arial" w:hAnsi="Arial" w:cs="Arial"/>
          <w:sz w:val="20"/>
          <w:szCs w:val="20"/>
        </w:rPr>
        <w:t>Additionally, a</w:t>
      </w:r>
      <w:r w:rsidRPr="00E83595">
        <w:rPr>
          <w:rFonts w:ascii="Arial" w:hAnsi="Arial" w:cs="Arial"/>
          <w:sz w:val="20"/>
          <w:szCs w:val="20"/>
        </w:rPr>
        <w:t>nxiety and stress are also linked to limitations in daily functioning.</w:t>
      </w:r>
      <w:r w:rsidR="00A23517">
        <w:rPr>
          <w:rFonts w:ascii="Arial" w:hAnsi="Arial" w:cs="Arial"/>
          <w:sz w:val="20"/>
          <w:szCs w:val="20"/>
          <w:vertAlign w:val="superscript"/>
        </w:rPr>
        <w:t>20</w:t>
      </w:r>
    </w:p>
    <w:p w14:paraId="4592313F" w14:textId="77777777" w:rsidR="00223F1B" w:rsidRPr="00E83595" w:rsidRDefault="00000000">
      <w:pPr>
        <w:rPr>
          <w:rFonts w:ascii="Arial" w:hAnsi="Arial" w:cs="Arial"/>
          <w:sz w:val="20"/>
          <w:szCs w:val="20"/>
        </w:rPr>
      </w:pPr>
      <w:r w:rsidRPr="00E83595">
        <w:rPr>
          <w:rFonts w:ascii="Arial" w:hAnsi="Arial" w:cs="Arial"/>
          <w:sz w:val="20"/>
          <w:szCs w:val="20"/>
        </w:rPr>
        <w:t>To systematically address this psychological dimension, we propose extending the model with a seventh domain: ‘Fear’. This F encompasses not only fear, but also broader mental wellbeing and coping. Including ‘Fear’ may help healthcare professionals identify psychological signals earlier and implement appropriate interventions, for example by structurally screening for anxiety or stress and supporting children in adaptive coping.</w:t>
      </w:r>
    </w:p>
    <w:p w14:paraId="34BE25FC" w14:textId="372C5969" w:rsidR="00E83595" w:rsidRDefault="00000000" w:rsidP="0026064D">
      <w:pPr>
        <w:rPr>
          <w:rFonts w:ascii="Arial" w:hAnsi="Arial" w:cs="Arial"/>
          <w:sz w:val="20"/>
          <w:szCs w:val="20"/>
        </w:rPr>
      </w:pPr>
      <w:r w:rsidRPr="00E83595">
        <w:rPr>
          <w:rFonts w:ascii="Arial" w:hAnsi="Arial" w:cs="Arial"/>
          <w:sz w:val="20"/>
          <w:szCs w:val="20"/>
        </w:rPr>
        <w:t xml:space="preserve">Finally, </w:t>
      </w:r>
      <w:r w:rsidR="00667C04">
        <w:rPr>
          <w:rFonts w:ascii="Arial" w:hAnsi="Arial" w:cs="Arial"/>
          <w:sz w:val="20"/>
          <w:szCs w:val="20"/>
        </w:rPr>
        <w:t xml:space="preserve">it is important to reflect on the methodological limitations. </w:t>
      </w:r>
      <w:r w:rsidRPr="00E83595">
        <w:rPr>
          <w:rFonts w:ascii="Arial" w:hAnsi="Arial" w:cs="Arial"/>
          <w:sz w:val="20"/>
          <w:szCs w:val="20"/>
        </w:rPr>
        <w:t xml:space="preserve">The analysis was conducted by a single researcher without inter-rater reliability, limiting generalizability. The sample was also drawn from a specific online platform, raising the possibility of self-selection. With only ten stories included, the study’s statistical power is limited. Nevertheless, the findings offer valuable insights for both practice and research: </w:t>
      </w:r>
      <w:r w:rsidR="00667C04">
        <w:rPr>
          <w:rFonts w:ascii="Arial" w:hAnsi="Arial" w:cs="Arial"/>
          <w:sz w:val="20"/>
          <w:szCs w:val="20"/>
        </w:rPr>
        <w:t>T</w:t>
      </w:r>
      <w:r w:rsidRPr="00E83595">
        <w:rPr>
          <w:rFonts w:ascii="Arial" w:hAnsi="Arial" w:cs="Arial"/>
          <w:sz w:val="20"/>
          <w:szCs w:val="20"/>
        </w:rPr>
        <w:t xml:space="preserve">he 6-F model, expanded with a seventh F, may serve as a powerful tool for better understanding and centering the voices of children with chronic conditions. A </w:t>
      </w:r>
      <w:r w:rsidR="00667C04">
        <w:rPr>
          <w:rFonts w:ascii="Arial" w:hAnsi="Arial" w:cs="Arial"/>
          <w:sz w:val="20"/>
          <w:szCs w:val="20"/>
        </w:rPr>
        <w:t>future thematic</w:t>
      </w:r>
      <w:r w:rsidRPr="00E83595">
        <w:rPr>
          <w:rFonts w:ascii="Arial" w:hAnsi="Arial" w:cs="Arial"/>
          <w:sz w:val="20"/>
          <w:szCs w:val="20"/>
        </w:rPr>
        <w:t xml:space="preserve"> analysis using the 7th F would further reinforce this importance.</w:t>
      </w:r>
    </w:p>
    <w:p w14:paraId="292EE935" w14:textId="77777777" w:rsidR="0026064D" w:rsidRDefault="0026064D" w:rsidP="0026064D">
      <w:pPr>
        <w:rPr>
          <w:rFonts w:ascii="Arial" w:hAnsi="Arial" w:cs="Arial"/>
          <w:sz w:val="20"/>
          <w:szCs w:val="20"/>
        </w:rPr>
      </w:pPr>
    </w:p>
    <w:p w14:paraId="51E2D0B5" w14:textId="77777777" w:rsidR="0026064D" w:rsidRDefault="0026064D" w:rsidP="0026064D">
      <w:pPr>
        <w:rPr>
          <w:rFonts w:ascii="Arial" w:hAnsi="Arial" w:cs="Arial"/>
          <w:sz w:val="20"/>
          <w:szCs w:val="20"/>
        </w:rPr>
      </w:pPr>
    </w:p>
    <w:p w14:paraId="56DF96E8" w14:textId="77777777" w:rsidR="0026064D" w:rsidRDefault="0026064D" w:rsidP="0026064D">
      <w:pPr>
        <w:rPr>
          <w:rFonts w:ascii="Arial" w:hAnsi="Arial" w:cs="Arial"/>
        </w:rPr>
      </w:pPr>
    </w:p>
    <w:p w14:paraId="5EEDE3D6" w14:textId="69852A8C" w:rsidR="00223F1B" w:rsidRPr="000F6486" w:rsidRDefault="00000000" w:rsidP="003A2B29">
      <w:pPr>
        <w:pStyle w:val="Kop1"/>
        <w:rPr>
          <w:rFonts w:ascii="Arial" w:hAnsi="Arial" w:cs="Arial"/>
        </w:rPr>
      </w:pPr>
      <w:r w:rsidRPr="000F6486">
        <w:rPr>
          <w:rFonts w:ascii="Arial" w:hAnsi="Arial" w:cs="Arial"/>
        </w:rPr>
        <w:lastRenderedPageBreak/>
        <w:t>Conclusion</w:t>
      </w:r>
    </w:p>
    <w:p w14:paraId="674A62CE" w14:textId="77777777" w:rsidR="00223F1B" w:rsidRPr="00E83595" w:rsidRDefault="00000000">
      <w:pPr>
        <w:rPr>
          <w:rFonts w:ascii="Arial" w:hAnsi="Arial" w:cs="Arial"/>
          <w:sz w:val="20"/>
          <w:szCs w:val="20"/>
        </w:rPr>
      </w:pPr>
      <w:r w:rsidRPr="00E83595">
        <w:rPr>
          <w:rFonts w:ascii="Arial" w:hAnsi="Arial" w:cs="Arial"/>
          <w:sz w:val="20"/>
          <w:szCs w:val="20"/>
        </w:rPr>
        <w:t>The stories demonstrate that the six domains of the 6-F model hold distinct but varied weight in the daily lives of children with chronic conditions.</w:t>
      </w:r>
    </w:p>
    <w:p w14:paraId="2BBD5F6A" w14:textId="73364DEE" w:rsidR="00223F1B" w:rsidRPr="00E83595" w:rsidRDefault="00000000">
      <w:pPr>
        <w:rPr>
          <w:rFonts w:ascii="Arial" w:hAnsi="Arial" w:cs="Arial"/>
          <w:sz w:val="20"/>
          <w:szCs w:val="20"/>
        </w:rPr>
      </w:pPr>
      <w:r w:rsidRPr="00E83595">
        <w:rPr>
          <w:rFonts w:ascii="Arial" w:hAnsi="Arial" w:cs="Arial"/>
          <w:sz w:val="20"/>
          <w:szCs w:val="20"/>
        </w:rPr>
        <w:t xml:space="preserve">A shared similarity is that all children show resilience and actively seek normality. ‘Function’ is the most prominent: they creatively adapt their daily functioning and maintain as much autonomy as possible. ‘Family’ and ‘Friends’ nearly always </w:t>
      </w:r>
      <w:r w:rsidR="009822E1" w:rsidRPr="00E83595">
        <w:rPr>
          <w:rFonts w:ascii="Arial" w:hAnsi="Arial" w:cs="Arial"/>
          <w:sz w:val="20"/>
          <w:szCs w:val="20"/>
        </w:rPr>
        <w:t>serves</w:t>
      </w:r>
      <w:r w:rsidRPr="00E83595">
        <w:rPr>
          <w:rFonts w:ascii="Arial" w:hAnsi="Arial" w:cs="Arial"/>
          <w:sz w:val="20"/>
          <w:szCs w:val="20"/>
        </w:rPr>
        <w:t xml:space="preserve"> as emotional and practical anchors, while ‘Fun’ is consciously used to preserve joy and identity.</w:t>
      </w:r>
    </w:p>
    <w:p w14:paraId="1B023289" w14:textId="77777777" w:rsidR="00223F1B" w:rsidRPr="00E83595" w:rsidRDefault="00000000">
      <w:pPr>
        <w:rPr>
          <w:rFonts w:ascii="Arial" w:hAnsi="Arial" w:cs="Arial"/>
          <w:sz w:val="20"/>
          <w:szCs w:val="20"/>
        </w:rPr>
      </w:pPr>
      <w:r w:rsidRPr="00E83595">
        <w:rPr>
          <w:rFonts w:ascii="Arial" w:hAnsi="Arial" w:cs="Arial"/>
          <w:sz w:val="20"/>
          <w:szCs w:val="20"/>
        </w:rPr>
        <w:t>Differences emerge in that ‘Fitness’ and ‘Future’ are less frequently mentioned and vary greatly: some children experience physical limitations or uncertainty, while others speak hopefully about sports and future aspirations. Within ‘Friends’, children differ in their openness about their condition, ranging from full transparency to deliberately concealing it.</w:t>
      </w:r>
    </w:p>
    <w:p w14:paraId="3E59811E" w14:textId="77D1BCF5" w:rsidR="00223F1B" w:rsidRPr="00E83595" w:rsidRDefault="00000000">
      <w:pPr>
        <w:rPr>
          <w:rFonts w:ascii="Arial" w:hAnsi="Arial" w:cs="Arial"/>
          <w:sz w:val="20"/>
          <w:szCs w:val="20"/>
        </w:rPr>
      </w:pPr>
      <w:r w:rsidRPr="00E83595">
        <w:rPr>
          <w:rFonts w:ascii="Arial" w:hAnsi="Arial" w:cs="Arial"/>
          <w:sz w:val="20"/>
          <w:szCs w:val="20"/>
        </w:rPr>
        <w:t xml:space="preserve">The analysis shows that the 6-F model effectively captures both the diversity and </w:t>
      </w:r>
      <w:r w:rsidR="003E68A6">
        <w:rPr>
          <w:rFonts w:ascii="Arial" w:hAnsi="Arial" w:cs="Arial"/>
          <w:sz w:val="20"/>
          <w:szCs w:val="20"/>
        </w:rPr>
        <w:t>common foundation</w:t>
      </w:r>
      <w:r w:rsidRPr="00E83595">
        <w:rPr>
          <w:rFonts w:ascii="Arial" w:hAnsi="Arial" w:cs="Arial"/>
          <w:sz w:val="20"/>
          <w:szCs w:val="20"/>
        </w:rPr>
        <w:t xml:space="preserve"> of these experiences, but mental burden and coping are not fully addressed. Adding a seventh domain, ‘Fear’, would explicitly highlight this dimension and render the model more complete and future-proof.</w:t>
      </w:r>
    </w:p>
    <w:p w14:paraId="2DD2502F" w14:textId="77777777" w:rsidR="003A2B29" w:rsidRPr="000F6486" w:rsidRDefault="003A2B29">
      <w:pPr>
        <w:rPr>
          <w:rFonts w:ascii="Arial" w:hAnsi="Arial" w:cs="Arial"/>
        </w:rPr>
      </w:pPr>
    </w:p>
    <w:p w14:paraId="53DA2D88" w14:textId="77777777" w:rsidR="003A2B29" w:rsidRPr="000F6486" w:rsidRDefault="003A2B29">
      <w:pPr>
        <w:rPr>
          <w:rFonts w:ascii="Arial" w:hAnsi="Arial" w:cs="Arial"/>
        </w:rPr>
      </w:pPr>
    </w:p>
    <w:p w14:paraId="655F194B" w14:textId="77777777" w:rsidR="003A2B29" w:rsidRPr="000F6486" w:rsidRDefault="003A2B29">
      <w:pPr>
        <w:rPr>
          <w:rFonts w:ascii="Arial" w:hAnsi="Arial" w:cs="Arial"/>
        </w:rPr>
      </w:pPr>
    </w:p>
    <w:p w14:paraId="7C98FFCC" w14:textId="77777777" w:rsidR="003A2B29" w:rsidRPr="000F6486" w:rsidRDefault="003A2B29">
      <w:pPr>
        <w:rPr>
          <w:rFonts w:ascii="Arial" w:hAnsi="Arial" w:cs="Arial"/>
        </w:rPr>
      </w:pPr>
    </w:p>
    <w:p w14:paraId="7821F0A8" w14:textId="77777777" w:rsidR="003A2B29" w:rsidRDefault="003A2B29">
      <w:pPr>
        <w:rPr>
          <w:rFonts w:ascii="Arial" w:hAnsi="Arial" w:cs="Arial"/>
        </w:rPr>
      </w:pPr>
    </w:p>
    <w:p w14:paraId="574FFA3E" w14:textId="77777777" w:rsidR="00E83595" w:rsidRDefault="00E83595">
      <w:pPr>
        <w:rPr>
          <w:rFonts w:ascii="Arial" w:hAnsi="Arial" w:cs="Arial"/>
        </w:rPr>
      </w:pPr>
    </w:p>
    <w:p w14:paraId="5E02DB1D" w14:textId="77777777" w:rsidR="00E83595" w:rsidRDefault="00E83595">
      <w:pPr>
        <w:rPr>
          <w:rFonts w:ascii="Arial" w:hAnsi="Arial" w:cs="Arial"/>
        </w:rPr>
      </w:pPr>
    </w:p>
    <w:p w14:paraId="5350BC65" w14:textId="77777777" w:rsidR="00E83595" w:rsidRDefault="00E83595">
      <w:pPr>
        <w:rPr>
          <w:rFonts w:ascii="Arial" w:hAnsi="Arial" w:cs="Arial"/>
        </w:rPr>
      </w:pPr>
    </w:p>
    <w:p w14:paraId="63F4C5CF" w14:textId="77777777" w:rsidR="00E83595" w:rsidRDefault="00E83595">
      <w:pPr>
        <w:rPr>
          <w:rFonts w:ascii="Arial" w:hAnsi="Arial" w:cs="Arial"/>
        </w:rPr>
      </w:pPr>
    </w:p>
    <w:p w14:paraId="2DEAE56E" w14:textId="77777777" w:rsidR="00E83595" w:rsidRDefault="00E83595">
      <w:pPr>
        <w:rPr>
          <w:rFonts w:ascii="Arial" w:hAnsi="Arial" w:cs="Arial"/>
        </w:rPr>
      </w:pPr>
    </w:p>
    <w:p w14:paraId="1EA349AE" w14:textId="77777777" w:rsidR="00E83595" w:rsidRDefault="00E83595">
      <w:pPr>
        <w:rPr>
          <w:rFonts w:ascii="Arial" w:hAnsi="Arial" w:cs="Arial"/>
        </w:rPr>
      </w:pPr>
    </w:p>
    <w:p w14:paraId="4C7B07F2" w14:textId="77777777" w:rsidR="00E83595" w:rsidRDefault="00E83595">
      <w:pPr>
        <w:rPr>
          <w:rFonts w:ascii="Arial" w:hAnsi="Arial" w:cs="Arial"/>
        </w:rPr>
      </w:pPr>
    </w:p>
    <w:p w14:paraId="5EE2137E" w14:textId="77777777" w:rsidR="00E83595" w:rsidRDefault="00E83595">
      <w:pPr>
        <w:rPr>
          <w:rFonts w:ascii="Arial" w:hAnsi="Arial" w:cs="Arial"/>
        </w:rPr>
      </w:pPr>
    </w:p>
    <w:p w14:paraId="421D19E0" w14:textId="77777777" w:rsidR="00E83595" w:rsidRDefault="00E83595">
      <w:pPr>
        <w:rPr>
          <w:rFonts w:ascii="Arial" w:hAnsi="Arial" w:cs="Arial"/>
        </w:rPr>
      </w:pPr>
    </w:p>
    <w:p w14:paraId="6C383798" w14:textId="77777777" w:rsidR="00E83595" w:rsidRDefault="00E83595">
      <w:pPr>
        <w:rPr>
          <w:rFonts w:ascii="Arial" w:hAnsi="Arial" w:cs="Arial"/>
        </w:rPr>
      </w:pPr>
    </w:p>
    <w:p w14:paraId="5EF33A64" w14:textId="77777777" w:rsidR="00E83595" w:rsidRDefault="00E83595">
      <w:pPr>
        <w:rPr>
          <w:rFonts w:ascii="Arial" w:hAnsi="Arial" w:cs="Arial"/>
        </w:rPr>
      </w:pPr>
    </w:p>
    <w:p w14:paraId="0ABB4374" w14:textId="20E08677" w:rsidR="00223F1B" w:rsidRDefault="00000000" w:rsidP="003A2B29">
      <w:pPr>
        <w:pStyle w:val="Kop1"/>
        <w:rPr>
          <w:rFonts w:ascii="Arial" w:hAnsi="Arial" w:cs="Arial"/>
        </w:rPr>
      </w:pPr>
      <w:r w:rsidRPr="000F6486">
        <w:rPr>
          <w:rFonts w:ascii="Arial" w:hAnsi="Arial" w:cs="Arial"/>
        </w:rPr>
        <w:lastRenderedPageBreak/>
        <w:t>References</w:t>
      </w:r>
      <w:r w:rsidR="00E335C5">
        <w:rPr>
          <w:rFonts w:ascii="Arial" w:hAnsi="Arial" w:cs="Arial"/>
        </w:rPr>
        <w:t xml:space="preserve"> used</w:t>
      </w:r>
    </w:p>
    <w:p w14:paraId="4EF5DB25"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Charon R. Narrative Medicine: A Model for Empathy, Reflection, Profession, and Trust. </w:t>
      </w:r>
      <w:r w:rsidRPr="008826B6">
        <w:rPr>
          <w:rFonts w:ascii="Arial" w:hAnsi="Arial" w:cs="Arial"/>
          <w:i/>
          <w:iCs/>
          <w:sz w:val="20"/>
          <w:szCs w:val="20"/>
          <w:lang w:val="nl-NL"/>
        </w:rPr>
        <w:t>JAMA</w:t>
      </w:r>
      <w:r w:rsidRPr="008826B6">
        <w:rPr>
          <w:rFonts w:ascii="Arial" w:hAnsi="Arial" w:cs="Arial"/>
          <w:sz w:val="20"/>
          <w:szCs w:val="20"/>
          <w:lang w:val="nl-NL"/>
        </w:rPr>
        <w:t>. 2001;286(15):1897–1902. doi:10.1001/jama.286.15.1897</w:t>
      </w:r>
    </w:p>
    <w:p w14:paraId="48E4F5B4" w14:textId="77777777" w:rsid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D’Alessandro V, Giordano M, Cammarota S, Pignatelli A. Enhancing the care of children with chronic diseases through the narratives of patient, physician, nurse and carer. </w:t>
      </w:r>
      <w:r w:rsidRPr="008826B6">
        <w:rPr>
          <w:rFonts w:ascii="Arial" w:hAnsi="Arial" w:cs="Arial"/>
          <w:i/>
          <w:iCs/>
          <w:sz w:val="20"/>
          <w:szCs w:val="20"/>
          <w:lang w:val="nl-NL"/>
        </w:rPr>
        <w:t xml:space="preserve">J </w:t>
      </w:r>
      <w:proofErr w:type="spellStart"/>
      <w:r w:rsidRPr="008826B6">
        <w:rPr>
          <w:rFonts w:ascii="Arial" w:hAnsi="Arial" w:cs="Arial"/>
          <w:i/>
          <w:iCs/>
          <w:sz w:val="20"/>
          <w:szCs w:val="20"/>
          <w:lang w:val="nl-NL"/>
        </w:rPr>
        <w:t>Pediatr</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Nurs</w:t>
      </w:r>
      <w:proofErr w:type="spellEnd"/>
      <w:r w:rsidRPr="008826B6">
        <w:rPr>
          <w:rFonts w:ascii="Arial" w:hAnsi="Arial" w:cs="Arial"/>
          <w:sz w:val="20"/>
          <w:szCs w:val="20"/>
          <w:lang w:val="nl-NL"/>
        </w:rPr>
        <w:t>. 2020;55:293–300. doi:10.1016/j.pedn.2020.07.011</w:t>
      </w:r>
    </w:p>
    <w:p w14:paraId="72E35D53" w14:textId="77777777" w:rsidR="008826B6" w:rsidRDefault="008826B6" w:rsidP="008826B6">
      <w:pPr>
        <w:numPr>
          <w:ilvl w:val="0"/>
          <w:numId w:val="12"/>
        </w:numPr>
        <w:rPr>
          <w:rFonts w:ascii="Arial" w:hAnsi="Arial" w:cs="Arial"/>
          <w:sz w:val="20"/>
          <w:szCs w:val="20"/>
          <w:lang w:val="nl-NL"/>
        </w:rPr>
      </w:pPr>
      <w:proofErr w:type="spellStart"/>
      <w:r w:rsidRPr="008826B6">
        <w:rPr>
          <w:rFonts w:ascii="Arial" w:hAnsi="Arial" w:cs="Arial"/>
          <w:sz w:val="20"/>
          <w:szCs w:val="20"/>
          <w:lang w:val="nl-NL"/>
        </w:rPr>
        <w:t>Wozniak</w:t>
      </w:r>
      <w:proofErr w:type="spellEnd"/>
      <w:r w:rsidRPr="008826B6">
        <w:rPr>
          <w:rFonts w:ascii="Arial" w:hAnsi="Arial" w:cs="Arial"/>
          <w:sz w:val="20"/>
          <w:szCs w:val="20"/>
          <w:lang w:val="nl-NL"/>
        </w:rPr>
        <w:t xml:space="preserve"> KH, </w:t>
      </w:r>
      <w:proofErr w:type="spellStart"/>
      <w:r w:rsidRPr="008826B6">
        <w:rPr>
          <w:rFonts w:ascii="Arial" w:hAnsi="Arial" w:cs="Arial"/>
          <w:sz w:val="20"/>
          <w:szCs w:val="20"/>
          <w:lang w:val="nl-NL"/>
        </w:rPr>
        <w:t>McDermott</w:t>
      </w:r>
      <w:proofErr w:type="spellEnd"/>
      <w:r w:rsidRPr="008826B6">
        <w:rPr>
          <w:rFonts w:ascii="Arial" w:hAnsi="Arial" w:cs="Arial"/>
          <w:sz w:val="20"/>
          <w:szCs w:val="20"/>
          <w:lang w:val="nl-NL"/>
        </w:rPr>
        <w:t xml:space="preserve"> MJ, </w:t>
      </w:r>
      <w:proofErr w:type="spellStart"/>
      <w:r w:rsidRPr="008826B6">
        <w:rPr>
          <w:rFonts w:ascii="Arial" w:hAnsi="Arial" w:cs="Arial"/>
          <w:sz w:val="20"/>
          <w:szCs w:val="20"/>
          <w:lang w:val="nl-NL"/>
        </w:rPr>
        <w:t>Tumin</w:t>
      </w:r>
      <w:proofErr w:type="spellEnd"/>
      <w:r w:rsidRPr="008826B6">
        <w:rPr>
          <w:rFonts w:ascii="Arial" w:hAnsi="Arial" w:cs="Arial"/>
          <w:sz w:val="20"/>
          <w:szCs w:val="20"/>
          <w:lang w:val="nl-NL"/>
        </w:rPr>
        <w:t xml:space="preserve"> D, Tobias JD. </w:t>
      </w:r>
      <w:r w:rsidRPr="008826B6">
        <w:rPr>
          <w:rFonts w:ascii="Arial" w:hAnsi="Arial" w:cs="Arial"/>
          <w:sz w:val="20"/>
          <w:szCs w:val="20"/>
          <w:lang w:val="en-GB"/>
        </w:rPr>
        <w:t xml:space="preserve">Narrative accounts of youth and their mothers with chronic headaches. </w:t>
      </w:r>
      <w:proofErr w:type="spellStart"/>
      <w:r w:rsidRPr="008826B6">
        <w:rPr>
          <w:rFonts w:ascii="Arial" w:hAnsi="Arial" w:cs="Arial"/>
          <w:i/>
          <w:iCs/>
          <w:sz w:val="20"/>
          <w:szCs w:val="20"/>
          <w:lang w:val="nl-NL"/>
        </w:rPr>
        <w:t>Clin</w:t>
      </w:r>
      <w:proofErr w:type="spellEnd"/>
      <w:r w:rsidRPr="008826B6">
        <w:rPr>
          <w:rFonts w:ascii="Arial" w:hAnsi="Arial" w:cs="Arial"/>
          <w:i/>
          <w:iCs/>
          <w:sz w:val="20"/>
          <w:szCs w:val="20"/>
          <w:lang w:val="nl-NL"/>
        </w:rPr>
        <w:t xml:space="preserve"> J </w:t>
      </w:r>
      <w:proofErr w:type="spellStart"/>
      <w:r w:rsidRPr="008826B6">
        <w:rPr>
          <w:rFonts w:ascii="Arial" w:hAnsi="Arial" w:cs="Arial"/>
          <w:i/>
          <w:iCs/>
          <w:sz w:val="20"/>
          <w:szCs w:val="20"/>
          <w:lang w:val="nl-NL"/>
        </w:rPr>
        <w:t>Pain</w:t>
      </w:r>
      <w:proofErr w:type="spellEnd"/>
      <w:r w:rsidRPr="008826B6">
        <w:rPr>
          <w:rFonts w:ascii="Arial" w:hAnsi="Arial" w:cs="Arial"/>
          <w:sz w:val="20"/>
          <w:szCs w:val="20"/>
          <w:lang w:val="nl-NL"/>
        </w:rPr>
        <w:t>. 2024;40(10):791–800. doi:10.1097/AJP.0000000000001248</w:t>
      </w:r>
    </w:p>
    <w:p w14:paraId="70053670" w14:textId="7B4DA0EE" w:rsidR="00591356" w:rsidRPr="00591356" w:rsidRDefault="00591356" w:rsidP="00591356">
      <w:pPr>
        <w:numPr>
          <w:ilvl w:val="0"/>
          <w:numId w:val="12"/>
        </w:numPr>
        <w:rPr>
          <w:rFonts w:ascii="Arial" w:hAnsi="Arial" w:cs="Arial"/>
          <w:sz w:val="20"/>
          <w:szCs w:val="20"/>
          <w:lang w:val="nl-NL"/>
        </w:rPr>
      </w:pPr>
      <w:r w:rsidRPr="008826B6">
        <w:rPr>
          <w:rFonts w:ascii="Arial" w:hAnsi="Arial" w:cs="Arial"/>
          <w:sz w:val="20"/>
          <w:szCs w:val="20"/>
          <w:lang w:val="en-GB"/>
        </w:rPr>
        <w:t xml:space="preserve">Tseng WT, Hung CH, Chiang YH. Narrative medicine in </w:t>
      </w:r>
      <w:proofErr w:type="spellStart"/>
      <w:r w:rsidRPr="008826B6">
        <w:rPr>
          <w:rFonts w:ascii="Arial" w:hAnsi="Arial" w:cs="Arial"/>
          <w:sz w:val="20"/>
          <w:szCs w:val="20"/>
          <w:lang w:val="en-GB"/>
        </w:rPr>
        <w:t>pediatric</w:t>
      </w:r>
      <w:proofErr w:type="spellEnd"/>
      <w:r w:rsidRPr="008826B6">
        <w:rPr>
          <w:rFonts w:ascii="Arial" w:hAnsi="Arial" w:cs="Arial"/>
          <w:sz w:val="20"/>
          <w:szCs w:val="20"/>
          <w:lang w:val="en-GB"/>
        </w:rPr>
        <w:t xml:space="preserve"> medical education and patient care: A scoping review. </w:t>
      </w:r>
      <w:r w:rsidRPr="008826B6">
        <w:rPr>
          <w:rFonts w:ascii="Arial" w:hAnsi="Arial" w:cs="Arial"/>
          <w:i/>
          <w:iCs/>
          <w:sz w:val="20"/>
          <w:szCs w:val="20"/>
          <w:lang w:val="nl-NL"/>
        </w:rPr>
        <w:t xml:space="preserve">Front </w:t>
      </w:r>
      <w:proofErr w:type="spellStart"/>
      <w:r w:rsidRPr="008826B6">
        <w:rPr>
          <w:rFonts w:ascii="Arial" w:hAnsi="Arial" w:cs="Arial"/>
          <w:i/>
          <w:iCs/>
          <w:sz w:val="20"/>
          <w:szCs w:val="20"/>
          <w:lang w:val="nl-NL"/>
        </w:rPr>
        <w:t>Pediatr</w:t>
      </w:r>
      <w:proofErr w:type="spellEnd"/>
      <w:r w:rsidRPr="008826B6">
        <w:rPr>
          <w:rFonts w:ascii="Arial" w:hAnsi="Arial" w:cs="Arial"/>
          <w:sz w:val="20"/>
          <w:szCs w:val="20"/>
          <w:lang w:val="nl-NL"/>
        </w:rPr>
        <w:t>. 2025;13:1391882. doi:10.3389/fped.2025.1391882</w:t>
      </w:r>
    </w:p>
    <w:p w14:paraId="178034DD" w14:textId="77777777" w:rsidR="008826B6" w:rsidRDefault="008826B6" w:rsidP="008826B6">
      <w:pPr>
        <w:numPr>
          <w:ilvl w:val="0"/>
          <w:numId w:val="12"/>
        </w:numPr>
        <w:rPr>
          <w:rFonts w:ascii="Arial" w:hAnsi="Arial" w:cs="Arial"/>
          <w:sz w:val="20"/>
          <w:szCs w:val="20"/>
          <w:lang w:val="en-GB"/>
        </w:rPr>
      </w:pPr>
      <w:r w:rsidRPr="008826B6">
        <w:rPr>
          <w:rFonts w:ascii="Arial" w:hAnsi="Arial" w:cs="Arial"/>
          <w:sz w:val="20"/>
          <w:szCs w:val="20"/>
          <w:lang w:val="en-GB"/>
        </w:rPr>
        <w:t xml:space="preserve">Stålberg A, Larsson I, Coyne I, Arvidsson S. Child participation during outpatient consultations: a mixed methods study. </w:t>
      </w:r>
      <w:proofErr w:type="spellStart"/>
      <w:r w:rsidRPr="00591356">
        <w:rPr>
          <w:rFonts w:ascii="Arial" w:hAnsi="Arial" w:cs="Arial"/>
          <w:i/>
          <w:iCs/>
          <w:sz w:val="20"/>
          <w:szCs w:val="20"/>
          <w:lang w:val="en-GB"/>
        </w:rPr>
        <w:t>Eur</w:t>
      </w:r>
      <w:proofErr w:type="spellEnd"/>
      <w:r w:rsidRPr="00591356">
        <w:rPr>
          <w:rFonts w:ascii="Arial" w:hAnsi="Arial" w:cs="Arial"/>
          <w:i/>
          <w:iCs/>
          <w:sz w:val="20"/>
          <w:szCs w:val="20"/>
          <w:lang w:val="en-GB"/>
        </w:rPr>
        <w:t xml:space="preserve"> J Pediatr</w:t>
      </w:r>
      <w:r w:rsidRPr="00591356">
        <w:rPr>
          <w:rFonts w:ascii="Arial" w:hAnsi="Arial" w:cs="Arial"/>
          <w:sz w:val="20"/>
          <w:szCs w:val="20"/>
          <w:lang w:val="en-GB"/>
        </w:rPr>
        <w:t>. 2024;183(6):2609–2619. doi:10.1007/s00431-024-05566-8</w:t>
      </w:r>
    </w:p>
    <w:p w14:paraId="168FFCDB" w14:textId="001660C5" w:rsidR="00591356" w:rsidRPr="00591356" w:rsidRDefault="00591356" w:rsidP="00591356">
      <w:pPr>
        <w:numPr>
          <w:ilvl w:val="0"/>
          <w:numId w:val="12"/>
        </w:numPr>
        <w:rPr>
          <w:rFonts w:ascii="Arial" w:hAnsi="Arial" w:cs="Arial"/>
          <w:sz w:val="20"/>
          <w:szCs w:val="20"/>
          <w:lang w:val="nl-NL"/>
        </w:rPr>
      </w:pPr>
      <w:proofErr w:type="spellStart"/>
      <w:r w:rsidRPr="008826B6">
        <w:rPr>
          <w:rFonts w:ascii="Arial" w:hAnsi="Arial" w:cs="Arial"/>
          <w:sz w:val="20"/>
          <w:szCs w:val="20"/>
          <w:lang w:val="en-GB"/>
        </w:rPr>
        <w:t>Mastorci</w:t>
      </w:r>
      <w:proofErr w:type="spellEnd"/>
      <w:r w:rsidRPr="008826B6">
        <w:rPr>
          <w:rFonts w:ascii="Arial" w:hAnsi="Arial" w:cs="Arial"/>
          <w:sz w:val="20"/>
          <w:szCs w:val="20"/>
          <w:lang w:val="en-GB"/>
        </w:rPr>
        <w:t xml:space="preserve"> F, Lazzeri MFL, Ait-Ali L, Festa P, Pingitore A. Chronic disease in </w:t>
      </w:r>
      <w:proofErr w:type="spellStart"/>
      <w:r w:rsidRPr="008826B6">
        <w:rPr>
          <w:rFonts w:ascii="Arial" w:hAnsi="Arial" w:cs="Arial"/>
          <w:sz w:val="20"/>
          <w:szCs w:val="20"/>
          <w:lang w:val="en-GB"/>
        </w:rPr>
        <w:t>pediatric</w:t>
      </w:r>
      <w:proofErr w:type="spellEnd"/>
      <w:r w:rsidRPr="008826B6">
        <w:rPr>
          <w:rFonts w:ascii="Arial" w:hAnsi="Arial" w:cs="Arial"/>
          <w:sz w:val="20"/>
          <w:szCs w:val="20"/>
          <w:lang w:val="en-GB"/>
        </w:rPr>
        <w:t xml:space="preserve"> population—A narrative review of psychosocial dimensions and strategies for management. </w:t>
      </w:r>
      <w:proofErr w:type="spellStart"/>
      <w:r w:rsidRPr="008826B6">
        <w:rPr>
          <w:rFonts w:ascii="Arial" w:hAnsi="Arial" w:cs="Arial"/>
          <w:i/>
          <w:iCs/>
          <w:sz w:val="20"/>
          <w:szCs w:val="20"/>
          <w:lang w:val="nl-NL"/>
        </w:rPr>
        <w:t>Children</w:t>
      </w:r>
      <w:proofErr w:type="spellEnd"/>
      <w:r w:rsidRPr="008826B6">
        <w:rPr>
          <w:rFonts w:ascii="Arial" w:hAnsi="Arial" w:cs="Arial"/>
          <w:sz w:val="20"/>
          <w:szCs w:val="20"/>
          <w:lang w:val="nl-NL"/>
        </w:rPr>
        <w:t>. 2025;12(8):967. doi:10.3390/children12080967</w:t>
      </w:r>
    </w:p>
    <w:p w14:paraId="27DCB105" w14:textId="23F7CE81" w:rsidR="00591356" w:rsidRDefault="00591356" w:rsidP="00591356">
      <w:pPr>
        <w:numPr>
          <w:ilvl w:val="0"/>
          <w:numId w:val="12"/>
        </w:numPr>
        <w:rPr>
          <w:rFonts w:ascii="Arial" w:hAnsi="Arial" w:cs="Arial"/>
          <w:sz w:val="20"/>
          <w:szCs w:val="20"/>
          <w:lang w:val="en-GB"/>
        </w:rPr>
      </w:pPr>
      <w:r w:rsidRPr="008826B6">
        <w:rPr>
          <w:rFonts w:ascii="Arial" w:hAnsi="Arial" w:cs="Arial"/>
          <w:sz w:val="20"/>
          <w:szCs w:val="20"/>
          <w:lang w:val="en-GB"/>
        </w:rPr>
        <w:t xml:space="preserve">Ahlsten L, Johansson S, Blomberg K. Increasing the psychosocial focus in child developmental assessments: A qualitative study. </w:t>
      </w:r>
      <w:r w:rsidRPr="00591356">
        <w:rPr>
          <w:rFonts w:ascii="Arial" w:hAnsi="Arial" w:cs="Arial"/>
          <w:i/>
          <w:iCs/>
          <w:sz w:val="20"/>
          <w:szCs w:val="20"/>
          <w:lang w:val="en-GB"/>
        </w:rPr>
        <w:t xml:space="preserve">BMC </w:t>
      </w:r>
      <w:proofErr w:type="spellStart"/>
      <w:r w:rsidRPr="00591356">
        <w:rPr>
          <w:rFonts w:ascii="Arial" w:hAnsi="Arial" w:cs="Arial"/>
          <w:i/>
          <w:iCs/>
          <w:sz w:val="20"/>
          <w:szCs w:val="20"/>
          <w:lang w:val="en-GB"/>
        </w:rPr>
        <w:t>Pediatr</w:t>
      </w:r>
      <w:proofErr w:type="spellEnd"/>
      <w:r w:rsidRPr="00591356">
        <w:rPr>
          <w:rFonts w:ascii="Arial" w:hAnsi="Arial" w:cs="Arial"/>
          <w:sz w:val="20"/>
          <w:szCs w:val="20"/>
          <w:lang w:val="en-GB"/>
        </w:rPr>
        <w:t>. 2023;23:351. doi:10.1186/s12887-023-03849-x</w:t>
      </w:r>
    </w:p>
    <w:p w14:paraId="2AE2101B" w14:textId="77777777" w:rsidR="008826B6" w:rsidRPr="00591356" w:rsidRDefault="008826B6" w:rsidP="008826B6">
      <w:pPr>
        <w:numPr>
          <w:ilvl w:val="0"/>
          <w:numId w:val="12"/>
        </w:numPr>
        <w:rPr>
          <w:rFonts w:ascii="Arial" w:hAnsi="Arial" w:cs="Arial"/>
          <w:sz w:val="20"/>
          <w:szCs w:val="20"/>
          <w:lang w:val="en-GB"/>
        </w:rPr>
      </w:pPr>
      <w:r w:rsidRPr="008826B6">
        <w:rPr>
          <w:rFonts w:ascii="Arial" w:hAnsi="Arial" w:cs="Arial"/>
          <w:sz w:val="20"/>
          <w:szCs w:val="20"/>
          <w:lang w:val="en-GB"/>
        </w:rPr>
        <w:t xml:space="preserve">Scerri A, Camilleri L, Fenech A, Calleja N. The psychosocial impact of childhood dementia on children and their parents: A systematic review. </w:t>
      </w:r>
      <w:proofErr w:type="spellStart"/>
      <w:r w:rsidRPr="00591356">
        <w:rPr>
          <w:rFonts w:ascii="Arial" w:hAnsi="Arial" w:cs="Arial"/>
          <w:i/>
          <w:iCs/>
          <w:sz w:val="20"/>
          <w:szCs w:val="20"/>
          <w:lang w:val="en-GB"/>
        </w:rPr>
        <w:t>Orphanet</w:t>
      </w:r>
      <w:proofErr w:type="spellEnd"/>
      <w:r w:rsidRPr="00591356">
        <w:rPr>
          <w:rFonts w:ascii="Arial" w:hAnsi="Arial" w:cs="Arial"/>
          <w:i/>
          <w:iCs/>
          <w:sz w:val="20"/>
          <w:szCs w:val="20"/>
          <w:lang w:val="en-GB"/>
        </w:rPr>
        <w:t xml:space="preserve"> J Rare Dis</w:t>
      </w:r>
      <w:r w:rsidRPr="00591356">
        <w:rPr>
          <w:rFonts w:ascii="Arial" w:hAnsi="Arial" w:cs="Arial"/>
          <w:sz w:val="20"/>
          <w:szCs w:val="20"/>
          <w:lang w:val="en-GB"/>
        </w:rPr>
        <w:t>. 2023;18:107. doi:10.1186/s13023-023-02859-3</w:t>
      </w:r>
    </w:p>
    <w:p w14:paraId="3D90950E"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Hunter B, Tuckett A, Francis L, Mooney M. Accessing healthcare during the COVID-19 pandemic: Experiences of parents and carers of children with chronic illness. </w:t>
      </w:r>
      <w:r w:rsidRPr="008826B6">
        <w:rPr>
          <w:rFonts w:ascii="Arial" w:hAnsi="Arial" w:cs="Arial"/>
          <w:i/>
          <w:iCs/>
          <w:sz w:val="20"/>
          <w:szCs w:val="20"/>
          <w:lang w:val="nl-NL"/>
        </w:rPr>
        <w:t xml:space="preserve">BMC Health </w:t>
      </w:r>
      <w:proofErr w:type="spellStart"/>
      <w:r w:rsidRPr="008826B6">
        <w:rPr>
          <w:rFonts w:ascii="Arial" w:hAnsi="Arial" w:cs="Arial"/>
          <w:i/>
          <w:iCs/>
          <w:sz w:val="20"/>
          <w:szCs w:val="20"/>
          <w:lang w:val="nl-NL"/>
        </w:rPr>
        <w:t>Serv</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Res</w:t>
      </w:r>
      <w:proofErr w:type="spellEnd"/>
      <w:r w:rsidRPr="008826B6">
        <w:rPr>
          <w:rFonts w:ascii="Arial" w:hAnsi="Arial" w:cs="Arial"/>
          <w:sz w:val="20"/>
          <w:szCs w:val="20"/>
          <w:lang w:val="nl-NL"/>
        </w:rPr>
        <w:t>. 2023;23:984. doi:10.1186/s12913-023-09452-1</w:t>
      </w:r>
    </w:p>
    <w:p w14:paraId="6EB30B3B"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Sun X, Zhang Y, Shang X, Chen Y, Wu B. Current situation and influencing factors of clinical narrative competence of pediatric specialist nurses: a cross-sectional study. </w:t>
      </w:r>
      <w:r w:rsidRPr="008826B6">
        <w:rPr>
          <w:rFonts w:ascii="Arial" w:hAnsi="Arial" w:cs="Arial"/>
          <w:i/>
          <w:iCs/>
          <w:sz w:val="20"/>
          <w:szCs w:val="20"/>
          <w:lang w:val="nl-NL"/>
        </w:rPr>
        <w:t xml:space="preserve">BMC </w:t>
      </w:r>
      <w:proofErr w:type="spellStart"/>
      <w:r w:rsidRPr="008826B6">
        <w:rPr>
          <w:rFonts w:ascii="Arial" w:hAnsi="Arial" w:cs="Arial"/>
          <w:i/>
          <w:iCs/>
          <w:sz w:val="20"/>
          <w:szCs w:val="20"/>
          <w:lang w:val="nl-NL"/>
        </w:rPr>
        <w:t>Nurs</w:t>
      </w:r>
      <w:proofErr w:type="spellEnd"/>
      <w:r w:rsidRPr="008826B6">
        <w:rPr>
          <w:rFonts w:ascii="Arial" w:hAnsi="Arial" w:cs="Arial"/>
          <w:sz w:val="20"/>
          <w:szCs w:val="20"/>
          <w:lang w:val="nl-NL"/>
        </w:rPr>
        <w:t>. 2025;24:157. doi:10.1186/s12912-025-02791-w</w:t>
      </w:r>
    </w:p>
    <w:p w14:paraId="65C2CBC5"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nl-NL"/>
        </w:rPr>
        <w:t xml:space="preserve">Coleman CL, </w:t>
      </w:r>
      <w:proofErr w:type="spellStart"/>
      <w:r w:rsidRPr="008826B6">
        <w:rPr>
          <w:rFonts w:ascii="Arial" w:hAnsi="Arial" w:cs="Arial"/>
          <w:sz w:val="20"/>
          <w:szCs w:val="20"/>
          <w:lang w:val="nl-NL"/>
        </w:rPr>
        <w:t>Bruton</w:t>
      </w:r>
      <w:proofErr w:type="spellEnd"/>
      <w:r w:rsidRPr="008826B6">
        <w:rPr>
          <w:rFonts w:ascii="Arial" w:hAnsi="Arial" w:cs="Arial"/>
          <w:sz w:val="20"/>
          <w:szCs w:val="20"/>
          <w:lang w:val="nl-NL"/>
        </w:rPr>
        <w:t xml:space="preserve"> L, </w:t>
      </w:r>
      <w:proofErr w:type="spellStart"/>
      <w:r w:rsidRPr="008826B6">
        <w:rPr>
          <w:rFonts w:ascii="Arial" w:hAnsi="Arial" w:cs="Arial"/>
          <w:sz w:val="20"/>
          <w:szCs w:val="20"/>
          <w:lang w:val="nl-NL"/>
        </w:rPr>
        <w:t>Adler</w:t>
      </w:r>
      <w:proofErr w:type="spellEnd"/>
      <w:r w:rsidRPr="008826B6">
        <w:rPr>
          <w:rFonts w:ascii="Arial" w:hAnsi="Arial" w:cs="Arial"/>
          <w:sz w:val="20"/>
          <w:szCs w:val="20"/>
          <w:lang w:val="nl-NL"/>
        </w:rPr>
        <w:t xml:space="preserve"> SJ, et al. </w:t>
      </w:r>
      <w:r w:rsidRPr="008826B6">
        <w:rPr>
          <w:rFonts w:ascii="Arial" w:hAnsi="Arial" w:cs="Arial"/>
          <w:sz w:val="20"/>
          <w:szCs w:val="20"/>
          <w:lang w:val="en-GB"/>
        </w:rPr>
        <w:t xml:space="preserve">Understanding complex care through narrative medicine: a qualitative study. </w:t>
      </w:r>
      <w:proofErr w:type="spellStart"/>
      <w:r w:rsidRPr="008826B6">
        <w:rPr>
          <w:rFonts w:ascii="Arial" w:hAnsi="Arial" w:cs="Arial"/>
          <w:i/>
          <w:iCs/>
          <w:sz w:val="20"/>
          <w:szCs w:val="20"/>
          <w:lang w:val="nl-NL"/>
        </w:rPr>
        <w:t>Pediatrics</w:t>
      </w:r>
      <w:proofErr w:type="spellEnd"/>
      <w:r w:rsidRPr="008826B6">
        <w:rPr>
          <w:rFonts w:ascii="Arial" w:hAnsi="Arial" w:cs="Arial"/>
          <w:sz w:val="20"/>
          <w:szCs w:val="20"/>
          <w:lang w:val="nl-NL"/>
        </w:rPr>
        <w:t>. 2025;155(6):e2024069776. doi:10.1542/peds.2024-069776</w:t>
      </w:r>
    </w:p>
    <w:p w14:paraId="7D102FC9" w14:textId="77777777" w:rsidR="008826B6" w:rsidRPr="008826B6" w:rsidRDefault="008826B6" w:rsidP="008826B6">
      <w:pPr>
        <w:numPr>
          <w:ilvl w:val="0"/>
          <w:numId w:val="12"/>
        </w:numPr>
        <w:rPr>
          <w:rFonts w:ascii="Arial" w:hAnsi="Arial" w:cs="Arial"/>
          <w:sz w:val="20"/>
          <w:szCs w:val="20"/>
          <w:lang w:val="en-GB"/>
        </w:rPr>
      </w:pPr>
      <w:r w:rsidRPr="008826B6">
        <w:rPr>
          <w:rFonts w:ascii="Arial" w:hAnsi="Arial" w:cs="Arial"/>
          <w:sz w:val="20"/>
          <w:szCs w:val="20"/>
          <w:lang w:val="en-GB"/>
        </w:rPr>
        <w:t xml:space="preserve">Children’s Story Bank WKZ [Internet]. Children’s Story Bank WKZ. 2024. Available from: </w:t>
      </w:r>
      <w:hyperlink r:id="rId8" w:tgtFrame="_new" w:history="1">
        <w:r w:rsidRPr="008826B6">
          <w:rPr>
            <w:rStyle w:val="Hyperlink"/>
            <w:rFonts w:ascii="Arial" w:hAnsi="Arial" w:cs="Arial"/>
            <w:sz w:val="20"/>
            <w:szCs w:val="20"/>
            <w:lang w:val="en-GB"/>
          </w:rPr>
          <w:t>https://kinderverhalenbankwkz.nl/</w:t>
        </w:r>
      </w:hyperlink>
    </w:p>
    <w:p w14:paraId="71062F72"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Gorter JW. Six Favorite Words (F-words) in Pediatric Rehabilitation. </w:t>
      </w:r>
      <w:r w:rsidRPr="008826B6">
        <w:rPr>
          <w:rFonts w:ascii="Arial" w:hAnsi="Arial" w:cs="Arial"/>
          <w:i/>
          <w:iCs/>
          <w:sz w:val="20"/>
          <w:szCs w:val="20"/>
          <w:lang w:val="nl-NL"/>
        </w:rPr>
        <w:t>NTR</w:t>
      </w:r>
      <w:r w:rsidRPr="008826B6">
        <w:rPr>
          <w:rFonts w:ascii="Arial" w:hAnsi="Arial" w:cs="Arial"/>
          <w:sz w:val="20"/>
          <w:szCs w:val="20"/>
          <w:lang w:val="nl-NL"/>
        </w:rPr>
        <w:t>. 2011 Feb.</w:t>
      </w:r>
    </w:p>
    <w:p w14:paraId="15572B51"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lastRenderedPageBreak/>
        <w:t xml:space="preserve">Rosenbaum P, Gorter JW. The ‘F-words’ in childhood disability: I swear this is how we should think! </w:t>
      </w:r>
      <w:r w:rsidRPr="008826B6">
        <w:rPr>
          <w:rFonts w:ascii="Arial" w:hAnsi="Arial" w:cs="Arial"/>
          <w:i/>
          <w:iCs/>
          <w:sz w:val="20"/>
          <w:szCs w:val="20"/>
          <w:lang w:val="nl-NL"/>
        </w:rPr>
        <w:t xml:space="preserve">Child Care Health </w:t>
      </w:r>
      <w:proofErr w:type="spellStart"/>
      <w:r w:rsidRPr="008826B6">
        <w:rPr>
          <w:rFonts w:ascii="Arial" w:hAnsi="Arial" w:cs="Arial"/>
          <w:i/>
          <w:iCs/>
          <w:sz w:val="20"/>
          <w:szCs w:val="20"/>
          <w:lang w:val="nl-NL"/>
        </w:rPr>
        <w:t>Dev</w:t>
      </w:r>
      <w:proofErr w:type="spellEnd"/>
      <w:r w:rsidRPr="008826B6">
        <w:rPr>
          <w:rFonts w:ascii="Arial" w:hAnsi="Arial" w:cs="Arial"/>
          <w:sz w:val="20"/>
          <w:szCs w:val="20"/>
          <w:lang w:val="nl-NL"/>
        </w:rPr>
        <w:t>. 2012;38(4):457–63. doi:10.1111/j.1365-2214.2011.01338.x</w:t>
      </w:r>
    </w:p>
    <w:p w14:paraId="4C25827D"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Leite HR, Pedroso R, da Silva Santos J, et al. Clinical application of the “F-words Lens Tool” for children with disabilities. </w:t>
      </w:r>
      <w:proofErr w:type="spellStart"/>
      <w:r w:rsidRPr="008826B6">
        <w:rPr>
          <w:rFonts w:ascii="Arial" w:hAnsi="Arial" w:cs="Arial"/>
          <w:i/>
          <w:iCs/>
          <w:sz w:val="20"/>
          <w:szCs w:val="20"/>
          <w:lang w:val="nl-NL"/>
        </w:rPr>
        <w:t>Pediatr</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Phys</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Ther</w:t>
      </w:r>
      <w:proofErr w:type="spellEnd"/>
      <w:r w:rsidRPr="008826B6">
        <w:rPr>
          <w:rFonts w:ascii="Arial" w:hAnsi="Arial" w:cs="Arial"/>
          <w:sz w:val="20"/>
          <w:szCs w:val="20"/>
          <w:lang w:val="nl-NL"/>
        </w:rPr>
        <w:t xml:space="preserve">. 2025;epub </w:t>
      </w:r>
      <w:proofErr w:type="spellStart"/>
      <w:r w:rsidRPr="008826B6">
        <w:rPr>
          <w:rFonts w:ascii="Arial" w:hAnsi="Arial" w:cs="Arial"/>
          <w:sz w:val="20"/>
          <w:szCs w:val="20"/>
          <w:lang w:val="nl-NL"/>
        </w:rPr>
        <w:t>ahead</w:t>
      </w:r>
      <w:proofErr w:type="spellEnd"/>
      <w:r w:rsidRPr="008826B6">
        <w:rPr>
          <w:rFonts w:ascii="Arial" w:hAnsi="Arial" w:cs="Arial"/>
          <w:sz w:val="20"/>
          <w:szCs w:val="20"/>
          <w:lang w:val="nl-NL"/>
        </w:rPr>
        <w:t xml:space="preserve"> of print:1–?. doi:10.1097/PEP.0000000000001262</w:t>
      </w:r>
    </w:p>
    <w:p w14:paraId="560BDADD"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Cross A, Soper AK, Tomas V, et al. Exploring 10 years of dissemination of the F-words for Child Development: A multifaceted case study. </w:t>
      </w:r>
      <w:r w:rsidRPr="008826B6">
        <w:rPr>
          <w:rFonts w:ascii="Arial" w:hAnsi="Arial" w:cs="Arial"/>
          <w:i/>
          <w:iCs/>
          <w:sz w:val="20"/>
          <w:szCs w:val="20"/>
          <w:lang w:val="nl-NL"/>
        </w:rPr>
        <w:t xml:space="preserve">Child Care Health </w:t>
      </w:r>
      <w:proofErr w:type="spellStart"/>
      <w:r w:rsidRPr="008826B6">
        <w:rPr>
          <w:rFonts w:ascii="Arial" w:hAnsi="Arial" w:cs="Arial"/>
          <w:i/>
          <w:iCs/>
          <w:sz w:val="20"/>
          <w:szCs w:val="20"/>
          <w:lang w:val="nl-NL"/>
        </w:rPr>
        <w:t>Dev</w:t>
      </w:r>
      <w:proofErr w:type="spellEnd"/>
      <w:r w:rsidRPr="008826B6">
        <w:rPr>
          <w:rFonts w:ascii="Arial" w:hAnsi="Arial" w:cs="Arial"/>
          <w:sz w:val="20"/>
          <w:szCs w:val="20"/>
          <w:lang w:val="nl-NL"/>
        </w:rPr>
        <w:t>. 2022;48(5):751–62. doi:10.1111/cch.12983</w:t>
      </w:r>
    </w:p>
    <w:p w14:paraId="1FD827E1"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Longo E, Monteiro R, Hidalgo-Robles Á, et al. Assigning F-words as ingredients of interventions for children with cerebral palsy functioning at GMFCS IV and V: A scoping review protocol. </w:t>
      </w:r>
      <w:r w:rsidRPr="008826B6">
        <w:rPr>
          <w:rFonts w:ascii="Arial" w:hAnsi="Arial" w:cs="Arial"/>
          <w:i/>
          <w:iCs/>
          <w:sz w:val="20"/>
          <w:szCs w:val="20"/>
          <w:lang w:val="nl-NL"/>
        </w:rPr>
        <w:t xml:space="preserve">Front </w:t>
      </w:r>
      <w:proofErr w:type="spellStart"/>
      <w:r w:rsidRPr="008826B6">
        <w:rPr>
          <w:rFonts w:ascii="Arial" w:hAnsi="Arial" w:cs="Arial"/>
          <w:i/>
          <w:iCs/>
          <w:sz w:val="20"/>
          <w:szCs w:val="20"/>
          <w:lang w:val="nl-NL"/>
        </w:rPr>
        <w:t>Rehabil</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Sci</w:t>
      </w:r>
      <w:proofErr w:type="spellEnd"/>
      <w:r w:rsidRPr="008826B6">
        <w:rPr>
          <w:rFonts w:ascii="Arial" w:hAnsi="Arial" w:cs="Arial"/>
          <w:sz w:val="20"/>
          <w:szCs w:val="20"/>
          <w:lang w:val="nl-NL"/>
        </w:rPr>
        <w:t>. 2023;4:1110552. doi:10.3389/fresc.2023.1110552</w:t>
      </w:r>
    </w:p>
    <w:p w14:paraId="427EA32D"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nl-NL"/>
        </w:rPr>
        <w:t xml:space="preserve">Van den </w:t>
      </w:r>
      <w:proofErr w:type="spellStart"/>
      <w:r w:rsidRPr="008826B6">
        <w:rPr>
          <w:rFonts w:ascii="Arial" w:hAnsi="Arial" w:cs="Arial"/>
          <w:sz w:val="20"/>
          <w:szCs w:val="20"/>
          <w:lang w:val="nl-NL"/>
        </w:rPr>
        <w:t>Bekerom</w:t>
      </w:r>
      <w:proofErr w:type="spellEnd"/>
      <w:r w:rsidRPr="008826B6">
        <w:rPr>
          <w:rFonts w:ascii="Arial" w:hAnsi="Arial" w:cs="Arial"/>
          <w:sz w:val="20"/>
          <w:szCs w:val="20"/>
          <w:lang w:val="nl-NL"/>
        </w:rPr>
        <w:t xml:space="preserve"> R, et al. </w:t>
      </w:r>
      <w:r w:rsidRPr="008826B6">
        <w:rPr>
          <w:rFonts w:ascii="Arial" w:hAnsi="Arial" w:cs="Arial"/>
          <w:sz w:val="20"/>
          <w:szCs w:val="20"/>
          <w:lang w:val="en-GB"/>
        </w:rPr>
        <w:t xml:space="preserve">Impact of COVID-19 pandemic on participation of children with cerebral palsy using the 6F-Wheel framework. </w:t>
      </w:r>
      <w:r w:rsidRPr="008826B6">
        <w:rPr>
          <w:rFonts w:ascii="Arial" w:hAnsi="Arial" w:cs="Arial"/>
          <w:i/>
          <w:iCs/>
          <w:sz w:val="20"/>
          <w:szCs w:val="20"/>
          <w:lang w:val="nl-NL"/>
        </w:rPr>
        <w:t xml:space="preserve">Child </w:t>
      </w:r>
      <w:proofErr w:type="spellStart"/>
      <w:r w:rsidRPr="008826B6">
        <w:rPr>
          <w:rFonts w:ascii="Arial" w:hAnsi="Arial" w:cs="Arial"/>
          <w:i/>
          <w:iCs/>
          <w:sz w:val="20"/>
          <w:szCs w:val="20"/>
          <w:lang w:val="nl-NL"/>
        </w:rPr>
        <w:t>Adolesc</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Psychiatry</w:t>
      </w:r>
      <w:proofErr w:type="spellEnd"/>
      <w:r w:rsidRPr="008826B6">
        <w:rPr>
          <w:rFonts w:ascii="Arial" w:hAnsi="Arial" w:cs="Arial"/>
          <w:i/>
          <w:iCs/>
          <w:sz w:val="20"/>
          <w:szCs w:val="20"/>
          <w:lang w:val="nl-NL"/>
        </w:rPr>
        <w:t xml:space="preserve"> Ment Health</w:t>
      </w:r>
      <w:r w:rsidRPr="008826B6">
        <w:rPr>
          <w:rFonts w:ascii="Arial" w:hAnsi="Arial" w:cs="Arial"/>
          <w:sz w:val="20"/>
          <w:szCs w:val="20"/>
          <w:lang w:val="nl-NL"/>
        </w:rPr>
        <w:t>. 2023;17:84. doi:10.1186/s13034-023-00569-z</w:t>
      </w:r>
    </w:p>
    <w:p w14:paraId="0F46D748" w14:textId="77777777" w:rsidR="008826B6" w:rsidRPr="008826B6" w:rsidRDefault="008826B6" w:rsidP="008826B6">
      <w:pPr>
        <w:numPr>
          <w:ilvl w:val="0"/>
          <w:numId w:val="12"/>
        </w:numPr>
        <w:rPr>
          <w:rFonts w:ascii="Arial" w:hAnsi="Arial" w:cs="Arial"/>
          <w:sz w:val="20"/>
          <w:szCs w:val="20"/>
          <w:lang w:val="nl-NL"/>
        </w:rPr>
      </w:pPr>
      <w:r w:rsidRPr="008826B6">
        <w:rPr>
          <w:rFonts w:ascii="Arial" w:hAnsi="Arial" w:cs="Arial"/>
          <w:sz w:val="20"/>
          <w:szCs w:val="20"/>
          <w:lang w:val="en-GB"/>
        </w:rPr>
        <w:t xml:space="preserve">Pinquart M, Shen Y. Anxiety in children and adolescents with chronic physical illnesses: A meta-analysis. </w:t>
      </w:r>
      <w:r w:rsidRPr="008826B6">
        <w:rPr>
          <w:rFonts w:ascii="Arial" w:hAnsi="Arial" w:cs="Arial"/>
          <w:i/>
          <w:iCs/>
          <w:sz w:val="20"/>
          <w:szCs w:val="20"/>
          <w:lang w:val="nl-NL"/>
        </w:rPr>
        <w:t xml:space="preserve">J </w:t>
      </w:r>
      <w:proofErr w:type="spellStart"/>
      <w:r w:rsidRPr="008826B6">
        <w:rPr>
          <w:rFonts w:ascii="Arial" w:hAnsi="Arial" w:cs="Arial"/>
          <w:i/>
          <w:iCs/>
          <w:sz w:val="20"/>
          <w:szCs w:val="20"/>
          <w:lang w:val="nl-NL"/>
        </w:rPr>
        <w:t>Pediatr</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Psychol</w:t>
      </w:r>
      <w:proofErr w:type="spellEnd"/>
      <w:r w:rsidRPr="008826B6">
        <w:rPr>
          <w:rFonts w:ascii="Arial" w:hAnsi="Arial" w:cs="Arial"/>
          <w:sz w:val="20"/>
          <w:szCs w:val="20"/>
          <w:lang w:val="nl-NL"/>
        </w:rPr>
        <w:t>. 2011;36(4):375–84.</w:t>
      </w:r>
    </w:p>
    <w:p w14:paraId="2BBDA825" w14:textId="77777777" w:rsidR="008826B6" w:rsidRPr="008826B6" w:rsidRDefault="008826B6" w:rsidP="008826B6">
      <w:pPr>
        <w:numPr>
          <w:ilvl w:val="0"/>
          <w:numId w:val="12"/>
        </w:numPr>
        <w:rPr>
          <w:lang w:val="nl-NL"/>
        </w:rPr>
      </w:pPr>
      <w:r w:rsidRPr="008826B6">
        <w:rPr>
          <w:rFonts w:ascii="Arial" w:hAnsi="Arial" w:cs="Arial"/>
          <w:sz w:val="20"/>
          <w:szCs w:val="20"/>
          <w:lang w:val="nl-NL"/>
        </w:rPr>
        <w:t xml:space="preserve">Simons LE, </w:t>
      </w:r>
      <w:proofErr w:type="spellStart"/>
      <w:r w:rsidRPr="008826B6">
        <w:rPr>
          <w:rFonts w:ascii="Arial" w:hAnsi="Arial" w:cs="Arial"/>
          <w:sz w:val="20"/>
          <w:szCs w:val="20"/>
          <w:lang w:val="nl-NL"/>
        </w:rPr>
        <w:t>Sieberg</w:t>
      </w:r>
      <w:proofErr w:type="spellEnd"/>
      <w:r w:rsidRPr="008826B6">
        <w:rPr>
          <w:rFonts w:ascii="Arial" w:hAnsi="Arial" w:cs="Arial"/>
          <w:sz w:val="20"/>
          <w:szCs w:val="20"/>
          <w:lang w:val="nl-NL"/>
        </w:rPr>
        <w:t xml:space="preserve"> CB, </w:t>
      </w:r>
      <w:proofErr w:type="spellStart"/>
      <w:r w:rsidRPr="008826B6">
        <w:rPr>
          <w:rFonts w:ascii="Arial" w:hAnsi="Arial" w:cs="Arial"/>
          <w:sz w:val="20"/>
          <w:szCs w:val="20"/>
          <w:lang w:val="nl-NL"/>
        </w:rPr>
        <w:t>Claar</w:t>
      </w:r>
      <w:proofErr w:type="spellEnd"/>
      <w:r w:rsidRPr="008826B6">
        <w:rPr>
          <w:rFonts w:ascii="Arial" w:hAnsi="Arial" w:cs="Arial"/>
          <w:sz w:val="20"/>
          <w:szCs w:val="20"/>
          <w:lang w:val="nl-NL"/>
        </w:rPr>
        <w:t xml:space="preserve"> RL. </w:t>
      </w:r>
      <w:r w:rsidRPr="008826B6">
        <w:rPr>
          <w:rFonts w:ascii="Arial" w:hAnsi="Arial" w:cs="Arial"/>
          <w:sz w:val="20"/>
          <w:szCs w:val="20"/>
          <w:lang w:val="en-GB"/>
        </w:rPr>
        <w:t xml:space="preserve">Fear of pain in children and adolescents with chronic pain: A proposed framework and review of the literature. </w:t>
      </w:r>
      <w:proofErr w:type="spellStart"/>
      <w:r w:rsidRPr="008826B6">
        <w:rPr>
          <w:rFonts w:ascii="Arial" w:hAnsi="Arial" w:cs="Arial"/>
          <w:i/>
          <w:iCs/>
          <w:sz w:val="20"/>
          <w:szCs w:val="20"/>
          <w:lang w:val="nl-NL"/>
        </w:rPr>
        <w:t>Pain</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Res</w:t>
      </w:r>
      <w:proofErr w:type="spellEnd"/>
      <w:r w:rsidRPr="008826B6">
        <w:rPr>
          <w:rFonts w:ascii="Arial" w:hAnsi="Arial" w:cs="Arial"/>
          <w:i/>
          <w:iCs/>
          <w:sz w:val="20"/>
          <w:szCs w:val="20"/>
          <w:lang w:val="nl-NL"/>
        </w:rPr>
        <w:t xml:space="preserve"> </w:t>
      </w:r>
      <w:proofErr w:type="spellStart"/>
      <w:r w:rsidRPr="008826B6">
        <w:rPr>
          <w:rFonts w:ascii="Arial" w:hAnsi="Arial" w:cs="Arial"/>
          <w:i/>
          <w:iCs/>
          <w:sz w:val="20"/>
          <w:szCs w:val="20"/>
          <w:lang w:val="nl-NL"/>
        </w:rPr>
        <w:t>Manag</w:t>
      </w:r>
      <w:proofErr w:type="spellEnd"/>
      <w:r w:rsidRPr="008826B6">
        <w:rPr>
          <w:rFonts w:ascii="Arial" w:hAnsi="Arial" w:cs="Arial"/>
          <w:sz w:val="20"/>
          <w:szCs w:val="20"/>
          <w:lang w:val="nl-NL"/>
        </w:rPr>
        <w:t>. 2017;2017:8328174.</w:t>
      </w:r>
    </w:p>
    <w:p w14:paraId="13FA8DC4" w14:textId="77777777" w:rsidR="008826B6" w:rsidRPr="008826B6" w:rsidRDefault="008826B6" w:rsidP="008826B6"/>
    <w:p w14:paraId="4D4AB29E" w14:textId="57F531FE" w:rsidR="00E335C5" w:rsidRDefault="00E335C5" w:rsidP="00E335C5">
      <w:pPr>
        <w:pStyle w:val="Kop1"/>
      </w:pPr>
      <w:r>
        <w:t>Abbreviations</w:t>
      </w:r>
    </w:p>
    <w:p w14:paraId="319D46F2" w14:textId="250FBD80" w:rsidR="00E335C5" w:rsidRPr="00E335C5" w:rsidRDefault="00E95FAE" w:rsidP="00E335C5">
      <w:pPr>
        <w:rPr>
          <w:lang w:val="nl-NL"/>
        </w:rPr>
      </w:pPr>
      <w:r>
        <w:rPr>
          <w:lang w:val="nl-NL"/>
        </w:rPr>
        <w:t xml:space="preserve">* </w:t>
      </w:r>
      <w:r w:rsidR="00E335C5" w:rsidRPr="00E335C5">
        <w:rPr>
          <w:lang w:val="nl-NL"/>
        </w:rPr>
        <w:t xml:space="preserve">WKZ = </w:t>
      </w:r>
      <w:proofErr w:type="spellStart"/>
      <w:r w:rsidR="00E335C5" w:rsidRPr="00E335C5">
        <w:rPr>
          <w:lang w:val="nl-NL"/>
        </w:rPr>
        <w:t>Wilhemina</w:t>
      </w:r>
      <w:proofErr w:type="spellEnd"/>
      <w:r w:rsidR="00E335C5" w:rsidRPr="00E335C5">
        <w:rPr>
          <w:lang w:val="nl-NL"/>
        </w:rPr>
        <w:t xml:space="preserve"> Kinderziekenhuis (Wilhelmina </w:t>
      </w:r>
      <w:proofErr w:type="spellStart"/>
      <w:r w:rsidR="00E335C5" w:rsidRPr="00E335C5">
        <w:rPr>
          <w:lang w:val="nl-NL"/>
        </w:rPr>
        <w:t>C</w:t>
      </w:r>
      <w:r w:rsidR="00E335C5">
        <w:rPr>
          <w:lang w:val="nl-NL"/>
        </w:rPr>
        <w:t>hildrens</w:t>
      </w:r>
      <w:proofErr w:type="spellEnd"/>
      <w:r w:rsidR="00E335C5">
        <w:rPr>
          <w:lang w:val="nl-NL"/>
        </w:rPr>
        <w:t xml:space="preserve"> </w:t>
      </w:r>
      <w:proofErr w:type="spellStart"/>
      <w:r w:rsidR="00E335C5">
        <w:rPr>
          <w:lang w:val="nl-NL"/>
        </w:rPr>
        <w:t>hosp</w:t>
      </w:r>
      <w:r w:rsidR="006374A4">
        <w:rPr>
          <w:lang w:val="nl-NL"/>
        </w:rPr>
        <w:t>i</w:t>
      </w:r>
      <w:r w:rsidR="00E335C5">
        <w:rPr>
          <w:lang w:val="nl-NL"/>
        </w:rPr>
        <w:t>tal</w:t>
      </w:r>
      <w:proofErr w:type="spellEnd"/>
      <w:r w:rsidR="00E335C5">
        <w:rPr>
          <w:lang w:val="nl-NL"/>
        </w:rPr>
        <w:t>)</w:t>
      </w:r>
    </w:p>
    <w:sectPr w:rsidR="00E335C5" w:rsidRPr="00E335C5" w:rsidSect="00034616">
      <w:foot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7E67AF" w14:textId="77777777" w:rsidR="006D01DA" w:rsidRDefault="006D01DA" w:rsidP="007F5552">
      <w:pPr>
        <w:spacing w:after="0" w:line="240" w:lineRule="auto"/>
      </w:pPr>
      <w:r>
        <w:separator/>
      </w:r>
    </w:p>
  </w:endnote>
  <w:endnote w:type="continuationSeparator" w:id="0">
    <w:p w14:paraId="36DE9112" w14:textId="77777777" w:rsidR="006D01DA" w:rsidRDefault="006D01DA" w:rsidP="007F55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173973"/>
      <w:docPartObj>
        <w:docPartGallery w:val="Page Numbers (Bottom of Page)"/>
        <w:docPartUnique/>
      </w:docPartObj>
    </w:sdtPr>
    <w:sdtContent>
      <w:p w14:paraId="12C1E539" w14:textId="77777777" w:rsidR="00833AE7" w:rsidRDefault="00833AE7">
        <w:pPr>
          <w:pStyle w:val="Voettekst"/>
          <w:jc w:val="center"/>
        </w:pPr>
      </w:p>
      <w:p w14:paraId="170286CC" w14:textId="6B897106" w:rsidR="00833AE7" w:rsidRDefault="00833AE7">
        <w:pPr>
          <w:pStyle w:val="Voettekst"/>
          <w:jc w:val="center"/>
        </w:pPr>
        <w:r>
          <w:fldChar w:fldCharType="begin"/>
        </w:r>
        <w:r>
          <w:instrText>PAGE   \* MERGEFORMAT</w:instrText>
        </w:r>
        <w:r>
          <w:fldChar w:fldCharType="separate"/>
        </w:r>
        <w:r>
          <w:rPr>
            <w:lang w:val="nl-NL"/>
          </w:rPr>
          <w:t>2</w:t>
        </w:r>
        <w:r>
          <w:fldChar w:fldCharType="end"/>
        </w:r>
      </w:p>
    </w:sdtContent>
  </w:sdt>
  <w:p w14:paraId="23A96BD2" w14:textId="77777777" w:rsidR="007F5552" w:rsidRDefault="007F555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821526" w14:textId="77777777" w:rsidR="006D01DA" w:rsidRDefault="006D01DA" w:rsidP="007F5552">
      <w:pPr>
        <w:spacing w:after="0" w:line="240" w:lineRule="auto"/>
      </w:pPr>
      <w:r>
        <w:separator/>
      </w:r>
    </w:p>
  </w:footnote>
  <w:footnote w:type="continuationSeparator" w:id="0">
    <w:p w14:paraId="2F30EC45" w14:textId="77777777" w:rsidR="006D01DA" w:rsidRDefault="006D01DA" w:rsidP="007F55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jstnummering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jstnummering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jstopsomteken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jstopsomteken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jstnummering"/>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jstopsomteken"/>
      <w:lvlText w:val=""/>
      <w:lvlJc w:val="left"/>
      <w:pPr>
        <w:tabs>
          <w:tab w:val="num" w:pos="360"/>
        </w:tabs>
        <w:ind w:left="360" w:hanging="360"/>
      </w:pPr>
      <w:rPr>
        <w:rFonts w:ascii="Symbol" w:hAnsi="Symbol" w:hint="default"/>
      </w:rPr>
    </w:lvl>
  </w:abstractNum>
  <w:abstractNum w:abstractNumId="9" w15:restartNumberingAfterBreak="0">
    <w:nsid w:val="447617DA"/>
    <w:multiLevelType w:val="hybridMultilevel"/>
    <w:tmpl w:val="5F1E782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635D3EA7"/>
    <w:multiLevelType w:val="multilevel"/>
    <w:tmpl w:val="83E21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71259F4"/>
    <w:multiLevelType w:val="hybridMultilevel"/>
    <w:tmpl w:val="5AC810C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457941378">
    <w:abstractNumId w:val="8"/>
  </w:num>
  <w:num w:numId="2" w16cid:durableId="961807756">
    <w:abstractNumId w:val="6"/>
  </w:num>
  <w:num w:numId="3" w16cid:durableId="1845854070">
    <w:abstractNumId w:val="5"/>
  </w:num>
  <w:num w:numId="4" w16cid:durableId="434712246">
    <w:abstractNumId w:val="4"/>
  </w:num>
  <w:num w:numId="5" w16cid:durableId="55132659">
    <w:abstractNumId w:val="7"/>
  </w:num>
  <w:num w:numId="6" w16cid:durableId="1638562947">
    <w:abstractNumId w:val="3"/>
  </w:num>
  <w:num w:numId="7" w16cid:durableId="355078376">
    <w:abstractNumId w:val="2"/>
  </w:num>
  <w:num w:numId="8" w16cid:durableId="1053968643">
    <w:abstractNumId w:val="1"/>
  </w:num>
  <w:num w:numId="9" w16cid:durableId="1265577080">
    <w:abstractNumId w:val="0"/>
  </w:num>
  <w:num w:numId="10" w16cid:durableId="961808272">
    <w:abstractNumId w:val="9"/>
  </w:num>
  <w:num w:numId="11" w16cid:durableId="527063992">
    <w:abstractNumId w:val="11"/>
  </w:num>
  <w:num w:numId="12" w16cid:durableId="151587738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14561"/>
    <w:rsid w:val="00032971"/>
    <w:rsid w:val="00034616"/>
    <w:rsid w:val="00043BEA"/>
    <w:rsid w:val="0006063C"/>
    <w:rsid w:val="0007231B"/>
    <w:rsid w:val="000E3979"/>
    <w:rsid w:val="000F6486"/>
    <w:rsid w:val="000F7601"/>
    <w:rsid w:val="00102DFA"/>
    <w:rsid w:val="00134A0B"/>
    <w:rsid w:val="0015074B"/>
    <w:rsid w:val="001A54E8"/>
    <w:rsid w:val="0021619A"/>
    <w:rsid w:val="00221175"/>
    <w:rsid w:val="00223F1B"/>
    <w:rsid w:val="00232D66"/>
    <w:rsid w:val="00247A9D"/>
    <w:rsid w:val="0026064D"/>
    <w:rsid w:val="00272137"/>
    <w:rsid w:val="0029639D"/>
    <w:rsid w:val="002B30D3"/>
    <w:rsid w:val="003104EF"/>
    <w:rsid w:val="003147A8"/>
    <w:rsid w:val="00326F90"/>
    <w:rsid w:val="00373CFF"/>
    <w:rsid w:val="003A2B29"/>
    <w:rsid w:val="003A4BBB"/>
    <w:rsid w:val="003D3E10"/>
    <w:rsid w:val="003E68A6"/>
    <w:rsid w:val="00462CCF"/>
    <w:rsid w:val="00491452"/>
    <w:rsid w:val="005257B7"/>
    <w:rsid w:val="00553998"/>
    <w:rsid w:val="00572DDB"/>
    <w:rsid w:val="00591356"/>
    <w:rsid w:val="006265CD"/>
    <w:rsid w:val="006374A4"/>
    <w:rsid w:val="00667C04"/>
    <w:rsid w:val="00682F35"/>
    <w:rsid w:val="006A2758"/>
    <w:rsid w:val="006D01DA"/>
    <w:rsid w:val="006E6732"/>
    <w:rsid w:val="00707147"/>
    <w:rsid w:val="0072301A"/>
    <w:rsid w:val="00791696"/>
    <w:rsid w:val="007A1A5F"/>
    <w:rsid w:val="007E75A9"/>
    <w:rsid w:val="007F5552"/>
    <w:rsid w:val="00833AE7"/>
    <w:rsid w:val="008715E9"/>
    <w:rsid w:val="008769A9"/>
    <w:rsid w:val="008826B6"/>
    <w:rsid w:val="008A5624"/>
    <w:rsid w:val="008C7DE3"/>
    <w:rsid w:val="008E37DC"/>
    <w:rsid w:val="009022C0"/>
    <w:rsid w:val="00966811"/>
    <w:rsid w:val="009822E1"/>
    <w:rsid w:val="009B3009"/>
    <w:rsid w:val="00A05ED2"/>
    <w:rsid w:val="00A23517"/>
    <w:rsid w:val="00A456FB"/>
    <w:rsid w:val="00AA1D8D"/>
    <w:rsid w:val="00AC08E1"/>
    <w:rsid w:val="00AF7CDC"/>
    <w:rsid w:val="00B47730"/>
    <w:rsid w:val="00B947A1"/>
    <w:rsid w:val="00BD5CAC"/>
    <w:rsid w:val="00C459E9"/>
    <w:rsid w:val="00C63E56"/>
    <w:rsid w:val="00C81FF5"/>
    <w:rsid w:val="00CB0664"/>
    <w:rsid w:val="00D15E54"/>
    <w:rsid w:val="00D7291D"/>
    <w:rsid w:val="00E02631"/>
    <w:rsid w:val="00E14547"/>
    <w:rsid w:val="00E22279"/>
    <w:rsid w:val="00E335C5"/>
    <w:rsid w:val="00E5270B"/>
    <w:rsid w:val="00E83595"/>
    <w:rsid w:val="00E95FAE"/>
    <w:rsid w:val="00EE00B9"/>
    <w:rsid w:val="00F043A8"/>
    <w:rsid w:val="00F5630B"/>
    <w:rsid w:val="00F7708C"/>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8924C7D"/>
  <w14:defaultImageDpi w14:val="300"/>
  <w15:docId w15:val="{595CC568-60E6-4AD0-8666-02EC605C7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C693F"/>
  </w:style>
  <w:style w:type="paragraph" w:styleId="Kop1">
    <w:name w:val="heading 1"/>
    <w:basedOn w:val="Standaard"/>
    <w:next w:val="Standaard"/>
    <w:link w:val="Kop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Kop4">
    <w:name w:val="heading 4"/>
    <w:basedOn w:val="Standaard"/>
    <w:next w:val="Standaard"/>
    <w:link w:val="Kop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Kop5">
    <w:name w:val="heading 5"/>
    <w:basedOn w:val="Standaard"/>
    <w:next w:val="Standaard"/>
    <w:link w:val="Kop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Kop6">
    <w:name w:val="heading 6"/>
    <w:basedOn w:val="Standaard"/>
    <w:next w:val="Standaard"/>
    <w:link w:val="Kop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Kop7">
    <w:name w:val="heading 7"/>
    <w:basedOn w:val="Standaard"/>
    <w:next w:val="Standaard"/>
    <w:link w:val="Kop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Kop8">
    <w:name w:val="heading 8"/>
    <w:basedOn w:val="Standaard"/>
    <w:next w:val="Standaard"/>
    <w:link w:val="Kop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Kop9">
    <w:name w:val="heading 9"/>
    <w:basedOn w:val="Standaard"/>
    <w:next w:val="Standaard"/>
    <w:link w:val="Kop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E618BF"/>
    <w:pPr>
      <w:tabs>
        <w:tab w:val="center" w:pos="4680"/>
        <w:tab w:val="right" w:pos="9360"/>
      </w:tabs>
      <w:spacing w:after="0" w:line="240" w:lineRule="auto"/>
    </w:pPr>
  </w:style>
  <w:style w:type="character" w:customStyle="1" w:styleId="KoptekstChar">
    <w:name w:val="Koptekst Char"/>
    <w:basedOn w:val="Standaardalinea-lettertype"/>
    <w:link w:val="Koptekst"/>
    <w:uiPriority w:val="99"/>
    <w:rsid w:val="00E618BF"/>
  </w:style>
  <w:style w:type="paragraph" w:styleId="Voettekst">
    <w:name w:val="footer"/>
    <w:basedOn w:val="Standaard"/>
    <w:link w:val="VoettekstChar"/>
    <w:uiPriority w:val="99"/>
    <w:unhideWhenUsed/>
    <w:rsid w:val="00E618BF"/>
    <w:pPr>
      <w:tabs>
        <w:tab w:val="center" w:pos="4680"/>
        <w:tab w:val="right" w:pos="9360"/>
      </w:tabs>
      <w:spacing w:after="0" w:line="240" w:lineRule="auto"/>
    </w:pPr>
  </w:style>
  <w:style w:type="character" w:customStyle="1" w:styleId="VoettekstChar">
    <w:name w:val="Voettekst Char"/>
    <w:basedOn w:val="Standaardalinea-lettertype"/>
    <w:link w:val="Voettekst"/>
    <w:uiPriority w:val="99"/>
    <w:rsid w:val="00E618BF"/>
  </w:style>
  <w:style w:type="paragraph" w:styleId="Geenafstand">
    <w:name w:val="No Spacing"/>
    <w:uiPriority w:val="1"/>
    <w:qFormat/>
    <w:rsid w:val="00FC693F"/>
    <w:pPr>
      <w:spacing w:after="0" w:line="240" w:lineRule="auto"/>
    </w:pPr>
  </w:style>
  <w:style w:type="character" w:customStyle="1" w:styleId="Kop1Char">
    <w:name w:val="Kop 1 Char"/>
    <w:basedOn w:val="Standaardalinea-lettertype"/>
    <w:link w:val="Kop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Kop2Char">
    <w:name w:val="Kop 2 Char"/>
    <w:basedOn w:val="Standaardalinea-lettertype"/>
    <w:link w:val="Kop2"/>
    <w:uiPriority w:val="9"/>
    <w:rsid w:val="00FC693F"/>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FC693F"/>
    <w:rPr>
      <w:rFonts w:asciiTheme="majorHAnsi" w:eastAsiaTheme="majorEastAsia" w:hAnsiTheme="majorHAnsi" w:cstheme="majorBidi"/>
      <w:b/>
      <w:bCs/>
      <w:color w:val="4F81BD" w:themeColor="accent1"/>
    </w:rPr>
  </w:style>
  <w:style w:type="paragraph" w:styleId="Titel">
    <w:name w:val="Title"/>
    <w:basedOn w:val="Standaard"/>
    <w:next w:val="Standaard"/>
    <w:link w:val="Titel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Ondertitel">
    <w:name w:val="Subtitle"/>
    <w:basedOn w:val="Standaard"/>
    <w:next w:val="Standaard"/>
    <w:link w:val="Ondertitel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FC693F"/>
    <w:rPr>
      <w:rFonts w:asciiTheme="majorHAnsi" w:eastAsiaTheme="majorEastAsia" w:hAnsiTheme="majorHAnsi" w:cstheme="majorBidi"/>
      <w:i/>
      <w:iCs/>
      <w:color w:val="4F81BD" w:themeColor="accent1"/>
      <w:spacing w:val="15"/>
      <w:sz w:val="24"/>
      <w:szCs w:val="24"/>
    </w:rPr>
  </w:style>
  <w:style w:type="paragraph" w:styleId="Lijstalinea">
    <w:name w:val="List Paragraph"/>
    <w:basedOn w:val="Standaard"/>
    <w:uiPriority w:val="34"/>
    <w:qFormat/>
    <w:rsid w:val="00FC693F"/>
    <w:pPr>
      <w:ind w:left="720"/>
      <w:contextualSpacing/>
    </w:pPr>
  </w:style>
  <w:style w:type="paragraph" w:styleId="Plattetekst">
    <w:name w:val="Body Text"/>
    <w:basedOn w:val="Standaard"/>
    <w:link w:val="PlattetekstChar"/>
    <w:uiPriority w:val="99"/>
    <w:unhideWhenUsed/>
    <w:rsid w:val="00AA1D8D"/>
    <w:pPr>
      <w:spacing w:after="120"/>
    </w:pPr>
  </w:style>
  <w:style w:type="character" w:customStyle="1" w:styleId="PlattetekstChar">
    <w:name w:val="Platte tekst Char"/>
    <w:basedOn w:val="Standaardalinea-lettertype"/>
    <w:link w:val="Plattetekst"/>
    <w:uiPriority w:val="99"/>
    <w:rsid w:val="00AA1D8D"/>
  </w:style>
  <w:style w:type="paragraph" w:styleId="Plattetekst2">
    <w:name w:val="Body Text 2"/>
    <w:basedOn w:val="Standaard"/>
    <w:link w:val="Plattetekst2Char"/>
    <w:uiPriority w:val="99"/>
    <w:unhideWhenUsed/>
    <w:rsid w:val="00AA1D8D"/>
    <w:pPr>
      <w:spacing w:after="120" w:line="480" w:lineRule="auto"/>
    </w:pPr>
  </w:style>
  <w:style w:type="character" w:customStyle="1" w:styleId="Plattetekst2Char">
    <w:name w:val="Platte tekst 2 Char"/>
    <w:basedOn w:val="Standaardalinea-lettertype"/>
    <w:link w:val="Plattetekst2"/>
    <w:uiPriority w:val="99"/>
    <w:rsid w:val="00AA1D8D"/>
  </w:style>
  <w:style w:type="paragraph" w:styleId="Plattetekst3">
    <w:name w:val="Body Text 3"/>
    <w:basedOn w:val="Standaard"/>
    <w:link w:val="Plattetekst3Char"/>
    <w:uiPriority w:val="99"/>
    <w:unhideWhenUsed/>
    <w:rsid w:val="00AA1D8D"/>
    <w:pPr>
      <w:spacing w:after="120"/>
    </w:pPr>
    <w:rPr>
      <w:sz w:val="16"/>
      <w:szCs w:val="16"/>
    </w:rPr>
  </w:style>
  <w:style w:type="character" w:customStyle="1" w:styleId="Plattetekst3Char">
    <w:name w:val="Platte tekst 3 Char"/>
    <w:basedOn w:val="Standaardalinea-lettertype"/>
    <w:link w:val="Plattetekst3"/>
    <w:uiPriority w:val="99"/>
    <w:rsid w:val="00AA1D8D"/>
    <w:rPr>
      <w:sz w:val="16"/>
      <w:szCs w:val="16"/>
    </w:rPr>
  </w:style>
  <w:style w:type="paragraph" w:styleId="Lijst">
    <w:name w:val="List"/>
    <w:basedOn w:val="Standaard"/>
    <w:uiPriority w:val="99"/>
    <w:unhideWhenUsed/>
    <w:rsid w:val="00AA1D8D"/>
    <w:pPr>
      <w:ind w:left="360" w:hanging="360"/>
      <w:contextualSpacing/>
    </w:pPr>
  </w:style>
  <w:style w:type="paragraph" w:styleId="Lijst2">
    <w:name w:val="List 2"/>
    <w:basedOn w:val="Standaard"/>
    <w:uiPriority w:val="99"/>
    <w:unhideWhenUsed/>
    <w:rsid w:val="00326F90"/>
    <w:pPr>
      <w:ind w:left="720" w:hanging="360"/>
      <w:contextualSpacing/>
    </w:pPr>
  </w:style>
  <w:style w:type="paragraph" w:styleId="Lijst3">
    <w:name w:val="List 3"/>
    <w:basedOn w:val="Standaard"/>
    <w:uiPriority w:val="99"/>
    <w:unhideWhenUsed/>
    <w:rsid w:val="00326F90"/>
    <w:pPr>
      <w:ind w:left="1080" w:hanging="360"/>
      <w:contextualSpacing/>
    </w:pPr>
  </w:style>
  <w:style w:type="paragraph" w:styleId="Lijstopsomteken">
    <w:name w:val="List Bullet"/>
    <w:basedOn w:val="Standaard"/>
    <w:uiPriority w:val="99"/>
    <w:unhideWhenUsed/>
    <w:rsid w:val="00326F90"/>
    <w:pPr>
      <w:numPr>
        <w:numId w:val="1"/>
      </w:numPr>
      <w:contextualSpacing/>
    </w:pPr>
  </w:style>
  <w:style w:type="paragraph" w:styleId="Lijstopsomteken2">
    <w:name w:val="List Bullet 2"/>
    <w:basedOn w:val="Standaard"/>
    <w:uiPriority w:val="99"/>
    <w:unhideWhenUsed/>
    <w:rsid w:val="00326F90"/>
    <w:pPr>
      <w:numPr>
        <w:numId w:val="2"/>
      </w:numPr>
      <w:contextualSpacing/>
    </w:pPr>
  </w:style>
  <w:style w:type="paragraph" w:styleId="Lijstopsomteken3">
    <w:name w:val="List Bullet 3"/>
    <w:basedOn w:val="Standaard"/>
    <w:uiPriority w:val="99"/>
    <w:unhideWhenUsed/>
    <w:rsid w:val="00326F90"/>
    <w:pPr>
      <w:numPr>
        <w:numId w:val="3"/>
      </w:numPr>
      <w:contextualSpacing/>
    </w:pPr>
  </w:style>
  <w:style w:type="paragraph" w:styleId="Lijstnummering">
    <w:name w:val="List Number"/>
    <w:basedOn w:val="Standaard"/>
    <w:uiPriority w:val="99"/>
    <w:unhideWhenUsed/>
    <w:rsid w:val="00326F90"/>
    <w:pPr>
      <w:numPr>
        <w:numId w:val="5"/>
      </w:numPr>
      <w:contextualSpacing/>
    </w:pPr>
  </w:style>
  <w:style w:type="paragraph" w:styleId="Lijstnummering2">
    <w:name w:val="List Number 2"/>
    <w:basedOn w:val="Standaard"/>
    <w:uiPriority w:val="99"/>
    <w:unhideWhenUsed/>
    <w:rsid w:val="0029639D"/>
    <w:pPr>
      <w:numPr>
        <w:numId w:val="6"/>
      </w:numPr>
      <w:contextualSpacing/>
    </w:pPr>
  </w:style>
  <w:style w:type="paragraph" w:styleId="Lijstnummering3">
    <w:name w:val="List Number 3"/>
    <w:basedOn w:val="Standaard"/>
    <w:uiPriority w:val="99"/>
    <w:unhideWhenUsed/>
    <w:rsid w:val="0029639D"/>
    <w:pPr>
      <w:numPr>
        <w:numId w:val="7"/>
      </w:numPr>
      <w:contextualSpacing/>
    </w:pPr>
  </w:style>
  <w:style w:type="paragraph" w:styleId="Lijstvoortzetting">
    <w:name w:val="List Continue"/>
    <w:basedOn w:val="Standaard"/>
    <w:uiPriority w:val="99"/>
    <w:unhideWhenUsed/>
    <w:rsid w:val="0029639D"/>
    <w:pPr>
      <w:spacing w:after="120"/>
      <w:ind w:left="360"/>
      <w:contextualSpacing/>
    </w:pPr>
  </w:style>
  <w:style w:type="paragraph" w:styleId="Lijstvoortzetting2">
    <w:name w:val="List Continue 2"/>
    <w:basedOn w:val="Standaard"/>
    <w:uiPriority w:val="99"/>
    <w:unhideWhenUsed/>
    <w:rsid w:val="0029639D"/>
    <w:pPr>
      <w:spacing w:after="120"/>
      <w:ind w:left="720"/>
      <w:contextualSpacing/>
    </w:pPr>
  </w:style>
  <w:style w:type="paragraph" w:styleId="Lijstvoortzetting3">
    <w:name w:val="List Continue 3"/>
    <w:basedOn w:val="Standaard"/>
    <w:uiPriority w:val="99"/>
    <w:unhideWhenUsed/>
    <w:rsid w:val="0029639D"/>
    <w:pPr>
      <w:spacing w:after="120"/>
      <w:ind w:left="1080"/>
      <w:contextualSpacing/>
    </w:pPr>
  </w:style>
  <w:style w:type="paragraph" w:styleId="Macrotekst">
    <w:name w:val="macro"/>
    <w:link w:val="Macroteks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kstChar">
    <w:name w:val="Macrotekst Char"/>
    <w:basedOn w:val="Standaardalinea-lettertype"/>
    <w:link w:val="Macrotekst"/>
    <w:uiPriority w:val="99"/>
    <w:rsid w:val="0029639D"/>
    <w:rPr>
      <w:rFonts w:ascii="Courier" w:hAnsi="Courier"/>
      <w:sz w:val="20"/>
      <w:szCs w:val="20"/>
    </w:rPr>
  </w:style>
  <w:style w:type="paragraph" w:styleId="Citaat">
    <w:name w:val="Quote"/>
    <w:basedOn w:val="Standaard"/>
    <w:next w:val="Standaard"/>
    <w:link w:val="CitaatChar"/>
    <w:uiPriority w:val="29"/>
    <w:qFormat/>
    <w:rsid w:val="00FC693F"/>
    <w:rPr>
      <w:i/>
      <w:iCs/>
      <w:color w:val="000000" w:themeColor="text1"/>
    </w:rPr>
  </w:style>
  <w:style w:type="character" w:customStyle="1" w:styleId="CitaatChar">
    <w:name w:val="Citaat Char"/>
    <w:basedOn w:val="Standaardalinea-lettertype"/>
    <w:link w:val="Citaat"/>
    <w:uiPriority w:val="29"/>
    <w:rsid w:val="00FC693F"/>
    <w:rPr>
      <w:i/>
      <w:iCs/>
      <w:color w:val="000000" w:themeColor="text1"/>
    </w:rPr>
  </w:style>
  <w:style w:type="character" w:customStyle="1" w:styleId="Kop4Char">
    <w:name w:val="Kop 4 Char"/>
    <w:basedOn w:val="Standaardalinea-lettertype"/>
    <w:link w:val="Kop4"/>
    <w:uiPriority w:val="9"/>
    <w:semiHidden/>
    <w:rsid w:val="00FC693F"/>
    <w:rPr>
      <w:rFonts w:asciiTheme="majorHAnsi" w:eastAsiaTheme="majorEastAsia" w:hAnsiTheme="majorHAnsi" w:cstheme="majorBidi"/>
      <w:b/>
      <w:bCs/>
      <w:i/>
      <w:iCs/>
      <w:color w:val="4F81BD" w:themeColor="accent1"/>
    </w:rPr>
  </w:style>
  <w:style w:type="character" w:customStyle="1" w:styleId="Kop5Char">
    <w:name w:val="Kop 5 Char"/>
    <w:basedOn w:val="Standaardalinea-lettertype"/>
    <w:link w:val="Kop5"/>
    <w:uiPriority w:val="9"/>
    <w:semiHidden/>
    <w:rsid w:val="00FC693F"/>
    <w:rPr>
      <w:rFonts w:asciiTheme="majorHAnsi" w:eastAsiaTheme="majorEastAsia" w:hAnsiTheme="majorHAnsi" w:cstheme="majorBidi"/>
      <w:color w:val="243F60" w:themeColor="accent1" w:themeShade="7F"/>
    </w:rPr>
  </w:style>
  <w:style w:type="character" w:customStyle="1" w:styleId="Kop6Char">
    <w:name w:val="Kop 6 Char"/>
    <w:basedOn w:val="Standaardalinea-lettertype"/>
    <w:link w:val="Kop6"/>
    <w:uiPriority w:val="9"/>
    <w:semiHidden/>
    <w:rsid w:val="00FC693F"/>
    <w:rPr>
      <w:rFonts w:asciiTheme="majorHAnsi" w:eastAsiaTheme="majorEastAsia" w:hAnsiTheme="majorHAnsi" w:cstheme="majorBidi"/>
      <w:i/>
      <w:iCs/>
      <w:color w:val="243F60" w:themeColor="accent1" w:themeShade="7F"/>
    </w:rPr>
  </w:style>
  <w:style w:type="character" w:customStyle="1" w:styleId="Kop7Char">
    <w:name w:val="Kop 7 Char"/>
    <w:basedOn w:val="Standaardalinea-lettertype"/>
    <w:link w:val="Kop7"/>
    <w:uiPriority w:val="9"/>
    <w:semiHidden/>
    <w:rsid w:val="00FC693F"/>
    <w:rPr>
      <w:rFonts w:asciiTheme="majorHAnsi" w:eastAsiaTheme="majorEastAsia" w:hAnsiTheme="majorHAnsi" w:cstheme="majorBidi"/>
      <w:i/>
      <w:iCs/>
      <w:color w:val="404040" w:themeColor="text1" w:themeTint="BF"/>
    </w:rPr>
  </w:style>
  <w:style w:type="character" w:customStyle="1" w:styleId="Kop8Char">
    <w:name w:val="Kop 8 Char"/>
    <w:basedOn w:val="Standaardalinea-lettertype"/>
    <w:link w:val="Kop8"/>
    <w:uiPriority w:val="9"/>
    <w:semiHidden/>
    <w:rsid w:val="00FC693F"/>
    <w:rPr>
      <w:rFonts w:asciiTheme="majorHAnsi" w:eastAsiaTheme="majorEastAsia" w:hAnsiTheme="majorHAnsi" w:cstheme="majorBidi"/>
      <w:color w:val="4F81BD" w:themeColor="accent1"/>
      <w:sz w:val="20"/>
      <w:szCs w:val="20"/>
    </w:rPr>
  </w:style>
  <w:style w:type="character" w:customStyle="1" w:styleId="Kop9Char">
    <w:name w:val="Kop 9 Char"/>
    <w:basedOn w:val="Standaardalinea-lettertype"/>
    <w:link w:val="Kop9"/>
    <w:uiPriority w:val="9"/>
    <w:semiHidden/>
    <w:rsid w:val="00FC693F"/>
    <w:rPr>
      <w:rFonts w:asciiTheme="majorHAnsi" w:eastAsiaTheme="majorEastAsia" w:hAnsiTheme="majorHAnsi" w:cstheme="majorBidi"/>
      <w:i/>
      <w:iCs/>
      <w:color w:val="404040" w:themeColor="text1" w:themeTint="BF"/>
      <w:sz w:val="20"/>
      <w:szCs w:val="20"/>
    </w:rPr>
  </w:style>
  <w:style w:type="paragraph" w:styleId="Bijschrift">
    <w:name w:val="caption"/>
    <w:basedOn w:val="Standaard"/>
    <w:next w:val="Standaard"/>
    <w:uiPriority w:val="35"/>
    <w:semiHidden/>
    <w:unhideWhenUsed/>
    <w:qFormat/>
    <w:rsid w:val="00FC693F"/>
    <w:pPr>
      <w:spacing w:line="240" w:lineRule="auto"/>
    </w:pPr>
    <w:rPr>
      <w:b/>
      <w:bCs/>
      <w:color w:val="4F81BD" w:themeColor="accent1"/>
      <w:sz w:val="18"/>
      <w:szCs w:val="18"/>
    </w:rPr>
  </w:style>
  <w:style w:type="character" w:styleId="Zwaar">
    <w:name w:val="Strong"/>
    <w:basedOn w:val="Standaardalinea-lettertype"/>
    <w:uiPriority w:val="22"/>
    <w:qFormat/>
    <w:rsid w:val="00FC693F"/>
    <w:rPr>
      <w:b/>
      <w:bCs/>
    </w:rPr>
  </w:style>
  <w:style w:type="character" w:styleId="Nadruk">
    <w:name w:val="Emphasis"/>
    <w:basedOn w:val="Standaardalinea-lettertype"/>
    <w:uiPriority w:val="20"/>
    <w:qFormat/>
    <w:rsid w:val="00FC693F"/>
    <w:rPr>
      <w:i/>
      <w:iCs/>
    </w:rPr>
  </w:style>
  <w:style w:type="paragraph" w:styleId="Duidelijkcitaat">
    <w:name w:val="Intense Quote"/>
    <w:basedOn w:val="Standaard"/>
    <w:next w:val="Standaard"/>
    <w:link w:val="Duidelijkcitaat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DuidelijkcitaatChar">
    <w:name w:val="Duidelijk citaat Char"/>
    <w:basedOn w:val="Standaardalinea-lettertype"/>
    <w:link w:val="Duidelijkcitaat"/>
    <w:uiPriority w:val="30"/>
    <w:rsid w:val="00FC693F"/>
    <w:rPr>
      <w:b/>
      <w:bCs/>
      <w:i/>
      <w:iCs/>
      <w:color w:val="4F81BD" w:themeColor="accent1"/>
    </w:rPr>
  </w:style>
  <w:style w:type="character" w:styleId="Subtielebenadrukking">
    <w:name w:val="Subtle Emphasis"/>
    <w:basedOn w:val="Standaardalinea-lettertype"/>
    <w:uiPriority w:val="19"/>
    <w:qFormat/>
    <w:rsid w:val="00FC693F"/>
    <w:rPr>
      <w:i/>
      <w:iCs/>
      <w:color w:val="808080" w:themeColor="text1" w:themeTint="7F"/>
    </w:rPr>
  </w:style>
  <w:style w:type="character" w:styleId="Intensievebenadrukking">
    <w:name w:val="Intense Emphasis"/>
    <w:basedOn w:val="Standaardalinea-lettertype"/>
    <w:uiPriority w:val="21"/>
    <w:qFormat/>
    <w:rsid w:val="00FC693F"/>
    <w:rPr>
      <w:b/>
      <w:bCs/>
      <w:i/>
      <w:iCs/>
      <w:color w:val="4F81BD" w:themeColor="accent1"/>
    </w:rPr>
  </w:style>
  <w:style w:type="character" w:styleId="Subtieleverwijzing">
    <w:name w:val="Subtle Reference"/>
    <w:basedOn w:val="Standaardalinea-lettertype"/>
    <w:uiPriority w:val="31"/>
    <w:qFormat/>
    <w:rsid w:val="00FC693F"/>
    <w:rPr>
      <w:smallCaps/>
      <w:color w:val="C0504D" w:themeColor="accent2"/>
      <w:u w:val="single"/>
    </w:rPr>
  </w:style>
  <w:style w:type="character" w:styleId="Intensieveverwijzing">
    <w:name w:val="Intense Reference"/>
    <w:basedOn w:val="Standaardalinea-lettertype"/>
    <w:uiPriority w:val="32"/>
    <w:qFormat/>
    <w:rsid w:val="00FC693F"/>
    <w:rPr>
      <w:b/>
      <w:bCs/>
      <w:smallCaps/>
      <w:color w:val="C0504D" w:themeColor="accent2"/>
      <w:spacing w:val="5"/>
      <w:u w:val="single"/>
    </w:rPr>
  </w:style>
  <w:style w:type="character" w:styleId="Titelvanboek">
    <w:name w:val="Book Title"/>
    <w:basedOn w:val="Standaardalinea-lettertype"/>
    <w:uiPriority w:val="33"/>
    <w:qFormat/>
    <w:rsid w:val="00FC693F"/>
    <w:rPr>
      <w:b/>
      <w:bCs/>
      <w:smallCaps/>
      <w:spacing w:val="5"/>
    </w:rPr>
  </w:style>
  <w:style w:type="paragraph" w:styleId="Kopvaninhoudsopgave">
    <w:name w:val="TOC Heading"/>
    <w:basedOn w:val="Kop1"/>
    <w:next w:val="Standaard"/>
    <w:uiPriority w:val="39"/>
    <w:semiHidden/>
    <w:unhideWhenUsed/>
    <w:qFormat/>
    <w:rsid w:val="00FC693F"/>
    <w:pPr>
      <w:outlineLvl w:val="9"/>
    </w:pPr>
  </w:style>
  <w:style w:type="table" w:styleId="Tabelraster">
    <w:name w:val="Table Grid"/>
    <w:basedOn w:val="Standaardtabe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chtearcering">
    <w:name w:val="Light Shading"/>
    <w:basedOn w:val="Standaardtabe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arcering-accent1">
    <w:name w:val="Light Shading Accent 1"/>
    <w:basedOn w:val="Standaardtabe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chtearcering-accent2">
    <w:name w:val="Light Shading Accent 2"/>
    <w:basedOn w:val="Standaardtabe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chtearcering-accent3">
    <w:name w:val="Light Shading Accent 3"/>
    <w:basedOn w:val="Standaardtabe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chtearcering-accent4">
    <w:name w:val="Light Shading Accent 4"/>
    <w:basedOn w:val="Standaardtabe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chtearcering-accent5">
    <w:name w:val="Light Shading Accent 5"/>
    <w:basedOn w:val="Standaardtabe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chtearcering-accent6">
    <w:name w:val="Light Shading Accent 6"/>
    <w:basedOn w:val="Standaardtabe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chtelijst">
    <w:name w:val="Light List"/>
    <w:basedOn w:val="Standaardtabe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chtelijst-accent1">
    <w:name w:val="Light List Accent 1"/>
    <w:basedOn w:val="Standaardtabe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chtelijst-accent2">
    <w:name w:val="Light List Accent 2"/>
    <w:basedOn w:val="Standaardtabe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chtelijst-accent3">
    <w:name w:val="Light List Accent 3"/>
    <w:basedOn w:val="Standaardtabe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chtelijst-accent4">
    <w:name w:val="Light List Accent 4"/>
    <w:basedOn w:val="Standaardtabe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chtelijst-accent5">
    <w:name w:val="Light List Accent 5"/>
    <w:basedOn w:val="Standaardtabe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chtelijst-accent6">
    <w:name w:val="Light List Accent 6"/>
    <w:basedOn w:val="Standaardtabe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chtraster">
    <w:name w:val="Light Grid"/>
    <w:basedOn w:val="Standaardtabe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chtraster-accent1">
    <w:name w:val="Light Grid Accent 1"/>
    <w:basedOn w:val="Standaardtabe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chtraster-accent2">
    <w:name w:val="Light Grid Accent 2"/>
    <w:basedOn w:val="Standaardtabe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chtraster-accent3">
    <w:name w:val="Light Grid Accent 3"/>
    <w:basedOn w:val="Standaardtabe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chtraster-accent4">
    <w:name w:val="Light Grid Accent 4"/>
    <w:basedOn w:val="Standaardtabe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chtraster-accent5">
    <w:name w:val="Light Grid Accent 5"/>
    <w:basedOn w:val="Standaardtabe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chtraster-accent6">
    <w:name w:val="Light Grid Accent 6"/>
    <w:basedOn w:val="Standaardtabe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Gemiddeldearcering1">
    <w:name w:val="Medium Shading 1"/>
    <w:basedOn w:val="Standaardtabe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Gemiddeldearcering1-accent1">
    <w:name w:val="Medium Shading 1 Accent 1"/>
    <w:basedOn w:val="Standaardtabe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Gemiddeldearcering1-accent2">
    <w:name w:val="Medium Shading 1 Accent 2"/>
    <w:basedOn w:val="Standaardtabe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Gemiddeldearcering1-accent3">
    <w:name w:val="Medium Shading 1 Accent 3"/>
    <w:basedOn w:val="Standaardtabe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Gemiddeldearcering1-accent4">
    <w:name w:val="Medium Shading 1 Accent 4"/>
    <w:basedOn w:val="Standaardtabe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Gemiddeldearcering1-accent5">
    <w:name w:val="Medium Shading 1 Accent 5"/>
    <w:basedOn w:val="Standaardtabe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Gemiddeldearcering1-accent6">
    <w:name w:val="Medium Shading 1 Accent 6"/>
    <w:basedOn w:val="Standaardtabe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Gemiddeldearcering2">
    <w:name w:val="Medium Shading 2"/>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1">
    <w:name w:val="Medium Shading 2 Accent 1"/>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2">
    <w:name w:val="Medium Shading 2 Accent 2"/>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3">
    <w:name w:val="Medium Shading 2 Accent 3"/>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4">
    <w:name w:val="Medium Shading 2 Accent 4"/>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5">
    <w:name w:val="Medium Shading 2 Accent 5"/>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6">
    <w:name w:val="Medium Shading 2 Accent 6"/>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lijst1">
    <w:name w:val="Medium List 1"/>
    <w:basedOn w:val="Standaardtabe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Gemiddeldelijst1-accent1">
    <w:name w:val="Medium List 1 Accent 1"/>
    <w:basedOn w:val="Standaardtabe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Gemiddeldelijst1-accent2">
    <w:name w:val="Medium List 1 Accent 2"/>
    <w:basedOn w:val="Standaardtabe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Gemiddeldelijst1-accent3">
    <w:name w:val="Medium List 1 Accent 3"/>
    <w:basedOn w:val="Standaardtabe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Gemiddeldelijst1-accent4">
    <w:name w:val="Medium List 1 Accent 4"/>
    <w:basedOn w:val="Standaardtabe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Gemiddeldelijst1-accent5">
    <w:name w:val="Medium List 1 Accent 5"/>
    <w:basedOn w:val="Standaardtabe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Gemiddeldelijst1-accent6">
    <w:name w:val="Medium List 1 Accent 6"/>
    <w:basedOn w:val="Standaardtabe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Gemiddeldelijst2">
    <w:name w:val="Medium List 2"/>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1">
    <w:name w:val="Medium List 2 Accent 1"/>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2">
    <w:name w:val="Medium List 2 Accent 2"/>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3">
    <w:name w:val="Medium List 2 Accent 3"/>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4">
    <w:name w:val="Medium List 2 Accent 4"/>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5">
    <w:name w:val="Medium List 2 Accent 5"/>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6">
    <w:name w:val="Medium List 2 Accent 6"/>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raster1">
    <w:name w:val="Medium Grid 1"/>
    <w:basedOn w:val="Standaardtabe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emiddeldraster1-accent1">
    <w:name w:val="Medium Grid 1 Accent 1"/>
    <w:basedOn w:val="Standaardtabe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emiddeldraster1-accent2">
    <w:name w:val="Medium Grid 1 Accent 2"/>
    <w:basedOn w:val="Standaardtabe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emiddeldraster1-accent3">
    <w:name w:val="Medium Grid 1 Accent 3"/>
    <w:basedOn w:val="Standaardtabe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emiddeldraster1-accent4">
    <w:name w:val="Medium Grid 1 Accent 4"/>
    <w:basedOn w:val="Standaardtabe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emiddeldraster1-accent5">
    <w:name w:val="Medium Grid 1 Accent 5"/>
    <w:basedOn w:val="Standaardtabe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emiddeldraster1-accent6">
    <w:name w:val="Medium Grid 1 Accent 6"/>
    <w:basedOn w:val="Standaardtabe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emiddeldraster2">
    <w:name w:val="Medium Grid 2"/>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emiddeldraster2-accent1">
    <w:name w:val="Medium Grid 2 Accent 1"/>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emiddeldraster2-accent2">
    <w:name w:val="Medium Grid 2 Accent 2"/>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emiddeldraster2-accent3">
    <w:name w:val="Medium Grid 2 Accent 3"/>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emiddeldraster2-accent4">
    <w:name w:val="Medium Grid 2 Accent 4"/>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emiddeldraster2-accent5">
    <w:name w:val="Medium Grid 2 Accent 5"/>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emiddeldraster2-accent6">
    <w:name w:val="Medium Grid 2 Accent 6"/>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emiddeldraster3">
    <w:name w:val="Medium Grid 3"/>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emiddeldraster3-accent1">
    <w:name w:val="Medium Grid 3 Accent 1"/>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emiddeldraster3-accent2">
    <w:name w:val="Medium Grid 3 Accent 2"/>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emiddeldraster3-accent3">
    <w:name w:val="Medium Grid 3 Accent 3"/>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emiddeldraster3-accent4">
    <w:name w:val="Medium Grid 3 Accent 4"/>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emiddeldraster3-accent5">
    <w:name w:val="Medium Grid 3 Accent 5"/>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emiddeldraster3-accent6">
    <w:name w:val="Medium Grid 3 Accent 6"/>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onkerelijst">
    <w:name w:val="Dark List"/>
    <w:basedOn w:val="Standaardtabe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onkerelijst-accent1">
    <w:name w:val="Dark List Accent 1"/>
    <w:basedOn w:val="Standaardtabe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onkerelijst-accent2">
    <w:name w:val="Dark List Accent 2"/>
    <w:basedOn w:val="Standaardtabe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onkerelijst-accent3">
    <w:name w:val="Dark List Accent 3"/>
    <w:basedOn w:val="Standaardtabe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onkerelijst-accent4">
    <w:name w:val="Dark List Accent 4"/>
    <w:basedOn w:val="Standaardtabe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onkerelijst-accent5">
    <w:name w:val="Dark List Accent 5"/>
    <w:basedOn w:val="Standaardtabe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onkerelijst-accent6">
    <w:name w:val="Dark List Accent 6"/>
    <w:basedOn w:val="Standaardtabe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Kleurrijkearcering">
    <w:name w:val="Colorful Shading"/>
    <w:basedOn w:val="Standaardtabe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Kleurrijkearcering-accent1">
    <w:name w:val="Colorful Shading Accent 1"/>
    <w:basedOn w:val="Standaardtabe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Kleurrijkearcering-accent2">
    <w:name w:val="Colorful Shading Accent 2"/>
    <w:basedOn w:val="Standaardtabe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Kleurrijkearcering-accent3">
    <w:name w:val="Colorful Shading Accent 3"/>
    <w:basedOn w:val="Standaardtabe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Kleurrijkearcering-accent4">
    <w:name w:val="Colorful Shading Accent 4"/>
    <w:basedOn w:val="Standaardtabe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Kleurrijkearcering-accent5">
    <w:name w:val="Colorful Shading Accent 5"/>
    <w:basedOn w:val="Standaardtabe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Kleurrijkearcering-accent6">
    <w:name w:val="Colorful Shading Accent 6"/>
    <w:basedOn w:val="Standaardtabe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Kleurrijkelijst">
    <w:name w:val="Colorful List"/>
    <w:basedOn w:val="Standaardtabe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Kleurrijkelijst-accent1">
    <w:name w:val="Colorful List Accent 1"/>
    <w:basedOn w:val="Standaardtabe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Kleurrijkelijst-accent2">
    <w:name w:val="Colorful List Accent 2"/>
    <w:basedOn w:val="Standaardtabe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Kleurrijkelijst-accent3">
    <w:name w:val="Colorful List Accent 3"/>
    <w:basedOn w:val="Standaardtabe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Kleurrijkelijst-accent4">
    <w:name w:val="Colorful List Accent 4"/>
    <w:basedOn w:val="Standaardtabe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Kleurrijkelijst-accent5">
    <w:name w:val="Colorful List Accent 5"/>
    <w:basedOn w:val="Standaardtabe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Kleurrijkelijst-accent6">
    <w:name w:val="Colorful List Accent 6"/>
    <w:basedOn w:val="Standaardtabe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Kleurrijkraster">
    <w:name w:val="Colorful Grid"/>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leurrijkraster-accent1">
    <w:name w:val="Colorful Grid Accent 1"/>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Kleurrijkraster-accent2">
    <w:name w:val="Colorful Grid Accent 2"/>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Kleurrijkraster-accent3">
    <w:name w:val="Colorful Grid Accent 3"/>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Kleurrijkraster-accent4">
    <w:name w:val="Colorful Grid Accent 4"/>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Kleurrijkraster-accent5">
    <w:name w:val="Colorful Grid Accent 5"/>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Kleurrijkraster-accent6">
    <w:name w:val="Colorful Grid Accent 6"/>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alweb">
    <w:name w:val="Normal (Web)"/>
    <w:basedOn w:val="Standaard"/>
    <w:uiPriority w:val="99"/>
    <w:unhideWhenUsed/>
    <w:rsid w:val="00E335C5"/>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customStyle="1" w:styleId="ms-1">
    <w:name w:val="ms-1"/>
    <w:basedOn w:val="Standaardalinea-lettertype"/>
    <w:rsid w:val="00E335C5"/>
  </w:style>
  <w:style w:type="character" w:customStyle="1" w:styleId="max-w-15ch">
    <w:name w:val="max-w-[15ch]"/>
    <w:basedOn w:val="Standaardalinea-lettertype"/>
    <w:rsid w:val="00E335C5"/>
  </w:style>
  <w:style w:type="character" w:customStyle="1" w:styleId="-me-1">
    <w:name w:val="-me-1"/>
    <w:basedOn w:val="Standaardalinea-lettertype"/>
    <w:rsid w:val="00E335C5"/>
  </w:style>
  <w:style w:type="character" w:styleId="Hyperlink">
    <w:name w:val="Hyperlink"/>
    <w:basedOn w:val="Standaardalinea-lettertype"/>
    <w:uiPriority w:val="99"/>
    <w:unhideWhenUsed/>
    <w:rsid w:val="00A23517"/>
    <w:rPr>
      <w:color w:val="0000FF" w:themeColor="hyperlink"/>
      <w:u w:val="single"/>
    </w:rPr>
  </w:style>
  <w:style w:type="character" w:styleId="Onopgelostemelding">
    <w:name w:val="Unresolved Mention"/>
    <w:basedOn w:val="Standaardalinea-lettertype"/>
    <w:uiPriority w:val="99"/>
    <w:semiHidden/>
    <w:unhideWhenUsed/>
    <w:rsid w:val="00A235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kinderverhalenbankwkz.n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11</Pages>
  <Words>4416</Words>
  <Characters>24291</Characters>
  <Application>Microsoft Office Word</Application>
  <DocSecurity>0</DocSecurity>
  <Lines>202</Lines>
  <Paragraphs>57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28650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Zutphen, S.S. van (Sander)</cp:lastModifiedBy>
  <cp:revision>25</cp:revision>
  <dcterms:created xsi:type="dcterms:W3CDTF">2025-10-02T11:53:00Z</dcterms:created>
  <dcterms:modified xsi:type="dcterms:W3CDTF">2025-10-02T14:50:00Z</dcterms:modified>
  <cp:category/>
</cp:coreProperties>
</file>