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C0B7EF" w14:textId="1B3B274B" w:rsidR="00C7035A" w:rsidRPr="007522AC" w:rsidRDefault="00C7035A" w:rsidP="007522AC">
      <w:pPr>
        <w:pStyle w:val="paragraph"/>
        <w:spacing w:before="0" w:beforeAutospacing="0" w:after="0" w:afterAutospacing="0" w:line="480" w:lineRule="auto"/>
        <w:jc w:val="center"/>
        <w:textAlignment w:val="baseline"/>
        <w:rPr>
          <w:lang w:val="en-GB"/>
        </w:rPr>
      </w:pPr>
      <w:r w:rsidRPr="007522AC">
        <w:rPr>
          <w:rStyle w:val="normaltextrun"/>
          <w:rFonts w:eastAsiaTheme="majorEastAsia"/>
          <w:color w:val="000000"/>
          <w:lang w:val="en-GB"/>
        </w:rPr>
        <w:t> </w:t>
      </w:r>
      <w:r w:rsidRPr="007522AC">
        <w:rPr>
          <w:rStyle w:val="eop"/>
          <w:rFonts w:eastAsiaTheme="majorEastAsia"/>
          <w:color w:val="000000"/>
          <w:lang w:val="en-GB"/>
        </w:rPr>
        <w:t> </w:t>
      </w:r>
    </w:p>
    <w:p w14:paraId="7F5D2E6D" w14:textId="77777777" w:rsidR="00C7035A" w:rsidRPr="007522AC" w:rsidRDefault="00C7035A" w:rsidP="007522AC">
      <w:pPr>
        <w:pStyle w:val="paragraph"/>
        <w:spacing w:before="0" w:beforeAutospacing="0" w:after="0" w:afterAutospacing="0" w:line="480" w:lineRule="auto"/>
        <w:jc w:val="center"/>
        <w:textAlignment w:val="baseline"/>
        <w:rPr>
          <w:lang w:val="en-GB"/>
        </w:rPr>
      </w:pPr>
      <w:r w:rsidRPr="007522AC">
        <w:rPr>
          <w:rStyle w:val="normaltextrun"/>
          <w:rFonts w:eastAsiaTheme="majorEastAsia"/>
          <w:color w:val="000000"/>
          <w:lang w:val="en-GB"/>
        </w:rPr>
        <w:t> </w:t>
      </w:r>
      <w:r w:rsidRPr="007522AC">
        <w:rPr>
          <w:rStyle w:val="eop"/>
          <w:rFonts w:eastAsiaTheme="majorEastAsia"/>
          <w:color w:val="000000"/>
          <w:lang w:val="en-GB"/>
        </w:rPr>
        <w:t> </w:t>
      </w:r>
    </w:p>
    <w:p w14:paraId="34CB0D4D" w14:textId="77777777" w:rsidR="00C7035A" w:rsidRPr="007522AC" w:rsidRDefault="00C7035A" w:rsidP="007522AC">
      <w:pPr>
        <w:pStyle w:val="paragraph"/>
        <w:spacing w:before="0" w:beforeAutospacing="0" w:after="0" w:afterAutospacing="0" w:line="480" w:lineRule="auto"/>
        <w:jc w:val="center"/>
        <w:textAlignment w:val="baseline"/>
        <w:rPr>
          <w:lang w:val="en-GB"/>
        </w:rPr>
      </w:pPr>
      <w:r w:rsidRPr="007522AC">
        <w:rPr>
          <w:rStyle w:val="normaltextrun"/>
          <w:rFonts w:eastAsiaTheme="majorEastAsia"/>
          <w:color w:val="000000"/>
          <w:lang w:val="en-GB"/>
        </w:rPr>
        <w:t> </w:t>
      </w:r>
      <w:r w:rsidRPr="007522AC">
        <w:rPr>
          <w:rStyle w:val="eop"/>
          <w:rFonts w:eastAsiaTheme="majorEastAsia"/>
          <w:color w:val="000000"/>
          <w:lang w:val="en-GB"/>
        </w:rPr>
        <w:t> </w:t>
      </w:r>
    </w:p>
    <w:p w14:paraId="6CCA06A1" w14:textId="77777777" w:rsidR="00C7035A" w:rsidRPr="007522AC" w:rsidRDefault="00C7035A" w:rsidP="007522AC">
      <w:pPr>
        <w:pStyle w:val="paragraph"/>
        <w:spacing w:before="0" w:beforeAutospacing="0" w:after="0" w:afterAutospacing="0" w:line="480" w:lineRule="auto"/>
        <w:jc w:val="center"/>
        <w:textAlignment w:val="baseline"/>
        <w:rPr>
          <w:lang w:val="en-GB"/>
        </w:rPr>
      </w:pPr>
      <w:r w:rsidRPr="007522AC">
        <w:rPr>
          <w:rStyle w:val="normaltextrun"/>
          <w:rFonts w:eastAsiaTheme="majorEastAsia"/>
          <w:color w:val="000000"/>
          <w:lang w:val="en-GB"/>
        </w:rPr>
        <w:t> </w:t>
      </w:r>
      <w:r w:rsidRPr="007522AC">
        <w:rPr>
          <w:rStyle w:val="eop"/>
          <w:rFonts w:eastAsiaTheme="majorEastAsia"/>
          <w:color w:val="000000"/>
          <w:lang w:val="en-GB"/>
        </w:rPr>
        <w:t> </w:t>
      </w:r>
    </w:p>
    <w:p w14:paraId="1D6D4F84" w14:textId="77777777" w:rsidR="00C7035A" w:rsidRPr="007522AC" w:rsidRDefault="00C7035A" w:rsidP="007522AC">
      <w:pPr>
        <w:pStyle w:val="paragraph"/>
        <w:spacing w:before="0" w:beforeAutospacing="0" w:after="0" w:afterAutospacing="0" w:line="480" w:lineRule="auto"/>
        <w:jc w:val="center"/>
        <w:textAlignment w:val="baseline"/>
        <w:rPr>
          <w:lang w:val="en-GB"/>
        </w:rPr>
      </w:pPr>
      <w:r w:rsidRPr="007522AC">
        <w:rPr>
          <w:rStyle w:val="normaltextrun"/>
          <w:rFonts w:eastAsiaTheme="majorEastAsia"/>
          <w:color w:val="000000"/>
          <w:lang w:val="en-GB"/>
        </w:rPr>
        <w:t> </w:t>
      </w:r>
      <w:r w:rsidRPr="007522AC">
        <w:rPr>
          <w:rStyle w:val="eop"/>
          <w:rFonts w:eastAsiaTheme="majorEastAsia"/>
          <w:color w:val="000000"/>
          <w:lang w:val="en-GB"/>
        </w:rPr>
        <w:t> </w:t>
      </w:r>
    </w:p>
    <w:p w14:paraId="1A868C0D" w14:textId="1266A424" w:rsidR="00C7035A" w:rsidRPr="007522AC" w:rsidRDefault="00C7035A" w:rsidP="007522AC">
      <w:pPr>
        <w:pStyle w:val="paragraph"/>
        <w:spacing w:before="0" w:beforeAutospacing="0" w:after="0" w:afterAutospacing="0" w:line="480" w:lineRule="auto"/>
        <w:textAlignment w:val="baseline"/>
        <w:rPr>
          <w:rStyle w:val="normaltextrun"/>
          <w:lang w:val="en-GB"/>
        </w:rPr>
      </w:pPr>
    </w:p>
    <w:p w14:paraId="20E5F42E" w14:textId="77777777" w:rsidR="00C7035A" w:rsidRPr="007522AC" w:rsidRDefault="00C7035A" w:rsidP="007522AC">
      <w:pPr>
        <w:pStyle w:val="paragraph"/>
        <w:spacing w:before="0" w:beforeAutospacing="0" w:after="0" w:afterAutospacing="0" w:line="480" w:lineRule="auto"/>
        <w:jc w:val="center"/>
        <w:textAlignment w:val="baseline"/>
        <w:rPr>
          <w:rStyle w:val="normaltextrun"/>
          <w:rFonts w:eastAsiaTheme="majorEastAsia"/>
          <w:color w:val="000000"/>
          <w:lang w:val="en-GB"/>
        </w:rPr>
      </w:pPr>
    </w:p>
    <w:p w14:paraId="03EDBB83" w14:textId="77777777" w:rsidR="00C7035A" w:rsidRPr="007522AC" w:rsidRDefault="00C7035A" w:rsidP="007522AC">
      <w:pPr>
        <w:pStyle w:val="paragraph"/>
        <w:spacing w:before="0" w:beforeAutospacing="0" w:after="0" w:afterAutospacing="0" w:line="480" w:lineRule="auto"/>
        <w:jc w:val="center"/>
        <w:textAlignment w:val="baseline"/>
        <w:rPr>
          <w:rStyle w:val="normaltextrun"/>
          <w:rFonts w:eastAsiaTheme="majorEastAsia"/>
          <w:color w:val="000000"/>
          <w:lang w:val="en-GB"/>
        </w:rPr>
      </w:pPr>
    </w:p>
    <w:p w14:paraId="784C5993" w14:textId="4CF6CC3F" w:rsidR="00C7035A" w:rsidRPr="007522AC" w:rsidRDefault="007E598C" w:rsidP="007522AC">
      <w:pPr>
        <w:pStyle w:val="paragraph"/>
        <w:spacing w:before="0" w:beforeAutospacing="0" w:after="0" w:afterAutospacing="0" w:line="480" w:lineRule="auto"/>
        <w:jc w:val="center"/>
        <w:textAlignment w:val="baseline"/>
        <w:rPr>
          <w:rFonts w:eastAsiaTheme="majorEastAsia"/>
          <w:b/>
          <w:bCs/>
          <w:color w:val="000000"/>
          <w:lang w:val="en-GB"/>
        </w:rPr>
      </w:pPr>
      <w:r w:rsidRPr="007522AC">
        <w:rPr>
          <w:rStyle w:val="normaltextrun"/>
          <w:rFonts w:eastAsiaTheme="majorEastAsia"/>
          <w:b/>
          <w:bCs/>
          <w:color w:val="000000"/>
          <w:lang w:val="en-GB"/>
        </w:rPr>
        <w:t>The development of visuospatial working memory and task switching in 5-8-year-old children and potential effects of bilingualism</w:t>
      </w:r>
    </w:p>
    <w:p w14:paraId="075A4BDF" w14:textId="77777777" w:rsidR="00C41EBB" w:rsidRPr="007522AC" w:rsidRDefault="00C7035A" w:rsidP="007522AC">
      <w:pPr>
        <w:pStyle w:val="paragraph"/>
        <w:spacing w:before="0" w:beforeAutospacing="0" w:after="0" w:afterAutospacing="0" w:line="480" w:lineRule="auto"/>
        <w:jc w:val="center"/>
        <w:textAlignment w:val="baseline"/>
        <w:rPr>
          <w:rStyle w:val="eop"/>
          <w:rFonts w:eastAsiaTheme="majorEastAsia"/>
          <w:color w:val="000000"/>
          <w:lang w:val="en-GB"/>
        </w:rPr>
      </w:pPr>
      <w:r w:rsidRPr="007522AC">
        <w:rPr>
          <w:rStyle w:val="normaltextrun"/>
          <w:rFonts w:eastAsiaTheme="majorEastAsia"/>
          <w:color w:val="000000"/>
          <w:lang w:val="en-GB"/>
        </w:rPr>
        <w:t> </w:t>
      </w:r>
    </w:p>
    <w:p w14:paraId="36452558" w14:textId="77777777" w:rsidR="00C41EBB" w:rsidRPr="007522AC" w:rsidRDefault="00C41EBB" w:rsidP="007522AC">
      <w:pPr>
        <w:pStyle w:val="paragraph"/>
        <w:spacing w:before="0" w:beforeAutospacing="0" w:after="0" w:afterAutospacing="0" w:line="480" w:lineRule="auto"/>
        <w:jc w:val="center"/>
        <w:textAlignment w:val="baseline"/>
        <w:rPr>
          <w:rStyle w:val="eop"/>
          <w:rFonts w:eastAsiaTheme="majorEastAsia"/>
          <w:color w:val="000000"/>
          <w:lang w:val="en-GB"/>
        </w:rPr>
      </w:pPr>
    </w:p>
    <w:p w14:paraId="12A3BF1E" w14:textId="77777777" w:rsidR="00C41EBB" w:rsidRPr="007522AC" w:rsidRDefault="00C41EBB" w:rsidP="007522AC">
      <w:pPr>
        <w:pStyle w:val="paragraph"/>
        <w:spacing w:before="0" w:beforeAutospacing="0" w:after="0" w:afterAutospacing="0" w:line="480" w:lineRule="auto"/>
        <w:jc w:val="center"/>
        <w:textAlignment w:val="baseline"/>
        <w:rPr>
          <w:rStyle w:val="eop"/>
          <w:rFonts w:eastAsiaTheme="majorEastAsia"/>
          <w:color w:val="000000"/>
          <w:lang w:val="en-GB"/>
        </w:rPr>
      </w:pPr>
    </w:p>
    <w:p w14:paraId="2A90C4AE" w14:textId="5A2D1CEB" w:rsidR="00C7035A" w:rsidRPr="007522AC" w:rsidRDefault="00C7035A" w:rsidP="007522AC">
      <w:pPr>
        <w:pStyle w:val="paragraph"/>
        <w:spacing w:before="0" w:beforeAutospacing="0" w:after="0" w:afterAutospacing="0" w:line="480" w:lineRule="auto"/>
        <w:jc w:val="center"/>
        <w:textAlignment w:val="baseline"/>
        <w:rPr>
          <w:rStyle w:val="normaltextrun"/>
          <w:rFonts w:eastAsiaTheme="majorEastAsia"/>
          <w:color w:val="000000"/>
          <w:lang w:val="en-GB"/>
        </w:rPr>
      </w:pPr>
      <w:r w:rsidRPr="007522AC">
        <w:rPr>
          <w:rStyle w:val="normaltextrun"/>
          <w:rFonts w:eastAsiaTheme="majorEastAsia"/>
          <w:color w:val="000000"/>
          <w:lang w:val="en-GB"/>
        </w:rPr>
        <w:t>Nardine Adriaansen</w:t>
      </w:r>
    </w:p>
    <w:p w14:paraId="1FDCD320" w14:textId="66AFDF0E" w:rsidR="00C41EBB" w:rsidRPr="007522AC" w:rsidRDefault="00C41EBB" w:rsidP="007522AC">
      <w:pPr>
        <w:pStyle w:val="paragraph"/>
        <w:spacing w:before="0" w:beforeAutospacing="0" w:after="0" w:afterAutospacing="0" w:line="480" w:lineRule="auto"/>
        <w:jc w:val="center"/>
        <w:textAlignment w:val="baseline"/>
        <w:rPr>
          <w:lang w:val="en-GB"/>
        </w:rPr>
      </w:pPr>
      <w:r w:rsidRPr="007522AC">
        <w:rPr>
          <w:lang w:val="en-GB"/>
        </w:rPr>
        <w:t>Faculty of Social Sciences, University of Utrecht</w:t>
      </w:r>
    </w:p>
    <w:p w14:paraId="01646A73" w14:textId="493FA1C6" w:rsidR="00C41EBB" w:rsidRPr="007522AC" w:rsidRDefault="00C41EBB" w:rsidP="007522AC">
      <w:pPr>
        <w:pStyle w:val="paragraph"/>
        <w:spacing w:before="0" w:beforeAutospacing="0" w:after="0" w:afterAutospacing="0" w:line="480" w:lineRule="auto"/>
        <w:jc w:val="center"/>
        <w:textAlignment w:val="baseline"/>
        <w:rPr>
          <w:lang w:val="en-GB"/>
        </w:rPr>
      </w:pPr>
      <w:r w:rsidRPr="007522AC">
        <w:rPr>
          <w:lang w:val="en-GB"/>
        </w:rPr>
        <w:t>201600201: Master thesis</w:t>
      </w:r>
    </w:p>
    <w:p w14:paraId="27D78433" w14:textId="292E05D8" w:rsidR="00C7035A" w:rsidRPr="007522AC" w:rsidRDefault="00C7035A" w:rsidP="007522AC">
      <w:pPr>
        <w:pStyle w:val="paragraph"/>
        <w:spacing w:before="0" w:beforeAutospacing="0" w:after="0" w:afterAutospacing="0" w:line="480" w:lineRule="auto"/>
        <w:jc w:val="center"/>
        <w:textAlignment w:val="baseline"/>
        <w:rPr>
          <w:lang w:val="en-GB"/>
        </w:rPr>
      </w:pPr>
      <w:r w:rsidRPr="007522AC">
        <w:rPr>
          <w:rStyle w:val="normaltextrun"/>
          <w:rFonts w:eastAsiaTheme="majorEastAsia"/>
          <w:color w:val="000000"/>
          <w:lang w:val="en-GB"/>
        </w:rPr>
        <w:t xml:space="preserve">Mona </w:t>
      </w:r>
      <w:proofErr w:type="spellStart"/>
      <w:r w:rsidRPr="007522AC">
        <w:rPr>
          <w:rStyle w:val="normaltextrun"/>
          <w:rFonts w:eastAsiaTheme="majorEastAsia"/>
          <w:color w:val="000000"/>
          <w:lang w:val="en-GB"/>
        </w:rPr>
        <w:t>Timmermeister</w:t>
      </w:r>
      <w:proofErr w:type="spellEnd"/>
    </w:p>
    <w:p w14:paraId="58C0E1CD" w14:textId="41FF3A70" w:rsidR="00C7035A" w:rsidRPr="007522AC" w:rsidRDefault="00C41EBB" w:rsidP="007522AC">
      <w:pPr>
        <w:pStyle w:val="paragraph"/>
        <w:spacing w:before="0" w:beforeAutospacing="0" w:after="0" w:afterAutospacing="0" w:line="480" w:lineRule="auto"/>
        <w:jc w:val="center"/>
        <w:textAlignment w:val="baseline"/>
        <w:rPr>
          <w:lang w:val="en-GB"/>
        </w:rPr>
      </w:pPr>
      <w:r w:rsidRPr="007522AC">
        <w:rPr>
          <w:color w:val="000000"/>
          <w:lang w:val="en-GB"/>
        </w:rPr>
        <w:t xml:space="preserve">May 30, </w:t>
      </w:r>
      <w:r w:rsidR="00D17A9F" w:rsidRPr="007522AC">
        <w:rPr>
          <w:color w:val="000000"/>
          <w:lang w:val="en-GB"/>
        </w:rPr>
        <w:t>2025</w:t>
      </w:r>
      <w:r w:rsidR="00C7035A" w:rsidRPr="007522AC">
        <w:rPr>
          <w:color w:val="000000"/>
          <w:lang w:val="en-GB"/>
        </w:rPr>
        <w:br/>
      </w:r>
    </w:p>
    <w:p w14:paraId="496E515B" w14:textId="77777777" w:rsidR="00097C41" w:rsidRPr="007522AC" w:rsidRDefault="00097C41" w:rsidP="007522AC">
      <w:pPr>
        <w:spacing w:line="480" w:lineRule="auto"/>
        <w:jc w:val="center"/>
        <w:rPr>
          <w:rStyle w:val="normaltextrun"/>
          <w:rFonts w:eastAsiaTheme="majorEastAsia"/>
          <w:color w:val="000000"/>
          <w:lang w:val="en-GB"/>
        </w:rPr>
      </w:pPr>
      <w:r w:rsidRPr="007522AC">
        <w:rPr>
          <w:rStyle w:val="normaltextrun"/>
          <w:rFonts w:eastAsiaTheme="majorEastAsia"/>
          <w:color w:val="000000"/>
          <w:lang w:val="en-GB"/>
        </w:rPr>
        <w:br w:type="page"/>
      </w:r>
    </w:p>
    <w:p w14:paraId="6BE2DFBD" w14:textId="14AC559F" w:rsidR="00097C41" w:rsidRPr="007522AC" w:rsidRDefault="00097C41" w:rsidP="007522AC">
      <w:pPr>
        <w:spacing w:line="480" w:lineRule="auto"/>
        <w:jc w:val="center"/>
        <w:rPr>
          <w:rStyle w:val="normaltextrun"/>
          <w:rFonts w:eastAsiaTheme="majorEastAsia"/>
          <w:b/>
          <w:bCs/>
          <w:color w:val="000000"/>
          <w:lang w:val="en-GB"/>
        </w:rPr>
      </w:pPr>
      <w:r w:rsidRPr="007522AC">
        <w:rPr>
          <w:rStyle w:val="normaltextrun"/>
          <w:rFonts w:eastAsiaTheme="majorEastAsia"/>
          <w:b/>
          <w:bCs/>
          <w:color w:val="000000"/>
          <w:lang w:val="en-GB"/>
        </w:rPr>
        <w:t>Abstract</w:t>
      </w:r>
    </w:p>
    <w:p w14:paraId="1148E62E" w14:textId="041C6605" w:rsidR="00954D21" w:rsidRPr="007522AC" w:rsidRDefault="00C9655D" w:rsidP="007522AC">
      <w:pPr>
        <w:spacing w:line="480" w:lineRule="auto"/>
        <w:rPr>
          <w:rStyle w:val="normaltextrun"/>
          <w:rFonts w:eastAsiaTheme="majorEastAsia"/>
          <w:color w:val="000000"/>
          <w:lang w:val="en-GB"/>
        </w:rPr>
      </w:pPr>
      <w:r w:rsidRPr="007522AC">
        <w:rPr>
          <w:rStyle w:val="normaltextrun"/>
          <w:rFonts w:eastAsiaTheme="majorEastAsia"/>
          <w:color w:val="000000"/>
          <w:lang w:val="en-GB"/>
        </w:rPr>
        <w:t xml:space="preserve">The present </w:t>
      </w:r>
      <w:r w:rsidR="005263C0" w:rsidRPr="007522AC">
        <w:rPr>
          <w:rStyle w:val="normaltextrun"/>
          <w:rFonts w:eastAsiaTheme="majorEastAsia"/>
          <w:color w:val="000000"/>
          <w:lang w:val="en-GB"/>
        </w:rPr>
        <w:t xml:space="preserve">longitudinal </w:t>
      </w:r>
      <w:r w:rsidRPr="007522AC">
        <w:rPr>
          <w:rStyle w:val="normaltextrun"/>
          <w:rFonts w:eastAsiaTheme="majorEastAsia"/>
          <w:color w:val="000000"/>
          <w:lang w:val="en-GB"/>
        </w:rPr>
        <w:t xml:space="preserve">study experimentally investigated the impact of bilingualism on cognitive development, focusing specifically on task switching and visuospatial working memory. The sample consisted of </w:t>
      </w:r>
      <w:proofErr w:type="gramStart"/>
      <w:r w:rsidRPr="007522AC">
        <w:rPr>
          <w:rStyle w:val="normaltextrun"/>
          <w:rFonts w:eastAsiaTheme="majorEastAsia"/>
          <w:color w:val="000000"/>
          <w:lang w:val="en-GB"/>
        </w:rPr>
        <w:t>Dutch-Turkish</w:t>
      </w:r>
      <w:proofErr w:type="gramEnd"/>
      <w:r w:rsidRPr="007522AC">
        <w:rPr>
          <w:rStyle w:val="normaltextrun"/>
          <w:rFonts w:eastAsiaTheme="majorEastAsia"/>
          <w:color w:val="000000"/>
          <w:lang w:val="en-GB"/>
        </w:rPr>
        <w:t xml:space="preserve"> bilingual and Dutch monolingual children, all born and raised in the Netherlands. For the task switching measure, 28 bilingual and 40 monolingual children participated, while the visuospatial working memory task included 21 bilinguals and 40 monolinguals. Task switching ability was assessed using a non-verbal task developed with E-Prime 2.0 (Psychology Software Tools, Pittsburgh, PA, United States), and visuospatial working memory was measured using the Dot Matrix Task from the Automated Working Memory Assessment (AWMA; Alloway, 2007). Data were </w:t>
      </w:r>
      <w:r w:rsidR="00D17A9F" w:rsidRPr="007522AC">
        <w:rPr>
          <w:rStyle w:val="normaltextrun"/>
          <w:rFonts w:eastAsiaTheme="majorEastAsia"/>
          <w:color w:val="000000"/>
          <w:lang w:val="en-GB"/>
        </w:rPr>
        <w:t>analysed</w:t>
      </w:r>
      <w:r w:rsidRPr="007522AC">
        <w:rPr>
          <w:rStyle w:val="normaltextrun"/>
          <w:rFonts w:eastAsiaTheme="majorEastAsia"/>
          <w:color w:val="000000"/>
          <w:lang w:val="en-GB"/>
        </w:rPr>
        <w:t xml:space="preserve"> using a mixed-design ANOVA with repeated measures. </w:t>
      </w:r>
      <w:r w:rsidR="005D5850" w:rsidRPr="007522AC">
        <w:rPr>
          <w:rStyle w:val="normaltextrun"/>
          <w:rFonts w:eastAsiaTheme="majorEastAsia"/>
          <w:color w:val="000000"/>
          <w:lang w:val="en-GB"/>
        </w:rPr>
        <w:t xml:space="preserve">Based on previous research, a </w:t>
      </w:r>
      <w:r w:rsidRPr="007522AC">
        <w:rPr>
          <w:rStyle w:val="normaltextrun"/>
          <w:rFonts w:eastAsiaTheme="majorEastAsia"/>
          <w:color w:val="000000"/>
          <w:lang w:val="en-GB"/>
        </w:rPr>
        <w:t>bilingual advantage</w:t>
      </w:r>
      <w:r w:rsidR="005D5850" w:rsidRPr="007522AC">
        <w:rPr>
          <w:rStyle w:val="normaltextrun"/>
          <w:rFonts w:eastAsiaTheme="majorEastAsia"/>
          <w:color w:val="000000"/>
          <w:lang w:val="en-GB"/>
        </w:rPr>
        <w:t xml:space="preserve"> in</w:t>
      </w:r>
      <w:r w:rsidR="007E598C" w:rsidRPr="007522AC">
        <w:rPr>
          <w:rStyle w:val="normaltextrun"/>
          <w:rFonts w:eastAsiaTheme="majorEastAsia"/>
          <w:color w:val="000000"/>
          <w:lang w:val="en-GB"/>
        </w:rPr>
        <w:t xml:space="preserve"> cognitive skills </w:t>
      </w:r>
      <w:r w:rsidR="00864D8F">
        <w:rPr>
          <w:rStyle w:val="normaltextrun"/>
          <w:rFonts w:eastAsiaTheme="majorEastAsia"/>
          <w:color w:val="000000"/>
          <w:lang w:val="en-GB"/>
        </w:rPr>
        <w:t>was</w:t>
      </w:r>
      <w:r w:rsidR="007E598C" w:rsidRPr="007522AC">
        <w:rPr>
          <w:rStyle w:val="normaltextrun"/>
          <w:rFonts w:eastAsiaTheme="majorEastAsia"/>
          <w:color w:val="000000"/>
          <w:lang w:val="en-GB"/>
        </w:rPr>
        <w:t xml:space="preserve"> hypothesised</w:t>
      </w:r>
      <w:r w:rsidR="005D5850" w:rsidRPr="007522AC">
        <w:rPr>
          <w:rStyle w:val="normaltextrun"/>
          <w:rFonts w:eastAsiaTheme="majorEastAsia"/>
          <w:color w:val="000000"/>
          <w:lang w:val="en-GB"/>
        </w:rPr>
        <w:t>.</w:t>
      </w:r>
      <w:r w:rsidRPr="007522AC">
        <w:rPr>
          <w:rStyle w:val="normaltextrun"/>
          <w:rFonts w:eastAsiaTheme="majorEastAsia"/>
          <w:color w:val="000000"/>
          <w:lang w:val="en-GB"/>
        </w:rPr>
        <w:t xml:space="preserve"> Results showed that both groups improved over time on both tasks. However, monolingual children </w:t>
      </w:r>
      <w:r w:rsidR="00864D8F">
        <w:rPr>
          <w:rStyle w:val="normaltextrun"/>
          <w:rFonts w:eastAsiaTheme="majorEastAsia"/>
          <w:color w:val="000000"/>
          <w:lang w:val="en-GB"/>
        </w:rPr>
        <w:t>demonstrated</w:t>
      </w:r>
      <w:r w:rsidRPr="007522AC">
        <w:rPr>
          <w:rStyle w:val="normaltextrun"/>
          <w:rFonts w:eastAsiaTheme="majorEastAsia"/>
          <w:color w:val="000000"/>
          <w:lang w:val="en-GB"/>
        </w:rPr>
        <w:t xml:space="preserve"> greater gains in task switching ability, while no significant differences were found between the groups in visuospatial working memory. These findings highlight the need for further longitudinal research with larger sample sizes</w:t>
      </w:r>
      <w:r w:rsidR="007E598C" w:rsidRPr="007522AC">
        <w:rPr>
          <w:rStyle w:val="normaltextrun"/>
          <w:rFonts w:eastAsiaTheme="majorEastAsia"/>
          <w:color w:val="000000"/>
          <w:lang w:val="en-GB"/>
        </w:rPr>
        <w:t xml:space="preserve">. </w:t>
      </w:r>
      <w:r w:rsidR="00864D8F" w:rsidRPr="00864D8F">
        <w:rPr>
          <w:rStyle w:val="normaltextrun"/>
          <w:rFonts w:eastAsiaTheme="majorEastAsia"/>
          <w:color w:val="000000"/>
          <w:lang w:val="en-GB"/>
        </w:rPr>
        <w:t>Suggestions for methodological improvements</w:t>
      </w:r>
      <w:r w:rsidR="00864D8F">
        <w:rPr>
          <w:rStyle w:val="normaltextrun"/>
          <w:rFonts w:eastAsiaTheme="majorEastAsia"/>
          <w:color w:val="000000"/>
          <w:lang w:val="en-GB"/>
        </w:rPr>
        <w:t xml:space="preserve"> </w:t>
      </w:r>
      <w:r w:rsidR="00864D8F" w:rsidRPr="00864D8F">
        <w:rPr>
          <w:rStyle w:val="normaltextrun"/>
          <w:rFonts w:eastAsiaTheme="majorEastAsia"/>
          <w:color w:val="000000"/>
          <w:lang w:val="en-GB"/>
        </w:rPr>
        <w:t>are also discussed</w:t>
      </w:r>
      <w:r w:rsidR="007E598C" w:rsidRPr="007522AC">
        <w:rPr>
          <w:rStyle w:val="normaltextrun"/>
          <w:rFonts w:eastAsiaTheme="majorEastAsia"/>
          <w:color w:val="000000"/>
          <w:lang w:val="en-GB"/>
        </w:rPr>
        <w:t xml:space="preserve">. </w:t>
      </w:r>
      <w:r w:rsidRPr="007522AC">
        <w:rPr>
          <w:rStyle w:val="normaltextrun"/>
          <w:rFonts w:eastAsiaTheme="majorEastAsia"/>
          <w:color w:val="000000"/>
          <w:lang w:val="en-GB"/>
        </w:rPr>
        <w:t xml:space="preserve"> </w:t>
      </w:r>
    </w:p>
    <w:p w14:paraId="4CFF9BB9" w14:textId="7BE5B589" w:rsidR="00B83D36" w:rsidRPr="007522AC" w:rsidRDefault="009E797B" w:rsidP="007522AC">
      <w:pPr>
        <w:spacing w:line="480" w:lineRule="auto"/>
        <w:ind w:firstLine="720"/>
        <w:rPr>
          <w:rStyle w:val="normaltextrun"/>
          <w:rFonts w:eastAsiaTheme="majorEastAsia"/>
          <w:color w:val="000000"/>
          <w:lang w:val="en-GB"/>
        </w:rPr>
      </w:pPr>
      <w:r w:rsidRPr="007522AC">
        <w:rPr>
          <w:rStyle w:val="normaltextrun"/>
          <w:rFonts w:eastAsiaTheme="majorEastAsia"/>
          <w:i/>
          <w:iCs/>
          <w:color w:val="000000"/>
          <w:lang w:val="en-GB"/>
        </w:rPr>
        <w:t xml:space="preserve">Key words: </w:t>
      </w:r>
      <w:r w:rsidR="00781A1B" w:rsidRPr="007522AC">
        <w:rPr>
          <w:rStyle w:val="normaltextrun"/>
          <w:rFonts w:eastAsiaTheme="majorEastAsia"/>
          <w:color w:val="000000"/>
          <w:lang w:val="en-GB"/>
        </w:rPr>
        <w:t xml:space="preserve">bilinguals, monolinguals, cognitive development, </w:t>
      </w:r>
      <w:proofErr w:type="gramStart"/>
      <w:r w:rsidR="00781A1B" w:rsidRPr="007522AC">
        <w:rPr>
          <w:rStyle w:val="normaltextrun"/>
          <w:rFonts w:eastAsiaTheme="majorEastAsia"/>
          <w:color w:val="000000"/>
          <w:lang w:val="en-GB"/>
        </w:rPr>
        <w:t>Dutch-Turkish</w:t>
      </w:r>
      <w:proofErr w:type="gramEnd"/>
      <w:r w:rsidR="00781A1B" w:rsidRPr="007522AC">
        <w:rPr>
          <w:rStyle w:val="normaltextrun"/>
          <w:rFonts w:eastAsiaTheme="majorEastAsia"/>
          <w:color w:val="000000"/>
          <w:lang w:val="en-GB"/>
        </w:rPr>
        <w:t xml:space="preserve"> </w:t>
      </w:r>
      <w:r w:rsidR="00EA5620">
        <w:rPr>
          <w:rStyle w:val="normaltextrun"/>
          <w:rFonts w:eastAsiaTheme="majorEastAsia"/>
          <w:color w:val="000000"/>
          <w:lang w:val="en-GB"/>
        </w:rPr>
        <w:t>bilingual</w:t>
      </w:r>
      <w:r w:rsidR="006C7DBB" w:rsidRPr="007522AC">
        <w:rPr>
          <w:rStyle w:val="normaltextrun"/>
          <w:rFonts w:eastAsiaTheme="majorEastAsia"/>
          <w:color w:val="000000"/>
          <w:lang w:val="en-GB"/>
        </w:rPr>
        <w:t xml:space="preserve"> children</w:t>
      </w:r>
      <w:r w:rsidR="00781A1B" w:rsidRPr="007522AC">
        <w:rPr>
          <w:rStyle w:val="normaltextrun"/>
          <w:rFonts w:eastAsiaTheme="majorEastAsia"/>
          <w:color w:val="000000"/>
          <w:lang w:val="en-GB"/>
        </w:rPr>
        <w:t xml:space="preserve">, Dutch </w:t>
      </w:r>
      <w:r w:rsidR="00EA5620">
        <w:rPr>
          <w:rStyle w:val="normaltextrun"/>
          <w:rFonts w:eastAsiaTheme="majorEastAsia"/>
          <w:color w:val="000000"/>
          <w:lang w:val="en-GB"/>
        </w:rPr>
        <w:t>monolingual</w:t>
      </w:r>
      <w:r w:rsidR="006C7DBB" w:rsidRPr="007522AC">
        <w:rPr>
          <w:rStyle w:val="normaltextrun"/>
          <w:rFonts w:eastAsiaTheme="majorEastAsia"/>
          <w:color w:val="000000"/>
          <w:lang w:val="en-GB"/>
        </w:rPr>
        <w:t xml:space="preserve"> children</w:t>
      </w:r>
      <w:r w:rsidR="00781A1B" w:rsidRPr="007522AC">
        <w:rPr>
          <w:rStyle w:val="normaltextrun"/>
          <w:rFonts w:eastAsiaTheme="majorEastAsia"/>
          <w:color w:val="000000"/>
          <w:lang w:val="en-GB"/>
        </w:rPr>
        <w:t>.</w:t>
      </w:r>
    </w:p>
    <w:p w14:paraId="4DEE95D5" w14:textId="77777777" w:rsidR="00B83D36" w:rsidRPr="007522AC" w:rsidRDefault="00B83D36" w:rsidP="007522AC">
      <w:pPr>
        <w:spacing w:line="480" w:lineRule="auto"/>
        <w:rPr>
          <w:rStyle w:val="normaltextrun"/>
          <w:rFonts w:eastAsiaTheme="majorEastAsia"/>
          <w:color w:val="000000"/>
          <w:lang w:val="en-GB"/>
        </w:rPr>
      </w:pPr>
      <w:r w:rsidRPr="007522AC">
        <w:rPr>
          <w:rStyle w:val="normaltextrun"/>
          <w:rFonts w:eastAsiaTheme="majorEastAsia"/>
          <w:color w:val="000000"/>
          <w:lang w:val="en-GB"/>
        </w:rPr>
        <w:br w:type="page"/>
      </w:r>
    </w:p>
    <w:p w14:paraId="5AA81F5C" w14:textId="6CDBF299" w:rsidR="007E598C" w:rsidRPr="007522AC" w:rsidRDefault="007E598C" w:rsidP="007522AC">
      <w:pPr>
        <w:pStyle w:val="paragraph"/>
        <w:spacing w:before="0" w:beforeAutospacing="0" w:after="0" w:afterAutospacing="0" w:line="480" w:lineRule="auto"/>
        <w:jc w:val="center"/>
        <w:textAlignment w:val="baseline"/>
        <w:rPr>
          <w:rStyle w:val="normaltextrun"/>
          <w:rFonts w:eastAsiaTheme="majorEastAsia"/>
          <w:b/>
          <w:bCs/>
          <w:color w:val="000000"/>
          <w:lang w:val="en-GB"/>
        </w:rPr>
      </w:pPr>
      <w:r w:rsidRPr="007522AC">
        <w:rPr>
          <w:rStyle w:val="normaltextrun"/>
          <w:rFonts w:eastAsiaTheme="majorEastAsia"/>
          <w:b/>
          <w:bCs/>
          <w:color w:val="000000"/>
          <w:lang w:val="en-GB"/>
        </w:rPr>
        <w:t>The development of visuospatial working memory and task switching ability in 5-8-year-old children and potential effects of bilingualism</w:t>
      </w:r>
    </w:p>
    <w:p w14:paraId="05603DEC" w14:textId="77288006" w:rsidR="00942F8D" w:rsidRPr="007522AC" w:rsidRDefault="00942F8D" w:rsidP="007522AC">
      <w:pPr>
        <w:pStyle w:val="paragraph"/>
        <w:spacing w:before="0" w:beforeAutospacing="0" w:after="0" w:afterAutospacing="0" w:line="480" w:lineRule="auto"/>
        <w:ind w:firstLine="720"/>
        <w:textAlignment w:val="baseline"/>
        <w:rPr>
          <w:rStyle w:val="normaltextrun"/>
          <w:rFonts w:eastAsiaTheme="majorEastAsia"/>
          <w:strike/>
          <w:color w:val="000000"/>
          <w:lang w:val="en-GB"/>
        </w:rPr>
      </w:pPr>
      <w:bookmarkStart w:id="0" w:name="OLE_LINK2"/>
      <w:r w:rsidRPr="007522AC">
        <w:rPr>
          <w:rStyle w:val="normaltextrun"/>
          <w:rFonts w:eastAsiaTheme="majorEastAsia"/>
          <w:color w:val="000000"/>
          <w:lang w:val="en-GB"/>
        </w:rPr>
        <w:t>In a world of increasing globalization and migration, bilingualism is no longer an exception but a growing norm (Byers-Heinlein et al., 2013</w:t>
      </w:r>
      <w:r w:rsidR="00C3126E">
        <w:rPr>
          <w:rStyle w:val="normaltextrun"/>
          <w:rFonts w:eastAsiaTheme="majorEastAsia"/>
          <w:color w:val="000000"/>
          <w:lang w:val="en-GB"/>
        </w:rPr>
        <w:t xml:space="preserve">; </w:t>
      </w:r>
      <w:r w:rsidR="00C3126E" w:rsidRPr="00C3126E">
        <w:rPr>
          <w:rStyle w:val="normaltextrun"/>
          <w:rFonts w:eastAsiaTheme="majorEastAsia"/>
          <w:color w:val="000000"/>
          <w:lang w:val="en-GB"/>
        </w:rPr>
        <w:t>Grosjean, 2010</w:t>
      </w:r>
      <w:r w:rsidRPr="007522AC">
        <w:rPr>
          <w:rStyle w:val="normaltextrun"/>
          <w:rFonts w:eastAsiaTheme="majorEastAsia"/>
          <w:color w:val="000000"/>
          <w:lang w:val="en-GB"/>
        </w:rPr>
        <w:t xml:space="preserve">). Learning a language at an early age is both a remarkable achievement and a valuable skill (De Angelis et al., 2019). Bilingual children grow up in two types of linguistic environments: single-language contexts, where each language is used in separate settings, and dual-language contexts, where both languages coexist but are used with different </w:t>
      </w:r>
      <w:r w:rsidR="003E6BCF" w:rsidRPr="007522AC">
        <w:rPr>
          <w:rStyle w:val="normaltextrun"/>
          <w:rFonts w:eastAsiaTheme="majorEastAsia"/>
          <w:color w:val="000000"/>
          <w:lang w:val="en-GB"/>
        </w:rPr>
        <w:t>language speakers</w:t>
      </w:r>
      <w:r w:rsidRPr="007522AC">
        <w:rPr>
          <w:rStyle w:val="normaltextrun"/>
          <w:rFonts w:eastAsiaTheme="majorEastAsia"/>
          <w:color w:val="000000"/>
          <w:lang w:val="en-GB"/>
        </w:rPr>
        <w:t xml:space="preserve"> (Green &amp; </w:t>
      </w:r>
      <w:proofErr w:type="spellStart"/>
      <w:r w:rsidRPr="007522AC">
        <w:rPr>
          <w:rStyle w:val="normaltextrun"/>
          <w:rFonts w:eastAsiaTheme="majorEastAsia"/>
          <w:color w:val="000000"/>
          <w:lang w:val="en-GB"/>
        </w:rPr>
        <w:t>Abutalebi</w:t>
      </w:r>
      <w:proofErr w:type="spellEnd"/>
      <w:r w:rsidRPr="007522AC">
        <w:rPr>
          <w:rStyle w:val="normaltextrun"/>
          <w:rFonts w:eastAsiaTheme="majorEastAsia"/>
          <w:color w:val="000000"/>
          <w:lang w:val="en-GB"/>
        </w:rPr>
        <w:t xml:space="preserve">, 2013). Managing these linguistic demands requires ‘bilingual language control’, </w:t>
      </w:r>
      <w:r w:rsidR="007252B2">
        <w:rPr>
          <w:rStyle w:val="normaltextrun"/>
          <w:rFonts w:eastAsiaTheme="majorEastAsia"/>
          <w:color w:val="000000"/>
          <w:lang w:val="en-GB"/>
        </w:rPr>
        <w:t>which is</w:t>
      </w:r>
      <w:r w:rsidRPr="007522AC">
        <w:rPr>
          <w:rStyle w:val="normaltextrun"/>
          <w:rFonts w:eastAsiaTheme="majorEastAsia"/>
          <w:color w:val="000000"/>
          <w:lang w:val="en-GB"/>
        </w:rPr>
        <w:t xml:space="preserve"> the inhibition of one language while activating another (Hernandez et al., 2013</w:t>
      </w:r>
      <w:r w:rsidR="00C3126E">
        <w:rPr>
          <w:rStyle w:val="normaltextrun"/>
          <w:rFonts w:eastAsiaTheme="majorEastAsia"/>
          <w:color w:val="000000"/>
          <w:lang w:val="en-GB"/>
        </w:rPr>
        <w:t xml:space="preserve">; </w:t>
      </w:r>
      <w:r w:rsidR="00C3126E" w:rsidRPr="00C3126E">
        <w:rPr>
          <w:rStyle w:val="normaltextrun"/>
          <w:rFonts w:eastAsiaTheme="majorEastAsia"/>
          <w:color w:val="000000"/>
          <w:lang w:val="en-GB"/>
        </w:rPr>
        <w:t>Hernández</w:t>
      </w:r>
      <w:r w:rsidR="00C3126E">
        <w:rPr>
          <w:rStyle w:val="normaltextrun"/>
          <w:rFonts w:eastAsiaTheme="majorEastAsia"/>
          <w:color w:val="000000"/>
          <w:lang w:val="en-GB"/>
        </w:rPr>
        <w:t xml:space="preserve"> et al., 2013</w:t>
      </w:r>
      <w:r w:rsidRPr="007522AC">
        <w:rPr>
          <w:rStyle w:val="normaltextrun"/>
          <w:rFonts w:eastAsiaTheme="majorEastAsia"/>
          <w:color w:val="000000"/>
          <w:lang w:val="en-GB"/>
        </w:rPr>
        <w:t xml:space="preserve">). This cognitive language management may enhance executive functions such as cognitive flexibility and inhibitory control, which are argued to offer neurological and cognitive advantages to bilingual children (Bialystok et al., 2010; Carlson et al., 2008). However, there currently </w:t>
      </w:r>
      <w:r w:rsidR="007252B2">
        <w:rPr>
          <w:rStyle w:val="normaltextrun"/>
          <w:rFonts w:eastAsiaTheme="majorEastAsia"/>
          <w:color w:val="000000"/>
          <w:lang w:val="en-GB"/>
        </w:rPr>
        <w:t xml:space="preserve">is </w:t>
      </w:r>
      <w:r w:rsidRPr="007522AC">
        <w:rPr>
          <w:rStyle w:val="normaltextrun"/>
          <w:rFonts w:eastAsiaTheme="majorEastAsia"/>
          <w:color w:val="000000"/>
          <w:lang w:val="en-GB"/>
        </w:rPr>
        <w:t xml:space="preserve">some disagreement regarding the extent to which bilingualism provides a cognitive benefit (De Angelis et al., 2019). The claim that bilinguals have a cognitive advantage remains a topic of debate. While some studies report significant benefits for bilingual individuals (Van den Noort et al., 2019), others find no differences (Morton et al., 2007; </w:t>
      </w:r>
      <w:proofErr w:type="spellStart"/>
      <w:r w:rsidRPr="007522AC">
        <w:rPr>
          <w:rStyle w:val="normaltextrun"/>
          <w:rFonts w:eastAsiaTheme="majorEastAsia"/>
          <w:color w:val="000000"/>
          <w:lang w:val="en-GB"/>
        </w:rPr>
        <w:t>Timmermeister</w:t>
      </w:r>
      <w:proofErr w:type="spellEnd"/>
      <w:r w:rsidRPr="007522AC">
        <w:rPr>
          <w:rStyle w:val="normaltextrun"/>
          <w:rFonts w:eastAsiaTheme="majorEastAsia"/>
          <w:color w:val="000000"/>
          <w:lang w:val="en-GB"/>
        </w:rPr>
        <w:t xml:space="preserve"> et al., 2020; Paap et al., 2015; Gathercole et al., 2014), and some even suggest that monolinguals may have an advantage (</w:t>
      </w:r>
      <w:proofErr w:type="spellStart"/>
      <w:r w:rsidRPr="007522AC">
        <w:rPr>
          <w:rStyle w:val="normaltextrun"/>
          <w:rFonts w:eastAsiaTheme="majorEastAsia"/>
          <w:color w:val="000000"/>
          <w:lang w:val="en-GB"/>
        </w:rPr>
        <w:t>Duñabeitia</w:t>
      </w:r>
      <w:proofErr w:type="spellEnd"/>
      <w:r w:rsidRPr="007522AC">
        <w:rPr>
          <w:rStyle w:val="normaltextrun"/>
          <w:rFonts w:eastAsiaTheme="majorEastAsia"/>
          <w:color w:val="000000"/>
          <w:lang w:val="en-GB"/>
        </w:rPr>
        <w:t xml:space="preserve"> et al., 2014; Folke et al., 2016). Findings </w:t>
      </w:r>
      <w:r w:rsidR="007252B2">
        <w:rPr>
          <w:rStyle w:val="normaltextrun"/>
          <w:rFonts w:eastAsiaTheme="majorEastAsia"/>
          <w:color w:val="000000"/>
          <w:lang w:val="en-GB"/>
        </w:rPr>
        <w:t>of</w:t>
      </w:r>
      <w:r w:rsidRPr="007522AC">
        <w:rPr>
          <w:rStyle w:val="normaltextrun"/>
          <w:rFonts w:eastAsiaTheme="majorEastAsia"/>
          <w:color w:val="000000"/>
          <w:lang w:val="en-GB"/>
        </w:rPr>
        <w:t xml:space="preserve"> studies </w:t>
      </w:r>
      <w:r w:rsidR="007252B2">
        <w:rPr>
          <w:rStyle w:val="normaltextrun"/>
          <w:rFonts w:eastAsiaTheme="majorEastAsia"/>
          <w:color w:val="000000"/>
          <w:lang w:val="en-GB"/>
        </w:rPr>
        <w:t>including</w:t>
      </w:r>
      <w:r w:rsidRPr="007522AC">
        <w:rPr>
          <w:rStyle w:val="normaltextrun"/>
          <w:rFonts w:eastAsiaTheme="majorEastAsia"/>
          <w:color w:val="000000"/>
          <w:lang w:val="en-GB"/>
        </w:rPr>
        <w:t xml:space="preserve"> children are especially inconsistent and depend on context. This inconsistency underscores the need for further research into cognitive differences between bilingual and monolingual children.</w:t>
      </w:r>
    </w:p>
    <w:p w14:paraId="52EB8142" w14:textId="208D97CB" w:rsidR="005058FD" w:rsidRPr="007522AC" w:rsidRDefault="00BA6ACE" w:rsidP="007522AC">
      <w:pPr>
        <w:spacing w:line="480" w:lineRule="auto"/>
        <w:ind w:firstLine="720"/>
        <w:rPr>
          <w:rStyle w:val="normaltextrun"/>
          <w:rFonts w:eastAsiaTheme="majorEastAsia"/>
          <w:color w:val="000000"/>
          <w:lang w:val="en-GB"/>
        </w:rPr>
      </w:pPr>
      <w:r w:rsidRPr="007522AC">
        <w:rPr>
          <w:rStyle w:val="normaltextrun"/>
          <w:rFonts w:eastAsiaTheme="majorEastAsia"/>
          <w:color w:val="000000"/>
          <w:lang w:val="en-GB"/>
        </w:rPr>
        <w:t xml:space="preserve">The present study examines whether monolingual and bilingual children aged 5 to 8 in the Netherlands differ in their performance and development of visuospatial working memory and task-switching. Visuospatial working memory refers to the ability to retain and manipulate information about an object’s identity and spatial location, such as remembering where objects are or planning a route (McAfoose et al., 2009). </w:t>
      </w:r>
      <w:r w:rsidR="005058FD" w:rsidRPr="007522AC">
        <w:rPr>
          <w:rStyle w:val="normaltextrun"/>
          <w:rFonts w:eastAsiaTheme="majorEastAsia"/>
          <w:color w:val="000000"/>
          <w:lang w:val="en-GB"/>
        </w:rPr>
        <w:t xml:space="preserve">Evidence suggests that bilingual children have an advantage in executive control, especially within working memory (Carlson &amp; Meltzoff, 2008) and visuospatial memory (Kerrigan et al., 2017; </w:t>
      </w:r>
      <w:proofErr w:type="spellStart"/>
      <w:r w:rsidR="005058FD" w:rsidRPr="007522AC">
        <w:rPr>
          <w:rStyle w:val="normaltextrun"/>
          <w:rFonts w:eastAsiaTheme="majorEastAsia"/>
          <w:color w:val="000000"/>
          <w:lang w:val="en-GB"/>
        </w:rPr>
        <w:t>Alazzaz</w:t>
      </w:r>
      <w:proofErr w:type="spellEnd"/>
      <w:r w:rsidR="005058FD" w:rsidRPr="007522AC">
        <w:rPr>
          <w:rStyle w:val="normaltextrun"/>
          <w:rFonts w:eastAsiaTheme="majorEastAsia"/>
          <w:color w:val="000000"/>
          <w:lang w:val="en-GB"/>
        </w:rPr>
        <w:t xml:space="preserve"> et al., 2022). This advantage is thought to arise from the overlap of brain regions supporting both language and memory functions (Schroeder et al., 2014), as well as the regular training of executive systems through language switching. Since speaking a second language depends on these systems, bilingualism may improve their functioning, leading to better memory and, in turn, enhanced visuospatial working memory. </w:t>
      </w:r>
    </w:p>
    <w:p w14:paraId="183DD912" w14:textId="4B8B7716" w:rsidR="006C1940" w:rsidRPr="007522AC" w:rsidRDefault="005058FD" w:rsidP="007522AC">
      <w:pPr>
        <w:spacing w:line="480" w:lineRule="auto"/>
        <w:ind w:firstLine="720"/>
        <w:rPr>
          <w:rStyle w:val="normaltextrun"/>
          <w:rFonts w:eastAsiaTheme="majorEastAsia"/>
          <w:color w:val="000000"/>
          <w:lang w:val="en-GB"/>
        </w:rPr>
      </w:pPr>
      <w:r w:rsidRPr="007522AC">
        <w:rPr>
          <w:rStyle w:val="normaltextrun"/>
          <w:rFonts w:eastAsiaTheme="majorEastAsia"/>
          <w:color w:val="000000"/>
          <w:lang w:val="en-GB"/>
        </w:rPr>
        <w:t xml:space="preserve">Visuospatial working memory is also closely linked to academic performance, especially in mathematics (Alloway et al., 2010; Ashkenazi et al., 2013). A well-developed visuospatial working memory enables children to organize complex information and understand abstract concepts, preparing them for school tasks. Some research shows a bilingual advantage over monolingual children on working memory tasks (Blom et al., 2014; Morales et al., 2013), while other studies report no differences or even advantages for monolinguals (Andreou et al., 2021). Additionally, many studies do not explore </w:t>
      </w:r>
      <w:r w:rsidR="0049015D">
        <w:rPr>
          <w:rStyle w:val="normaltextrun"/>
          <w:rFonts w:eastAsiaTheme="majorEastAsia"/>
          <w:color w:val="000000"/>
          <w:lang w:val="en-GB"/>
        </w:rPr>
        <w:t xml:space="preserve">the </w:t>
      </w:r>
      <w:r w:rsidRPr="007522AC">
        <w:rPr>
          <w:rStyle w:val="normaltextrun"/>
          <w:rFonts w:eastAsiaTheme="majorEastAsia"/>
          <w:color w:val="000000"/>
          <w:lang w:val="en-GB"/>
        </w:rPr>
        <w:t xml:space="preserve">developmental </w:t>
      </w:r>
      <w:r w:rsidR="003373EF">
        <w:rPr>
          <w:rStyle w:val="normaltextrun"/>
          <w:rFonts w:eastAsiaTheme="majorEastAsia"/>
          <w:color w:val="000000"/>
          <w:lang w:val="en-GB"/>
        </w:rPr>
        <w:t>patterns</w:t>
      </w:r>
      <w:r w:rsidRPr="007522AC">
        <w:rPr>
          <w:rStyle w:val="normaltextrun"/>
          <w:rFonts w:eastAsiaTheme="majorEastAsia"/>
          <w:color w:val="000000"/>
          <w:lang w:val="en-GB"/>
        </w:rPr>
        <w:t xml:space="preserve"> or whether these benefits diminish over time. The inconsistent evidence and the lack of developmental </w:t>
      </w:r>
      <w:r w:rsidR="0049015D">
        <w:rPr>
          <w:rStyle w:val="normaltextrun"/>
          <w:rFonts w:eastAsiaTheme="majorEastAsia"/>
          <w:color w:val="000000"/>
          <w:lang w:val="en-GB"/>
        </w:rPr>
        <w:t>progressions</w:t>
      </w:r>
      <w:r w:rsidRPr="007522AC">
        <w:rPr>
          <w:rStyle w:val="normaltextrun"/>
          <w:rFonts w:eastAsiaTheme="majorEastAsia"/>
          <w:color w:val="000000"/>
          <w:lang w:val="en-GB"/>
        </w:rPr>
        <w:t xml:space="preserve"> highlight the need for further exploration. Therefore, the present study adopts a longitudinal approach, which will contribute to the understanding of the effects of bilingualism on working memory in children over time. </w:t>
      </w:r>
    </w:p>
    <w:p w14:paraId="6521C79B" w14:textId="3888CFF9" w:rsidR="00C7035A" w:rsidRPr="007522AC" w:rsidRDefault="006C1940" w:rsidP="007522AC">
      <w:pPr>
        <w:spacing w:line="480" w:lineRule="auto"/>
        <w:ind w:firstLine="720"/>
        <w:rPr>
          <w:rFonts w:eastAsiaTheme="majorEastAsia"/>
          <w:color w:val="000000"/>
          <w:lang w:val="en-GB"/>
        </w:rPr>
      </w:pPr>
      <w:r w:rsidRPr="007522AC">
        <w:rPr>
          <w:rStyle w:val="normaltextrun"/>
          <w:rFonts w:eastAsiaTheme="majorEastAsia"/>
          <w:color w:val="000000"/>
          <w:lang w:val="en-GB"/>
        </w:rPr>
        <w:t>Given the role of executive control in working memory, it is also important to study another related cognitive ability: task switching. This refers to the ability to flexibly shift between different tasks while suppressing irrelevant information (Schmitz et al., 2023). This mechanism relies on executive functions such as cognitive control and attentional shifting, which are essential for adapting to different environments. Various neuroimaging studies show that the same brain areas are active when an individual engages in cognitive control and when they use more than one language (</w:t>
      </w:r>
      <w:proofErr w:type="spellStart"/>
      <w:r w:rsidRPr="007522AC">
        <w:rPr>
          <w:rStyle w:val="normaltextrun"/>
          <w:rFonts w:eastAsiaTheme="majorEastAsia"/>
          <w:color w:val="000000"/>
          <w:lang w:val="en-GB"/>
        </w:rPr>
        <w:t>Abutalebi</w:t>
      </w:r>
      <w:proofErr w:type="spellEnd"/>
      <w:r w:rsidRPr="007522AC">
        <w:rPr>
          <w:rStyle w:val="normaltextrun"/>
          <w:rFonts w:eastAsiaTheme="majorEastAsia"/>
          <w:color w:val="000000"/>
          <w:lang w:val="en-GB"/>
        </w:rPr>
        <w:t xml:space="preserve"> &amp; Green, 2008). This suggests that these brain functions may overlap, potentially enhancing executive functions </w:t>
      </w:r>
      <w:r w:rsidR="00321A66">
        <w:rPr>
          <w:rStyle w:val="normaltextrun"/>
          <w:rFonts w:eastAsiaTheme="majorEastAsia"/>
          <w:color w:val="000000"/>
          <w:lang w:val="en-GB"/>
        </w:rPr>
        <w:t>such as</w:t>
      </w:r>
      <w:r w:rsidRPr="007522AC">
        <w:rPr>
          <w:rStyle w:val="normaltextrun"/>
          <w:rFonts w:eastAsiaTheme="majorEastAsia"/>
          <w:color w:val="000000"/>
          <w:lang w:val="en-GB"/>
        </w:rPr>
        <w:t xml:space="preserve"> task switching in bilingual children. </w:t>
      </w:r>
    </w:p>
    <w:p w14:paraId="5BF38403" w14:textId="52FEF646" w:rsidR="00C7035A" w:rsidRPr="007522AC" w:rsidRDefault="008417E3" w:rsidP="007522AC">
      <w:pPr>
        <w:pStyle w:val="paragraph"/>
        <w:spacing w:before="0" w:beforeAutospacing="0" w:after="0" w:afterAutospacing="0" w:line="480" w:lineRule="auto"/>
        <w:ind w:firstLine="720"/>
        <w:textAlignment w:val="baseline"/>
        <w:rPr>
          <w:rFonts w:eastAsiaTheme="majorEastAsia"/>
          <w:color w:val="000000"/>
          <w:lang w:val="en-GB"/>
        </w:rPr>
      </w:pPr>
      <w:r w:rsidRPr="007522AC">
        <w:rPr>
          <w:rStyle w:val="normaltextrun"/>
          <w:rFonts w:eastAsiaTheme="majorEastAsia"/>
          <w:color w:val="000000"/>
          <w:lang w:val="en-GB"/>
        </w:rPr>
        <w:t>B</w:t>
      </w:r>
      <w:r w:rsidR="001B398D" w:rsidRPr="007522AC">
        <w:rPr>
          <w:rStyle w:val="normaltextrun"/>
          <w:rFonts w:eastAsiaTheme="majorEastAsia"/>
          <w:color w:val="000000"/>
          <w:lang w:val="en-GB"/>
        </w:rPr>
        <w:t>ilingual language use</w:t>
      </w:r>
      <w:r w:rsidR="006C1940" w:rsidRPr="007522AC">
        <w:rPr>
          <w:rStyle w:val="normaltextrun"/>
          <w:rFonts w:eastAsiaTheme="majorEastAsia"/>
          <w:color w:val="000000"/>
          <w:lang w:val="en-GB"/>
        </w:rPr>
        <w:t xml:space="preserve"> c</w:t>
      </w:r>
      <w:r w:rsidR="00C7035A" w:rsidRPr="007522AC">
        <w:rPr>
          <w:rStyle w:val="normaltextrun"/>
          <w:rFonts w:eastAsiaTheme="majorEastAsia"/>
          <w:color w:val="000000"/>
          <w:lang w:val="en-GB"/>
        </w:rPr>
        <w:t xml:space="preserve">an be explained by the inhibitory model (Green et al., 1998). It suggests that bilinguals constantly inhibit the non-target language to activate the desired one. The frequent activation and inhibition </w:t>
      </w:r>
      <w:r w:rsidR="00774CD8" w:rsidRPr="007522AC">
        <w:rPr>
          <w:rStyle w:val="normaltextrun"/>
          <w:rFonts w:eastAsiaTheme="majorEastAsia"/>
          <w:color w:val="000000"/>
          <w:lang w:val="en-GB"/>
        </w:rPr>
        <w:t>require</w:t>
      </w:r>
      <w:r w:rsidR="00C7035A" w:rsidRPr="007522AC">
        <w:rPr>
          <w:rStyle w:val="normaltextrun"/>
          <w:rFonts w:eastAsiaTheme="majorEastAsia"/>
          <w:color w:val="000000"/>
          <w:lang w:val="en-GB"/>
        </w:rPr>
        <w:t xml:space="preserve"> high demand of inhibitory control, which can be argued to be a reason for the advanced executive functions in bilinguals, particularly in task-switching (Prior et al., 2010). </w:t>
      </w:r>
      <w:r w:rsidR="00841934" w:rsidRPr="007522AC">
        <w:rPr>
          <w:rStyle w:val="normaltextrun"/>
          <w:rFonts w:eastAsiaTheme="majorEastAsia"/>
          <w:color w:val="000000"/>
          <w:lang w:val="en-GB"/>
        </w:rPr>
        <w:t xml:space="preserve">In bilingual settings, the constant need to alternate between two languages depending on the communicative context, as described by the Adaptive Control Hypothesis, is thought to enhance task-switching abilities as </w:t>
      </w:r>
      <w:r w:rsidR="001B398D" w:rsidRPr="007522AC">
        <w:rPr>
          <w:rStyle w:val="normaltextrun"/>
          <w:rFonts w:eastAsiaTheme="majorEastAsia"/>
          <w:color w:val="000000"/>
          <w:lang w:val="en-GB"/>
        </w:rPr>
        <w:t xml:space="preserve">it </w:t>
      </w:r>
      <w:r w:rsidR="00841934" w:rsidRPr="007522AC">
        <w:rPr>
          <w:rStyle w:val="normaltextrun"/>
          <w:rFonts w:eastAsiaTheme="majorEastAsia"/>
          <w:color w:val="000000"/>
          <w:lang w:val="en-GB"/>
        </w:rPr>
        <w:t xml:space="preserve">predicts that switching between languages requires enhanced cognitive control (Green &amp; </w:t>
      </w:r>
      <w:proofErr w:type="spellStart"/>
      <w:r w:rsidR="00841934" w:rsidRPr="007522AC">
        <w:rPr>
          <w:rStyle w:val="normaltextrun"/>
          <w:rFonts w:eastAsiaTheme="majorEastAsia"/>
          <w:color w:val="000000"/>
          <w:lang w:val="en-GB"/>
        </w:rPr>
        <w:t>Abutalebi</w:t>
      </w:r>
      <w:proofErr w:type="spellEnd"/>
      <w:r w:rsidR="00841934" w:rsidRPr="007522AC">
        <w:rPr>
          <w:rStyle w:val="normaltextrun"/>
          <w:rFonts w:eastAsiaTheme="majorEastAsia"/>
          <w:color w:val="000000"/>
          <w:lang w:val="en-GB"/>
        </w:rPr>
        <w:t xml:space="preserve">, 2013). </w:t>
      </w:r>
      <w:r w:rsidR="00C7035A" w:rsidRPr="007522AC">
        <w:rPr>
          <w:rStyle w:val="normaltextrun"/>
          <w:rFonts w:eastAsiaTheme="majorEastAsia"/>
          <w:color w:val="000000"/>
          <w:lang w:val="en-GB"/>
        </w:rPr>
        <w:t xml:space="preserve">Based on </w:t>
      </w:r>
      <w:r w:rsidR="00841934" w:rsidRPr="007522AC">
        <w:rPr>
          <w:rStyle w:val="normaltextrun"/>
          <w:rFonts w:eastAsiaTheme="majorEastAsia"/>
          <w:color w:val="000000"/>
          <w:lang w:val="en-GB"/>
        </w:rPr>
        <w:t>these</w:t>
      </w:r>
      <w:r w:rsidR="00C7035A" w:rsidRPr="007522AC">
        <w:rPr>
          <w:rStyle w:val="normaltextrun"/>
          <w:rFonts w:eastAsiaTheme="majorEastAsia"/>
          <w:color w:val="000000"/>
          <w:lang w:val="en-GB"/>
        </w:rPr>
        <w:t xml:space="preserve"> model</w:t>
      </w:r>
      <w:r w:rsidR="00841934" w:rsidRPr="007522AC">
        <w:rPr>
          <w:rStyle w:val="normaltextrun"/>
          <w:rFonts w:eastAsiaTheme="majorEastAsia"/>
          <w:color w:val="000000"/>
          <w:lang w:val="en-GB"/>
        </w:rPr>
        <w:t>s</w:t>
      </w:r>
      <w:r w:rsidR="00C7035A" w:rsidRPr="007522AC">
        <w:rPr>
          <w:rStyle w:val="normaltextrun"/>
          <w:rFonts w:eastAsiaTheme="majorEastAsia"/>
          <w:color w:val="000000"/>
          <w:lang w:val="en-GB"/>
        </w:rPr>
        <w:t>, it is hypothesised that cognitive flexibility required to switch between languages extends to other cognitive domains, including task switching</w:t>
      </w:r>
      <w:r w:rsidR="00841934" w:rsidRPr="007522AC">
        <w:rPr>
          <w:rStyle w:val="normaltextrun"/>
          <w:rFonts w:eastAsiaTheme="majorEastAsia"/>
          <w:color w:val="000000"/>
          <w:lang w:val="en-GB"/>
        </w:rPr>
        <w:t xml:space="preserve"> ability, resulting in bilinguals outperforming monolinguals.</w:t>
      </w:r>
    </w:p>
    <w:p w14:paraId="3D255F01" w14:textId="33389CC1" w:rsidR="00600814" w:rsidRPr="007522AC" w:rsidRDefault="006C1940" w:rsidP="007522AC">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7522AC">
        <w:rPr>
          <w:rStyle w:val="normaltextrun"/>
          <w:rFonts w:eastAsiaTheme="majorEastAsia"/>
          <w:color w:val="000000"/>
          <w:lang w:val="en-GB"/>
        </w:rPr>
        <w:t xml:space="preserve">The current study focuses on visuospatial working memory and task-switching not only because of their relevance to academic success but also because they appear to be significantly shaped by the cognitive demands of bilingualism (Bialystok et al., 2010). By comparing these two abilities over a period of </w:t>
      </w:r>
      <w:r w:rsidR="007F5606">
        <w:rPr>
          <w:rStyle w:val="normaltextrun"/>
          <w:rFonts w:eastAsiaTheme="majorEastAsia"/>
          <w:color w:val="000000"/>
          <w:lang w:val="en-GB"/>
        </w:rPr>
        <w:t xml:space="preserve">two and </w:t>
      </w:r>
      <w:r w:rsidRPr="007522AC">
        <w:rPr>
          <w:rStyle w:val="normaltextrun"/>
          <w:rFonts w:eastAsiaTheme="majorEastAsia"/>
          <w:color w:val="000000"/>
          <w:lang w:val="en-GB"/>
        </w:rPr>
        <w:t xml:space="preserve">three years, this study aims to </w:t>
      </w:r>
      <w:r w:rsidR="00600814" w:rsidRPr="007522AC">
        <w:rPr>
          <w:rStyle w:val="normaltextrun"/>
          <w:rFonts w:eastAsiaTheme="majorEastAsia"/>
          <w:color w:val="000000"/>
          <w:lang w:val="en-GB"/>
        </w:rPr>
        <w:t>explore the differences</w:t>
      </w:r>
      <w:r w:rsidRPr="007522AC">
        <w:rPr>
          <w:rStyle w:val="normaltextrun"/>
          <w:rFonts w:eastAsiaTheme="majorEastAsia"/>
          <w:color w:val="000000"/>
          <w:lang w:val="en-GB"/>
        </w:rPr>
        <w:t xml:space="preserve"> between 5- to 8-year-old Dutch-speaking monolinguals and </w:t>
      </w:r>
      <w:proofErr w:type="gramStart"/>
      <w:r w:rsidRPr="007522AC">
        <w:rPr>
          <w:rStyle w:val="normaltextrun"/>
          <w:rFonts w:eastAsiaTheme="majorEastAsia"/>
          <w:color w:val="000000"/>
          <w:lang w:val="en-GB"/>
        </w:rPr>
        <w:t>Turkish-Dutch</w:t>
      </w:r>
      <w:proofErr w:type="gramEnd"/>
      <w:r w:rsidRPr="007522AC">
        <w:rPr>
          <w:rStyle w:val="normaltextrun"/>
          <w:rFonts w:eastAsiaTheme="majorEastAsia"/>
          <w:color w:val="000000"/>
          <w:lang w:val="en-GB"/>
        </w:rPr>
        <w:t xml:space="preserve"> </w:t>
      </w:r>
      <w:r w:rsidR="008E54E4">
        <w:rPr>
          <w:rStyle w:val="normaltextrun"/>
          <w:rFonts w:eastAsiaTheme="majorEastAsia"/>
          <w:color w:val="000000"/>
          <w:lang w:val="en-GB"/>
        </w:rPr>
        <w:t xml:space="preserve">speaking </w:t>
      </w:r>
      <w:r w:rsidRPr="007522AC">
        <w:rPr>
          <w:rStyle w:val="normaltextrun"/>
          <w:rFonts w:eastAsiaTheme="majorEastAsia"/>
          <w:color w:val="000000"/>
          <w:lang w:val="en-GB"/>
        </w:rPr>
        <w:t xml:space="preserve">bilinguals in the Netherlands, and how these abilities might </w:t>
      </w:r>
      <w:r w:rsidR="00531949" w:rsidRPr="007522AC">
        <w:rPr>
          <w:rStyle w:val="normaltextrun"/>
          <w:rFonts w:eastAsiaTheme="majorEastAsia"/>
          <w:color w:val="000000"/>
          <w:lang w:val="en-GB"/>
        </w:rPr>
        <w:t>vary</w:t>
      </w:r>
      <w:r w:rsidRPr="007522AC">
        <w:rPr>
          <w:rStyle w:val="normaltextrun"/>
          <w:rFonts w:eastAsiaTheme="majorEastAsia"/>
          <w:color w:val="000000"/>
          <w:lang w:val="en-GB"/>
        </w:rPr>
        <w:t xml:space="preserve">. </w:t>
      </w:r>
      <w:r w:rsidR="00600814" w:rsidRPr="007522AC">
        <w:rPr>
          <w:rStyle w:val="normaltextrun"/>
          <w:rFonts w:eastAsiaTheme="majorEastAsia"/>
          <w:color w:val="000000"/>
          <w:lang w:val="en-GB"/>
        </w:rPr>
        <w:t>Previous</w:t>
      </w:r>
      <w:r w:rsidRPr="007522AC">
        <w:rPr>
          <w:rStyle w:val="normaltextrun"/>
          <w:rFonts w:eastAsiaTheme="majorEastAsia"/>
          <w:color w:val="000000"/>
          <w:lang w:val="en-GB"/>
        </w:rPr>
        <w:t xml:space="preserve"> studies suggest that bilingual children outperform their monolingual peers in visuospatial working memory tasks </w:t>
      </w:r>
      <w:r w:rsidR="008E54E4">
        <w:rPr>
          <w:rStyle w:val="normaltextrun"/>
          <w:rFonts w:eastAsiaTheme="majorEastAsia"/>
          <w:color w:val="000000"/>
          <w:lang w:val="en-GB"/>
        </w:rPr>
        <w:t xml:space="preserve">and </w:t>
      </w:r>
      <w:r w:rsidR="008E54E4" w:rsidRPr="008E54E4">
        <w:rPr>
          <w:rStyle w:val="normaltextrun"/>
          <w:rFonts w:eastAsiaTheme="majorEastAsia"/>
          <w:color w:val="000000"/>
          <w:lang w:val="en-GB"/>
        </w:rPr>
        <w:t>task switching</w:t>
      </w:r>
      <w:r w:rsidR="008E54E4">
        <w:rPr>
          <w:rStyle w:val="normaltextrun"/>
          <w:rFonts w:eastAsiaTheme="majorEastAsia"/>
          <w:color w:val="000000"/>
          <w:lang w:val="en-GB"/>
        </w:rPr>
        <w:t xml:space="preserve"> </w:t>
      </w:r>
      <w:r w:rsidRPr="007522AC">
        <w:rPr>
          <w:rStyle w:val="normaltextrun"/>
          <w:rFonts w:eastAsiaTheme="majorEastAsia"/>
          <w:color w:val="000000"/>
          <w:lang w:val="en-GB"/>
        </w:rPr>
        <w:t xml:space="preserve">due to the demands of bilingual language control (Blom et al., 2014). </w:t>
      </w:r>
      <w:r w:rsidR="00600814" w:rsidRPr="007522AC">
        <w:rPr>
          <w:rStyle w:val="normaltextrun"/>
          <w:rFonts w:eastAsiaTheme="majorEastAsia"/>
          <w:color w:val="000000"/>
          <w:lang w:val="en-GB"/>
        </w:rPr>
        <w:t>However, conflicting evidence (Andreou et al., 2021; McVeigh et al., 2017) shows the need for longitudinal research to better understand the development of these mechanisms.</w:t>
      </w:r>
    </w:p>
    <w:p w14:paraId="16B34DDE" w14:textId="6D4BAEE6" w:rsidR="008D0077" w:rsidRPr="007522AC" w:rsidRDefault="003D2E83" w:rsidP="007522AC">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7522AC">
        <w:rPr>
          <w:rStyle w:val="eop"/>
          <w:rFonts w:eastAsiaTheme="majorEastAsia"/>
          <w:color w:val="000000"/>
          <w:lang w:val="en-GB"/>
        </w:rPr>
        <w:t xml:space="preserve">Executive functioning advantages in bilingual children are more pronounced at a younger age but tend to decrease or disappear as they grow older (Martin-Rhee &amp; Bialystok, 2008). These findings have led to the hypothesis that initial differences in task-switching and visuospatial working memory between monolingual and bilingual children gradually decrease as their cognitive systems mature, leading to comparable performance over time. </w:t>
      </w:r>
      <w:r w:rsidR="001215C6" w:rsidRPr="007522AC">
        <w:rPr>
          <w:rStyle w:val="eop"/>
          <w:rFonts w:eastAsiaTheme="majorEastAsia"/>
          <w:color w:val="000000"/>
          <w:lang w:val="en-GB"/>
        </w:rPr>
        <w:t xml:space="preserve">While many studies have explored bilingual and monolingual children in cross-sectional research, only a few have used longitudinal designs </w:t>
      </w:r>
      <w:r w:rsidRPr="007522AC">
        <w:rPr>
          <w:rStyle w:val="eop"/>
          <w:rFonts w:eastAsiaTheme="majorEastAsia"/>
          <w:color w:val="000000"/>
          <w:lang w:val="en-GB"/>
        </w:rPr>
        <w:t xml:space="preserve">to track developmental changes in task-switching and visuospatial working memory. </w:t>
      </w:r>
      <w:r w:rsidR="001215C6" w:rsidRPr="007522AC">
        <w:rPr>
          <w:rStyle w:val="eop"/>
          <w:rFonts w:eastAsiaTheme="majorEastAsia"/>
          <w:color w:val="000000"/>
          <w:lang w:val="en-GB"/>
        </w:rPr>
        <w:t>This study aims to identify</w:t>
      </w:r>
      <w:r w:rsidRPr="007522AC">
        <w:rPr>
          <w:rStyle w:val="eop"/>
          <w:rFonts w:eastAsiaTheme="majorEastAsia"/>
          <w:color w:val="000000"/>
          <w:lang w:val="en-GB"/>
        </w:rPr>
        <w:t xml:space="preserve"> potential developmental patterns</w:t>
      </w:r>
      <w:r w:rsidR="00603246" w:rsidRPr="007522AC">
        <w:rPr>
          <w:rStyle w:val="eop"/>
          <w:rFonts w:eastAsiaTheme="majorEastAsia"/>
          <w:color w:val="000000"/>
          <w:lang w:val="en-GB"/>
        </w:rPr>
        <w:t>. If developmental patterns are identified, it could</w:t>
      </w:r>
      <w:r w:rsidRPr="007522AC">
        <w:rPr>
          <w:rStyle w:val="eop"/>
          <w:rFonts w:eastAsiaTheme="majorEastAsia"/>
          <w:color w:val="000000"/>
          <w:lang w:val="en-GB"/>
        </w:rPr>
        <w:t xml:space="preserve"> </w:t>
      </w:r>
      <w:r w:rsidR="00603246" w:rsidRPr="007522AC">
        <w:rPr>
          <w:rStyle w:val="eop"/>
          <w:rFonts w:eastAsiaTheme="majorEastAsia"/>
          <w:color w:val="000000"/>
          <w:lang w:val="en-GB"/>
        </w:rPr>
        <w:t>help improve</w:t>
      </w:r>
      <w:r w:rsidRPr="007522AC">
        <w:rPr>
          <w:rStyle w:val="eop"/>
          <w:rFonts w:eastAsiaTheme="majorEastAsia"/>
          <w:color w:val="000000"/>
          <w:lang w:val="en-GB"/>
        </w:rPr>
        <w:t xml:space="preserve"> educational strategies </w:t>
      </w:r>
      <w:r w:rsidR="00603246" w:rsidRPr="007522AC">
        <w:rPr>
          <w:rStyle w:val="eop"/>
          <w:rFonts w:eastAsiaTheme="majorEastAsia"/>
          <w:color w:val="000000"/>
          <w:lang w:val="en-GB"/>
        </w:rPr>
        <w:t>to</w:t>
      </w:r>
      <w:r w:rsidRPr="007522AC">
        <w:rPr>
          <w:rStyle w:val="eop"/>
          <w:rFonts w:eastAsiaTheme="majorEastAsia"/>
          <w:color w:val="000000"/>
          <w:lang w:val="en-GB"/>
        </w:rPr>
        <w:t xml:space="preserve"> optimize learning outcomes through targeted interventions. Understanding how bilingual and monolingual children develop task-switching and working memory skills differently can help educators design more effective, age-appropriate teaching strategies.</w:t>
      </w:r>
      <w:r w:rsidR="001215C6" w:rsidRPr="007522AC">
        <w:rPr>
          <w:rStyle w:val="normaltextrun"/>
          <w:rFonts w:eastAsiaTheme="majorEastAsia"/>
          <w:color w:val="000000"/>
          <w:lang w:val="en-GB"/>
        </w:rPr>
        <w:t xml:space="preserve"> </w:t>
      </w:r>
    </w:p>
    <w:p w14:paraId="4BDE6C8D" w14:textId="50255D4D" w:rsidR="00A55669" w:rsidRPr="007522AC" w:rsidRDefault="00A55669" w:rsidP="00DB6F0D">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7522AC">
        <w:rPr>
          <w:rStyle w:val="normaltextrun"/>
          <w:rFonts w:eastAsiaTheme="majorEastAsia"/>
          <w:color w:val="000000"/>
          <w:lang w:val="en-GB"/>
        </w:rPr>
        <w:t>Based on previous research, this study hypothesi</w:t>
      </w:r>
      <w:r w:rsidR="004F51D1" w:rsidRPr="007522AC">
        <w:rPr>
          <w:rStyle w:val="normaltextrun"/>
          <w:rFonts w:eastAsiaTheme="majorEastAsia"/>
          <w:color w:val="000000"/>
          <w:lang w:val="en-GB"/>
        </w:rPr>
        <w:t>s</w:t>
      </w:r>
      <w:r w:rsidRPr="007522AC">
        <w:rPr>
          <w:rStyle w:val="normaltextrun"/>
          <w:rFonts w:eastAsiaTheme="majorEastAsia"/>
          <w:color w:val="000000"/>
          <w:lang w:val="en-GB"/>
        </w:rPr>
        <w:t>es that bilingual children will outperform monolingual children in task-switching and visuospatial working memory at different measurement points. The study uses a longitudinal design to overcome the limitations of cross-sectional studies, which don't capture changes over time (Huizinga et al., 2006). This approach will help researchers focus on key developments and better understand developmental trajectories.</w:t>
      </w:r>
      <w:r w:rsidR="00BB3F7A" w:rsidRPr="007522AC">
        <w:rPr>
          <w:rStyle w:val="normaltextrun"/>
          <w:rFonts w:eastAsiaTheme="majorEastAsia"/>
          <w:color w:val="000000"/>
          <w:lang w:val="en-GB"/>
        </w:rPr>
        <w:t xml:space="preserve"> </w:t>
      </w:r>
    </w:p>
    <w:bookmarkEnd w:id="0"/>
    <w:p w14:paraId="300A45CE" w14:textId="64714D93" w:rsidR="00C7035A" w:rsidRPr="007522AC" w:rsidRDefault="00C7035A" w:rsidP="00DB6F0D">
      <w:pPr>
        <w:pStyle w:val="paragraph"/>
        <w:spacing w:before="0" w:beforeAutospacing="0" w:after="0" w:afterAutospacing="0" w:line="480" w:lineRule="auto"/>
        <w:jc w:val="center"/>
        <w:textAlignment w:val="baseline"/>
        <w:rPr>
          <w:lang w:val="en-GB"/>
        </w:rPr>
      </w:pPr>
      <w:r w:rsidRPr="007522AC">
        <w:rPr>
          <w:rStyle w:val="normaltextrun"/>
          <w:rFonts w:eastAsiaTheme="majorEastAsia"/>
          <w:b/>
          <w:bCs/>
          <w:lang w:val="en-GB"/>
        </w:rPr>
        <w:t>Methods</w:t>
      </w:r>
    </w:p>
    <w:p w14:paraId="1524C57B" w14:textId="77777777" w:rsidR="00C7035A" w:rsidRPr="007522AC" w:rsidRDefault="00C7035A" w:rsidP="00DB6F0D">
      <w:pPr>
        <w:pStyle w:val="paragraph"/>
        <w:spacing w:before="0" w:beforeAutospacing="0" w:after="0" w:afterAutospacing="0" w:line="480" w:lineRule="auto"/>
        <w:textAlignment w:val="baseline"/>
        <w:rPr>
          <w:lang w:val="en-GB"/>
        </w:rPr>
      </w:pPr>
      <w:r w:rsidRPr="007522AC">
        <w:rPr>
          <w:rStyle w:val="normaltextrun"/>
          <w:rFonts w:eastAsiaTheme="majorEastAsia"/>
          <w:b/>
          <w:bCs/>
          <w:lang w:val="en-GB"/>
        </w:rPr>
        <w:t>Participants</w:t>
      </w:r>
      <w:r w:rsidRPr="007522AC">
        <w:rPr>
          <w:rStyle w:val="eop"/>
          <w:rFonts w:eastAsiaTheme="majorEastAsia"/>
          <w:lang w:val="en-GB"/>
        </w:rPr>
        <w:t> </w:t>
      </w:r>
    </w:p>
    <w:p w14:paraId="45B0E8F8" w14:textId="4FB7604D" w:rsidR="00FF1810" w:rsidRPr="007522AC" w:rsidRDefault="00A55669" w:rsidP="00DB6F0D">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7522AC">
        <w:rPr>
          <w:rStyle w:val="normaltextrun"/>
          <w:rFonts w:eastAsiaTheme="majorEastAsia"/>
          <w:color w:val="000000"/>
          <w:lang w:val="en-GB"/>
        </w:rPr>
        <w:t xml:space="preserve">The final sample included 21 </w:t>
      </w:r>
      <w:proofErr w:type="gramStart"/>
      <w:r w:rsidR="0068538B" w:rsidRPr="0068538B">
        <w:rPr>
          <w:rStyle w:val="normaltextrun"/>
          <w:rFonts w:eastAsiaTheme="majorEastAsia"/>
          <w:color w:val="000000"/>
          <w:lang w:val="en-GB"/>
        </w:rPr>
        <w:t>Turkish-Dutch</w:t>
      </w:r>
      <w:proofErr w:type="gramEnd"/>
      <w:r w:rsidR="0068538B" w:rsidRPr="0068538B">
        <w:rPr>
          <w:rStyle w:val="normaltextrun"/>
          <w:rFonts w:eastAsiaTheme="majorEastAsia"/>
          <w:color w:val="000000"/>
          <w:lang w:val="en-GB"/>
        </w:rPr>
        <w:t xml:space="preserve"> </w:t>
      </w:r>
      <w:r w:rsidRPr="007522AC">
        <w:rPr>
          <w:rStyle w:val="normaltextrun"/>
          <w:rFonts w:eastAsiaTheme="majorEastAsia"/>
          <w:color w:val="000000"/>
          <w:lang w:val="en-GB"/>
        </w:rPr>
        <w:t xml:space="preserve">bilingual children and 40 </w:t>
      </w:r>
      <w:r w:rsidR="0068538B">
        <w:rPr>
          <w:rStyle w:val="normaltextrun"/>
          <w:rFonts w:eastAsiaTheme="majorEastAsia"/>
          <w:color w:val="000000"/>
          <w:lang w:val="en-GB"/>
        </w:rPr>
        <w:t xml:space="preserve">Dutch speaking </w:t>
      </w:r>
      <w:r w:rsidRPr="007522AC">
        <w:rPr>
          <w:rStyle w:val="normaltextrun"/>
          <w:rFonts w:eastAsiaTheme="majorEastAsia"/>
          <w:color w:val="000000"/>
          <w:lang w:val="en-GB"/>
        </w:rPr>
        <w:t>monolingual children for visuospatial working memory</w:t>
      </w:r>
      <w:r w:rsidR="0068538B">
        <w:rPr>
          <w:rStyle w:val="normaltextrun"/>
          <w:rFonts w:eastAsiaTheme="majorEastAsia"/>
          <w:color w:val="000000"/>
          <w:lang w:val="en-GB"/>
        </w:rPr>
        <w:t xml:space="preserve">, and </w:t>
      </w:r>
      <w:r w:rsidR="0068538B" w:rsidRPr="0068538B">
        <w:rPr>
          <w:rStyle w:val="normaltextrun"/>
          <w:rFonts w:eastAsiaTheme="majorEastAsia"/>
          <w:color w:val="000000"/>
          <w:lang w:val="en-GB"/>
        </w:rPr>
        <w:t>28 bilingual children and 40 monolingual children for task switching</w:t>
      </w:r>
      <w:r w:rsidRPr="007522AC">
        <w:rPr>
          <w:rStyle w:val="normaltextrun"/>
          <w:rFonts w:eastAsiaTheme="majorEastAsia"/>
          <w:color w:val="000000"/>
          <w:lang w:val="en-GB"/>
        </w:rPr>
        <w:t xml:space="preserve">. Children were considered monolingual if Dutch was the only language spoken, and bilingual if at least one parent spoke Turkish at home. At wave 1 all children were 5 to 6 years old (monolingual M = 71.5 months, bilingual M = 71.52). </w:t>
      </w:r>
      <w:r w:rsidR="00FF1810" w:rsidRPr="007522AC">
        <w:rPr>
          <w:rStyle w:val="normaltextrun"/>
          <w:rFonts w:eastAsiaTheme="majorEastAsia"/>
          <w:color w:val="000000"/>
          <w:lang w:val="en-GB"/>
        </w:rPr>
        <w:t>All participants were born in the Netherlands and had attended a Dutch-speaking primary school since the age of 4.</w:t>
      </w:r>
    </w:p>
    <w:p w14:paraId="524774D4" w14:textId="7E138359" w:rsidR="00C7035A" w:rsidRPr="007522AC" w:rsidRDefault="00C7035A" w:rsidP="007522AC">
      <w:pPr>
        <w:pStyle w:val="paragraph"/>
        <w:spacing w:before="0" w:beforeAutospacing="0" w:after="0" w:afterAutospacing="0" w:line="480" w:lineRule="auto"/>
        <w:textAlignment w:val="baseline"/>
        <w:rPr>
          <w:lang w:val="en-GB"/>
        </w:rPr>
      </w:pPr>
      <w:r w:rsidRPr="007522AC">
        <w:rPr>
          <w:rStyle w:val="normaltextrun"/>
          <w:rFonts w:eastAsiaTheme="majorEastAsia"/>
          <w:b/>
          <w:bCs/>
          <w:lang w:val="en-GB"/>
        </w:rPr>
        <w:t>Procedure</w:t>
      </w:r>
      <w:r w:rsidRPr="007522AC">
        <w:rPr>
          <w:rStyle w:val="eop"/>
          <w:rFonts w:eastAsiaTheme="majorEastAsia"/>
          <w:lang w:val="en-GB"/>
        </w:rPr>
        <w:t> </w:t>
      </w:r>
    </w:p>
    <w:p w14:paraId="665B10C2" w14:textId="6AC9D93B" w:rsidR="005C5AB5" w:rsidRPr="007522AC" w:rsidRDefault="005C5AB5" w:rsidP="007522AC">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7522AC">
        <w:rPr>
          <w:rStyle w:val="normaltextrun"/>
          <w:rFonts w:eastAsiaTheme="majorEastAsia"/>
          <w:color w:val="000000"/>
          <w:lang w:val="en-GB"/>
        </w:rPr>
        <w:t xml:space="preserve">Data from both monolingual and bilingual children were collected through the </w:t>
      </w:r>
      <w:proofErr w:type="spellStart"/>
      <w:r w:rsidRPr="007522AC">
        <w:rPr>
          <w:rStyle w:val="normaltextrun"/>
          <w:rFonts w:eastAsiaTheme="majorEastAsia"/>
          <w:color w:val="000000"/>
          <w:lang w:val="en-GB"/>
        </w:rPr>
        <w:t>CoDEmBi</w:t>
      </w:r>
      <w:proofErr w:type="spellEnd"/>
      <w:r w:rsidRPr="007522AC">
        <w:rPr>
          <w:rStyle w:val="normaltextrun"/>
          <w:rFonts w:eastAsiaTheme="majorEastAsia"/>
          <w:color w:val="000000"/>
          <w:lang w:val="en-GB"/>
        </w:rPr>
        <w:t xml:space="preserve"> study (Cognitive Development in Emerging Bilingualism). All data </w:t>
      </w:r>
      <w:r w:rsidR="009E42D0">
        <w:rPr>
          <w:rStyle w:val="normaltextrun"/>
          <w:rFonts w:eastAsiaTheme="majorEastAsia"/>
          <w:color w:val="000000"/>
          <w:lang w:val="en-GB"/>
        </w:rPr>
        <w:t>was</w:t>
      </w:r>
      <w:r w:rsidRPr="007522AC">
        <w:rPr>
          <w:rStyle w:val="normaltextrun"/>
          <w:rFonts w:eastAsiaTheme="majorEastAsia"/>
          <w:color w:val="000000"/>
          <w:lang w:val="en-GB"/>
        </w:rPr>
        <w:t xml:space="preserve"> obtained from primary schools in the Netherlands. Before participation, parents received an information letter and brochure outlining the study's purpose and procedures.</w:t>
      </w:r>
      <w:r w:rsidR="00C7035A" w:rsidRPr="007522AC">
        <w:rPr>
          <w:rStyle w:val="normaltextrun"/>
          <w:rFonts w:eastAsiaTheme="majorEastAsia"/>
          <w:color w:val="000000"/>
          <w:lang w:val="en-GB"/>
        </w:rPr>
        <w:t xml:space="preserve"> </w:t>
      </w:r>
      <w:r w:rsidRPr="007522AC">
        <w:rPr>
          <w:rStyle w:val="normaltextrun"/>
          <w:rFonts w:eastAsiaTheme="majorEastAsia"/>
          <w:color w:val="000000"/>
          <w:lang w:val="en-GB"/>
        </w:rPr>
        <w:t>The parents then gave consent, and the research was reviewed by the Standing Ethical Assessment Committee of the Faculty of Behavioural Sciences at Utrecht University.</w:t>
      </w:r>
    </w:p>
    <w:p w14:paraId="0E99C78D" w14:textId="6E9D48D3" w:rsidR="005C5AB5" w:rsidRPr="007522AC" w:rsidRDefault="005C5AB5" w:rsidP="007522AC">
      <w:pPr>
        <w:spacing w:line="480" w:lineRule="auto"/>
        <w:ind w:firstLine="720"/>
        <w:rPr>
          <w:rStyle w:val="normaltextrun"/>
          <w:rFonts w:eastAsiaTheme="majorEastAsia"/>
          <w:color w:val="000000"/>
          <w:lang w:val="en-GB"/>
        </w:rPr>
      </w:pPr>
      <w:r w:rsidRPr="007522AC">
        <w:rPr>
          <w:rStyle w:val="normaltextrun"/>
          <w:rFonts w:eastAsiaTheme="majorEastAsia"/>
          <w:color w:val="000000"/>
          <w:lang w:val="en-GB"/>
        </w:rPr>
        <w:t xml:space="preserve">All children were tested individually in a quiet room at their primary school, following a standardized procedure. Instructions were presented in Dutch and could be repeated </w:t>
      </w:r>
      <w:r w:rsidR="009E42D0">
        <w:rPr>
          <w:rStyle w:val="normaltextrun"/>
          <w:rFonts w:eastAsiaTheme="majorEastAsia"/>
          <w:color w:val="000000"/>
          <w:lang w:val="en-GB"/>
        </w:rPr>
        <w:t xml:space="preserve">many times until the child </w:t>
      </w:r>
      <w:r w:rsidRPr="007522AC">
        <w:rPr>
          <w:rStyle w:val="normaltextrun"/>
          <w:rFonts w:eastAsiaTheme="majorEastAsia"/>
          <w:color w:val="000000"/>
          <w:lang w:val="en-GB"/>
        </w:rPr>
        <w:t xml:space="preserve">understood the task. To measure visuospatial working memory, all children were tested three times at yearly intervals, starting around ages five and six. Therefore, three measurement waves were conducted. To measure task-switching ability, all children were tested twice at yearly intervals, starting at the second wave (ages 7–8). Therefore, two measurement waves were conducted. </w:t>
      </w:r>
    </w:p>
    <w:p w14:paraId="1EBD1368" w14:textId="77777777" w:rsidR="00C7035A" w:rsidRPr="007522AC" w:rsidRDefault="00C7035A" w:rsidP="007522AC">
      <w:pPr>
        <w:pStyle w:val="paragraph"/>
        <w:spacing w:before="0" w:beforeAutospacing="0" w:after="0" w:afterAutospacing="0" w:line="480" w:lineRule="auto"/>
        <w:textAlignment w:val="baseline"/>
        <w:rPr>
          <w:lang w:val="en-GB"/>
        </w:rPr>
      </w:pPr>
      <w:r w:rsidRPr="007522AC">
        <w:rPr>
          <w:rStyle w:val="normaltextrun"/>
          <w:rFonts w:eastAsiaTheme="majorEastAsia"/>
          <w:b/>
          <w:bCs/>
          <w:color w:val="000000"/>
          <w:lang w:val="en-GB"/>
        </w:rPr>
        <w:t>Measuring instruments </w:t>
      </w:r>
      <w:r w:rsidRPr="007522AC">
        <w:rPr>
          <w:rStyle w:val="eop"/>
          <w:rFonts w:eastAsiaTheme="majorEastAsia"/>
          <w:color w:val="000000"/>
          <w:lang w:val="en-GB"/>
        </w:rPr>
        <w:t> </w:t>
      </w:r>
    </w:p>
    <w:p w14:paraId="569E417E" w14:textId="77777777" w:rsidR="00C7035A" w:rsidRPr="007522AC" w:rsidRDefault="00C7035A" w:rsidP="007522AC">
      <w:pPr>
        <w:pStyle w:val="paragraph"/>
        <w:spacing w:before="0" w:beforeAutospacing="0" w:after="0" w:afterAutospacing="0" w:line="480" w:lineRule="auto"/>
        <w:textAlignment w:val="baseline"/>
        <w:rPr>
          <w:lang w:val="en-GB"/>
        </w:rPr>
      </w:pPr>
      <w:r w:rsidRPr="007522AC">
        <w:rPr>
          <w:rStyle w:val="normaltextrun"/>
          <w:rFonts w:eastAsiaTheme="majorEastAsia"/>
          <w:i/>
          <w:iCs/>
          <w:color w:val="000000"/>
          <w:lang w:val="en-GB"/>
        </w:rPr>
        <w:t>Visuospatial Working Memory</w:t>
      </w:r>
      <w:r w:rsidRPr="007522AC">
        <w:rPr>
          <w:rStyle w:val="eop"/>
          <w:rFonts w:eastAsiaTheme="majorEastAsia"/>
          <w:color w:val="000000"/>
          <w:lang w:val="en-GB"/>
        </w:rPr>
        <w:t> </w:t>
      </w:r>
    </w:p>
    <w:p w14:paraId="4CA30682" w14:textId="77777777" w:rsidR="00070ADE" w:rsidRPr="007522AC" w:rsidRDefault="00C7035A" w:rsidP="007522AC">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46671A">
        <w:rPr>
          <w:rStyle w:val="normaltextrun"/>
          <w:rFonts w:eastAsiaTheme="majorEastAsia"/>
          <w:color w:val="000000"/>
          <w:lang w:val="en-GB"/>
        </w:rPr>
        <w:t>To</w:t>
      </w:r>
      <w:r w:rsidRPr="007522AC">
        <w:rPr>
          <w:rStyle w:val="normaltextrun"/>
          <w:rFonts w:eastAsiaTheme="majorEastAsia"/>
          <w:color w:val="000000"/>
          <w:lang w:val="en-GB"/>
        </w:rPr>
        <w:t xml:space="preserve"> measure </w:t>
      </w:r>
      <w:r w:rsidR="00070ADE" w:rsidRPr="007522AC">
        <w:rPr>
          <w:rStyle w:val="normaltextrun"/>
          <w:rFonts w:eastAsiaTheme="majorEastAsia"/>
          <w:color w:val="000000"/>
          <w:lang w:val="en-GB"/>
        </w:rPr>
        <w:t>visuospatial working memory, the Dot Matrix Task from the Automated Working Memory Assessment (AWMA; Alloway, 2007) was used. In the Dot Matrix task, the children were shown a four-by-four matrix in which sequences of dots appeared. They were asked to point out the positions of the dots in reverse order after the last dot disappeared. The task increased in difficulty, starting with one dot, and the number of dots increased in subsequent blocks. A maximum of six blocks, each with six trials, were presented. A maximum of 36 points could be obtained, with one point given for each correct trial according to the AWMA procedure.</w:t>
      </w:r>
    </w:p>
    <w:p w14:paraId="01E389A9" w14:textId="77777777" w:rsidR="00C7035A" w:rsidRPr="007522AC" w:rsidRDefault="00C7035A" w:rsidP="007522AC">
      <w:pPr>
        <w:pStyle w:val="paragraph"/>
        <w:spacing w:before="0" w:beforeAutospacing="0" w:after="0" w:afterAutospacing="0" w:line="480" w:lineRule="auto"/>
        <w:textAlignment w:val="baseline"/>
        <w:rPr>
          <w:lang w:val="en-GB"/>
        </w:rPr>
      </w:pPr>
      <w:r w:rsidRPr="007522AC">
        <w:rPr>
          <w:rStyle w:val="normaltextrun"/>
          <w:rFonts w:eastAsiaTheme="majorEastAsia"/>
          <w:i/>
          <w:iCs/>
          <w:color w:val="000000"/>
          <w:lang w:val="en-GB"/>
        </w:rPr>
        <w:t>Task Switching Abilities</w:t>
      </w:r>
      <w:r w:rsidRPr="007522AC">
        <w:rPr>
          <w:rStyle w:val="eop"/>
          <w:rFonts w:eastAsiaTheme="majorEastAsia"/>
          <w:color w:val="000000"/>
          <w:lang w:val="en-GB"/>
        </w:rPr>
        <w:t> </w:t>
      </w:r>
    </w:p>
    <w:p w14:paraId="33CA32D0" w14:textId="52388B47" w:rsidR="000857CD" w:rsidRPr="007522AC" w:rsidRDefault="00002DF2" w:rsidP="007522AC">
      <w:pPr>
        <w:pStyle w:val="paragraph"/>
        <w:spacing w:before="0" w:beforeAutospacing="0" w:after="0" w:afterAutospacing="0" w:line="480" w:lineRule="auto"/>
        <w:ind w:firstLine="720"/>
        <w:textAlignment w:val="baseline"/>
        <w:rPr>
          <w:rFonts w:eastAsiaTheme="majorEastAsia"/>
          <w:color w:val="000000"/>
          <w:lang w:val="en-GB"/>
        </w:rPr>
      </w:pPr>
      <w:r w:rsidRPr="007522AC">
        <w:rPr>
          <w:rStyle w:val="normaltextrun"/>
          <w:rFonts w:eastAsiaTheme="majorEastAsia"/>
          <w:color w:val="000000"/>
          <w:lang w:val="en-GB"/>
        </w:rPr>
        <w:t>Nonverbal switching was measured</w:t>
      </w:r>
      <w:r w:rsidR="001A739E" w:rsidRPr="007522AC">
        <w:rPr>
          <w:rStyle w:val="normaltextrun"/>
          <w:rFonts w:eastAsiaTheme="majorEastAsia"/>
          <w:color w:val="000000"/>
          <w:lang w:val="en-GB"/>
        </w:rPr>
        <w:t xml:space="preserve"> with a cued colour/shape switching tasks</w:t>
      </w:r>
      <w:r w:rsidRPr="007522AC">
        <w:rPr>
          <w:rStyle w:val="normaltextrun"/>
          <w:rFonts w:eastAsiaTheme="majorEastAsia"/>
          <w:color w:val="000000"/>
          <w:lang w:val="en-GB"/>
        </w:rPr>
        <w:t xml:space="preserve"> </w:t>
      </w:r>
      <w:r w:rsidR="009D0313" w:rsidRPr="007522AC">
        <w:rPr>
          <w:rStyle w:val="normaltextrun"/>
          <w:rFonts w:eastAsiaTheme="majorEastAsia"/>
          <w:color w:val="000000"/>
          <w:lang w:val="en-GB"/>
        </w:rPr>
        <w:t xml:space="preserve">at </w:t>
      </w:r>
      <w:r w:rsidRPr="007522AC">
        <w:rPr>
          <w:rStyle w:val="normaltextrun"/>
          <w:rFonts w:eastAsiaTheme="majorEastAsia"/>
          <w:color w:val="000000"/>
          <w:lang w:val="en-GB"/>
        </w:rPr>
        <w:t xml:space="preserve">wave </w:t>
      </w:r>
      <w:r w:rsidR="00EE690F" w:rsidRPr="007522AC">
        <w:rPr>
          <w:rStyle w:val="normaltextrun"/>
          <w:rFonts w:eastAsiaTheme="majorEastAsia"/>
          <w:color w:val="000000"/>
          <w:lang w:val="en-GB"/>
        </w:rPr>
        <w:t xml:space="preserve">two </w:t>
      </w:r>
      <w:r w:rsidRPr="007522AC">
        <w:rPr>
          <w:rStyle w:val="normaltextrun"/>
          <w:rFonts w:eastAsiaTheme="majorEastAsia"/>
          <w:color w:val="000000"/>
          <w:lang w:val="en-GB"/>
        </w:rPr>
        <w:t>and</w:t>
      </w:r>
      <w:r w:rsidR="001A739E" w:rsidRPr="007522AC">
        <w:rPr>
          <w:rStyle w:val="normaltextrun"/>
          <w:rFonts w:eastAsiaTheme="majorEastAsia"/>
          <w:color w:val="000000"/>
          <w:lang w:val="en-GB"/>
        </w:rPr>
        <w:t xml:space="preserve"> wave</w:t>
      </w:r>
      <w:r w:rsidRPr="007522AC">
        <w:rPr>
          <w:rStyle w:val="normaltextrun"/>
          <w:rFonts w:eastAsiaTheme="majorEastAsia"/>
          <w:color w:val="000000"/>
          <w:lang w:val="en-GB"/>
        </w:rPr>
        <w:t xml:space="preserve"> </w:t>
      </w:r>
      <w:r w:rsidR="00EE690F" w:rsidRPr="007522AC">
        <w:rPr>
          <w:rStyle w:val="normaltextrun"/>
          <w:rFonts w:eastAsiaTheme="majorEastAsia"/>
          <w:color w:val="000000"/>
          <w:lang w:val="en-GB"/>
        </w:rPr>
        <w:t>three</w:t>
      </w:r>
      <w:r w:rsidRPr="007522AC">
        <w:rPr>
          <w:rStyle w:val="normaltextrun"/>
          <w:rFonts w:eastAsiaTheme="majorEastAsia"/>
          <w:color w:val="000000"/>
          <w:lang w:val="en-GB"/>
        </w:rPr>
        <w:t xml:space="preserve"> (</w:t>
      </w:r>
      <w:proofErr w:type="spellStart"/>
      <w:r w:rsidRPr="007522AC">
        <w:rPr>
          <w:rStyle w:val="normaltextrun"/>
          <w:rFonts w:eastAsiaTheme="majorEastAsia"/>
          <w:color w:val="000000"/>
          <w:lang w:val="en-GB"/>
        </w:rPr>
        <w:t>Timmermeister</w:t>
      </w:r>
      <w:proofErr w:type="spellEnd"/>
      <w:r w:rsidRPr="007522AC">
        <w:rPr>
          <w:rStyle w:val="normaltextrun"/>
          <w:rFonts w:eastAsiaTheme="majorEastAsia"/>
          <w:color w:val="000000"/>
          <w:lang w:val="en-GB"/>
        </w:rPr>
        <w:t xml:space="preserve"> et al. 2020).</w:t>
      </w:r>
      <w:r w:rsidR="000857CD" w:rsidRPr="007522AC">
        <w:rPr>
          <w:rStyle w:val="normaltextrun"/>
          <w:rFonts w:eastAsiaTheme="majorEastAsia"/>
          <w:color w:val="000000"/>
          <w:lang w:val="en-GB"/>
        </w:rPr>
        <w:t xml:space="preserve"> The task was designed in E-Prime 2.0 Standard (Psychology Software Tools, Pittsburgh, PA, United States).</w:t>
      </w:r>
      <w:r w:rsidR="002973CB" w:rsidRPr="007522AC">
        <w:rPr>
          <w:rStyle w:val="normaltextrun"/>
          <w:rFonts w:eastAsiaTheme="majorEastAsia"/>
          <w:color w:val="000000"/>
          <w:lang w:val="en-GB"/>
        </w:rPr>
        <w:t xml:space="preserve"> Children's response times, measured in milliseconds, were used to assess task-switching performance.</w:t>
      </w:r>
      <w:r w:rsidR="000857CD" w:rsidRPr="007522AC">
        <w:rPr>
          <w:rStyle w:val="normaltextrun"/>
          <w:rFonts w:eastAsiaTheme="majorEastAsia"/>
          <w:color w:val="000000"/>
          <w:lang w:val="en-GB"/>
        </w:rPr>
        <w:t xml:space="preserve"> </w:t>
      </w:r>
      <w:r w:rsidR="00C7035A" w:rsidRPr="007522AC">
        <w:rPr>
          <w:rStyle w:val="normaltextrun"/>
          <w:rFonts w:eastAsiaTheme="majorEastAsia"/>
          <w:color w:val="000000"/>
          <w:lang w:val="en-GB"/>
        </w:rPr>
        <w:t xml:space="preserve">In this task the </w:t>
      </w:r>
      <w:r w:rsidR="00CE1B73" w:rsidRPr="007522AC">
        <w:rPr>
          <w:rStyle w:val="normaltextrun"/>
          <w:rFonts w:eastAsiaTheme="majorEastAsia"/>
          <w:color w:val="000000"/>
          <w:lang w:val="en-GB"/>
        </w:rPr>
        <w:t>children were</w:t>
      </w:r>
      <w:r w:rsidR="00C7035A" w:rsidRPr="007522AC">
        <w:rPr>
          <w:rStyle w:val="normaltextrun"/>
          <w:rFonts w:eastAsiaTheme="majorEastAsia"/>
          <w:color w:val="000000"/>
          <w:lang w:val="en-GB"/>
        </w:rPr>
        <w:t xml:space="preserve"> presented with a blue or orange triangle</w:t>
      </w:r>
      <w:r w:rsidRPr="007522AC">
        <w:rPr>
          <w:rStyle w:val="normaltextrun"/>
          <w:rFonts w:eastAsiaTheme="majorEastAsia"/>
          <w:color w:val="000000"/>
          <w:lang w:val="en-GB"/>
        </w:rPr>
        <w:t>,</w:t>
      </w:r>
      <w:r w:rsidR="00C7035A" w:rsidRPr="007522AC">
        <w:rPr>
          <w:rStyle w:val="normaltextrun"/>
          <w:rFonts w:eastAsiaTheme="majorEastAsia"/>
          <w:color w:val="000000"/>
          <w:lang w:val="en-GB"/>
        </w:rPr>
        <w:t xml:space="preserve"> or a square where the child is asked to respond to either the colour or the shape of the target on a 15-inch laptop screen. The child was presented with a cue at the top of the screen with either Mr. Colour or Mr. Shape (cartoon faces). This was to introduce the rules</w:t>
      </w:r>
      <w:r w:rsidR="00D4045F" w:rsidRPr="007522AC">
        <w:rPr>
          <w:rStyle w:val="normaltextrun"/>
          <w:rFonts w:eastAsiaTheme="majorEastAsia"/>
          <w:color w:val="000000"/>
          <w:lang w:val="en-GB"/>
        </w:rPr>
        <w:t xml:space="preserve"> of the task</w:t>
      </w:r>
      <w:r w:rsidR="00C7035A" w:rsidRPr="007522AC">
        <w:rPr>
          <w:rStyle w:val="normaltextrun"/>
          <w:rFonts w:eastAsiaTheme="majorEastAsia"/>
          <w:color w:val="000000"/>
          <w:lang w:val="en-GB"/>
        </w:rPr>
        <w:t xml:space="preserve"> to identify either the </w:t>
      </w:r>
      <w:r w:rsidRPr="007522AC">
        <w:rPr>
          <w:rStyle w:val="normaltextrun"/>
          <w:rFonts w:eastAsiaTheme="majorEastAsia"/>
          <w:color w:val="000000"/>
          <w:lang w:val="en-GB"/>
        </w:rPr>
        <w:t>colour</w:t>
      </w:r>
      <w:r w:rsidR="00C7035A" w:rsidRPr="007522AC">
        <w:rPr>
          <w:rStyle w:val="normaltextrun"/>
          <w:rFonts w:eastAsiaTheme="majorEastAsia"/>
          <w:color w:val="000000"/>
          <w:lang w:val="en-GB"/>
        </w:rPr>
        <w:t xml:space="preserve"> or the shape of the target which was presented in the middle of the screen</w:t>
      </w:r>
      <w:r w:rsidR="007A566F" w:rsidRPr="007522AC">
        <w:rPr>
          <w:rStyle w:val="normaltextrun"/>
          <w:rFonts w:eastAsiaTheme="majorEastAsia"/>
          <w:color w:val="000000"/>
          <w:lang w:val="en-GB"/>
        </w:rPr>
        <w:t xml:space="preserve"> </w:t>
      </w:r>
      <w:r w:rsidR="002478D2" w:rsidRPr="007522AC">
        <w:rPr>
          <w:rStyle w:val="normaltextrun"/>
          <w:rFonts w:eastAsiaTheme="majorEastAsia"/>
          <w:color w:val="000000"/>
          <w:lang w:val="en-GB"/>
        </w:rPr>
        <w:t>followed</w:t>
      </w:r>
      <w:r w:rsidR="007A566F" w:rsidRPr="007522AC">
        <w:rPr>
          <w:rStyle w:val="normaltextrun"/>
          <w:rFonts w:eastAsiaTheme="majorEastAsia"/>
          <w:color w:val="000000"/>
          <w:lang w:val="en-GB"/>
        </w:rPr>
        <w:t xml:space="preserve"> by a fixation cross </w:t>
      </w:r>
      <w:r w:rsidR="002478D2" w:rsidRPr="007522AC">
        <w:rPr>
          <w:rStyle w:val="normaltextrun"/>
          <w:rFonts w:eastAsiaTheme="majorEastAsia"/>
          <w:color w:val="000000"/>
          <w:lang w:val="en-GB"/>
        </w:rPr>
        <w:t xml:space="preserve">for </w:t>
      </w:r>
      <w:r w:rsidR="007A566F" w:rsidRPr="007522AC">
        <w:rPr>
          <w:rStyle w:val="normaltextrun"/>
          <w:rFonts w:eastAsiaTheme="majorEastAsia"/>
          <w:color w:val="000000"/>
          <w:lang w:val="en-GB"/>
        </w:rPr>
        <w:t xml:space="preserve">350 </w:t>
      </w:r>
      <w:r w:rsidR="000857CD" w:rsidRPr="007522AC">
        <w:rPr>
          <w:rStyle w:val="normaltextrun"/>
          <w:rFonts w:eastAsiaTheme="majorEastAsia"/>
          <w:color w:val="000000"/>
          <w:lang w:val="en-GB"/>
        </w:rPr>
        <w:t>milliseconds</w:t>
      </w:r>
      <w:r w:rsidR="007A566F" w:rsidRPr="007522AC">
        <w:rPr>
          <w:rStyle w:val="normaltextrun"/>
          <w:rFonts w:eastAsiaTheme="majorEastAsia"/>
          <w:color w:val="000000"/>
          <w:lang w:val="en-GB"/>
        </w:rPr>
        <w:t xml:space="preserve"> and a blank space </w:t>
      </w:r>
      <w:r w:rsidR="002478D2" w:rsidRPr="007522AC">
        <w:rPr>
          <w:rStyle w:val="normaltextrun"/>
          <w:rFonts w:eastAsiaTheme="majorEastAsia"/>
          <w:color w:val="000000"/>
          <w:lang w:val="en-GB"/>
        </w:rPr>
        <w:t xml:space="preserve">for </w:t>
      </w:r>
      <w:r w:rsidR="007A566F" w:rsidRPr="007522AC">
        <w:rPr>
          <w:rStyle w:val="normaltextrun"/>
          <w:rFonts w:eastAsiaTheme="majorEastAsia"/>
          <w:color w:val="000000"/>
          <w:lang w:val="en-GB"/>
        </w:rPr>
        <w:t xml:space="preserve">150 </w:t>
      </w:r>
      <w:r w:rsidR="000857CD" w:rsidRPr="007522AC">
        <w:rPr>
          <w:rStyle w:val="normaltextrun"/>
          <w:rFonts w:eastAsiaTheme="majorEastAsia"/>
          <w:color w:val="000000"/>
          <w:lang w:val="en-GB"/>
        </w:rPr>
        <w:t>milliseconds</w:t>
      </w:r>
      <w:r w:rsidR="00C7035A" w:rsidRPr="007522AC">
        <w:rPr>
          <w:rStyle w:val="normaltextrun"/>
          <w:rFonts w:eastAsiaTheme="majorEastAsia"/>
          <w:color w:val="000000"/>
          <w:lang w:val="en-GB"/>
        </w:rPr>
        <w:t>.</w:t>
      </w:r>
      <w:r w:rsidR="007A566F" w:rsidRPr="007522AC">
        <w:rPr>
          <w:rStyle w:val="normaltextrun"/>
          <w:rFonts w:eastAsiaTheme="majorEastAsia"/>
          <w:color w:val="000000"/>
          <w:lang w:val="en-GB"/>
        </w:rPr>
        <w:t xml:space="preserve"> The cue was presented for 650 </w:t>
      </w:r>
      <w:r w:rsidR="000857CD" w:rsidRPr="007522AC">
        <w:rPr>
          <w:rStyle w:val="normaltextrun"/>
          <w:rFonts w:eastAsiaTheme="majorEastAsia"/>
          <w:color w:val="000000"/>
          <w:lang w:val="en-GB"/>
        </w:rPr>
        <w:t>milliseconds</w:t>
      </w:r>
      <w:r w:rsidR="007A566F" w:rsidRPr="007522AC">
        <w:rPr>
          <w:rStyle w:val="normaltextrun"/>
          <w:rFonts w:eastAsiaTheme="majorEastAsia"/>
          <w:color w:val="000000"/>
          <w:lang w:val="en-GB"/>
        </w:rPr>
        <w:t xml:space="preserve"> before the fixation cross and persisted on the screen until the end of the trial.</w:t>
      </w:r>
      <w:r w:rsidR="00C7035A" w:rsidRPr="007522AC">
        <w:rPr>
          <w:rStyle w:val="normaltextrun"/>
          <w:rFonts w:eastAsiaTheme="majorEastAsia"/>
          <w:color w:val="000000"/>
          <w:lang w:val="en-GB"/>
        </w:rPr>
        <w:t xml:space="preserve"> Throughout all trials, the blue square and the orange triangle were </w:t>
      </w:r>
      <w:r w:rsidR="007A566F" w:rsidRPr="007522AC">
        <w:rPr>
          <w:rStyle w:val="normaltextrun"/>
          <w:rFonts w:eastAsiaTheme="majorEastAsia"/>
          <w:color w:val="000000"/>
          <w:lang w:val="en-GB"/>
        </w:rPr>
        <w:t xml:space="preserve">respectively </w:t>
      </w:r>
      <w:r w:rsidR="00C7035A" w:rsidRPr="007522AC">
        <w:rPr>
          <w:rStyle w:val="normaltextrun"/>
          <w:rFonts w:eastAsiaTheme="majorEastAsia"/>
          <w:color w:val="000000"/>
          <w:lang w:val="en-GB"/>
        </w:rPr>
        <w:t>shown at the bottom of the screen (left and right). Children were asked to respond by pressing a designated button on the keyboard corresponding to the shown object. When ‘Mr. Colour’ was shown, the left button was shown for blue objects and the right one for orange objects. In contrast, when ‘Mr. Shape’ is presented, the left button was for square objects and the right for the triangle shape. All participants were given a maximum of 7 seconds to respond to the trial that was presented to them.</w:t>
      </w:r>
      <w:r w:rsidR="007A566F" w:rsidRPr="007522AC">
        <w:rPr>
          <w:rStyle w:val="normaltextrun"/>
          <w:rFonts w:eastAsiaTheme="majorEastAsia"/>
          <w:color w:val="000000"/>
          <w:lang w:val="en-GB"/>
        </w:rPr>
        <w:t xml:space="preserve"> The task started with two single-task </w:t>
      </w:r>
      <w:r w:rsidR="008505DE" w:rsidRPr="007522AC">
        <w:rPr>
          <w:rStyle w:val="normaltextrun"/>
          <w:rFonts w:eastAsiaTheme="majorEastAsia"/>
          <w:color w:val="000000"/>
          <w:lang w:val="en-GB"/>
        </w:rPr>
        <w:t>blocks;</w:t>
      </w:r>
      <w:r w:rsidR="007A566F" w:rsidRPr="007522AC">
        <w:rPr>
          <w:rStyle w:val="normaltextrun"/>
          <w:rFonts w:eastAsiaTheme="majorEastAsia"/>
          <w:color w:val="000000"/>
          <w:lang w:val="en-GB"/>
        </w:rPr>
        <w:t xml:space="preserve"> both </w:t>
      </w:r>
      <w:r w:rsidR="00F26A3A" w:rsidRPr="007522AC">
        <w:rPr>
          <w:rStyle w:val="normaltextrun"/>
          <w:rFonts w:eastAsiaTheme="majorEastAsia"/>
          <w:color w:val="000000"/>
          <w:lang w:val="en-GB"/>
        </w:rPr>
        <w:t>followed</w:t>
      </w:r>
      <w:r w:rsidR="007A566F" w:rsidRPr="007522AC">
        <w:rPr>
          <w:rStyle w:val="normaltextrun"/>
          <w:rFonts w:eastAsiaTheme="majorEastAsia"/>
          <w:color w:val="000000"/>
          <w:lang w:val="en-GB"/>
        </w:rPr>
        <w:t xml:space="preserve"> a practice phase of 5 items each. During these trials the cue stayed the same and the children were asked to respond to the colour or the shape of the presented target. The order of the blocks </w:t>
      </w:r>
      <w:r w:rsidR="00755123" w:rsidRPr="007522AC">
        <w:rPr>
          <w:rStyle w:val="normaltextrun"/>
          <w:rFonts w:eastAsiaTheme="majorEastAsia"/>
          <w:color w:val="000000"/>
          <w:lang w:val="en-GB"/>
        </w:rPr>
        <w:t>was</w:t>
      </w:r>
      <w:r w:rsidR="007A566F" w:rsidRPr="007522AC">
        <w:rPr>
          <w:rStyle w:val="normaltextrun"/>
          <w:rFonts w:eastAsiaTheme="majorEastAsia"/>
          <w:color w:val="000000"/>
          <w:lang w:val="en-GB"/>
        </w:rPr>
        <w:t xml:space="preserve"> counterbalanced, meaning different children started with either the colour or the shape. Each of the two blocks consisted of 28 trials. Following the single-task blocks, a mixed-task block was introduced where the cues for colour and shape alternated every two to five trials. Children were unable to predict the order. </w:t>
      </w:r>
      <w:r w:rsidR="00755123" w:rsidRPr="007522AC">
        <w:rPr>
          <w:rStyle w:val="normaltextrun"/>
          <w:rFonts w:eastAsiaTheme="majorEastAsia"/>
          <w:color w:val="000000"/>
          <w:lang w:val="en-GB"/>
        </w:rPr>
        <w:t>The block started with 8 practice items followed by 56 (real) trials divided between colour and shape, where the trial involved a cue switch in 25% of the trials. The remaining 75% there was no change of cue from the colour to shape or vice versa.</w:t>
      </w:r>
      <w:r w:rsidR="00305813" w:rsidRPr="007522AC">
        <w:rPr>
          <w:rStyle w:val="normaltextrun"/>
          <w:rFonts w:eastAsiaTheme="majorEastAsia"/>
          <w:color w:val="000000"/>
          <w:lang w:val="en-GB"/>
        </w:rPr>
        <w:t xml:space="preserve"> </w:t>
      </w:r>
    </w:p>
    <w:p w14:paraId="59B4C760" w14:textId="77777777" w:rsidR="001545DD" w:rsidRPr="007522AC" w:rsidRDefault="00C7035A" w:rsidP="007522AC">
      <w:pPr>
        <w:pStyle w:val="paragraph"/>
        <w:spacing w:before="0" w:beforeAutospacing="0" w:after="0" w:afterAutospacing="0" w:line="480" w:lineRule="auto"/>
        <w:textAlignment w:val="baseline"/>
        <w:rPr>
          <w:lang w:val="en-GB"/>
        </w:rPr>
      </w:pPr>
      <w:r w:rsidRPr="007522AC">
        <w:rPr>
          <w:rStyle w:val="normaltextrun"/>
          <w:rFonts w:eastAsiaTheme="majorEastAsia"/>
          <w:b/>
          <w:bCs/>
          <w:color w:val="000000"/>
          <w:lang w:val="en-GB"/>
        </w:rPr>
        <w:t>Plan of Analysis </w:t>
      </w:r>
      <w:r w:rsidRPr="007522AC">
        <w:rPr>
          <w:rStyle w:val="eop"/>
          <w:rFonts w:eastAsiaTheme="majorEastAsia"/>
          <w:color w:val="000000"/>
          <w:lang w:val="en-GB"/>
        </w:rPr>
        <w:t> </w:t>
      </w:r>
    </w:p>
    <w:p w14:paraId="2F650744" w14:textId="05EB4BBF" w:rsidR="00584FDD" w:rsidRPr="007522AC" w:rsidRDefault="00C7035A" w:rsidP="007522AC">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7522AC">
        <w:rPr>
          <w:rStyle w:val="normaltextrun"/>
          <w:rFonts w:eastAsiaTheme="majorEastAsia"/>
          <w:color w:val="000000"/>
          <w:lang w:val="en-GB"/>
        </w:rPr>
        <w:t xml:space="preserve">All statistical </w:t>
      </w:r>
      <w:r w:rsidR="00692AED" w:rsidRPr="007522AC">
        <w:rPr>
          <w:rStyle w:val="normaltextrun"/>
          <w:rFonts w:eastAsiaTheme="majorEastAsia"/>
          <w:color w:val="000000"/>
          <w:lang w:val="en-GB"/>
        </w:rPr>
        <w:t>analyses</w:t>
      </w:r>
      <w:r w:rsidRPr="007522AC">
        <w:rPr>
          <w:rStyle w:val="normaltextrun"/>
          <w:rFonts w:eastAsiaTheme="majorEastAsia"/>
          <w:color w:val="000000"/>
          <w:lang w:val="en-GB"/>
        </w:rPr>
        <w:t xml:space="preserve"> were conducted using the Statistical Program SPSS 29. To study the research question of whether there is a difference between monolingual and bilingual children in their performance and development of visuospatial working memory and task switching, two mixed ANOVAs</w:t>
      </w:r>
      <w:r w:rsidR="00692AED" w:rsidRPr="007522AC">
        <w:rPr>
          <w:rStyle w:val="normaltextrun"/>
          <w:rFonts w:eastAsiaTheme="majorEastAsia"/>
          <w:color w:val="000000"/>
          <w:lang w:val="en-GB"/>
        </w:rPr>
        <w:t xml:space="preserve"> with repeated measures</w:t>
      </w:r>
      <w:r w:rsidR="008D6E3D" w:rsidRPr="007522AC">
        <w:rPr>
          <w:rStyle w:val="normaltextrun"/>
          <w:rFonts w:eastAsiaTheme="majorEastAsia"/>
          <w:color w:val="000000"/>
          <w:lang w:val="en-GB"/>
        </w:rPr>
        <w:t xml:space="preserve"> ha</w:t>
      </w:r>
      <w:r w:rsidR="009D0313" w:rsidRPr="007522AC">
        <w:rPr>
          <w:rStyle w:val="normaltextrun"/>
          <w:rFonts w:eastAsiaTheme="majorEastAsia"/>
          <w:color w:val="000000"/>
          <w:lang w:val="en-GB"/>
        </w:rPr>
        <w:t>ve</w:t>
      </w:r>
      <w:r w:rsidR="008D6E3D" w:rsidRPr="007522AC">
        <w:rPr>
          <w:rStyle w:val="normaltextrun"/>
          <w:rFonts w:eastAsiaTheme="majorEastAsia"/>
          <w:color w:val="000000"/>
          <w:lang w:val="en-GB"/>
        </w:rPr>
        <w:t xml:space="preserve"> been used</w:t>
      </w:r>
      <w:r w:rsidRPr="007522AC">
        <w:rPr>
          <w:rStyle w:val="normaltextrun"/>
          <w:rFonts w:eastAsiaTheme="majorEastAsia"/>
          <w:color w:val="000000"/>
          <w:lang w:val="en-GB"/>
        </w:rPr>
        <w:t xml:space="preserve">. In this analysis, language group (monolingual vs. bilingual) served as the independent variable (between-subjects factor), while time of observation (measurement </w:t>
      </w:r>
      <w:r w:rsidR="00DC08FD">
        <w:rPr>
          <w:rStyle w:val="normaltextrun"/>
          <w:rFonts w:eastAsiaTheme="majorEastAsia"/>
          <w:color w:val="000000"/>
          <w:lang w:val="en-GB"/>
        </w:rPr>
        <w:t>waves</w:t>
      </w:r>
      <w:r w:rsidRPr="007522AC">
        <w:rPr>
          <w:rStyle w:val="normaltextrun"/>
          <w:rFonts w:eastAsiaTheme="majorEastAsia"/>
          <w:color w:val="000000"/>
          <w:lang w:val="en-GB"/>
        </w:rPr>
        <w:t xml:space="preserve">) was a within-subjects factor. The dependent variables were visuospatial working memory performance, measured at three time points, and task switching ability, measured at two time points. </w:t>
      </w:r>
      <w:r w:rsidR="00F2320D" w:rsidRPr="007522AC">
        <w:rPr>
          <w:rStyle w:val="normaltextrun"/>
          <w:rFonts w:eastAsiaTheme="majorEastAsia"/>
          <w:color w:val="000000"/>
          <w:lang w:val="en-GB"/>
        </w:rPr>
        <w:t>Prior the analysis, outliers are analysed, scores with a z score of 3 or higher were excluded from the analysis, n</w:t>
      </w:r>
      <w:r w:rsidR="002973CB" w:rsidRPr="007522AC">
        <w:rPr>
          <w:rStyle w:val="normaltextrun"/>
          <w:rFonts w:eastAsiaTheme="majorEastAsia"/>
          <w:color w:val="000000"/>
          <w:lang w:val="en-GB"/>
        </w:rPr>
        <w:t>o p</w:t>
      </w:r>
      <w:r w:rsidR="009D0313" w:rsidRPr="007522AC">
        <w:rPr>
          <w:rStyle w:val="normaltextrun"/>
          <w:rFonts w:eastAsiaTheme="majorEastAsia"/>
          <w:color w:val="000000"/>
          <w:lang w:val="en-GB"/>
        </w:rPr>
        <w:t>articipants</w:t>
      </w:r>
      <w:r w:rsidR="00F2320D" w:rsidRPr="007522AC">
        <w:rPr>
          <w:rStyle w:val="normaltextrun"/>
          <w:rFonts w:eastAsiaTheme="majorEastAsia"/>
          <w:color w:val="000000"/>
          <w:lang w:val="en-GB"/>
        </w:rPr>
        <w:t xml:space="preserve"> were excluded in visuospatial working memory, one outlier was excluded from the task switching ability analysis.</w:t>
      </w:r>
      <w:r w:rsidR="008E26AE" w:rsidRPr="007522AC">
        <w:rPr>
          <w:rStyle w:val="normaltextrun"/>
          <w:rFonts w:eastAsiaTheme="majorEastAsia"/>
          <w:color w:val="000000"/>
          <w:lang w:val="en-GB"/>
        </w:rPr>
        <w:t xml:space="preserve"> Furthermore, all participants with missing data (or waves) were excluded from the analysis.</w:t>
      </w:r>
      <w:r w:rsidR="00F2320D" w:rsidRPr="007522AC">
        <w:rPr>
          <w:rStyle w:val="normaltextrun"/>
          <w:rFonts w:eastAsiaTheme="majorEastAsia"/>
          <w:color w:val="000000"/>
          <w:lang w:val="en-GB"/>
        </w:rPr>
        <w:t xml:space="preserve"> </w:t>
      </w:r>
    </w:p>
    <w:p w14:paraId="6AEBEEA8" w14:textId="77777777" w:rsidR="005D0D75" w:rsidRDefault="005D0D75" w:rsidP="005D0D75">
      <w:pPr>
        <w:pStyle w:val="paragraph"/>
        <w:spacing w:before="0" w:beforeAutospacing="0" w:after="0" w:afterAutospacing="0" w:line="480" w:lineRule="auto"/>
        <w:ind w:firstLine="720"/>
        <w:textAlignment w:val="baseline"/>
        <w:rPr>
          <w:rStyle w:val="normaltextrun"/>
          <w:rFonts w:eastAsiaTheme="majorEastAsia"/>
          <w:color w:val="000000"/>
          <w:lang w:val="en-GB"/>
        </w:rPr>
      </w:pPr>
      <w:r w:rsidRPr="005D0D75">
        <w:rPr>
          <w:rStyle w:val="normaltextrun"/>
          <w:rFonts w:eastAsiaTheme="majorEastAsia"/>
          <w:color w:val="000000"/>
          <w:lang w:val="en-GB"/>
        </w:rPr>
        <w:t>A significance level of p &lt; .05 was applied to the statistical tests. Effect sizes were measured using partial eta squared (η²), which indicates the magnitude of the observed differences in the analysis. A mixed ANOVA was used to investigate differences between 5- to 8-year-old monolingual and bilingual children across the three measurement moments for visuospatial working memory and the two measurement moments for task switching. The analysis also examined the effect of time on the scores and whether there was an interaction effect between group and time.</w:t>
      </w:r>
    </w:p>
    <w:p w14:paraId="15AB2F1D" w14:textId="707245C8" w:rsidR="006A7481" w:rsidRPr="007522AC" w:rsidRDefault="006A7481" w:rsidP="007522AC">
      <w:pPr>
        <w:pStyle w:val="paragraph"/>
        <w:spacing w:before="0" w:beforeAutospacing="0" w:after="0" w:afterAutospacing="0" w:line="480" w:lineRule="auto"/>
        <w:jc w:val="center"/>
        <w:textAlignment w:val="baseline"/>
        <w:rPr>
          <w:rStyle w:val="eop"/>
          <w:rFonts w:eastAsiaTheme="majorEastAsia"/>
          <w:b/>
          <w:bCs/>
          <w:lang w:val="en-GB"/>
        </w:rPr>
      </w:pPr>
      <w:r w:rsidRPr="007522AC">
        <w:rPr>
          <w:rStyle w:val="eop"/>
          <w:rFonts w:eastAsiaTheme="majorEastAsia"/>
          <w:b/>
          <w:bCs/>
          <w:lang w:val="en-GB"/>
        </w:rPr>
        <w:t>Results</w:t>
      </w:r>
    </w:p>
    <w:p w14:paraId="633B356A" w14:textId="77777777" w:rsidR="006A7481" w:rsidRPr="007522AC" w:rsidRDefault="006A7481" w:rsidP="007522AC">
      <w:pPr>
        <w:pStyle w:val="paragraph"/>
        <w:spacing w:before="0" w:beforeAutospacing="0" w:after="0" w:afterAutospacing="0" w:line="480" w:lineRule="auto"/>
        <w:textAlignment w:val="baseline"/>
        <w:rPr>
          <w:rStyle w:val="eop"/>
          <w:rFonts w:eastAsiaTheme="majorEastAsia"/>
          <w:b/>
          <w:bCs/>
          <w:i/>
          <w:iCs/>
          <w:lang w:val="en-GB"/>
        </w:rPr>
      </w:pPr>
      <w:bookmarkStart w:id="1" w:name="OLE_LINK3"/>
      <w:r w:rsidRPr="007522AC">
        <w:rPr>
          <w:rStyle w:val="eop"/>
          <w:rFonts w:eastAsiaTheme="majorEastAsia"/>
          <w:b/>
          <w:bCs/>
          <w:i/>
          <w:iCs/>
          <w:lang w:val="en-GB"/>
        </w:rPr>
        <w:t>Descriptives</w:t>
      </w:r>
    </w:p>
    <w:p w14:paraId="07E48551" w14:textId="1D4F88FC" w:rsidR="00202E2C" w:rsidRPr="007522AC" w:rsidRDefault="006A7481" w:rsidP="007522AC">
      <w:pPr>
        <w:pStyle w:val="paragraph"/>
        <w:spacing w:before="0" w:beforeAutospacing="0" w:after="0" w:afterAutospacing="0" w:line="480" w:lineRule="auto"/>
        <w:ind w:firstLine="720"/>
        <w:textAlignment w:val="baseline"/>
        <w:rPr>
          <w:rStyle w:val="eop"/>
          <w:rFonts w:eastAsiaTheme="majorEastAsia"/>
          <w:lang w:val="en-GB"/>
        </w:rPr>
      </w:pPr>
      <w:r w:rsidRPr="007522AC">
        <w:rPr>
          <w:rStyle w:val="eop"/>
          <w:rFonts w:eastAsiaTheme="majorEastAsia"/>
          <w:lang w:val="en-GB"/>
        </w:rPr>
        <w:t>A mixed ANOVA with repeated measures was conducted to examine the effects of language group (bilingual vs. monolingual) on task switching ability and visuospatial working memory. The mean and standard deviations of each measurement point are shown in table 1 and 2. Moment of observation (wave) was treated as a within-subjects factor with two levels for task switching abilities, and three levels for visuospatial working memory. Language group was treated as a between-subjects factor with two levels (monolingual and bilingual).</w:t>
      </w:r>
    </w:p>
    <w:p w14:paraId="748752C7" w14:textId="2422DA2F" w:rsidR="00BE6E1D" w:rsidRPr="007522AC" w:rsidRDefault="00010798" w:rsidP="007522AC">
      <w:pPr>
        <w:spacing w:line="480" w:lineRule="auto"/>
        <w:rPr>
          <w:rStyle w:val="eop"/>
          <w:rFonts w:eastAsiaTheme="majorEastAsia"/>
          <w:b/>
          <w:bCs/>
          <w:i/>
          <w:iCs/>
          <w:lang w:val="en-GB"/>
        </w:rPr>
      </w:pPr>
      <w:r w:rsidRPr="007522AC">
        <w:rPr>
          <w:rStyle w:val="eop"/>
          <w:rFonts w:eastAsiaTheme="majorEastAsia"/>
          <w:b/>
          <w:bCs/>
          <w:i/>
          <w:iCs/>
          <w:lang w:val="en-GB"/>
        </w:rPr>
        <w:t>Visuospatial working memory</w:t>
      </w:r>
    </w:p>
    <w:p w14:paraId="09AF9672" w14:textId="49AA257E" w:rsidR="00BE6E1D" w:rsidRPr="007522AC" w:rsidRDefault="00C564B1" w:rsidP="007522AC">
      <w:pPr>
        <w:pStyle w:val="paragraph"/>
        <w:spacing w:before="0" w:beforeAutospacing="0" w:after="0" w:afterAutospacing="0" w:line="480" w:lineRule="auto"/>
        <w:ind w:firstLine="720"/>
        <w:textAlignment w:val="baseline"/>
        <w:rPr>
          <w:rStyle w:val="eop"/>
          <w:rFonts w:eastAsiaTheme="majorEastAsia"/>
          <w:color w:val="000000" w:themeColor="text1"/>
          <w:lang w:val="en-GB"/>
        </w:rPr>
      </w:pPr>
      <w:r w:rsidRPr="00C564B1">
        <w:rPr>
          <w:lang w:val="en-GB"/>
        </w:rPr>
        <w:t>The average scores on visuospatial working memory improved over time in both groups (see Table 1)</w:t>
      </w:r>
      <w:r w:rsidR="00AE2C44" w:rsidRPr="007522AC">
        <w:rPr>
          <w:lang w:val="en-GB"/>
        </w:rPr>
        <w:t>. For the monolingual children, the average score was 12.5</w:t>
      </w:r>
      <w:r w:rsidR="005A35C8">
        <w:rPr>
          <w:lang w:val="en-GB"/>
        </w:rPr>
        <w:t>0</w:t>
      </w:r>
      <w:r w:rsidR="00AE2C44" w:rsidRPr="007522AC">
        <w:rPr>
          <w:lang w:val="en-GB"/>
        </w:rPr>
        <w:t xml:space="preserve"> (</w:t>
      </w:r>
      <w:r w:rsidR="00AE2C44" w:rsidRPr="007522AC">
        <w:rPr>
          <w:rStyle w:val="Emphasis"/>
          <w:rFonts w:eastAsiaTheme="majorEastAsia"/>
          <w:lang w:val="en-GB"/>
        </w:rPr>
        <w:t>SD</w:t>
      </w:r>
      <w:r w:rsidR="00AE2C44" w:rsidRPr="007522AC">
        <w:rPr>
          <w:lang w:val="en-GB"/>
        </w:rPr>
        <w:t xml:space="preserve"> = 4.77) at Wave 1, 18.18 (</w:t>
      </w:r>
      <w:r w:rsidR="00AE2C44" w:rsidRPr="007522AC">
        <w:rPr>
          <w:rStyle w:val="Emphasis"/>
          <w:rFonts w:eastAsiaTheme="majorEastAsia"/>
          <w:lang w:val="en-GB"/>
        </w:rPr>
        <w:t>SD</w:t>
      </w:r>
      <w:r w:rsidR="00AE2C44" w:rsidRPr="007522AC">
        <w:rPr>
          <w:lang w:val="en-GB"/>
        </w:rPr>
        <w:t xml:space="preserve"> = 5.00) at Wave 2, and 20.55 (</w:t>
      </w:r>
      <w:r w:rsidR="00AE2C44" w:rsidRPr="007522AC">
        <w:rPr>
          <w:rStyle w:val="Emphasis"/>
          <w:rFonts w:eastAsiaTheme="majorEastAsia"/>
          <w:lang w:val="en-GB"/>
        </w:rPr>
        <w:t>SD</w:t>
      </w:r>
      <w:r w:rsidR="00AE2C44" w:rsidRPr="007522AC">
        <w:rPr>
          <w:lang w:val="en-GB"/>
        </w:rPr>
        <w:t xml:space="preserve"> = 4.50) at Wave 3. For the bilingual children, the average scores were 12.1</w:t>
      </w:r>
      <w:r w:rsidR="00AF6F81">
        <w:rPr>
          <w:lang w:val="en-GB"/>
        </w:rPr>
        <w:t>0</w:t>
      </w:r>
      <w:r w:rsidR="00AE2C44" w:rsidRPr="007522AC">
        <w:rPr>
          <w:lang w:val="en-GB"/>
        </w:rPr>
        <w:t xml:space="preserve"> (</w:t>
      </w:r>
      <w:r w:rsidR="00AE2C44" w:rsidRPr="007522AC">
        <w:rPr>
          <w:rStyle w:val="Emphasis"/>
          <w:rFonts w:eastAsiaTheme="majorEastAsia"/>
          <w:lang w:val="en-GB"/>
        </w:rPr>
        <w:t>SD</w:t>
      </w:r>
      <w:r w:rsidR="00AE2C44" w:rsidRPr="007522AC">
        <w:rPr>
          <w:lang w:val="en-GB"/>
        </w:rPr>
        <w:t xml:space="preserve"> = 3.74) at Wave 1, 16.52 (</w:t>
      </w:r>
      <w:r w:rsidR="00AE2C44" w:rsidRPr="007522AC">
        <w:rPr>
          <w:rStyle w:val="Emphasis"/>
          <w:rFonts w:eastAsiaTheme="majorEastAsia"/>
          <w:lang w:val="en-GB"/>
        </w:rPr>
        <w:t>SD</w:t>
      </w:r>
      <w:r w:rsidR="00AE2C44" w:rsidRPr="007522AC">
        <w:rPr>
          <w:lang w:val="en-GB"/>
        </w:rPr>
        <w:t xml:space="preserve"> = 5.63) at Wave 2, and 18.9</w:t>
      </w:r>
      <w:r w:rsidR="005A35C8">
        <w:rPr>
          <w:lang w:val="en-GB"/>
        </w:rPr>
        <w:t>0</w:t>
      </w:r>
      <w:r w:rsidR="00AE2C44" w:rsidRPr="007522AC">
        <w:rPr>
          <w:lang w:val="en-GB"/>
        </w:rPr>
        <w:t xml:space="preserve"> (</w:t>
      </w:r>
      <w:r w:rsidR="00AE2C44" w:rsidRPr="007522AC">
        <w:rPr>
          <w:rStyle w:val="Emphasis"/>
          <w:rFonts w:eastAsiaTheme="majorEastAsia"/>
          <w:lang w:val="en-GB"/>
        </w:rPr>
        <w:t>SD</w:t>
      </w:r>
      <w:r w:rsidR="00AE2C44" w:rsidRPr="007522AC">
        <w:rPr>
          <w:lang w:val="en-GB"/>
        </w:rPr>
        <w:t xml:space="preserve"> = 5.60) at Wave 3. These average scores provide an initial indication that visuospatial working memory improved over time in both groups.</w:t>
      </w:r>
    </w:p>
    <w:p w14:paraId="03624132" w14:textId="0D1AAFFA" w:rsidR="00BD78D6" w:rsidRPr="007522AC" w:rsidRDefault="00BD78D6" w:rsidP="007522AC">
      <w:pPr>
        <w:spacing w:line="480" w:lineRule="auto"/>
        <w:rPr>
          <w:rStyle w:val="eop"/>
          <w:rFonts w:eastAsiaTheme="majorEastAsia"/>
          <w:i/>
          <w:iCs/>
          <w:lang w:val="en-GB"/>
        </w:rPr>
      </w:pPr>
      <w:r w:rsidRPr="007522AC">
        <w:rPr>
          <w:rStyle w:val="eop"/>
          <w:rFonts w:eastAsiaTheme="majorEastAsia"/>
          <w:i/>
          <w:iCs/>
          <w:lang w:val="en-GB"/>
        </w:rPr>
        <w:t>Table 1. Mean visuospatial working memory scores by language group and wave, showing developmental improvements across time.</w:t>
      </w:r>
    </w:p>
    <w:tbl>
      <w:tblPr>
        <w:tblStyle w:val="TableGrid"/>
        <w:tblW w:w="9209" w:type="dxa"/>
        <w:tblLook w:val="04A0" w:firstRow="1" w:lastRow="0" w:firstColumn="1" w:lastColumn="0" w:noHBand="0" w:noVBand="1"/>
      </w:tblPr>
      <w:tblGrid>
        <w:gridCol w:w="1523"/>
        <w:gridCol w:w="526"/>
        <w:gridCol w:w="1401"/>
        <w:gridCol w:w="830"/>
        <w:gridCol w:w="1532"/>
        <w:gridCol w:w="992"/>
        <w:gridCol w:w="1418"/>
        <w:gridCol w:w="987"/>
      </w:tblGrid>
      <w:tr w:rsidR="00BE6E1D" w:rsidRPr="007522AC" w14:paraId="1C1B57F0" w14:textId="77777777" w:rsidTr="00AE2C44">
        <w:trPr>
          <w:trHeight w:val="280"/>
        </w:trPr>
        <w:tc>
          <w:tcPr>
            <w:tcW w:w="1523" w:type="dxa"/>
            <w:tcBorders>
              <w:left w:val="nil"/>
              <w:bottom w:val="single" w:sz="4" w:space="0" w:color="auto"/>
              <w:right w:val="nil"/>
            </w:tcBorders>
          </w:tcPr>
          <w:p w14:paraId="0537A26E" w14:textId="77777777" w:rsidR="00BE6E1D" w:rsidRPr="007522AC" w:rsidRDefault="00BE6E1D" w:rsidP="007522AC">
            <w:pPr>
              <w:spacing w:line="480" w:lineRule="auto"/>
              <w:rPr>
                <w:rStyle w:val="eop"/>
                <w:rFonts w:eastAsiaTheme="majorEastAsia"/>
                <w:lang w:val="en-GB"/>
              </w:rPr>
            </w:pPr>
          </w:p>
        </w:tc>
        <w:tc>
          <w:tcPr>
            <w:tcW w:w="526" w:type="dxa"/>
            <w:tcBorders>
              <w:left w:val="nil"/>
              <w:right w:val="nil"/>
            </w:tcBorders>
          </w:tcPr>
          <w:p w14:paraId="425F041E" w14:textId="77777777" w:rsidR="00BE6E1D" w:rsidRPr="007522AC" w:rsidRDefault="00BE6E1D" w:rsidP="007522AC">
            <w:pPr>
              <w:spacing w:line="480" w:lineRule="auto"/>
              <w:rPr>
                <w:rStyle w:val="eop"/>
                <w:rFonts w:eastAsiaTheme="majorEastAsia"/>
                <w:lang w:val="en-GB"/>
              </w:rPr>
            </w:pPr>
          </w:p>
        </w:tc>
        <w:tc>
          <w:tcPr>
            <w:tcW w:w="2231" w:type="dxa"/>
            <w:gridSpan w:val="2"/>
            <w:tcBorders>
              <w:left w:val="nil"/>
              <w:right w:val="nil"/>
            </w:tcBorders>
          </w:tcPr>
          <w:p w14:paraId="522DC88A" w14:textId="77777777" w:rsidR="00BE6E1D" w:rsidRPr="007522AC" w:rsidRDefault="00BE6E1D" w:rsidP="007522AC">
            <w:pPr>
              <w:spacing w:line="480" w:lineRule="auto"/>
              <w:rPr>
                <w:rStyle w:val="eop"/>
                <w:rFonts w:eastAsiaTheme="majorEastAsia"/>
                <w:b/>
                <w:bCs/>
                <w:lang w:val="en-GB"/>
              </w:rPr>
            </w:pPr>
            <w:r w:rsidRPr="007522AC">
              <w:rPr>
                <w:rStyle w:val="eop"/>
                <w:rFonts w:eastAsiaTheme="majorEastAsia"/>
                <w:b/>
                <w:bCs/>
                <w:lang w:val="en-GB"/>
              </w:rPr>
              <w:t>Visuospatial working memory Wave 1</w:t>
            </w:r>
          </w:p>
        </w:tc>
        <w:tc>
          <w:tcPr>
            <w:tcW w:w="2524" w:type="dxa"/>
            <w:gridSpan w:val="2"/>
            <w:tcBorders>
              <w:left w:val="nil"/>
              <w:right w:val="nil"/>
            </w:tcBorders>
          </w:tcPr>
          <w:p w14:paraId="41734793" w14:textId="77777777" w:rsidR="00BE6E1D" w:rsidRPr="007522AC" w:rsidRDefault="00BE6E1D" w:rsidP="007522AC">
            <w:pPr>
              <w:spacing w:line="480" w:lineRule="auto"/>
              <w:rPr>
                <w:rStyle w:val="eop"/>
                <w:rFonts w:eastAsiaTheme="majorEastAsia"/>
                <w:b/>
                <w:bCs/>
                <w:lang w:val="en-GB"/>
              </w:rPr>
            </w:pPr>
            <w:r w:rsidRPr="007522AC">
              <w:rPr>
                <w:rStyle w:val="eop"/>
                <w:rFonts w:eastAsiaTheme="majorEastAsia"/>
                <w:b/>
                <w:bCs/>
                <w:lang w:val="en-GB"/>
              </w:rPr>
              <w:t>Visuospatial working memory Wave 2</w:t>
            </w:r>
          </w:p>
        </w:tc>
        <w:tc>
          <w:tcPr>
            <w:tcW w:w="2405" w:type="dxa"/>
            <w:gridSpan w:val="2"/>
            <w:tcBorders>
              <w:left w:val="nil"/>
              <w:right w:val="nil"/>
            </w:tcBorders>
          </w:tcPr>
          <w:p w14:paraId="7E8DAC63" w14:textId="77777777" w:rsidR="00BE6E1D" w:rsidRPr="007522AC" w:rsidRDefault="00BE6E1D" w:rsidP="007522AC">
            <w:pPr>
              <w:spacing w:line="480" w:lineRule="auto"/>
              <w:rPr>
                <w:rStyle w:val="eop"/>
                <w:rFonts w:eastAsiaTheme="majorEastAsia"/>
                <w:b/>
                <w:bCs/>
                <w:lang w:val="en-GB"/>
              </w:rPr>
            </w:pPr>
            <w:r w:rsidRPr="007522AC">
              <w:rPr>
                <w:rStyle w:val="eop"/>
                <w:rFonts w:eastAsiaTheme="majorEastAsia"/>
                <w:b/>
                <w:bCs/>
                <w:lang w:val="en-GB"/>
              </w:rPr>
              <w:t>Visuospatial working memory Wave 3</w:t>
            </w:r>
          </w:p>
        </w:tc>
      </w:tr>
      <w:tr w:rsidR="00BE6E1D" w:rsidRPr="007522AC" w14:paraId="16073660" w14:textId="77777777" w:rsidTr="00AE2C44">
        <w:trPr>
          <w:trHeight w:val="578"/>
        </w:trPr>
        <w:tc>
          <w:tcPr>
            <w:tcW w:w="1523" w:type="dxa"/>
            <w:tcBorders>
              <w:left w:val="nil"/>
              <w:bottom w:val="single" w:sz="4" w:space="0" w:color="auto"/>
              <w:right w:val="nil"/>
            </w:tcBorders>
          </w:tcPr>
          <w:p w14:paraId="60096355" w14:textId="77777777" w:rsidR="00BE6E1D" w:rsidRPr="007522AC" w:rsidRDefault="00BE6E1D" w:rsidP="007522AC">
            <w:pPr>
              <w:spacing w:line="480" w:lineRule="auto"/>
              <w:rPr>
                <w:rStyle w:val="eop"/>
                <w:rFonts w:eastAsiaTheme="majorEastAsia"/>
                <w:lang w:val="en-GB"/>
              </w:rPr>
            </w:pPr>
          </w:p>
        </w:tc>
        <w:tc>
          <w:tcPr>
            <w:tcW w:w="526" w:type="dxa"/>
            <w:tcBorders>
              <w:left w:val="nil"/>
              <w:right w:val="nil"/>
            </w:tcBorders>
          </w:tcPr>
          <w:p w14:paraId="6334A937" w14:textId="1CFECA94" w:rsidR="00BE6E1D" w:rsidRPr="007522AC" w:rsidRDefault="00AE2C44" w:rsidP="007522AC">
            <w:pPr>
              <w:spacing w:line="480" w:lineRule="auto"/>
              <w:rPr>
                <w:rStyle w:val="eop"/>
                <w:rFonts w:eastAsiaTheme="majorEastAsia"/>
                <w:i/>
                <w:iCs/>
                <w:lang w:val="en-GB"/>
              </w:rPr>
            </w:pPr>
            <w:r w:rsidRPr="007522AC">
              <w:rPr>
                <w:rStyle w:val="eop"/>
                <w:rFonts w:eastAsiaTheme="majorEastAsia"/>
                <w:i/>
                <w:iCs/>
                <w:lang w:val="en-GB"/>
              </w:rPr>
              <w:t>n</w:t>
            </w:r>
          </w:p>
        </w:tc>
        <w:tc>
          <w:tcPr>
            <w:tcW w:w="1401" w:type="dxa"/>
            <w:tcBorders>
              <w:left w:val="nil"/>
              <w:right w:val="nil"/>
            </w:tcBorders>
          </w:tcPr>
          <w:p w14:paraId="764C8E0D"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Mean (</w:t>
            </w:r>
            <w:r w:rsidRPr="007522AC">
              <w:rPr>
                <w:rStyle w:val="eop"/>
                <w:rFonts w:eastAsiaTheme="majorEastAsia"/>
                <w:i/>
                <w:iCs/>
                <w:lang w:val="en-GB"/>
              </w:rPr>
              <w:t>SD</w:t>
            </w:r>
            <w:r w:rsidRPr="007522AC">
              <w:rPr>
                <w:rStyle w:val="eop"/>
                <w:rFonts w:eastAsiaTheme="majorEastAsia"/>
                <w:lang w:val="en-GB"/>
              </w:rPr>
              <w:t>)</w:t>
            </w:r>
          </w:p>
        </w:tc>
        <w:tc>
          <w:tcPr>
            <w:tcW w:w="830" w:type="dxa"/>
            <w:tcBorders>
              <w:left w:val="nil"/>
              <w:right w:val="nil"/>
            </w:tcBorders>
          </w:tcPr>
          <w:p w14:paraId="71F27837"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Range</w:t>
            </w:r>
          </w:p>
        </w:tc>
        <w:tc>
          <w:tcPr>
            <w:tcW w:w="1532" w:type="dxa"/>
            <w:tcBorders>
              <w:left w:val="nil"/>
              <w:right w:val="nil"/>
            </w:tcBorders>
          </w:tcPr>
          <w:p w14:paraId="7DFABA9B"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Mean (</w:t>
            </w:r>
            <w:r w:rsidRPr="007522AC">
              <w:rPr>
                <w:rStyle w:val="eop"/>
                <w:rFonts w:eastAsiaTheme="majorEastAsia"/>
                <w:i/>
                <w:iCs/>
                <w:lang w:val="en-GB"/>
              </w:rPr>
              <w:t>SD</w:t>
            </w:r>
            <w:r w:rsidRPr="007522AC">
              <w:rPr>
                <w:rStyle w:val="eop"/>
                <w:rFonts w:eastAsiaTheme="majorEastAsia"/>
                <w:lang w:val="en-GB"/>
              </w:rPr>
              <w:t>)</w:t>
            </w:r>
          </w:p>
        </w:tc>
        <w:tc>
          <w:tcPr>
            <w:tcW w:w="992" w:type="dxa"/>
            <w:tcBorders>
              <w:left w:val="nil"/>
              <w:right w:val="nil"/>
            </w:tcBorders>
          </w:tcPr>
          <w:p w14:paraId="16D5CA6A"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Range</w:t>
            </w:r>
          </w:p>
        </w:tc>
        <w:tc>
          <w:tcPr>
            <w:tcW w:w="1418" w:type="dxa"/>
            <w:tcBorders>
              <w:left w:val="nil"/>
              <w:right w:val="nil"/>
            </w:tcBorders>
          </w:tcPr>
          <w:p w14:paraId="22C312F6"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Mean (</w:t>
            </w:r>
            <w:r w:rsidRPr="007522AC">
              <w:rPr>
                <w:rStyle w:val="eop"/>
                <w:rFonts w:eastAsiaTheme="majorEastAsia"/>
                <w:i/>
                <w:iCs/>
                <w:lang w:val="en-GB"/>
              </w:rPr>
              <w:t>SD</w:t>
            </w:r>
            <w:r w:rsidRPr="007522AC">
              <w:rPr>
                <w:rStyle w:val="eop"/>
                <w:rFonts w:eastAsiaTheme="majorEastAsia"/>
                <w:lang w:val="en-GB"/>
              </w:rPr>
              <w:t xml:space="preserve">) </w:t>
            </w:r>
          </w:p>
        </w:tc>
        <w:tc>
          <w:tcPr>
            <w:tcW w:w="987" w:type="dxa"/>
            <w:tcBorders>
              <w:left w:val="nil"/>
              <w:right w:val="nil"/>
            </w:tcBorders>
          </w:tcPr>
          <w:p w14:paraId="30BB21AA"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Range</w:t>
            </w:r>
          </w:p>
        </w:tc>
      </w:tr>
      <w:tr w:rsidR="00BE6E1D" w:rsidRPr="007522AC" w14:paraId="3B5CF8FD" w14:textId="77777777" w:rsidTr="00AE2C44">
        <w:trPr>
          <w:trHeight w:val="280"/>
        </w:trPr>
        <w:tc>
          <w:tcPr>
            <w:tcW w:w="1523" w:type="dxa"/>
            <w:tcBorders>
              <w:left w:val="nil"/>
              <w:bottom w:val="single" w:sz="4" w:space="0" w:color="auto"/>
              <w:right w:val="nil"/>
            </w:tcBorders>
          </w:tcPr>
          <w:p w14:paraId="2DBDBC85" w14:textId="77777777" w:rsidR="00BE6E1D" w:rsidRPr="007522AC" w:rsidRDefault="00BE6E1D" w:rsidP="007522AC">
            <w:pPr>
              <w:spacing w:line="480" w:lineRule="auto"/>
              <w:rPr>
                <w:rStyle w:val="eop"/>
                <w:rFonts w:eastAsiaTheme="majorEastAsia"/>
                <w:b/>
                <w:bCs/>
                <w:lang w:val="en-GB"/>
              </w:rPr>
            </w:pPr>
            <w:r w:rsidRPr="007522AC">
              <w:rPr>
                <w:rStyle w:val="eop"/>
                <w:rFonts w:eastAsiaTheme="majorEastAsia"/>
                <w:b/>
                <w:bCs/>
                <w:lang w:val="en-GB"/>
              </w:rPr>
              <w:t>Monolingual</w:t>
            </w:r>
          </w:p>
        </w:tc>
        <w:tc>
          <w:tcPr>
            <w:tcW w:w="526" w:type="dxa"/>
            <w:tcBorders>
              <w:left w:val="nil"/>
              <w:right w:val="nil"/>
            </w:tcBorders>
          </w:tcPr>
          <w:p w14:paraId="62F60445"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40</w:t>
            </w:r>
          </w:p>
        </w:tc>
        <w:tc>
          <w:tcPr>
            <w:tcW w:w="1401" w:type="dxa"/>
            <w:tcBorders>
              <w:left w:val="nil"/>
              <w:right w:val="nil"/>
            </w:tcBorders>
          </w:tcPr>
          <w:p w14:paraId="130EAFA0"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12.5 (4.77)</w:t>
            </w:r>
          </w:p>
        </w:tc>
        <w:tc>
          <w:tcPr>
            <w:tcW w:w="830" w:type="dxa"/>
            <w:tcBorders>
              <w:left w:val="nil"/>
              <w:right w:val="nil"/>
            </w:tcBorders>
          </w:tcPr>
          <w:p w14:paraId="35743776"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6 – 23</w:t>
            </w:r>
          </w:p>
        </w:tc>
        <w:tc>
          <w:tcPr>
            <w:tcW w:w="1532" w:type="dxa"/>
            <w:tcBorders>
              <w:left w:val="nil"/>
              <w:right w:val="nil"/>
            </w:tcBorders>
          </w:tcPr>
          <w:p w14:paraId="46807565" w14:textId="6263AD8C"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18.18 (5.0</w:t>
            </w:r>
            <w:r w:rsidR="00037FE9" w:rsidRPr="007522AC">
              <w:rPr>
                <w:rStyle w:val="eop"/>
                <w:rFonts w:eastAsiaTheme="majorEastAsia"/>
                <w:lang w:val="en-GB"/>
              </w:rPr>
              <w:t>0</w:t>
            </w:r>
            <w:r w:rsidRPr="007522AC">
              <w:rPr>
                <w:rStyle w:val="eop"/>
                <w:rFonts w:eastAsiaTheme="majorEastAsia"/>
                <w:lang w:val="en-GB"/>
              </w:rPr>
              <w:t>)</w:t>
            </w:r>
          </w:p>
        </w:tc>
        <w:tc>
          <w:tcPr>
            <w:tcW w:w="992" w:type="dxa"/>
            <w:tcBorders>
              <w:left w:val="nil"/>
              <w:right w:val="nil"/>
            </w:tcBorders>
          </w:tcPr>
          <w:p w14:paraId="49248120"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 xml:space="preserve">10 – 33 </w:t>
            </w:r>
          </w:p>
        </w:tc>
        <w:tc>
          <w:tcPr>
            <w:tcW w:w="1418" w:type="dxa"/>
            <w:tcBorders>
              <w:left w:val="nil"/>
              <w:right w:val="nil"/>
            </w:tcBorders>
          </w:tcPr>
          <w:p w14:paraId="187A95E0" w14:textId="2505B7E4"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20.55 (4.5</w:t>
            </w:r>
            <w:r w:rsidR="00037FE9" w:rsidRPr="007522AC">
              <w:rPr>
                <w:rStyle w:val="eop"/>
                <w:rFonts w:eastAsiaTheme="majorEastAsia"/>
                <w:lang w:val="en-GB"/>
              </w:rPr>
              <w:t>0</w:t>
            </w:r>
            <w:r w:rsidRPr="007522AC">
              <w:rPr>
                <w:rStyle w:val="eop"/>
                <w:rFonts w:eastAsiaTheme="majorEastAsia"/>
                <w:lang w:val="en-GB"/>
              </w:rPr>
              <w:t>)</w:t>
            </w:r>
          </w:p>
        </w:tc>
        <w:tc>
          <w:tcPr>
            <w:tcW w:w="987" w:type="dxa"/>
            <w:tcBorders>
              <w:left w:val="nil"/>
              <w:right w:val="nil"/>
            </w:tcBorders>
          </w:tcPr>
          <w:p w14:paraId="31D45F68"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12 – 32</w:t>
            </w:r>
          </w:p>
        </w:tc>
      </w:tr>
      <w:tr w:rsidR="00BE6E1D" w:rsidRPr="007522AC" w14:paraId="03C89909" w14:textId="77777777" w:rsidTr="00AE2C44">
        <w:trPr>
          <w:trHeight w:val="261"/>
        </w:trPr>
        <w:tc>
          <w:tcPr>
            <w:tcW w:w="1523" w:type="dxa"/>
            <w:tcBorders>
              <w:left w:val="nil"/>
              <w:right w:val="nil"/>
            </w:tcBorders>
          </w:tcPr>
          <w:p w14:paraId="78C8E470" w14:textId="77777777" w:rsidR="00BE6E1D" w:rsidRPr="007522AC" w:rsidRDefault="00BE6E1D" w:rsidP="007522AC">
            <w:pPr>
              <w:spacing w:line="480" w:lineRule="auto"/>
              <w:rPr>
                <w:rStyle w:val="eop"/>
                <w:rFonts w:eastAsiaTheme="majorEastAsia"/>
                <w:b/>
                <w:bCs/>
                <w:lang w:val="en-GB"/>
              </w:rPr>
            </w:pPr>
            <w:r w:rsidRPr="007522AC">
              <w:rPr>
                <w:rStyle w:val="eop"/>
                <w:rFonts w:eastAsiaTheme="majorEastAsia"/>
                <w:b/>
                <w:bCs/>
                <w:lang w:val="en-GB"/>
              </w:rPr>
              <w:t>Bilingual</w:t>
            </w:r>
          </w:p>
        </w:tc>
        <w:tc>
          <w:tcPr>
            <w:tcW w:w="526" w:type="dxa"/>
            <w:tcBorders>
              <w:left w:val="nil"/>
              <w:right w:val="nil"/>
            </w:tcBorders>
          </w:tcPr>
          <w:p w14:paraId="4DF0976B"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21</w:t>
            </w:r>
          </w:p>
        </w:tc>
        <w:tc>
          <w:tcPr>
            <w:tcW w:w="1401" w:type="dxa"/>
            <w:tcBorders>
              <w:left w:val="nil"/>
              <w:right w:val="nil"/>
            </w:tcBorders>
          </w:tcPr>
          <w:p w14:paraId="21EDD218"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12.1 (3.74)</w:t>
            </w:r>
          </w:p>
        </w:tc>
        <w:tc>
          <w:tcPr>
            <w:tcW w:w="830" w:type="dxa"/>
            <w:tcBorders>
              <w:left w:val="nil"/>
              <w:right w:val="nil"/>
            </w:tcBorders>
          </w:tcPr>
          <w:p w14:paraId="3BA19D9D"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6 – 21</w:t>
            </w:r>
          </w:p>
        </w:tc>
        <w:tc>
          <w:tcPr>
            <w:tcW w:w="1532" w:type="dxa"/>
            <w:tcBorders>
              <w:left w:val="nil"/>
              <w:right w:val="nil"/>
            </w:tcBorders>
          </w:tcPr>
          <w:p w14:paraId="42286108"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16.52 (5.63)</w:t>
            </w:r>
          </w:p>
        </w:tc>
        <w:tc>
          <w:tcPr>
            <w:tcW w:w="992" w:type="dxa"/>
            <w:tcBorders>
              <w:left w:val="nil"/>
              <w:right w:val="nil"/>
            </w:tcBorders>
          </w:tcPr>
          <w:p w14:paraId="221F574F"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 xml:space="preserve">7 – 25 </w:t>
            </w:r>
          </w:p>
        </w:tc>
        <w:tc>
          <w:tcPr>
            <w:tcW w:w="1418" w:type="dxa"/>
            <w:tcBorders>
              <w:left w:val="nil"/>
              <w:right w:val="nil"/>
            </w:tcBorders>
          </w:tcPr>
          <w:p w14:paraId="27653EA7" w14:textId="676C6C1C"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18.9 (5.6</w:t>
            </w:r>
            <w:r w:rsidR="00037FE9" w:rsidRPr="007522AC">
              <w:rPr>
                <w:rStyle w:val="eop"/>
                <w:rFonts w:eastAsiaTheme="majorEastAsia"/>
                <w:lang w:val="en-GB"/>
              </w:rPr>
              <w:t>0</w:t>
            </w:r>
            <w:r w:rsidRPr="007522AC">
              <w:rPr>
                <w:rStyle w:val="eop"/>
                <w:rFonts w:eastAsiaTheme="majorEastAsia"/>
                <w:lang w:val="en-GB"/>
              </w:rPr>
              <w:t>)</w:t>
            </w:r>
          </w:p>
        </w:tc>
        <w:tc>
          <w:tcPr>
            <w:tcW w:w="987" w:type="dxa"/>
            <w:tcBorders>
              <w:left w:val="nil"/>
              <w:right w:val="nil"/>
            </w:tcBorders>
          </w:tcPr>
          <w:p w14:paraId="7221550C" w14:textId="77777777" w:rsidR="00BE6E1D" w:rsidRPr="007522AC" w:rsidRDefault="00BE6E1D" w:rsidP="007522AC">
            <w:pPr>
              <w:spacing w:line="480" w:lineRule="auto"/>
              <w:rPr>
                <w:rStyle w:val="eop"/>
                <w:rFonts w:eastAsiaTheme="majorEastAsia"/>
                <w:lang w:val="en-GB"/>
              </w:rPr>
            </w:pPr>
            <w:r w:rsidRPr="007522AC">
              <w:rPr>
                <w:rStyle w:val="eop"/>
                <w:rFonts w:eastAsiaTheme="majorEastAsia"/>
                <w:lang w:val="en-GB"/>
              </w:rPr>
              <w:t xml:space="preserve">6 – 29 </w:t>
            </w:r>
          </w:p>
        </w:tc>
      </w:tr>
    </w:tbl>
    <w:p w14:paraId="7891F8F4" w14:textId="77777777" w:rsidR="00AE4A28" w:rsidRDefault="00AE4A28" w:rsidP="007522AC">
      <w:pPr>
        <w:spacing w:line="480" w:lineRule="auto"/>
        <w:ind w:firstLine="720"/>
        <w:rPr>
          <w:rStyle w:val="eop"/>
          <w:rFonts w:eastAsiaTheme="majorEastAsia"/>
          <w:color w:val="000000" w:themeColor="text1"/>
          <w:lang w:val="en-GB"/>
        </w:rPr>
      </w:pPr>
    </w:p>
    <w:p w14:paraId="18B20888" w14:textId="1E748EAB" w:rsidR="00010798" w:rsidRPr="007522AC" w:rsidRDefault="00010798" w:rsidP="007522AC">
      <w:pPr>
        <w:spacing w:line="480" w:lineRule="auto"/>
        <w:ind w:firstLine="720"/>
        <w:rPr>
          <w:rStyle w:val="eop"/>
          <w:rFonts w:eastAsiaTheme="majorEastAsia"/>
          <w:color w:val="000000" w:themeColor="text1"/>
          <w:lang w:val="en-GB"/>
        </w:rPr>
      </w:pPr>
      <w:r w:rsidRPr="007522AC">
        <w:rPr>
          <w:rStyle w:val="eop"/>
          <w:rFonts w:eastAsiaTheme="majorEastAsia"/>
          <w:color w:val="000000" w:themeColor="text1"/>
          <w:lang w:val="en-GB"/>
        </w:rPr>
        <w:t xml:space="preserve">The assumption of normality was tested using the Shapiro-Wilk test. The assumption of normality has been met for wave </w:t>
      </w:r>
      <w:r w:rsidR="0090095B">
        <w:rPr>
          <w:rStyle w:val="eop"/>
          <w:rFonts w:eastAsiaTheme="majorEastAsia"/>
          <w:color w:val="000000" w:themeColor="text1"/>
          <w:lang w:val="en-GB"/>
        </w:rPr>
        <w:t>1</w:t>
      </w:r>
      <w:r w:rsidRPr="007522AC">
        <w:rPr>
          <w:rStyle w:val="eop"/>
          <w:rFonts w:eastAsiaTheme="majorEastAsia"/>
          <w:color w:val="000000" w:themeColor="text1"/>
          <w:lang w:val="en-GB"/>
        </w:rPr>
        <w:t xml:space="preserve"> (</w:t>
      </w:r>
      <w:r w:rsidRPr="007522AC">
        <w:rPr>
          <w:rStyle w:val="eop"/>
          <w:rFonts w:eastAsiaTheme="majorEastAsia"/>
          <w:i/>
          <w:iCs/>
          <w:color w:val="000000" w:themeColor="text1"/>
          <w:lang w:val="en-GB"/>
        </w:rPr>
        <w:t xml:space="preserve">W </w:t>
      </w:r>
      <w:r w:rsidRPr="007522AC">
        <w:rPr>
          <w:rStyle w:val="eop"/>
          <w:rFonts w:eastAsiaTheme="majorEastAsia"/>
          <w:color w:val="000000" w:themeColor="text1"/>
          <w:lang w:val="en-GB"/>
        </w:rPr>
        <w:t xml:space="preserve">= .954, </w:t>
      </w:r>
      <w:r w:rsidRPr="007522AC">
        <w:rPr>
          <w:rStyle w:val="eop"/>
          <w:rFonts w:eastAsiaTheme="majorEastAsia"/>
          <w:i/>
          <w:iCs/>
          <w:color w:val="000000" w:themeColor="text1"/>
          <w:lang w:val="en-GB"/>
        </w:rPr>
        <w:t xml:space="preserve">p </w:t>
      </w:r>
      <w:r w:rsidRPr="007522AC">
        <w:rPr>
          <w:rStyle w:val="eop"/>
          <w:rFonts w:eastAsiaTheme="majorEastAsia"/>
          <w:color w:val="000000" w:themeColor="text1"/>
          <w:lang w:val="en-GB"/>
        </w:rPr>
        <w:t xml:space="preserve">= .022), wave </w:t>
      </w:r>
      <w:r w:rsidR="0090095B">
        <w:rPr>
          <w:rStyle w:val="eop"/>
          <w:rFonts w:eastAsiaTheme="majorEastAsia"/>
          <w:color w:val="000000" w:themeColor="text1"/>
          <w:lang w:val="en-GB"/>
        </w:rPr>
        <w:t>2</w:t>
      </w:r>
      <w:r w:rsidRPr="007522AC">
        <w:rPr>
          <w:rStyle w:val="eop"/>
          <w:rFonts w:eastAsiaTheme="majorEastAsia"/>
          <w:color w:val="000000" w:themeColor="text1"/>
          <w:lang w:val="en-GB"/>
        </w:rPr>
        <w:t xml:space="preserve"> (</w:t>
      </w:r>
      <w:r w:rsidRPr="007522AC">
        <w:rPr>
          <w:rStyle w:val="eop"/>
          <w:rFonts w:eastAsiaTheme="majorEastAsia"/>
          <w:i/>
          <w:iCs/>
          <w:color w:val="000000" w:themeColor="text1"/>
          <w:lang w:val="en-GB"/>
        </w:rPr>
        <w:t>W</w:t>
      </w:r>
      <w:r w:rsidRPr="007522AC">
        <w:rPr>
          <w:rStyle w:val="eop"/>
          <w:rFonts w:eastAsiaTheme="majorEastAsia"/>
          <w:color w:val="000000" w:themeColor="text1"/>
          <w:lang w:val="en-GB"/>
        </w:rPr>
        <w:t xml:space="preserve"> = .983, </w:t>
      </w:r>
      <w:r w:rsidRPr="007522AC">
        <w:rPr>
          <w:rStyle w:val="eop"/>
          <w:rFonts w:eastAsiaTheme="majorEastAsia"/>
          <w:i/>
          <w:iCs/>
          <w:color w:val="000000" w:themeColor="text1"/>
          <w:lang w:val="en-GB"/>
        </w:rPr>
        <w:t>p</w:t>
      </w:r>
      <w:r w:rsidRPr="007522AC">
        <w:rPr>
          <w:rStyle w:val="eop"/>
          <w:rFonts w:eastAsiaTheme="majorEastAsia"/>
          <w:color w:val="000000" w:themeColor="text1"/>
          <w:lang w:val="en-GB"/>
        </w:rPr>
        <w:t xml:space="preserve"> = .540) and wave three (</w:t>
      </w:r>
      <w:r w:rsidRPr="007522AC">
        <w:rPr>
          <w:rStyle w:val="eop"/>
          <w:rFonts w:eastAsiaTheme="majorEastAsia"/>
          <w:i/>
          <w:iCs/>
          <w:color w:val="000000" w:themeColor="text1"/>
          <w:lang w:val="en-GB"/>
        </w:rPr>
        <w:t xml:space="preserve">W </w:t>
      </w:r>
      <w:r w:rsidRPr="007522AC">
        <w:rPr>
          <w:rStyle w:val="eop"/>
          <w:rFonts w:eastAsiaTheme="majorEastAsia"/>
          <w:color w:val="000000" w:themeColor="text1"/>
          <w:lang w:val="en-GB"/>
        </w:rPr>
        <w:t xml:space="preserve">= .969, </w:t>
      </w:r>
      <w:r w:rsidRPr="007522AC">
        <w:rPr>
          <w:rStyle w:val="eop"/>
          <w:rFonts w:eastAsiaTheme="majorEastAsia"/>
          <w:i/>
          <w:iCs/>
          <w:color w:val="000000" w:themeColor="text1"/>
          <w:lang w:val="en-GB"/>
        </w:rPr>
        <w:t xml:space="preserve">p </w:t>
      </w:r>
      <w:r w:rsidRPr="007522AC">
        <w:rPr>
          <w:rStyle w:val="eop"/>
          <w:rFonts w:eastAsiaTheme="majorEastAsia"/>
          <w:color w:val="000000" w:themeColor="text1"/>
          <w:lang w:val="en-GB"/>
        </w:rPr>
        <w:t>= .124) for visuospatial working memory.</w:t>
      </w:r>
      <w:r w:rsidR="001D46F0" w:rsidRPr="007522AC">
        <w:rPr>
          <w:rStyle w:val="eop"/>
          <w:rFonts w:eastAsiaTheme="majorEastAsia"/>
          <w:color w:val="000000" w:themeColor="text1"/>
          <w:lang w:val="en-GB"/>
        </w:rPr>
        <w:t xml:space="preserve"> </w:t>
      </w:r>
    </w:p>
    <w:p w14:paraId="2CE0A47F" w14:textId="23496990" w:rsidR="00010798" w:rsidRPr="007522AC" w:rsidRDefault="00010798" w:rsidP="00C564B1">
      <w:pPr>
        <w:spacing w:line="480" w:lineRule="auto"/>
        <w:ind w:firstLine="720"/>
        <w:rPr>
          <w:rStyle w:val="eop"/>
          <w:rFonts w:eastAsiaTheme="majorEastAsia"/>
          <w:color w:val="000000" w:themeColor="text1"/>
          <w:lang w:val="en-GB"/>
        </w:rPr>
      </w:pPr>
      <w:r w:rsidRPr="007522AC">
        <w:rPr>
          <w:rStyle w:val="eop"/>
          <w:rFonts w:eastAsiaTheme="majorEastAsia"/>
          <w:color w:val="000000" w:themeColor="text1"/>
          <w:lang w:val="en-GB"/>
        </w:rPr>
        <w:t>The assumption of homogeneity is tested using the Levene’s test for homogeneity of variances. The variances of waves one, two and three were compared. A Levene’s test of homogeneity of variances indicated that the variances for wave one (</w:t>
      </w:r>
      <w:proofErr w:type="gramStart"/>
      <w:r w:rsidRPr="007522AC">
        <w:rPr>
          <w:rStyle w:val="eop"/>
          <w:rFonts w:eastAsiaTheme="majorEastAsia"/>
          <w:i/>
          <w:iCs/>
          <w:color w:val="000000" w:themeColor="text1"/>
          <w:lang w:val="en-GB"/>
        </w:rPr>
        <w:t>F</w:t>
      </w:r>
      <w:r w:rsidRPr="007522AC">
        <w:rPr>
          <w:rStyle w:val="eop"/>
          <w:rFonts w:eastAsiaTheme="majorEastAsia"/>
          <w:color w:val="000000" w:themeColor="text1"/>
          <w:lang w:val="en-GB"/>
        </w:rPr>
        <w:t>(</w:t>
      </w:r>
      <w:proofErr w:type="gramEnd"/>
      <w:r w:rsidRPr="007522AC">
        <w:rPr>
          <w:rStyle w:val="eop"/>
          <w:rFonts w:eastAsiaTheme="majorEastAsia"/>
          <w:color w:val="000000" w:themeColor="text1"/>
          <w:lang w:val="en-GB"/>
        </w:rPr>
        <w:t>1, 59) = 2.5</w:t>
      </w:r>
      <w:r w:rsidR="00E57095">
        <w:rPr>
          <w:rStyle w:val="eop"/>
          <w:rFonts w:eastAsiaTheme="majorEastAsia"/>
          <w:color w:val="000000" w:themeColor="text1"/>
          <w:lang w:val="en-GB"/>
        </w:rPr>
        <w:t>0</w:t>
      </w:r>
      <w:r w:rsidRPr="007522AC">
        <w:rPr>
          <w:rStyle w:val="eop"/>
          <w:rFonts w:eastAsiaTheme="majorEastAsia"/>
          <w:color w:val="000000" w:themeColor="text1"/>
          <w:lang w:val="en-GB"/>
        </w:rPr>
        <w:t xml:space="preserve">, </w:t>
      </w:r>
      <w:r w:rsidRPr="007522AC">
        <w:rPr>
          <w:rStyle w:val="eop"/>
          <w:rFonts w:eastAsiaTheme="majorEastAsia"/>
          <w:i/>
          <w:iCs/>
          <w:color w:val="000000" w:themeColor="text1"/>
          <w:lang w:val="en-GB"/>
        </w:rPr>
        <w:t>p</w:t>
      </w:r>
      <w:r w:rsidR="00C564B1">
        <w:rPr>
          <w:rStyle w:val="eop"/>
          <w:rFonts w:eastAsiaTheme="majorEastAsia"/>
          <w:i/>
          <w:iCs/>
          <w:color w:val="000000" w:themeColor="text1"/>
          <w:lang w:val="en-GB"/>
        </w:rPr>
        <w:t xml:space="preserve"> </w:t>
      </w:r>
      <w:r w:rsidRPr="007522AC">
        <w:rPr>
          <w:rStyle w:val="eop"/>
          <w:rFonts w:eastAsiaTheme="majorEastAsia"/>
          <w:color w:val="000000" w:themeColor="text1"/>
          <w:lang w:val="en-GB"/>
        </w:rPr>
        <w:t>= .12), two (</w:t>
      </w:r>
      <w:proofErr w:type="gramStart"/>
      <w:r w:rsidRPr="007522AC">
        <w:rPr>
          <w:rStyle w:val="eop"/>
          <w:rFonts w:eastAsiaTheme="majorEastAsia"/>
          <w:i/>
          <w:iCs/>
          <w:color w:val="000000" w:themeColor="text1"/>
          <w:lang w:val="en-GB"/>
        </w:rPr>
        <w:t>F</w:t>
      </w:r>
      <w:r w:rsidRPr="007522AC">
        <w:rPr>
          <w:rStyle w:val="eop"/>
          <w:rFonts w:eastAsiaTheme="majorEastAsia"/>
          <w:color w:val="000000" w:themeColor="text1"/>
          <w:lang w:val="en-GB"/>
        </w:rPr>
        <w:t>(</w:t>
      </w:r>
      <w:proofErr w:type="gramEnd"/>
      <w:r w:rsidRPr="007522AC">
        <w:rPr>
          <w:rStyle w:val="eop"/>
          <w:rFonts w:eastAsiaTheme="majorEastAsia"/>
          <w:color w:val="000000" w:themeColor="text1"/>
          <w:lang w:val="en-GB"/>
        </w:rPr>
        <w:t xml:space="preserve">1,59) = .93, </w:t>
      </w:r>
      <w:r w:rsidRPr="007522AC">
        <w:rPr>
          <w:rStyle w:val="eop"/>
          <w:rFonts w:eastAsiaTheme="majorEastAsia"/>
          <w:i/>
          <w:iCs/>
          <w:color w:val="000000" w:themeColor="text1"/>
          <w:lang w:val="en-GB"/>
        </w:rPr>
        <w:t>p</w:t>
      </w:r>
      <w:r w:rsidR="00C564B1">
        <w:rPr>
          <w:rStyle w:val="eop"/>
          <w:rFonts w:eastAsiaTheme="majorEastAsia"/>
          <w:i/>
          <w:iCs/>
          <w:color w:val="000000" w:themeColor="text1"/>
          <w:lang w:val="en-GB"/>
        </w:rPr>
        <w:t xml:space="preserve"> </w:t>
      </w:r>
      <w:r w:rsidRPr="007522AC">
        <w:rPr>
          <w:rStyle w:val="eop"/>
          <w:rFonts w:eastAsiaTheme="majorEastAsia"/>
          <w:color w:val="000000" w:themeColor="text1"/>
          <w:lang w:val="en-GB"/>
        </w:rPr>
        <w:t>= .34) and three (</w:t>
      </w:r>
      <w:proofErr w:type="gramStart"/>
      <w:r w:rsidRPr="007522AC">
        <w:rPr>
          <w:rStyle w:val="eop"/>
          <w:rFonts w:eastAsiaTheme="majorEastAsia"/>
          <w:i/>
          <w:iCs/>
          <w:color w:val="000000" w:themeColor="text1"/>
          <w:lang w:val="en-GB"/>
        </w:rPr>
        <w:t>F</w:t>
      </w:r>
      <w:r w:rsidRPr="007522AC">
        <w:rPr>
          <w:rStyle w:val="eop"/>
          <w:rFonts w:eastAsiaTheme="majorEastAsia"/>
          <w:color w:val="000000" w:themeColor="text1"/>
          <w:lang w:val="en-GB"/>
        </w:rPr>
        <w:t>(</w:t>
      </w:r>
      <w:proofErr w:type="gramEnd"/>
      <w:r w:rsidRPr="007522AC">
        <w:rPr>
          <w:rStyle w:val="eop"/>
          <w:rFonts w:eastAsiaTheme="majorEastAsia"/>
          <w:color w:val="000000" w:themeColor="text1"/>
          <w:lang w:val="en-GB"/>
        </w:rPr>
        <w:t xml:space="preserve">1, 59) = .24, </w:t>
      </w:r>
      <w:r w:rsidRPr="007522AC">
        <w:rPr>
          <w:rStyle w:val="eop"/>
          <w:rFonts w:eastAsiaTheme="majorEastAsia"/>
          <w:i/>
          <w:iCs/>
          <w:color w:val="000000" w:themeColor="text1"/>
          <w:lang w:val="en-GB"/>
        </w:rPr>
        <w:t xml:space="preserve">p </w:t>
      </w:r>
      <w:r w:rsidRPr="007522AC">
        <w:rPr>
          <w:rStyle w:val="eop"/>
          <w:rFonts w:eastAsiaTheme="majorEastAsia"/>
          <w:color w:val="000000" w:themeColor="text1"/>
          <w:lang w:val="en-GB"/>
        </w:rPr>
        <w:t>= .63) (</w:t>
      </w:r>
      <w:r w:rsidRPr="007522AC">
        <w:rPr>
          <w:rStyle w:val="eop"/>
          <w:rFonts w:eastAsiaTheme="majorEastAsia"/>
          <w:i/>
          <w:iCs/>
          <w:color w:val="000000" w:themeColor="text1"/>
          <w:lang w:val="en-GB"/>
        </w:rPr>
        <w:t>p</w:t>
      </w:r>
      <w:r w:rsidRPr="007522AC">
        <w:rPr>
          <w:rStyle w:val="eop"/>
          <w:rFonts w:eastAsiaTheme="majorEastAsia"/>
          <w:color w:val="000000" w:themeColor="text1"/>
          <w:lang w:val="en-GB"/>
        </w:rPr>
        <w:t xml:space="preserve"> &gt; .05) were homogeneous (</w:t>
      </w:r>
      <w:r w:rsidRPr="007522AC">
        <w:rPr>
          <w:rStyle w:val="eop"/>
          <w:rFonts w:eastAsiaTheme="majorEastAsia"/>
          <w:i/>
          <w:iCs/>
          <w:color w:val="000000" w:themeColor="text1"/>
          <w:lang w:val="en-GB"/>
        </w:rPr>
        <w:t>p</w:t>
      </w:r>
      <w:r w:rsidRPr="007522AC">
        <w:rPr>
          <w:rStyle w:val="eop"/>
          <w:rFonts w:eastAsiaTheme="majorEastAsia"/>
          <w:color w:val="000000" w:themeColor="text1"/>
          <w:lang w:val="en-GB"/>
        </w:rPr>
        <w:t xml:space="preserve"> &gt; .05).</w:t>
      </w:r>
      <w:r w:rsidR="002973CB" w:rsidRPr="007522AC">
        <w:rPr>
          <w:rStyle w:val="eop"/>
          <w:rFonts w:eastAsiaTheme="majorEastAsia"/>
          <w:color w:val="000000" w:themeColor="text1"/>
          <w:lang w:val="en-GB"/>
        </w:rPr>
        <w:t xml:space="preserve"> </w:t>
      </w:r>
      <w:r w:rsidRPr="007522AC">
        <w:rPr>
          <w:rStyle w:val="eop"/>
          <w:rFonts w:eastAsiaTheme="majorEastAsia"/>
          <w:color w:val="000000" w:themeColor="text1"/>
          <w:lang w:val="en-GB"/>
        </w:rPr>
        <w:t>The assumption of sphericity was tested using Mauchly’s test and was not violated (</w:t>
      </w:r>
      <w:r w:rsidRPr="007522AC">
        <w:rPr>
          <w:rStyle w:val="eop"/>
          <w:rFonts w:eastAsiaTheme="majorEastAsia"/>
          <w:i/>
          <w:iCs/>
          <w:color w:val="000000" w:themeColor="text1"/>
          <w:lang w:val="en-GB"/>
        </w:rPr>
        <w:t>W</w:t>
      </w:r>
      <w:r w:rsidRPr="007522AC">
        <w:rPr>
          <w:rStyle w:val="eop"/>
          <w:rFonts w:eastAsiaTheme="majorEastAsia"/>
          <w:color w:val="000000" w:themeColor="text1"/>
          <w:lang w:val="en-GB"/>
        </w:rPr>
        <w:t xml:space="preserve"> = 0.95, </w:t>
      </w:r>
      <w:r w:rsidRPr="007522AC">
        <w:rPr>
          <w:rStyle w:val="eop"/>
          <w:rFonts w:eastAsiaTheme="majorEastAsia"/>
          <w:i/>
          <w:iCs/>
          <w:color w:val="000000" w:themeColor="text1"/>
          <w:lang w:val="en-GB"/>
        </w:rPr>
        <w:t>p</w:t>
      </w:r>
      <w:r w:rsidRPr="007522AC">
        <w:rPr>
          <w:rStyle w:val="eop"/>
          <w:rFonts w:eastAsiaTheme="majorEastAsia"/>
          <w:color w:val="000000" w:themeColor="text1"/>
          <w:lang w:val="en-GB"/>
        </w:rPr>
        <w:t xml:space="preserve"> = .21). Therefore, the tests within subject effect have been used (</w:t>
      </w:r>
      <w:proofErr w:type="gramStart"/>
      <w:r w:rsidRPr="007522AC">
        <w:rPr>
          <w:rStyle w:val="eop"/>
          <w:rFonts w:eastAsiaTheme="majorEastAsia"/>
          <w:i/>
          <w:iCs/>
          <w:color w:val="000000" w:themeColor="text1"/>
          <w:lang w:val="en-GB"/>
        </w:rPr>
        <w:t>F</w:t>
      </w:r>
      <w:r w:rsidRPr="007522AC">
        <w:rPr>
          <w:rStyle w:val="eop"/>
          <w:rFonts w:eastAsiaTheme="majorEastAsia"/>
          <w:color w:val="000000" w:themeColor="text1"/>
          <w:lang w:val="en-GB"/>
        </w:rPr>
        <w:t>(</w:t>
      </w:r>
      <w:proofErr w:type="gramEnd"/>
      <w:r w:rsidRPr="007522AC">
        <w:rPr>
          <w:rStyle w:val="eop"/>
          <w:rFonts w:eastAsiaTheme="majorEastAsia"/>
          <w:color w:val="000000" w:themeColor="text1"/>
          <w:lang w:val="en-GB"/>
        </w:rPr>
        <w:t xml:space="preserve">2,118) = 70.68, </w:t>
      </w:r>
      <w:r w:rsidRPr="007522AC">
        <w:rPr>
          <w:rStyle w:val="eop"/>
          <w:rFonts w:eastAsiaTheme="majorEastAsia"/>
          <w:i/>
          <w:iCs/>
          <w:color w:val="000000" w:themeColor="text1"/>
          <w:lang w:val="en-GB"/>
        </w:rPr>
        <w:t>p</w:t>
      </w:r>
      <w:r w:rsidRPr="007522AC">
        <w:rPr>
          <w:rStyle w:val="eop"/>
          <w:rFonts w:eastAsiaTheme="majorEastAsia"/>
          <w:color w:val="000000" w:themeColor="text1"/>
          <w:lang w:val="en-GB"/>
        </w:rPr>
        <w:t xml:space="preserve"> = &lt;.001, </w:t>
      </w:r>
      <w:r w:rsidRPr="007522AC">
        <w:rPr>
          <w:rStyle w:val="eop"/>
          <w:rFonts w:eastAsiaTheme="majorEastAsia"/>
          <w:i/>
          <w:iCs/>
          <w:color w:val="000000" w:themeColor="text1"/>
          <w:lang w:val="en-GB"/>
        </w:rPr>
        <w:t xml:space="preserve">η²ₚ = </w:t>
      </w:r>
      <w:r w:rsidRPr="007522AC">
        <w:rPr>
          <w:rStyle w:val="eop"/>
          <w:rFonts w:eastAsiaTheme="majorEastAsia"/>
          <w:color w:val="000000" w:themeColor="text1"/>
          <w:lang w:val="en-GB"/>
        </w:rPr>
        <w:t>.55).</w:t>
      </w:r>
    </w:p>
    <w:p w14:paraId="13567347" w14:textId="6DE75F6A" w:rsidR="00B60086" w:rsidRPr="007522AC" w:rsidRDefault="004D41B9" w:rsidP="007522AC">
      <w:pPr>
        <w:spacing w:line="480" w:lineRule="auto"/>
        <w:ind w:firstLine="720"/>
        <w:rPr>
          <w:lang w:val="en-GB"/>
        </w:rPr>
      </w:pPr>
      <w:r w:rsidRPr="007522AC">
        <w:rPr>
          <w:lang w:val="en-GB"/>
        </w:rPr>
        <w:t>A mixed-design ANOVA with repeated measures revealed a significant main effect of time (</w:t>
      </w:r>
      <w:proofErr w:type="gramStart"/>
      <w:r w:rsidRPr="007522AC">
        <w:rPr>
          <w:rStyle w:val="Emphasis"/>
          <w:rFonts w:eastAsiaTheme="majorEastAsia"/>
          <w:lang w:val="en-GB"/>
        </w:rPr>
        <w:t>F</w:t>
      </w:r>
      <w:r w:rsidRPr="007522AC">
        <w:rPr>
          <w:lang w:val="en-GB"/>
        </w:rPr>
        <w:t>(</w:t>
      </w:r>
      <w:proofErr w:type="gramEnd"/>
      <w:r w:rsidRPr="007522AC">
        <w:rPr>
          <w:lang w:val="en-GB"/>
        </w:rPr>
        <w:t xml:space="preserve">2, 118) = 70.68, </w:t>
      </w:r>
      <w:r w:rsidRPr="007522AC">
        <w:rPr>
          <w:rStyle w:val="Emphasis"/>
          <w:rFonts w:eastAsiaTheme="majorEastAsia"/>
          <w:lang w:val="en-GB"/>
        </w:rPr>
        <w:t>p</w:t>
      </w:r>
      <w:r w:rsidRPr="007522AC">
        <w:rPr>
          <w:lang w:val="en-GB"/>
        </w:rPr>
        <w:t xml:space="preserve"> &lt; .001, η²ₚ = .55), indicating that visuospatial working memory significantly improved over time. Post hoc pairwise comparisons with Bonferroni adjustment showed that performance significantly improved from wave one to wave two (</w:t>
      </w:r>
      <w:r w:rsidRPr="007522AC">
        <w:rPr>
          <w:rStyle w:val="Emphasis"/>
          <w:rFonts w:eastAsiaTheme="majorEastAsia"/>
          <w:lang w:val="en-GB"/>
        </w:rPr>
        <w:t>M</w:t>
      </w:r>
      <w:r w:rsidRPr="007522AC">
        <w:rPr>
          <w:lang w:val="en-GB"/>
        </w:rPr>
        <w:t xml:space="preserve"> difference = -5.05, </w:t>
      </w:r>
      <w:r w:rsidRPr="007522AC">
        <w:rPr>
          <w:rStyle w:val="Emphasis"/>
          <w:rFonts w:eastAsiaTheme="majorEastAsia"/>
          <w:lang w:val="en-GB"/>
        </w:rPr>
        <w:t>SE</w:t>
      </w:r>
      <w:r w:rsidRPr="007522AC">
        <w:rPr>
          <w:lang w:val="en-GB"/>
        </w:rPr>
        <w:t xml:space="preserve"> = 0.64, </w:t>
      </w:r>
      <w:r w:rsidRPr="007522AC">
        <w:rPr>
          <w:rStyle w:val="Emphasis"/>
          <w:rFonts w:eastAsiaTheme="majorEastAsia"/>
          <w:lang w:val="en-GB"/>
        </w:rPr>
        <w:t>p</w:t>
      </w:r>
      <w:r w:rsidRPr="007522AC">
        <w:rPr>
          <w:lang w:val="en-GB"/>
        </w:rPr>
        <w:t xml:space="preserve"> &lt; .001, 95% CI [-6.63, -3.48]), from wave one to wave three (</w:t>
      </w:r>
      <w:r w:rsidRPr="007522AC">
        <w:rPr>
          <w:rStyle w:val="Emphasis"/>
          <w:rFonts w:eastAsiaTheme="majorEastAsia"/>
          <w:lang w:val="en-GB"/>
        </w:rPr>
        <w:t>M</w:t>
      </w:r>
      <w:r w:rsidRPr="007522AC">
        <w:rPr>
          <w:lang w:val="en-GB"/>
        </w:rPr>
        <w:t xml:space="preserve"> difference = -7.43, </w:t>
      </w:r>
      <w:r w:rsidRPr="007522AC">
        <w:rPr>
          <w:rStyle w:val="Emphasis"/>
          <w:rFonts w:eastAsiaTheme="majorEastAsia"/>
          <w:lang w:val="en-GB"/>
        </w:rPr>
        <w:t>SE</w:t>
      </w:r>
      <w:r w:rsidRPr="007522AC">
        <w:rPr>
          <w:lang w:val="en-GB"/>
        </w:rPr>
        <w:t xml:space="preserve"> = 0.57, </w:t>
      </w:r>
      <w:r w:rsidRPr="007522AC">
        <w:rPr>
          <w:rStyle w:val="Emphasis"/>
          <w:rFonts w:eastAsiaTheme="majorEastAsia"/>
          <w:lang w:val="en-GB"/>
        </w:rPr>
        <w:t>p</w:t>
      </w:r>
      <w:r w:rsidRPr="007522AC">
        <w:rPr>
          <w:lang w:val="en-GB"/>
        </w:rPr>
        <w:t xml:space="preserve"> &lt; .001, 95% CI [-8.84, -6.02]), and from wave two to wave three (</w:t>
      </w:r>
      <w:r w:rsidRPr="007522AC">
        <w:rPr>
          <w:rStyle w:val="Emphasis"/>
          <w:rFonts w:eastAsiaTheme="majorEastAsia"/>
          <w:lang w:val="en-GB"/>
        </w:rPr>
        <w:t>M</w:t>
      </w:r>
      <w:r w:rsidRPr="007522AC">
        <w:rPr>
          <w:lang w:val="en-GB"/>
        </w:rPr>
        <w:t xml:space="preserve"> difference = -2.38, </w:t>
      </w:r>
      <w:r w:rsidRPr="007522AC">
        <w:rPr>
          <w:rStyle w:val="Emphasis"/>
          <w:rFonts w:eastAsiaTheme="majorEastAsia"/>
          <w:lang w:val="en-GB"/>
        </w:rPr>
        <w:t>SE</w:t>
      </w:r>
      <w:r w:rsidRPr="007522AC">
        <w:rPr>
          <w:lang w:val="en-GB"/>
        </w:rPr>
        <w:t xml:space="preserve"> = 0.70, </w:t>
      </w:r>
      <w:r w:rsidRPr="007522AC">
        <w:rPr>
          <w:rStyle w:val="Emphasis"/>
          <w:rFonts w:eastAsiaTheme="majorEastAsia"/>
          <w:lang w:val="en-GB"/>
        </w:rPr>
        <w:t>p</w:t>
      </w:r>
      <w:r w:rsidRPr="007522AC">
        <w:rPr>
          <w:lang w:val="en-GB"/>
        </w:rPr>
        <w:t xml:space="preserve"> = .004, 95% CI [-4.10, -0.66]). </w:t>
      </w:r>
      <w:r w:rsidR="00B60086" w:rsidRPr="007522AC">
        <w:rPr>
          <w:lang w:val="en-GB"/>
        </w:rPr>
        <w:t>There was no significant main effect of language group, (</w:t>
      </w:r>
      <w:proofErr w:type="gramStart"/>
      <w:r w:rsidR="00B60086" w:rsidRPr="007522AC">
        <w:rPr>
          <w:rStyle w:val="Emphasis"/>
          <w:rFonts w:eastAsiaTheme="majorEastAsia"/>
          <w:lang w:val="en-GB"/>
        </w:rPr>
        <w:t>F</w:t>
      </w:r>
      <w:r w:rsidR="00B60086" w:rsidRPr="007522AC">
        <w:rPr>
          <w:lang w:val="en-GB"/>
        </w:rPr>
        <w:t>(</w:t>
      </w:r>
      <w:proofErr w:type="gramEnd"/>
      <w:r w:rsidR="00B60086" w:rsidRPr="007522AC">
        <w:rPr>
          <w:lang w:val="en-GB"/>
        </w:rPr>
        <w:t xml:space="preserve">1, 59) = 1.30, </w:t>
      </w:r>
      <w:r w:rsidR="00B60086" w:rsidRPr="007522AC">
        <w:rPr>
          <w:rStyle w:val="Emphasis"/>
          <w:rFonts w:eastAsiaTheme="majorEastAsia"/>
          <w:lang w:val="en-GB"/>
        </w:rPr>
        <w:t>p</w:t>
      </w:r>
      <w:r w:rsidR="00B60086" w:rsidRPr="007522AC">
        <w:rPr>
          <w:lang w:val="en-GB"/>
        </w:rPr>
        <w:t xml:space="preserve"> = .26, η²ₚ = .02</w:t>
      </w:r>
      <w:r w:rsidR="00FC4BA9" w:rsidRPr="007522AC">
        <w:rPr>
          <w:lang w:val="en-GB"/>
        </w:rPr>
        <w:t>2</w:t>
      </w:r>
      <w:r w:rsidR="00B60086" w:rsidRPr="007522AC">
        <w:rPr>
          <w:lang w:val="en-GB"/>
        </w:rPr>
        <w:t xml:space="preserve">), suggesting no overall difference in visuospatial working memory performance between bilingual and monolingual children. </w:t>
      </w:r>
      <w:r w:rsidR="00FC4BA9" w:rsidRPr="007522AC">
        <w:rPr>
          <w:lang w:val="en-GB"/>
        </w:rPr>
        <w:t>The interaction between time and language group was not significant (</w:t>
      </w:r>
      <w:proofErr w:type="gramStart"/>
      <w:r w:rsidR="00FC4BA9" w:rsidRPr="007522AC">
        <w:rPr>
          <w:rStyle w:val="Emphasis"/>
          <w:rFonts w:eastAsiaTheme="majorEastAsia"/>
          <w:lang w:val="en-GB"/>
        </w:rPr>
        <w:t>F</w:t>
      </w:r>
      <w:r w:rsidR="00FC4BA9" w:rsidRPr="007522AC">
        <w:rPr>
          <w:lang w:val="en-GB"/>
        </w:rPr>
        <w:t>(</w:t>
      </w:r>
      <w:proofErr w:type="gramEnd"/>
      <w:r w:rsidR="00FC4BA9" w:rsidRPr="007522AC">
        <w:rPr>
          <w:lang w:val="en-GB"/>
        </w:rPr>
        <w:t xml:space="preserve">2, 118) = 0.633, </w:t>
      </w:r>
      <w:r w:rsidR="00FC4BA9" w:rsidRPr="007522AC">
        <w:rPr>
          <w:rStyle w:val="Emphasis"/>
          <w:rFonts w:eastAsiaTheme="majorEastAsia"/>
          <w:lang w:val="en-GB"/>
        </w:rPr>
        <w:t>p</w:t>
      </w:r>
      <w:r w:rsidR="00FC4BA9" w:rsidRPr="007522AC">
        <w:rPr>
          <w:lang w:val="en-GB"/>
        </w:rPr>
        <w:t xml:space="preserve"> = .533, η²ₚ = .011), indicating that the pattern of improvement over time did not differ by language group.</w:t>
      </w:r>
      <w:r w:rsidR="00B60086" w:rsidRPr="007522AC">
        <w:rPr>
          <w:lang w:val="en-GB"/>
        </w:rPr>
        <w:t xml:space="preserve"> These results suggest that both monolingual and bilingual children improved their visuospatial working memory over time, but their performance trajectories were comparable regardless of language background. As shown in Figure </w:t>
      </w:r>
      <w:r w:rsidR="00F455DB" w:rsidRPr="007522AC">
        <w:rPr>
          <w:lang w:val="en-GB"/>
        </w:rPr>
        <w:t>1</w:t>
      </w:r>
      <w:r w:rsidR="00B60086" w:rsidRPr="007522AC">
        <w:rPr>
          <w:lang w:val="en-GB"/>
        </w:rPr>
        <w:t>, bilingual children displayed slightly lower mean scores between Waves 2 and 3; however, this difference was not statistically significant.</w:t>
      </w:r>
      <w:r w:rsidR="002B269B" w:rsidRPr="007522AC">
        <w:rPr>
          <w:lang w:val="en-GB"/>
        </w:rPr>
        <w:t xml:space="preserve"> </w:t>
      </w:r>
    </w:p>
    <w:p w14:paraId="7335E356" w14:textId="2462A068" w:rsidR="00010798" w:rsidRPr="007522AC" w:rsidRDefault="00010798" w:rsidP="007522AC">
      <w:pPr>
        <w:spacing w:line="480" w:lineRule="auto"/>
        <w:rPr>
          <w:rStyle w:val="eop"/>
          <w:rFonts w:eastAsiaTheme="majorEastAsia"/>
          <w:b/>
          <w:bCs/>
          <w:lang w:val="en-GB"/>
        </w:rPr>
      </w:pPr>
      <w:r w:rsidRPr="007522AC">
        <w:rPr>
          <w:rStyle w:val="eop"/>
          <w:rFonts w:eastAsiaTheme="majorEastAsia"/>
          <w:b/>
          <w:bCs/>
          <w:lang w:val="en-GB"/>
        </w:rPr>
        <w:t xml:space="preserve">Figure </w:t>
      </w:r>
      <w:r w:rsidR="00F455DB" w:rsidRPr="007522AC">
        <w:rPr>
          <w:rStyle w:val="eop"/>
          <w:rFonts w:eastAsiaTheme="majorEastAsia"/>
          <w:b/>
          <w:bCs/>
          <w:lang w:val="en-GB"/>
        </w:rPr>
        <w:t>1</w:t>
      </w:r>
    </w:p>
    <w:p w14:paraId="64ECE6DE" w14:textId="6E6C43C6" w:rsidR="00010798" w:rsidRPr="007522AC" w:rsidRDefault="00010798" w:rsidP="007522AC">
      <w:pPr>
        <w:spacing w:line="480" w:lineRule="auto"/>
        <w:rPr>
          <w:rStyle w:val="eop"/>
          <w:rFonts w:eastAsiaTheme="majorEastAsia"/>
          <w:i/>
          <w:iCs/>
          <w:lang w:val="en-GB"/>
        </w:rPr>
      </w:pPr>
      <w:r w:rsidRPr="007522AC">
        <w:rPr>
          <w:rStyle w:val="eop"/>
          <w:rFonts w:eastAsiaTheme="majorEastAsia"/>
          <w:i/>
          <w:iCs/>
          <w:lang w:val="en-GB"/>
        </w:rPr>
        <w:t>Changes in mean points on visuospatial working memory over wave 1, wave 2 and wave 3</w:t>
      </w:r>
    </w:p>
    <w:p w14:paraId="14592419" w14:textId="4A70E95B" w:rsidR="00010798" w:rsidRPr="007522AC" w:rsidRDefault="00010798" w:rsidP="007522AC">
      <w:pPr>
        <w:spacing w:line="480" w:lineRule="auto"/>
        <w:rPr>
          <w:rStyle w:val="eop"/>
          <w:rFonts w:eastAsiaTheme="majorEastAsia"/>
          <w:noProof/>
          <w:lang w:val="en-GB"/>
        </w:rPr>
      </w:pPr>
      <w:r w:rsidRPr="007522AC">
        <w:rPr>
          <w:rFonts w:eastAsiaTheme="majorEastAsia"/>
          <w:noProof/>
          <w:color w:val="000000"/>
          <w:lang w:val="en-GB"/>
          <w14:textFill>
            <w14:solidFill>
              <w14:srgbClr w14:val="000000">
                <w14:alpha w14:val="100000"/>
              </w14:srgbClr>
            </w14:solidFill>
          </w14:textFill>
        </w:rPr>
        <w:drawing>
          <wp:inline distT="0" distB="0" distL="0" distR="0" wp14:anchorId="081FDC09" wp14:editId="49490748">
            <wp:extent cx="3517900" cy="2454965"/>
            <wp:effectExtent l="0" t="0" r="12700" b="8890"/>
            <wp:docPr id="131155255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F826BCF" w14:textId="68B52D96" w:rsidR="00010798" w:rsidRPr="007522AC" w:rsidRDefault="00010798" w:rsidP="007522AC">
      <w:pPr>
        <w:spacing w:line="480" w:lineRule="auto"/>
        <w:rPr>
          <w:rStyle w:val="eop"/>
          <w:rFonts w:eastAsiaTheme="majorEastAsia"/>
          <w:lang w:val="en-GB"/>
        </w:rPr>
      </w:pPr>
      <w:r w:rsidRPr="007522AC">
        <w:rPr>
          <w:rStyle w:val="eop"/>
          <w:rFonts w:eastAsiaTheme="majorEastAsia"/>
          <w:i/>
          <w:iCs/>
          <w:lang w:val="en-GB"/>
        </w:rPr>
        <w:t xml:space="preserve">Note. </w:t>
      </w:r>
      <w:r w:rsidRPr="007522AC">
        <w:rPr>
          <w:rStyle w:val="eop"/>
          <w:rFonts w:eastAsiaTheme="majorEastAsia"/>
          <w:lang w:val="en-GB"/>
        </w:rPr>
        <w:t>Monolingual and bilingual average scores on wave 1, 2 and 3 on the visuospatial working memory task.</w:t>
      </w:r>
    </w:p>
    <w:p w14:paraId="694DB018" w14:textId="61B608F4" w:rsidR="006A7481" w:rsidRPr="007522AC" w:rsidRDefault="006A7481" w:rsidP="007522AC">
      <w:pPr>
        <w:pStyle w:val="paragraph"/>
        <w:spacing w:before="0" w:beforeAutospacing="0" w:after="0" w:afterAutospacing="0" w:line="480" w:lineRule="auto"/>
        <w:textAlignment w:val="baseline"/>
        <w:rPr>
          <w:rStyle w:val="eop"/>
          <w:rFonts w:eastAsiaTheme="majorEastAsia"/>
          <w:b/>
          <w:bCs/>
          <w:i/>
          <w:iCs/>
          <w:lang w:val="en-GB"/>
        </w:rPr>
      </w:pPr>
      <w:r w:rsidRPr="007522AC">
        <w:rPr>
          <w:rStyle w:val="eop"/>
          <w:rFonts w:eastAsiaTheme="majorEastAsia"/>
          <w:b/>
          <w:bCs/>
          <w:i/>
          <w:iCs/>
          <w:lang w:val="en-GB"/>
        </w:rPr>
        <w:t>Task switching abilities</w:t>
      </w:r>
    </w:p>
    <w:p w14:paraId="4FFFC471" w14:textId="36E21EE5" w:rsidR="008F6770" w:rsidRPr="007522AC" w:rsidRDefault="001E2584" w:rsidP="007522AC">
      <w:pPr>
        <w:pStyle w:val="paragraph"/>
        <w:spacing w:before="0" w:beforeAutospacing="0" w:after="0" w:afterAutospacing="0" w:line="480" w:lineRule="auto"/>
        <w:ind w:firstLine="720"/>
        <w:textAlignment w:val="baseline"/>
        <w:rPr>
          <w:lang w:val="en-GB"/>
        </w:rPr>
      </w:pPr>
      <w:r w:rsidRPr="007522AC">
        <w:rPr>
          <w:lang w:val="en-GB"/>
        </w:rPr>
        <w:t>The average reaction times on the task-switching task are presented in Table 2. On average, monolingual children demonstrated faster reaction times than bilingual children at Wave 3. For monolingual children, the mean reaction time was 1,408.04 milliseconds (</w:t>
      </w:r>
      <w:r w:rsidRPr="007522AC">
        <w:rPr>
          <w:rStyle w:val="Emphasis"/>
          <w:rFonts w:eastAsiaTheme="majorEastAsia"/>
          <w:lang w:val="en-GB"/>
        </w:rPr>
        <w:t>SD</w:t>
      </w:r>
      <w:r w:rsidRPr="007522AC">
        <w:rPr>
          <w:lang w:val="en-GB"/>
        </w:rPr>
        <w:t xml:space="preserve"> = 427.14) at Wave 2 and 1,174.15 milliseconds (</w:t>
      </w:r>
      <w:r w:rsidRPr="007522AC">
        <w:rPr>
          <w:rStyle w:val="Emphasis"/>
          <w:rFonts w:eastAsiaTheme="majorEastAsia"/>
          <w:lang w:val="en-GB"/>
        </w:rPr>
        <w:t>SD</w:t>
      </w:r>
      <w:r w:rsidRPr="007522AC">
        <w:rPr>
          <w:lang w:val="en-GB"/>
        </w:rPr>
        <w:t xml:space="preserve"> = 291.86) at Wave 3. For bilingual children, the mean reaction time was 1,290.17 milliseconds (</w:t>
      </w:r>
      <w:r w:rsidRPr="007522AC">
        <w:rPr>
          <w:rStyle w:val="Emphasis"/>
          <w:rFonts w:eastAsiaTheme="majorEastAsia"/>
          <w:lang w:val="en-GB"/>
        </w:rPr>
        <w:t>SD</w:t>
      </w:r>
      <w:r w:rsidRPr="007522AC">
        <w:rPr>
          <w:lang w:val="en-GB"/>
        </w:rPr>
        <w:t xml:space="preserve"> = 402.39) at Wave 2 and 1,246.32 milliseconds (</w:t>
      </w:r>
      <w:r w:rsidRPr="007522AC">
        <w:rPr>
          <w:rStyle w:val="Emphasis"/>
          <w:rFonts w:eastAsiaTheme="majorEastAsia"/>
          <w:lang w:val="en-GB"/>
        </w:rPr>
        <w:t>SD</w:t>
      </w:r>
      <w:r w:rsidRPr="007522AC">
        <w:rPr>
          <w:lang w:val="en-GB"/>
        </w:rPr>
        <w:t xml:space="preserve"> = 356.52) at Wave 3. These average scores provide an initial indication that task-switching performance improved over time in monolingual children, whereas performance among bilingual children remained relatively stable.</w:t>
      </w:r>
    </w:p>
    <w:p w14:paraId="0BF71804" w14:textId="7E5D9C53" w:rsidR="00BD78D6" w:rsidRPr="007522AC" w:rsidRDefault="008F6770" w:rsidP="007522AC">
      <w:pPr>
        <w:spacing w:line="480" w:lineRule="auto"/>
        <w:rPr>
          <w:rStyle w:val="eop"/>
          <w:rFonts w:eastAsiaTheme="majorEastAsia"/>
          <w:i/>
          <w:iCs/>
          <w:lang w:val="en-GB"/>
        </w:rPr>
      </w:pPr>
      <w:r w:rsidRPr="007522AC">
        <w:rPr>
          <w:rStyle w:val="eop"/>
          <w:rFonts w:eastAsiaTheme="majorEastAsia"/>
          <w:i/>
          <w:iCs/>
          <w:lang w:val="en-GB"/>
        </w:rPr>
        <w:t xml:space="preserve">Table 2. </w:t>
      </w:r>
      <w:r w:rsidR="003A5929" w:rsidRPr="007522AC">
        <w:rPr>
          <w:rStyle w:val="eop"/>
          <w:rFonts w:eastAsiaTheme="majorEastAsia"/>
          <w:i/>
          <w:iCs/>
          <w:lang w:val="en-GB"/>
        </w:rPr>
        <w:t xml:space="preserve">Mean </w:t>
      </w:r>
      <w:r w:rsidR="003A5929">
        <w:rPr>
          <w:rStyle w:val="eop"/>
          <w:rFonts w:eastAsiaTheme="majorEastAsia"/>
          <w:i/>
          <w:iCs/>
          <w:lang w:val="en-GB"/>
        </w:rPr>
        <w:t xml:space="preserve">reaction times </w:t>
      </w:r>
      <w:r w:rsidR="003A5929" w:rsidRPr="007522AC">
        <w:rPr>
          <w:rStyle w:val="eop"/>
          <w:rFonts w:eastAsiaTheme="majorEastAsia"/>
          <w:i/>
          <w:iCs/>
          <w:lang w:val="en-GB"/>
        </w:rPr>
        <w:t xml:space="preserve">by language group and wave, showing </w:t>
      </w:r>
      <w:r w:rsidR="003A5929">
        <w:rPr>
          <w:rStyle w:val="eop"/>
          <w:rFonts w:eastAsiaTheme="majorEastAsia"/>
          <w:i/>
          <w:iCs/>
          <w:lang w:val="en-GB"/>
        </w:rPr>
        <w:t xml:space="preserve">the development </w:t>
      </w:r>
      <w:r w:rsidR="003A5929" w:rsidRPr="007522AC">
        <w:rPr>
          <w:rStyle w:val="eop"/>
          <w:rFonts w:eastAsiaTheme="majorEastAsia"/>
          <w:i/>
          <w:iCs/>
          <w:lang w:val="en-GB"/>
        </w:rPr>
        <w:t>across time.</w:t>
      </w:r>
      <w:r w:rsidR="003A5929">
        <w:rPr>
          <w:rStyle w:val="eop"/>
          <w:rFonts w:eastAsiaTheme="majorEastAsia"/>
          <w:i/>
          <w:iCs/>
          <w:lang w:val="en-GB"/>
        </w:rPr>
        <w:t xml:space="preserve"> </w:t>
      </w:r>
    </w:p>
    <w:tbl>
      <w:tblPr>
        <w:tblStyle w:val="PlainTable2"/>
        <w:tblW w:w="0" w:type="auto"/>
        <w:tblLook w:val="04A0" w:firstRow="1" w:lastRow="0" w:firstColumn="1" w:lastColumn="0" w:noHBand="0" w:noVBand="1"/>
      </w:tblPr>
      <w:tblGrid>
        <w:gridCol w:w="1839"/>
        <w:gridCol w:w="844"/>
        <w:gridCol w:w="1967"/>
        <w:gridCol w:w="1336"/>
        <w:gridCol w:w="1669"/>
        <w:gridCol w:w="1365"/>
      </w:tblGrid>
      <w:tr w:rsidR="008F6770" w:rsidRPr="007522AC" w14:paraId="1332992B" w14:textId="77777777" w:rsidTr="00A818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gridSpan w:val="2"/>
            <w:tcBorders>
              <w:top w:val="single" w:sz="4" w:space="0" w:color="auto"/>
              <w:bottom w:val="nil"/>
              <w:right w:val="nil"/>
            </w:tcBorders>
          </w:tcPr>
          <w:p w14:paraId="7419EDF6" w14:textId="77777777" w:rsidR="008F6770" w:rsidRPr="007522AC" w:rsidRDefault="008F6770" w:rsidP="007522AC">
            <w:pPr>
              <w:spacing w:line="480" w:lineRule="auto"/>
              <w:rPr>
                <w:rStyle w:val="eop"/>
                <w:rFonts w:eastAsiaTheme="majorEastAsia"/>
                <w:lang w:val="en-GB"/>
              </w:rPr>
            </w:pPr>
          </w:p>
        </w:tc>
        <w:tc>
          <w:tcPr>
            <w:tcW w:w="3303" w:type="dxa"/>
            <w:gridSpan w:val="2"/>
            <w:tcBorders>
              <w:top w:val="single" w:sz="4" w:space="0" w:color="auto"/>
              <w:left w:val="nil"/>
            </w:tcBorders>
          </w:tcPr>
          <w:p w14:paraId="21CAEE68" w14:textId="77777777" w:rsidR="008F6770" w:rsidRPr="007522AC" w:rsidRDefault="008F6770" w:rsidP="007522AC">
            <w:pPr>
              <w:spacing w:line="480" w:lineRule="auto"/>
              <w:cnfStyle w:val="100000000000" w:firstRow="1" w:lastRow="0" w:firstColumn="0" w:lastColumn="0" w:oddVBand="0" w:evenVBand="0" w:oddHBand="0" w:evenHBand="0" w:firstRowFirstColumn="0" w:firstRowLastColumn="0" w:lastRowFirstColumn="0" w:lastRowLastColumn="0"/>
              <w:rPr>
                <w:rStyle w:val="eop"/>
                <w:rFonts w:eastAsiaTheme="majorEastAsia"/>
                <w:lang w:val="en-GB"/>
              </w:rPr>
            </w:pPr>
            <w:r w:rsidRPr="007522AC">
              <w:rPr>
                <w:rStyle w:val="eop"/>
                <w:rFonts w:eastAsiaTheme="majorEastAsia"/>
                <w:lang w:val="en-GB"/>
              </w:rPr>
              <w:t>Task Switching Wave 2</w:t>
            </w:r>
          </w:p>
        </w:tc>
        <w:tc>
          <w:tcPr>
            <w:tcW w:w="3034" w:type="dxa"/>
            <w:gridSpan w:val="2"/>
            <w:tcBorders>
              <w:top w:val="single" w:sz="4" w:space="0" w:color="auto"/>
            </w:tcBorders>
          </w:tcPr>
          <w:p w14:paraId="0128BEF6" w14:textId="77777777" w:rsidR="008F6770" w:rsidRPr="007522AC" w:rsidRDefault="008F6770" w:rsidP="007522AC">
            <w:pPr>
              <w:spacing w:line="480" w:lineRule="auto"/>
              <w:cnfStyle w:val="100000000000" w:firstRow="1" w:lastRow="0" w:firstColumn="0" w:lastColumn="0" w:oddVBand="0" w:evenVBand="0" w:oddHBand="0" w:evenHBand="0" w:firstRowFirstColumn="0" w:firstRowLastColumn="0" w:lastRowFirstColumn="0" w:lastRowLastColumn="0"/>
              <w:rPr>
                <w:rStyle w:val="eop"/>
                <w:rFonts w:eastAsiaTheme="majorEastAsia"/>
                <w:lang w:val="en-GB"/>
              </w:rPr>
            </w:pPr>
            <w:r w:rsidRPr="007522AC">
              <w:rPr>
                <w:rStyle w:val="eop"/>
                <w:rFonts w:eastAsiaTheme="majorEastAsia"/>
                <w:lang w:val="en-GB"/>
              </w:rPr>
              <w:t>Task Switching Wave 3</w:t>
            </w:r>
          </w:p>
        </w:tc>
      </w:tr>
      <w:tr w:rsidR="008F6770" w:rsidRPr="007522AC" w14:paraId="4F806BFB" w14:textId="77777777" w:rsidTr="00A818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9" w:type="dxa"/>
            <w:tcBorders>
              <w:top w:val="nil"/>
              <w:left w:val="nil"/>
              <w:bottom w:val="single" w:sz="4" w:space="0" w:color="auto"/>
              <w:right w:val="nil"/>
            </w:tcBorders>
            <w:shd w:val="clear" w:color="auto" w:fill="FFFFFF" w:themeFill="background1"/>
          </w:tcPr>
          <w:p w14:paraId="172ACA23" w14:textId="77777777" w:rsidR="008F6770" w:rsidRPr="007522AC" w:rsidRDefault="008F6770" w:rsidP="007522AC">
            <w:pPr>
              <w:spacing w:line="480" w:lineRule="auto"/>
              <w:rPr>
                <w:rStyle w:val="eop"/>
                <w:rFonts w:eastAsiaTheme="majorEastAsia"/>
                <w:lang w:val="en-GB"/>
              </w:rPr>
            </w:pPr>
          </w:p>
        </w:tc>
        <w:tc>
          <w:tcPr>
            <w:tcW w:w="844" w:type="dxa"/>
            <w:tcBorders>
              <w:top w:val="single" w:sz="4" w:space="0" w:color="auto"/>
              <w:left w:val="nil"/>
              <w:bottom w:val="single" w:sz="4" w:space="0" w:color="auto"/>
              <w:right w:val="nil"/>
            </w:tcBorders>
          </w:tcPr>
          <w:p w14:paraId="5F995294"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N</w:t>
            </w:r>
          </w:p>
        </w:tc>
        <w:tc>
          <w:tcPr>
            <w:tcW w:w="1967" w:type="dxa"/>
            <w:tcBorders>
              <w:left w:val="nil"/>
            </w:tcBorders>
          </w:tcPr>
          <w:p w14:paraId="1801E042"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Mean (SD)</w:t>
            </w:r>
          </w:p>
        </w:tc>
        <w:tc>
          <w:tcPr>
            <w:tcW w:w="1336" w:type="dxa"/>
          </w:tcPr>
          <w:p w14:paraId="1B04EFBD"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Range</w:t>
            </w:r>
          </w:p>
        </w:tc>
        <w:tc>
          <w:tcPr>
            <w:tcW w:w="1669" w:type="dxa"/>
          </w:tcPr>
          <w:p w14:paraId="276DDC23"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Mean (SD)</w:t>
            </w:r>
          </w:p>
        </w:tc>
        <w:tc>
          <w:tcPr>
            <w:tcW w:w="1365" w:type="dxa"/>
          </w:tcPr>
          <w:p w14:paraId="3CA2E037"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Range</w:t>
            </w:r>
          </w:p>
        </w:tc>
      </w:tr>
      <w:tr w:rsidR="008F6770" w:rsidRPr="007522AC" w14:paraId="3BC715C8" w14:textId="77777777" w:rsidTr="00A81831">
        <w:tc>
          <w:tcPr>
            <w:cnfStyle w:val="001000000000" w:firstRow="0" w:lastRow="0" w:firstColumn="1" w:lastColumn="0" w:oddVBand="0" w:evenVBand="0" w:oddHBand="0" w:evenHBand="0" w:firstRowFirstColumn="0" w:firstRowLastColumn="0" w:lastRowFirstColumn="0" w:lastRowLastColumn="0"/>
            <w:tcW w:w="1839" w:type="dxa"/>
            <w:tcBorders>
              <w:top w:val="single" w:sz="4" w:space="0" w:color="auto"/>
              <w:bottom w:val="single" w:sz="4" w:space="0" w:color="auto"/>
            </w:tcBorders>
          </w:tcPr>
          <w:p w14:paraId="0CBB5966" w14:textId="77777777" w:rsidR="008F6770" w:rsidRPr="007522AC" w:rsidRDefault="008F6770" w:rsidP="007522AC">
            <w:pPr>
              <w:spacing w:line="480" w:lineRule="auto"/>
              <w:rPr>
                <w:rStyle w:val="eop"/>
                <w:rFonts w:eastAsiaTheme="majorEastAsia"/>
                <w:lang w:val="en-GB"/>
              </w:rPr>
            </w:pPr>
            <w:r w:rsidRPr="007522AC">
              <w:rPr>
                <w:rStyle w:val="eop"/>
                <w:rFonts w:eastAsiaTheme="majorEastAsia"/>
                <w:lang w:val="en-GB"/>
              </w:rPr>
              <w:t>Monolingual</w:t>
            </w:r>
          </w:p>
        </w:tc>
        <w:tc>
          <w:tcPr>
            <w:tcW w:w="844" w:type="dxa"/>
            <w:tcBorders>
              <w:top w:val="single" w:sz="4" w:space="0" w:color="auto"/>
              <w:bottom w:val="single" w:sz="4" w:space="0" w:color="auto"/>
              <w:right w:val="nil"/>
            </w:tcBorders>
          </w:tcPr>
          <w:p w14:paraId="0A615009" w14:textId="77777777" w:rsidR="008F6770" w:rsidRPr="007522AC" w:rsidRDefault="008F6770" w:rsidP="007522AC">
            <w:pPr>
              <w:spacing w:line="480" w:lineRule="auto"/>
              <w:cnfStyle w:val="000000000000" w:firstRow="0" w:lastRow="0" w:firstColumn="0" w:lastColumn="0" w:oddVBand="0" w:evenVBand="0" w:oddHBand="0" w:evenHBand="0" w:firstRowFirstColumn="0" w:firstRowLastColumn="0" w:lastRowFirstColumn="0" w:lastRowLastColumn="0"/>
              <w:rPr>
                <w:rStyle w:val="eop"/>
                <w:rFonts w:eastAsiaTheme="majorEastAsia"/>
                <w:lang w:val="en-GB"/>
              </w:rPr>
            </w:pPr>
            <w:r w:rsidRPr="007522AC">
              <w:rPr>
                <w:rStyle w:val="eop"/>
                <w:rFonts w:eastAsiaTheme="majorEastAsia"/>
                <w:lang w:val="en-GB"/>
              </w:rPr>
              <w:t>40</w:t>
            </w:r>
          </w:p>
        </w:tc>
        <w:tc>
          <w:tcPr>
            <w:tcW w:w="1967" w:type="dxa"/>
            <w:tcBorders>
              <w:left w:val="nil"/>
            </w:tcBorders>
          </w:tcPr>
          <w:p w14:paraId="524822AA" w14:textId="77777777" w:rsidR="008F6770" w:rsidRPr="007522AC" w:rsidRDefault="008F6770" w:rsidP="007522AC">
            <w:pPr>
              <w:spacing w:line="480" w:lineRule="auto"/>
              <w:cnfStyle w:val="000000000000" w:firstRow="0" w:lastRow="0" w:firstColumn="0" w:lastColumn="0" w:oddVBand="0" w:evenVBand="0" w:oddHBand="0" w:evenHBand="0" w:firstRowFirstColumn="0" w:firstRowLastColumn="0" w:lastRowFirstColumn="0" w:lastRowLastColumn="0"/>
              <w:rPr>
                <w:rStyle w:val="eop"/>
                <w:rFonts w:eastAsiaTheme="majorEastAsia"/>
                <w:lang w:val="en-GB"/>
              </w:rPr>
            </w:pPr>
            <w:r w:rsidRPr="007522AC">
              <w:rPr>
                <w:rStyle w:val="eop"/>
                <w:rFonts w:eastAsiaTheme="majorEastAsia"/>
                <w:lang w:val="en-GB"/>
              </w:rPr>
              <w:t>1408.04 (427.14)</w:t>
            </w:r>
          </w:p>
        </w:tc>
        <w:tc>
          <w:tcPr>
            <w:tcW w:w="1336" w:type="dxa"/>
          </w:tcPr>
          <w:p w14:paraId="3466B2D8" w14:textId="77777777" w:rsidR="008F6770" w:rsidRPr="007522AC" w:rsidRDefault="008F6770" w:rsidP="007522AC">
            <w:pPr>
              <w:spacing w:line="480" w:lineRule="auto"/>
              <w:cnfStyle w:val="000000000000" w:firstRow="0" w:lastRow="0" w:firstColumn="0" w:lastColumn="0" w:oddVBand="0" w:evenVBand="0" w:oddHBand="0" w:evenHBand="0" w:firstRowFirstColumn="0" w:firstRowLastColumn="0" w:lastRowFirstColumn="0" w:lastRowLastColumn="0"/>
              <w:rPr>
                <w:rStyle w:val="eop"/>
                <w:rFonts w:eastAsiaTheme="majorEastAsia"/>
                <w:lang w:val="en-GB"/>
              </w:rPr>
            </w:pPr>
            <w:r w:rsidRPr="007522AC">
              <w:rPr>
                <w:rStyle w:val="eop"/>
                <w:rFonts w:eastAsiaTheme="majorEastAsia"/>
                <w:lang w:val="en-GB"/>
              </w:rPr>
              <w:t xml:space="preserve">491.3 – 2371.48 </w:t>
            </w:r>
          </w:p>
        </w:tc>
        <w:tc>
          <w:tcPr>
            <w:tcW w:w="1669" w:type="dxa"/>
          </w:tcPr>
          <w:p w14:paraId="62E7CF33" w14:textId="77777777" w:rsidR="008F6770" w:rsidRPr="007522AC" w:rsidRDefault="008F6770" w:rsidP="007522AC">
            <w:pPr>
              <w:spacing w:line="480" w:lineRule="auto"/>
              <w:cnfStyle w:val="000000000000" w:firstRow="0" w:lastRow="0" w:firstColumn="0" w:lastColumn="0" w:oddVBand="0" w:evenVBand="0" w:oddHBand="0" w:evenHBand="0" w:firstRowFirstColumn="0" w:firstRowLastColumn="0" w:lastRowFirstColumn="0" w:lastRowLastColumn="0"/>
              <w:rPr>
                <w:rStyle w:val="eop"/>
                <w:rFonts w:eastAsiaTheme="majorEastAsia"/>
                <w:lang w:val="en-GB"/>
              </w:rPr>
            </w:pPr>
            <w:r w:rsidRPr="007522AC">
              <w:rPr>
                <w:rStyle w:val="eop"/>
                <w:rFonts w:eastAsiaTheme="majorEastAsia"/>
                <w:lang w:val="en-GB"/>
              </w:rPr>
              <w:t xml:space="preserve">1174.15 (291.86) </w:t>
            </w:r>
          </w:p>
        </w:tc>
        <w:tc>
          <w:tcPr>
            <w:tcW w:w="1365" w:type="dxa"/>
          </w:tcPr>
          <w:p w14:paraId="7204C359" w14:textId="77777777" w:rsidR="008F6770" w:rsidRPr="007522AC" w:rsidRDefault="008F6770" w:rsidP="007522AC">
            <w:pPr>
              <w:spacing w:line="480" w:lineRule="auto"/>
              <w:cnfStyle w:val="000000000000" w:firstRow="0" w:lastRow="0" w:firstColumn="0" w:lastColumn="0" w:oddVBand="0" w:evenVBand="0" w:oddHBand="0" w:evenHBand="0" w:firstRowFirstColumn="0" w:firstRowLastColumn="0" w:lastRowFirstColumn="0" w:lastRowLastColumn="0"/>
              <w:rPr>
                <w:rStyle w:val="eop"/>
                <w:rFonts w:eastAsiaTheme="majorEastAsia"/>
                <w:lang w:val="en-GB"/>
              </w:rPr>
            </w:pPr>
            <w:r w:rsidRPr="007522AC">
              <w:rPr>
                <w:rStyle w:val="eop"/>
                <w:rFonts w:eastAsiaTheme="majorEastAsia"/>
                <w:lang w:val="en-GB"/>
              </w:rPr>
              <w:t>459.41 – 1816.35</w:t>
            </w:r>
          </w:p>
        </w:tc>
      </w:tr>
      <w:tr w:rsidR="008F6770" w:rsidRPr="007522AC" w14:paraId="74E0E087" w14:textId="77777777" w:rsidTr="00A818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9" w:type="dxa"/>
            <w:tcBorders>
              <w:top w:val="single" w:sz="4" w:space="0" w:color="auto"/>
              <w:bottom w:val="single" w:sz="4" w:space="0" w:color="auto"/>
            </w:tcBorders>
          </w:tcPr>
          <w:p w14:paraId="5F9B7B96" w14:textId="77777777" w:rsidR="008F6770" w:rsidRPr="007522AC" w:rsidRDefault="008F6770" w:rsidP="007522AC">
            <w:pPr>
              <w:spacing w:line="480" w:lineRule="auto"/>
              <w:rPr>
                <w:rStyle w:val="eop"/>
                <w:rFonts w:eastAsiaTheme="majorEastAsia"/>
                <w:lang w:val="en-GB"/>
              </w:rPr>
            </w:pPr>
            <w:r w:rsidRPr="007522AC">
              <w:rPr>
                <w:rStyle w:val="eop"/>
                <w:rFonts w:eastAsiaTheme="majorEastAsia"/>
                <w:lang w:val="en-GB"/>
              </w:rPr>
              <w:t>Bilingual</w:t>
            </w:r>
          </w:p>
        </w:tc>
        <w:tc>
          <w:tcPr>
            <w:tcW w:w="844" w:type="dxa"/>
            <w:tcBorders>
              <w:top w:val="single" w:sz="4" w:space="0" w:color="auto"/>
              <w:bottom w:val="single" w:sz="4" w:space="0" w:color="auto"/>
              <w:right w:val="nil"/>
            </w:tcBorders>
          </w:tcPr>
          <w:p w14:paraId="6AE112D7"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28</w:t>
            </w:r>
          </w:p>
        </w:tc>
        <w:tc>
          <w:tcPr>
            <w:tcW w:w="1967" w:type="dxa"/>
            <w:tcBorders>
              <w:left w:val="nil"/>
              <w:bottom w:val="single" w:sz="4" w:space="0" w:color="auto"/>
            </w:tcBorders>
          </w:tcPr>
          <w:p w14:paraId="579CAAC7"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1290.17 (402.39)</w:t>
            </w:r>
          </w:p>
        </w:tc>
        <w:tc>
          <w:tcPr>
            <w:tcW w:w="1336" w:type="dxa"/>
            <w:tcBorders>
              <w:bottom w:val="single" w:sz="4" w:space="0" w:color="auto"/>
            </w:tcBorders>
          </w:tcPr>
          <w:p w14:paraId="30508B0E"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 xml:space="preserve">606.22 – 2382.41 </w:t>
            </w:r>
          </w:p>
        </w:tc>
        <w:tc>
          <w:tcPr>
            <w:tcW w:w="1669" w:type="dxa"/>
            <w:tcBorders>
              <w:bottom w:val="single" w:sz="4" w:space="0" w:color="auto"/>
            </w:tcBorders>
          </w:tcPr>
          <w:p w14:paraId="1CF36E1B"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1246.32 (356.52)</w:t>
            </w:r>
          </w:p>
        </w:tc>
        <w:tc>
          <w:tcPr>
            <w:tcW w:w="1365" w:type="dxa"/>
            <w:tcBorders>
              <w:bottom w:val="single" w:sz="4" w:space="0" w:color="auto"/>
            </w:tcBorders>
          </w:tcPr>
          <w:p w14:paraId="41D3C95E" w14:textId="77777777" w:rsidR="008F6770" w:rsidRPr="007522AC" w:rsidRDefault="008F6770" w:rsidP="007522AC">
            <w:pPr>
              <w:spacing w:line="480" w:lineRule="auto"/>
              <w:cnfStyle w:val="000000100000" w:firstRow="0" w:lastRow="0" w:firstColumn="0" w:lastColumn="0" w:oddVBand="0" w:evenVBand="0" w:oddHBand="1" w:evenHBand="0" w:firstRowFirstColumn="0" w:firstRowLastColumn="0" w:lastRowFirstColumn="0" w:lastRowLastColumn="0"/>
              <w:rPr>
                <w:rStyle w:val="eop"/>
                <w:rFonts w:eastAsiaTheme="majorEastAsia"/>
                <w:lang w:val="en-GB"/>
              </w:rPr>
            </w:pPr>
            <w:r w:rsidRPr="007522AC">
              <w:rPr>
                <w:rStyle w:val="eop"/>
                <w:rFonts w:eastAsiaTheme="majorEastAsia"/>
                <w:lang w:val="en-GB"/>
              </w:rPr>
              <w:t>591.69 – 1978.76</w:t>
            </w:r>
          </w:p>
        </w:tc>
      </w:tr>
    </w:tbl>
    <w:p w14:paraId="4171BA46" w14:textId="77777777" w:rsidR="008F6770" w:rsidRPr="007522AC" w:rsidRDefault="008F6770" w:rsidP="007522AC">
      <w:pPr>
        <w:pStyle w:val="paragraph"/>
        <w:spacing w:before="0" w:beforeAutospacing="0" w:after="0" w:afterAutospacing="0" w:line="480" w:lineRule="auto"/>
        <w:ind w:firstLine="720"/>
        <w:textAlignment w:val="baseline"/>
        <w:rPr>
          <w:rStyle w:val="eop"/>
          <w:rFonts w:eastAsiaTheme="majorEastAsia"/>
          <w:lang w:val="en-GB"/>
        </w:rPr>
      </w:pPr>
    </w:p>
    <w:p w14:paraId="6469767D" w14:textId="498FEF7E" w:rsidR="006A7481" w:rsidRPr="007522AC" w:rsidRDefault="006A7481" w:rsidP="007522AC">
      <w:pPr>
        <w:pStyle w:val="paragraph"/>
        <w:spacing w:before="0" w:beforeAutospacing="0" w:after="0" w:afterAutospacing="0" w:line="480" w:lineRule="auto"/>
        <w:ind w:firstLine="720"/>
        <w:textAlignment w:val="baseline"/>
        <w:rPr>
          <w:rStyle w:val="eop"/>
          <w:rFonts w:eastAsiaTheme="majorEastAsia"/>
          <w:lang w:val="en-GB"/>
        </w:rPr>
      </w:pPr>
      <w:r w:rsidRPr="007522AC">
        <w:rPr>
          <w:rStyle w:val="eop"/>
          <w:rFonts w:eastAsiaTheme="majorEastAsia"/>
          <w:lang w:val="en-GB"/>
        </w:rPr>
        <w:t>The assumption of normality was tested using the Shapiro-Wilk test. The assumption of normality has been met for both waves one (</w:t>
      </w:r>
      <w:r w:rsidRPr="007522AC">
        <w:rPr>
          <w:rStyle w:val="eop"/>
          <w:rFonts w:eastAsiaTheme="majorEastAsia"/>
          <w:i/>
          <w:iCs/>
          <w:lang w:val="en-GB"/>
        </w:rPr>
        <w:t>W</w:t>
      </w:r>
      <w:r w:rsidRPr="007522AC">
        <w:rPr>
          <w:rStyle w:val="eop"/>
          <w:rFonts w:eastAsiaTheme="majorEastAsia"/>
          <w:lang w:val="en-GB"/>
        </w:rPr>
        <w:t xml:space="preserve"> =.983, </w:t>
      </w:r>
      <w:r w:rsidRPr="007522AC">
        <w:rPr>
          <w:rStyle w:val="eop"/>
          <w:rFonts w:eastAsiaTheme="majorEastAsia"/>
          <w:i/>
          <w:iCs/>
          <w:lang w:val="en-GB"/>
        </w:rPr>
        <w:t>p</w:t>
      </w:r>
      <w:r w:rsidRPr="007522AC">
        <w:rPr>
          <w:rStyle w:val="eop"/>
          <w:rFonts w:eastAsiaTheme="majorEastAsia"/>
          <w:lang w:val="en-GB"/>
        </w:rPr>
        <w:t xml:space="preserve"> = .480) and two (</w:t>
      </w:r>
      <w:r w:rsidRPr="007522AC">
        <w:rPr>
          <w:rStyle w:val="eop"/>
          <w:rFonts w:eastAsiaTheme="majorEastAsia"/>
          <w:i/>
          <w:iCs/>
          <w:lang w:val="en-GB"/>
        </w:rPr>
        <w:t xml:space="preserve">W </w:t>
      </w:r>
      <w:r w:rsidRPr="007522AC">
        <w:rPr>
          <w:rStyle w:val="eop"/>
          <w:rFonts w:eastAsiaTheme="majorEastAsia"/>
          <w:lang w:val="en-GB"/>
        </w:rPr>
        <w:t>= .</w:t>
      </w:r>
      <w:r w:rsidR="005A5916" w:rsidRPr="007522AC">
        <w:rPr>
          <w:rStyle w:val="eop"/>
          <w:rFonts w:eastAsiaTheme="majorEastAsia"/>
          <w:lang w:val="en-GB"/>
        </w:rPr>
        <w:t>986, p</w:t>
      </w:r>
      <w:r w:rsidRPr="007522AC">
        <w:rPr>
          <w:rStyle w:val="eop"/>
          <w:rFonts w:eastAsiaTheme="majorEastAsia"/>
          <w:i/>
          <w:iCs/>
          <w:lang w:val="en-GB"/>
        </w:rPr>
        <w:t xml:space="preserve"> </w:t>
      </w:r>
      <w:r w:rsidRPr="007522AC">
        <w:rPr>
          <w:rStyle w:val="eop"/>
          <w:rFonts w:eastAsiaTheme="majorEastAsia"/>
          <w:lang w:val="en-GB"/>
        </w:rPr>
        <w:t xml:space="preserve">= </w:t>
      </w:r>
      <w:r w:rsidR="005A5916" w:rsidRPr="007522AC">
        <w:rPr>
          <w:rStyle w:val="eop"/>
          <w:rFonts w:eastAsiaTheme="majorEastAsia"/>
          <w:lang w:val="en-GB"/>
        </w:rPr>
        <w:t>.</w:t>
      </w:r>
      <w:r w:rsidRPr="007522AC">
        <w:rPr>
          <w:rStyle w:val="eop"/>
          <w:rFonts w:eastAsiaTheme="majorEastAsia"/>
          <w:lang w:val="en-GB"/>
        </w:rPr>
        <w:t>665) for task switching ability</w:t>
      </w:r>
      <w:r w:rsidR="008505DE" w:rsidRPr="007522AC">
        <w:rPr>
          <w:rStyle w:val="eop"/>
          <w:rFonts w:eastAsiaTheme="majorEastAsia"/>
          <w:lang w:val="en-GB"/>
        </w:rPr>
        <w:t xml:space="preserve">. </w:t>
      </w:r>
    </w:p>
    <w:p w14:paraId="3CF37739" w14:textId="61AB6302" w:rsidR="006A7481" w:rsidRPr="007522AC" w:rsidRDefault="006A7481" w:rsidP="007522AC">
      <w:pPr>
        <w:pStyle w:val="paragraph"/>
        <w:spacing w:before="0" w:beforeAutospacing="0" w:after="0" w:afterAutospacing="0" w:line="480" w:lineRule="auto"/>
        <w:textAlignment w:val="baseline"/>
        <w:rPr>
          <w:rStyle w:val="eop"/>
          <w:rFonts w:eastAsiaTheme="majorEastAsia"/>
          <w:lang w:val="en-GB"/>
        </w:rPr>
      </w:pPr>
      <w:r w:rsidRPr="007522AC">
        <w:rPr>
          <w:rStyle w:val="eop"/>
          <w:rFonts w:eastAsiaTheme="majorEastAsia"/>
          <w:lang w:val="en-GB"/>
        </w:rPr>
        <w:tab/>
        <w:t>The assumption of homogeneity was tested using the Levene’s test for homogeneity of variances. The variances of waves one and two were compared. A Levene’s test of homogeneity of variances indicated that the variances were homogenous for wave one (</w:t>
      </w:r>
      <w:proofErr w:type="gramStart"/>
      <w:r w:rsidRPr="007522AC">
        <w:rPr>
          <w:rStyle w:val="eop"/>
          <w:rFonts w:eastAsiaTheme="majorEastAsia"/>
          <w:i/>
          <w:iCs/>
          <w:lang w:val="en-GB"/>
        </w:rPr>
        <w:t>F</w:t>
      </w:r>
      <w:r w:rsidRPr="007522AC">
        <w:rPr>
          <w:rStyle w:val="eop"/>
          <w:rFonts w:eastAsiaTheme="majorEastAsia"/>
          <w:lang w:val="en-GB"/>
        </w:rPr>
        <w:t>(</w:t>
      </w:r>
      <w:proofErr w:type="gramEnd"/>
      <w:r w:rsidRPr="007522AC">
        <w:rPr>
          <w:rStyle w:val="eop"/>
          <w:rFonts w:eastAsiaTheme="majorEastAsia"/>
          <w:lang w:val="en-GB"/>
        </w:rPr>
        <w:t>1, 66) = .8</w:t>
      </w:r>
      <w:r w:rsidR="00DB7561">
        <w:rPr>
          <w:rStyle w:val="eop"/>
          <w:rFonts w:eastAsiaTheme="majorEastAsia"/>
          <w:lang w:val="en-GB"/>
        </w:rPr>
        <w:t>2</w:t>
      </w:r>
      <w:r w:rsidRPr="007522AC">
        <w:rPr>
          <w:rStyle w:val="eop"/>
          <w:rFonts w:eastAsiaTheme="majorEastAsia"/>
          <w:lang w:val="en-GB"/>
        </w:rPr>
        <w:t xml:space="preserve">, </w:t>
      </w:r>
      <w:r w:rsidRPr="007522AC">
        <w:rPr>
          <w:rStyle w:val="eop"/>
          <w:rFonts w:eastAsiaTheme="majorEastAsia"/>
          <w:i/>
          <w:iCs/>
          <w:lang w:val="en-GB"/>
        </w:rPr>
        <w:t>p</w:t>
      </w:r>
      <w:r w:rsidR="00392C1C" w:rsidRPr="007522AC">
        <w:rPr>
          <w:rStyle w:val="eop"/>
          <w:rFonts w:eastAsiaTheme="majorEastAsia"/>
          <w:i/>
          <w:iCs/>
          <w:lang w:val="en-GB"/>
        </w:rPr>
        <w:t xml:space="preserve"> </w:t>
      </w:r>
      <w:r w:rsidRPr="007522AC">
        <w:rPr>
          <w:rStyle w:val="eop"/>
          <w:rFonts w:eastAsiaTheme="majorEastAsia"/>
          <w:lang w:val="en-GB"/>
        </w:rPr>
        <w:t>= .37) and for wave two (</w:t>
      </w:r>
      <w:proofErr w:type="gramStart"/>
      <w:r w:rsidRPr="007522AC">
        <w:rPr>
          <w:rStyle w:val="eop"/>
          <w:rFonts w:eastAsiaTheme="majorEastAsia"/>
          <w:i/>
          <w:iCs/>
          <w:lang w:val="en-GB"/>
        </w:rPr>
        <w:t>F</w:t>
      </w:r>
      <w:r w:rsidRPr="007522AC">
        <w:rPr>
          <w:rStyle w:val="eop"/>
          <w:rFonts w:eastAsiaTheme="majorEastAsia"/>
          <w:lang w:val="en-GB"/>
        </w:rPr>
        <w:t>(</w:t>
      </w:r>
      <w:proofErr w:type="gramEnd"/>
      <w:r w:rsidRPr="007522AC">
        <w:rPr>
          <w:rStyle w:val="eop"/>
          <w:rFonts w:eastAsiaTheme="majorEastAsia"/>
          <w:lang w:val="en-GB"/>
        </w:rPr>
        <w:t xml:space="preserve">1,66) = 1.49, </w:t>
      </w:r>
      <w:r w:rsidRPr="007522AC">
        <w:rPr>
          <w:rStyle w:val="eop"/>
          <w:rFonts w:eastAsiaTheme="majorEastAsia"/>
          <w:i/>
          <w:iCs/>
          <w:lang w:val="en-GB"/>
        </w:rPr>
        <w:t xml:space="preserve">p </w:t>
      </w:r>
      <w:r w:rsidRPr="007522AC">
        <w:rPr>
          <w:rStyle w:val="eop"/>
          <w:rFonts w:eastAsiaTheme="majorEastAsia"/>
          <w:lang w:val="en-GB"/>
        </w:rPr>
        <w:t xml:space="preserve">= .23). </w:t>
      </w:r>
    </w:p>
    <w:p w14:paraId="63318911" w14:textId="55FF888C" w:rsidR="006A7481" w:rsidRPr="007522AC" w:rsidRDefault="006A7481" w:rsidP="007522AC">
      <w:pPr>
        <w:pStyle w:val="paragraph"/>
        <w:spacing w:before="0" w:beforeAutospacing="0" w:after="0" w:afterAutospacing="0" w:line="480" w:lineRule="auto"/>
        <w:textAlignment w:val="baseline"/>
        <w:rPr>
          <w:rStyle w:val="eop"/>
          <w:rFonts w:eastAsiaTheme="majorEastAsia"/>
          <w:lang w:val="en-GB"/>
        </w:rPr>
      </w:pPr>
      <w:r w:rsidRPr="007522AC">
        <w:rPr>
          <w:rStyle w:val="eop"/>
          <w:rFonts w:eastAsiaTheme="majorEastAsia"/>
          <w:lang w:val="en-GB"/>
        </w:rPr>
        <w:tab/>
        <w:t>Sphericity is assumed using Mauchly’s test (</w:t>
      </w:r>
      <w:r w:rsidRPr="007522AC">
        <w:rPr>
          <w:rStyle w:val="eop"/>
          <w:rFonts w:eastAsiaTheme="majorEastAsia"/>
          <w:i/>
          <w:iCs/>
          <w:lang w:val="en-GB"/>
        </w:rPr>
        <w:t xml:space="preserve">W </w:t>
      </w:r>
      <w:r w:rsidRPr="007522AC">
        <w:rPr>
          <w:rStyle w:val="eop"/>
          <w:rFonts w:eastAsiaTheme="majorEastAsia"/>
          <w:lang w:val="en-GB"/>
        </w:rPr>
        <w:t xml:space="preserve">= 1, </w:t>
      </w:r>
      <w:r w:rsidRPr="007522AC">
        <w:rPr>
          <w:rStyle w:val="eop"/>
          <w:rFonts w:eastAsiaTheme="majorEastAsia"/>
          <w:i/>
          <w:iCs/>
          <w:lang w:val="en-GB"/>
        </w:rPr>
        <w:t xml:space="preserve">p </w:t>
      </w:r>
      <w:proofErr w:type="gramStart"/>
      <w:r w:rsidRPr="007522AC">
        <w:rPr>
          <w:rStyle w:val="eop"/>
          <w:rFonts w:eastAsiaTheme="majorEastAsia"/>
          <w:lang w:val="en-GB"/>
        </w:rPr>
        <w:t>= .</w:t>
      </w:r>
      <w:proofErr w:type="gramEnd"/>
      <w:r w:rsidRPr="007522AC">
        <w:rPr>
          <w:rStyle w:val="eop"/>
          <w:rFonts w:eastAsiaTheme="majorEastAsia"/>
          <w:lang w:val="en-GB"/>
        </w:rPr>
        <w:t xml:space="preserve">). Therefore, the tests within subject effect </w:t>
      </w:r>
      <w:r w:rsidR="009D0313" w:rsidRPr="007522AC">
        <w:rPr>
          <w:rStyle w:val="eop"/>
          <w:rFonts w:eastAsiaTheme="majorEastAsia"/>
          <w:lang w:val="en-GB"/>
        </w:rPr>
        <w:t>have</w:t>
      </w:r>
      <w:r w:rsidRPr="007522AC">
        <w:rPr>
          <w:rStyle w:val="eop"/>
          <w:rFonts w:eastAsiaTheme="majorEastAsia"/>
          <w:lang w:val="en-GB"/>
        </w:rPr>
        <w:t xml:space="preserve"> been used (</w:t>
      </w:r>
      <w:proofErr w:type="gramStart"/>
      <w:r w:rsidRPr="007522AC">
        <w:rPr>
          <w:rStyle w:val="eop"/>
          <w:rFonts w:eastAsiaTheme="majorEastAsia"/>
          <w:i/>
          <w:iCs/>
          <w:lang w:val="en-GB"/>
        </w:rPr>
        <w:t>F</w:t>
      </w:r>
      <w:r w:rsidRPr="007522AC">
        <w:rPr>
          <w:rStyle w:val="eop"/>
          <w:rFonts w:eastAsiaTheme="majorEastAsia"/>
          <w:lang w:val="en-GB"/>
        </w:rPr>
        <w:t>(</w:t>
      </w:r>
      <w:proofErr w:type="gramEnd"/>
      <w:r w:rsidRPr="007522AC">
        <w:rPr>
          <w:rStyle w:val="eop"/>
          <w:rFonts w:eastAsiaTheme="majorEastAsia"/>
          <w:lang w:val="en-GB"/>
        </w:rPr>
        <w:t xml:space="preserve">1,66) = 9.45, </w:t>
      </w:r>
      <w:r w:rsidRPr="007522AC">
        <w:rPr>
          <w:rStyle w:val="eop"/>
          <w:rFonts w:eastAsiaTheme="majorEastAsia"/>
          <w:i/>
          <w:iCs/>
          <w:lang w:val="en-GB"/>
        </w:rPr>
        <w:t>p</w:t>
      </w:r>
      <w:r w:rsidR="005A5916" w:rsidRPr="007522AC">
        <w:rPr>
          <w:rStyle w:val="eop"/>
          <w:rFonts w:eastAsiaTheme="majorEastAsia"/>
          <w:i/>
          <w:iCs/>
          <w:lang w:val="en-GB"/>
        </w:rPr>
        <w:t xml:space="preserve"> </w:t>
      </w:r>
      <w:r w:rsidRPr="007522AC">
        <w:rPr>
          <w:rStyle w:val="eop"/>
          <w:rFonts w:eastAsiaTheme="majorEastAsia"/>
          <w:lang w:val="en-GB"/>
        </w:rPr>
        <w:t xml:space="preserve">= .003, </w:t>
      </w:r>
      <w:r w:rsidRPr="007522AC">
        <w:rPr>
          <w:rStyle w:val="eop"/>
          <w:rFonts w:eastAsiaTheme="majorEastAsia"/>
          <w:i/>
          <w:iCs/>
          <w:color w:val="000000" w:themeColor="text1"/>
          <w:lang w:val="en-GB"/>
        </w:rPr>
        <w:t xml:space="preserve">η²ₚ = </w:t>
      </w:r>
      <w:r w:rsidRPr="007522AC">
        <w:rPr>
          <w:rStyle w:val="eop"/>
          <w:rFonts w:eastAsiaTheme="majorEastAsia"/>
          <w:lang w:val="en-GB"/>
        </w:rPr>
        <w:t xml:space="preserve">.13). </w:t>
      </w:r>
    </w:p>
    <w:p w14:paraId="5E2971F3" w14:textId="77777777" w:rsidR="00720035" w:rsidRDefault="001D46F0" w:rsidP="007522AC">
      <w:pPr>
        <w:spacing w:line="480" w:lineRule="auto"/>
        <w:ind w:firstLine="720"/>
        <w:rPr>
          <w:rStyle w:val="eop"/>
          <w:rFonts w:eastAsiaTheme="majorEastAsia"/>
          <w:color w:val="000000" w:themeColor="text1"/>
          <w:lang w:val="en-GB"/>
        </w:rPr>
      </w:pPr>
      <w:r w:rsidRPr="007522AC">
        <w:rPr>
          <w:rStyle w:val="eop"/>
          <w:rFonts w:eastAsiaTheme="majorEastAsia"/>
          <w:color w:val="000000" w:themeColor="text1"/>
          <w:lang w:val="en-GB"/>
        </w:rPr>
        <w:t xml:space="preserve">The mixed ANOVA with repeated measures </w:t>
      </w:r>
      <w:r w:rsidR="00226DA3" w:rsidRPr="007522AC">
        <w:rPr>
          <w:rStyle w:val="eop"/>
          <w:rFonts w:eastAsiaTheme="majorEastAsia"/>
          <w:color w:val="000000" w:themeColor="text1"/>
          <w:lang w:val="en-GB"/>
        </w:rPr>
        <w:t>revealed</w:t>
      </w:r>
      <w:r w:rsidRPr="007522AC">
        <w:rPr>
          <w:rStyle w:val="eop"/>
          <w:rFonts w:eastAsiaTheme="majorEastAsia"/>
          <w:color w:val="000000" w:themeColor="text1"/>
          <w:lang w:val="en-GB"/>
        </w:rPr>
        <w:t xml:space="preserve"> a significant interaction effect between language</w:t>
      </w:r>
      <w:r w:rsidR="00226DA3" w:rsidRPr="007522AC">
        <w:rPr>
          <w:rStyle w:val="eop"/>
          <w:rFonts w:eastAsiaTheme="majorEastAsia"/>
          <w:color w:val="000000" w:themeColor="text1"/>
          <w:lang w:val="en-GB"/>
        </w:rPr>
        <w:t xml:space="preserve"> group</w:t>
      </w:r>
      <w:r w:rsidRPr="007522AC">
        <w:rPr>
          <w:rStyle w:val="eop"/>
          <w:rFonts w:eastAsiaTheme="majorEastAsia"/>
          <w:color w:val="000000" w:themeColor="text1"/>
          <w:lang w:val="en-GB"/>
        </w:rPr>
        <w:t xml:space="preserve"> and time (</w:t>
      </w:r>
      <w:proofErr w:type="gramStart"/>
      <w:r w:rsidRPr="007522AC">
        <w:rPr>
          <w:rStyle w:val="eop"/>
          <w:rFonts w:eastAsiaTheme="majorEastAsia"/>
          <w:i/>
          <w:iCs/>
          <w:color w:val="000000" w:themeColor="text1"/>
          <w:lang w:val="en-GB"/>
        </w:rPr>
        <w:t>F</w:t>
      </w:r>
      <w:r w:rsidRPr="007522AC">
        <w:rPr>
          <w:rStyle w:val="eop"/>
          <w:rFonts w:eastAsiaTheme="majorEastAsia"/>
          <w:color w:val="000000" w:themeColor="text1"/>
          <w:lang w:val="en-GB"/>
        </w:rPr>
        <w:t>(</w:t>
      </w:r>
      <w:proofErr w:type="gramEnd"/>
      <w:r w:rsidRPr="007522AC">
        <w:rPr>
          <w:rStyle w:val="eop"/>
          <w:rFonts w:eastAsiaTheme="majorEastAsia"/>
          <w:color w:val="000000" w:themeColor="text1"/>
          <w:lang w:val="en-GB"/>
        </w:rPr>
        <w:t>1,66)</w:t>
      </w:r>
      <w:r w:rsidR="00DB7561">
        <w:rPr>
          <w:rStyle w:val="eop"/>
          <w:rFonts w:eastAsiaTheme="majorEastAsia"/>
          <w:color w:val="000000" w:themeColor="text1"/>
          <w:lang w:val="en-GB"/>
        </w:rPr>
        <w:t xml:space="preserve"> </w:t>
      </w:r>
      <w:r w:rsidRPr="007522AC">
        <w:rPr>
          <w:rStyle w:val="eop"/>
          <w:rFonts w:eastAsiaTheme="majorEastAsia"/>
          <w:color w:val="000000" w:themeColor="text1"/>
          <w:lang w:val="en-GB"/>
        </w:rPr>
        <w:t>=</w:t>
      </w:r>
      <w:r w:rsidR="00DB7561">
        <w:rPr>
          <w:rStyle w:val="eop"/>
          <w:rFonts w:eastAsiaTheme="majorEastAsia"/>
          <w:color w:val="000000" w:themeColor="text1"/>
          <w:lang w:val="en-GB"/>
        </w:rPr>
        <w:t xml:space="preserve"> </w:t>
      </w:r>
      <w:r w:rsidRPr="007522AC">
        <w:rPr>
          <w:rStyle w:val="eop"/>
          <w:rFonts w:eastAsiaTheme="majorEastAsia"/>
          <w:color w:val="000000" w:themeColor="text1"/>
          <w:lang w:val="en-GB"/>
        </w:rPr>
        <w:t xml:space="preserve">4.43, </w:t>
      </w:r>
      <w:r w:rsidRPr="007522AC">
        <w:rPr>
          <w:rStyle w:val="eop"/>
          <w:rFonts w:eastAsiaTheme="majorEastAsia"/>
          <w:i/>
          <w:iCs/>
          <w:color w:val="000000" w:themeColor="text1"/>
          <w:lang w:val="en-GB"/>
        </w:rPr>
        <w:t xml:space="preserve">p </w:t>
      </w:r>
      <w:r w:rsidRPr="007522AC">
        <w:rPr>
          <w:rStyle w:val="eop"/>
          <w:rFonts w:eastAsiaTheme="majorEastAsia"/>
          <w:color w:val="000000" w:themeColor="text1"/>
          <w:lang w:val="en-GB"/>
        </w:rPr>
        <w:t xml:space="preserve">= .039, </w:t>
      </w:r>
      <w:r w:rsidRPr="007522AC">
        <w:rPr>
          <w:rStyle w:val="eop"/>
          <w:rFonts w:eastAsiaTheme="majorEastAsia"/>
          <w:i/>
          <w:iCs/>
          <w:color w:val="000000" w:themeColor="text1"/>
          <w:lang w:val="en-GB"/>
        </w:rPr>
        <w:t>η²ₚ</w:t>
      </w:r>
      <w:r w:rsidRPr="007522AC">
        <w:rPr>
          <w:rStyle w:val="eop"/>
          <w:rFonts w:eastAsiaTheme="majorEastAsia"/>
          <w:color w:val="000000" w:themeColor="text1"/>
          <w:lang w:val="en-GB"/>
        </w:rPr>
        <w:t xml:space="preserve"> = .063), </w:t>
      </w:r>
      <w:r w:rsidR="00226DA3" w:rsidRPr="007522AC">
        <w:rPr>
          <w:rStyle w:val="eop"/>
          <w:rFonts w:eastAsiaTheme="majorEastAsia"/>
          <w:color w:val="000000" w:themeColor="text1"/>
          <w:lang w:val="en-GB"/>
        </w:rPr>
        <w:t xml:space="preserve">indicating that the change in task-switching performance from Wave 2 to Wave 3 differed between monolingual and bilingual children. </w:t>
      </w:r>
      <w:r w:rsidR="00720035" w:rsidRPr="00720035">
        <w:rPr>
          <w:rStyle w:val="eop"/>
          <w:rFonts w:eastAsiaTheme="majorEastAsia"/>
          <w:color w:val="000000" w:themeColor="text1"/>
          <w:lang w:val="en-GB"/>
        </w:rPr>
        <w:t xml:space="preserve">Post hoc pairwise comparisons showed that monolingual children significantly improved their task-switching performance from Wave 2 to Wave 3 </w:t>
      </w:r>
      <w:r w:rsidR="00720035">
        <w:rPr>
          <w:rStyle w:val="eop"/>
          <w:rFonts w:eastAsiaTheme="majorEastAsia"/>
          <w:color w:val="000000" w:themeColor="text1"/>
          <w:lang w:val="en-GB"/>
        </w:rPr>
        <w:t>(</w:t>
      </w:r>
      <w:proofErr w:type="gramStart"/>
      <w:r w:rsidR="00720035" w:rsidRPr="00720035">
        <w:rPr>
          <w:rStyle w:val="eop"/>
          <w:rFonts w:eastAsiaTheme="majorEastAsia"/>
          <w:i/>
          <w:iCs/>
          <w:color w:val="000000" w:themeColor="text1"/>
          <w:lang w:val="en-GB"/>
        </w:rPr>
        <w:t>t</w:t>
      </w:r>
      <w:r w:rsidR="00720035" w:rsidRPr="00720035">
        <w:rPr>
          <w:rStyle w:val="eop"/>
          <w:rFonts w:eastAsiaTheme="majorEastAsia"/>
          <w:color w:val="000000" w:themeColor="text1"/>
          <w:lang w:val="en-GB"/>
        </w:rPr>
        <w:t>(</w:t>
      </w:r>
      <w:proofErr w:type="gramEnd"/>
      <w:r w:rsidR="00720035" w:rsidRPr="00720035">
        <w:rPr>
          <w:rStyle w:val="eop"/>
          <w:rFonts w:eastAsiaTheme="majorEastAsia"/>
          <w:color w:val="000000" w:themeColor="text1"/>
          <w:lang w:val="en-GB"/>
        </w:rPr>
        <w:t xml:space="preserve">39) = 4.59, </w:t>
      </w:r>
      <w:r w:rsidR="00720035" w:rsidRPr="00720035">
        <w:rPr>
          <w:rStyle w:val="eop"/>
          <w:rFonts w:eastAsiaTheme="majorEastAsia"/>
          <w:i/>
          <w:iCs/>
          <w:color w:val="000000" w:themeColor="text1"/>
          <w:lang w:val="en-GB"/>
        </w:rPr>
        <w:t>p</w:t>
      </w:r>
      <w:r w:rsidR="00720035" w:rsidRPr="00720035">
        <w:rPr>
          <w:rStyle w:val="eop"/>
          <w:rFonts w:eastAsiaTheme="majorEastAsia"/>
          <w:color w:val="000000" w:themeColor="text1"/>
          <w:lang w:val="en-GB"/>
        </w:rPr>
        <w:t xml:space="preserve"> &lt; .001</w:t>
      </w:r>
      <w:r w:rsidR="00720035">
        <w:rPr>
          <w:rStyle w:val="eop"/>
          <w:rFonts w:eastAsiaTheme="majorEastAsia"/>
          <w:color w:val="000000" w:themeColor="text1"/>
          <w:lang w:val="en-GB"/>
        </w:rPr>
        <w:t>)</w:t>
      </w:r>
      <w:r w:rsidR="00720035" w:rsidRPr="00720035">
        <w:rPr>
          <w:rStyle w:val="eop"/>
          <w:rFonts w:eastAsiaTheme="majorEastAsia"/>
          <w:color w:val="000000" w:themeColor="text1"/>
          <w:lang w:val="en-GB"/>
        </w:rPr>
        <w:t>, whereas no significant change was observed for bilingual children</w:t>
      </w:r>
      <w:r w:rsidR="00720035">
        <w:rPr>
          <w:rStyle w:val="eop"/>
          <w:rFonts w:eastAsiaTheme="majorEastAsia"/>
          <w:color w:val="000000" w:themeColor="text1"/>
          <w:lang w:val="en-GB"/>
        </w:rPr>
        <w:t xml:space="preserve"> (</w:t>
      </w:r>
      <w:proofErr w:type="gramStart"/>
      <w:r w:rsidR="00720035" w:rsidRPr="00720035">
        <w:rPr>
          <w:rStyle w:val="eop"/>
          <w:rFonts w:eastAsiaTheme="majorEastAsia"/>
          <w:i/>
          <w:iCs/>
          <w:color w:val="000000" w:themeColor="text1"/>
          <w:lang w:val="en-GB"/>
        </w:rPr>
        <w:t>t</w:t>
      </w:r>
      <w:r w:rsidR="00720035" w:rsidRPr="00720035">
        <w:rPr>
          <w:rStyle w:val="eop"/>
          <w:rFonts w:eastAsiaTheme="majorEastAsia"/>
          <w:color w:val="000000" w:themeColor="text1"/>
          <w:lang w:val="en-GB"/>
        </w:rPr>
        <w:t>(</w:t>
      </w:r>
      <w:proofErr w:type="gramEnd"/>
      <w:r w:rsidR="00720035" w:rsidRPr="00720035">
        <w:rPr>
          <w:rStyle w:val="eop"/>
          <w:rFonts w:eastAsiaTheme="majorEastAsia"/>
          <w:color w:val="000000" w:themeColor="text1"/>
          <w:lang w:val="en-GB"/>
        </w:rPr>
        <w:t xml:space="preserve">27) = 0.55, </w:t>
      </w:r>
      <w:r w:rsidR="00720035" w:rsidRPr="00720035">
        <w:rPr>
          <w:rStyle w:val="eop"/>
          <w:rFonts w:eastAsiaTheme="majorEastAsia"/>
          <w:i/>
          <w:iCs/>
          <w:color w:val="000000" w:themeColor="text1"/>
          <w:lang w:val="en-GB"/>
        </w:rPr>
        <w:t>p</w:t>
      </w:r>
      <w:r w:rsidR="00720035" w:rsidRPr="00720035">
        <w:rPr>
          <w:rStyle w:val="eop"/>
          <w:rFonts w:eastAsiaTheme="majorEastAsia"/>
          <w:color w:val="000000" w:themeColor="text1"/>
          <w:lang w:val="en-GB"/>
        </w:rPr>
        <w:t xml:space="preserve"> = .59</w:t>
      </w:r>
      <w:r w:rsidR="00720035">
        <w:rPr>
          <w:rStyle w:val="eop"/>
          <w:rFonts w:eastAsiaTheme="majorEastAsia"/>
          <w:color w:val="000000" w:themeColor="text1"/>
          <w:lang w:val="en-GB"/>
        </w:rPr>
        <w:t>)</w:t>
      </w:r>
      <w:r w:rsidR="00720035" w:rsidRPr="00720035">
        <w:rPr>
          <w:rStyle w:val="eop"/>
          <w:rFonts w:eastAsiaTheme="majorEastAsia"/>
          <w:color w:val="000000" w:themeColor="text1"/>
          <w:lang w:val="en-GB"/>
        </w:rPr>
        <w:t xml:space="preserve">. </w:t>
      </w:r>
      <w:r w:rsidR="00226DA3" w:rsidRPr="007522AC">
        <w:rPr>
          <w:rStyle w:val="eop"/>
          <w:rFonts w:eastAsiaTheme="majorEastAsia"/>
          <w:color w:val="000000" w:themeColor="text1"/>
          <w:lang w:val="en-GB"/>
        </w:rPr>
        <w:t>There was also</w:t>
      </w:r>
      <w:r w:rsidR="00E7402B" w:rsidRPr="007522AC">
        <w:rPr>
          <w:rStyle w:val="eop"/>
          <w:rFonts w:eastAsiaTheme="majorEastAsia"/>
          <w:color w:val="000000" w:themeColor="text1"/>
          <w:lang w:val="en-GB"/>
        </w:rPr>
        <w:t xml:space="preserve"> a significant main effect of time (</w:t>
      </w:r>
      <w:proofErr w:type="gramStart"/>
      <w:r w:rsidR="00E7402B" w:rsidRPr="00720035">
        <w:rPr>
          <w:rStyle w:val="eop"/>
          <w:rFonts w:eastAsiaTheme="majorEastAsia"/>
          <w:i/>
          <w:iCs/>
          <w:color w:val="000000" w:themeColor="text1"/>
          <w:lang w:val="en-GB"/>
        </w:rPr>
        <w:t>F</w:t>
      </w:r>
      <w:r w:rsidR="00E7402B" w:rsidRPr="007522AC">
        <w:rPr>
          <w:rStyle w:val="eop"/>
          <w:rFonts w:eastAsiaTheme="majorEastAsia"/>
          <w:color w:val="000000" w:themeColor="text1"/>
          <w:lang w:val="en-GB"/>
        </w:rPr>
        <w:t>(</w:t>
      </w:r>
      <w:proofErr w:type="gramEnd"/>
      <w:r w:rsidR="00E7402B" w:rsidRPr="007522AC">
        <w:rPr>
          <w:rStyle w:val="eop"/>
          <w:rFonts w:eastAsiaTheme="majorEastAsia"/>
          <w:color w:val="000000" w:themeColor="text1"/>
          <w:lang w:val="en-GB"/>
        </w:rPr>
        <w:t xml:space="preserve">1,66) = 9.45, </w:t>
      </w:r>
      <w:r w:rsidR="00E7402B" w:rsidRPr="00720035">
        <w:rPr>
          <w:rStyle w:val="eop"/>
          <w:rFonts w:eastAsiaTheme="majorEastAsia"/>
          <w:i/>
          <w:iCs/>
          <w:color w:val="000000" w:themeColor="text1"/>
          <w:lang w:val="en-GB"/>
        </w:rPr>
        <w:t>p</w:t>
      </w:r>
      <w:r w:rsidR="00E7402B" w:rsidRPr="007522AC">
        <w:rPr>
          <w:rStyle w:val="eop"/>
          <w:rFonts w:eastAsiaTheme="majorEastAsia"/>
          <w:color w:val="000000" w:themeColor="text1"/>
          <w:lang w:val="en-GB"/>
        </w:rPr>
        <w:t xml:space="preserve"> = .003, </w:t>
      </w:r>
      <w:r w:rsidR="00E7402B" w:rsidRPr="00720035">
        <w:rPr>
          <w:rStyle w:val="eop"/>
          <w:rFonts w:eastAsiaTheme="majorEastAsia"/>
          <w:i/>
          <w:iCs/>
          <w:color w:val="000000" w:themeColor="text1"/>
          <w:lang w:val="en-GB"/>
        </w:rPr>
        <w:t>η²ₚ</w:t>
      </w:r>
      <w:r w:rsidR="00E7402B" w:rsidRPr="007522AC">
        <w:rPr>
          <w:rStyle w:val="eop"/>
          <w:rFonts w:eastAsiaTheme="majorEastAsia"/>
          <w:color w:val="000000" w:themeColor="text1"/>
          <w:lang w:val="en-GB"/>
        </w:rPr>
        <w:t xml:space="preserve"> = .13), </w:t>
      </w:r>
      <w:r w:rsidR="00226DA3" w:rsidRPr="007522AC">
        <w:rPr>
          <w:rStyle w:val="eop"/>
          <w:rFonts w:eastAsiaTheme="majorEastAsia"/>
          <w:color w:val="000000" w:themeColor="text1"/>
          <w:lang w:val="en-GB"/>
        </w:rPr>
        <w:t xml:space="preserve">suggesting that task-switching performance improved overall across both groups. </w:t>
      </w:r>
      <w:r w:rsidRPr="007522AC">
        <w:rPr>
          <w:rStyle w:val="eop"/>
          <w:rFonts w:eastAsiaTheme="majorEastAsia"/>
          <w:color w:val="000000" w:themeColor="text1"/>
          <w:lang w:val="en-GB"/>
        </w:rPr>
        <w:t xml:space="preserve">However, </w:t>
      </w:r>
      <w:r w:rsidR="00720035">
        <w:rPr>
          <w:rStyle w:val="eop"/>
          <w:rFonts w:eastAsiaTheme="majorEastAsia"/>
          <w:color w:val="000000" w:themeColor="text1"/>
          <w:lang w:val="en-GB"/>
        </w:rPr>
        <w:t xml:space="preserve">the main effect of language group was not significant </w:t>
      </w:r>
      <w:r w:rsidRPr="007522AC">
        <w:rPr>
          <w:rStyle w:val="eop"/>
          <w:rFonts w:eastAsiaTheme="majorEastAsia"/>
          <w:color w:val="000000" w:themeColor="text1"/>
          <w:lang w:val="en-GB"/>
        </w:rPr>
        <w:t>(</w:t>
      </w:r>
      <w:proofErr w:type="gramStart"/>
      <w:r w:rsidRPr="007522AC">
        <w:rPr>
          <w:rStyle w:val="eop"/>
          <w:rFonts w:eastAsiaTheme="majorEastAsia"/>
          <w:i/>
          <w:iCs/>
          <w:color w:val="000000" w:themeColor="text1"/>
          <w:lang w:val="en-GB"/>
        </w:rPr>
        <w:t>F</w:t>
      </w:r>
      <w:r w:rsidRPr="007522AC">
        <w:rPr>
          <w:rStyle w:val="eop"/>
          <w:rFonts w:eastAsiaTheme="majorEastAsia"/>
          <w:color w:val="000000" w:themeColor="text1"/>
          <w:lang w:val="en-GB"/>
        </w:rPr>
        <w:t>(</w:t>
      </w:r>
      <w:proofErr w:type="gramEnd"/>
      <w:r w:rsidRPr="007522AC">
        <w:rPr>
          <w:rStyle w:val="eop"/>
          <w:rFonts w:eastAsiaTheme="majorEastAsia"/>
          <w:color w:val="000000" w:themeColor="text1"/>
          <w:lang w:val="en-GB"/>
        </w:rPr>
        <w:t xml:space="preserve">1,66) = .08, </w:t>
      </w:r>
      <w:r w:rsidRPr="007522AC">
        <w:rPr>
          <w:rStyle w:val="eop"/>
          <w:rFonts w:eastAsiaTheme="majorEastAsia"/>
          <w:i/>
          <w:iCs/>
          <w:color w:val="000000" w:themeColor="text1"/>
          <w:lang w:val="en-GB"/>
        </w:rPr>
        <w:t xml:space="preserve">p </w:t>
      </w:r>
      <w:r w:rsidRPr="007522AC">
        <w:rPr>
          <w:rStyle w:val="eop"/>
          <w:rFonts w:eastAsiaTheme="majorEastAsia"/>
          <w:color w:val="000000" w:themeColor="text1"/>
          <w:lang w:val="en-GB"/>
        </w:rPr>
        <w:t xml:space="preserve">= .78, </w:t>
      </w:r>
      <w:r w:rsidRPr="007522AC">
        <w:rPr>
          <w:rStyle w:val="eop"/>
          <w:rFonts w:eastAsiaTheme="majorEastAsia"/>
          <w:i/>
          <w:iCs/>
          <w:color w:val="000000" w:themeColor="text1"/>
          <w:lang w:val="en-GB"/>
        </w:rPr>
        <w:t>η²ₚ</w:t>
      </w:r>
      <w:r w:rsidRPr="007522AC">
        <w:rPr>
          <w:rStyle w:val="eop"/>
          <w:rFonts w:eastAsiaTheme="majorEastAsia"/>
          <w:color w:val="000000" w:themeColor="text1"/>
          <w:lang w:val="en-GB"/>
        </w:rPr>
        <w:t xml:space="preserve"> = .001), </w:t>
      </w:r>
      <w:r w:rsidR="00226DA3" w:rsidRPr="007522AC">
        <w:rPr>
          <w:rStyle w:val="eop"/>
          <w:rFonts w:eastAsiaTheme="majorEastAsia"/>
          <w:color w:val="000000" w:themeColor="text1"/>
          <w:lang w:val="en-GB"/>
        </w:rPr>
        <w:t>indicating no overall difference in performance between monolingual and bilingual children</w:t>
      </w:r>
      <w:r w:rsidRPr="007522AC">
        <w:rPr>
          <w:rStyle w:val="eop"/>
          <w:rFonts w:eastAsiaTheme="majorEastAsia"/>
          <w:color w:val="000000" w:themeColor="text1"/>
          <w:lang w:val="en-GB"/>
        </w:rPr>
        <w:t xml:space="preserve">. </w:t>
      </w:r>
    </w:p>
    <w:p w14:paraId="31A07F65" w14:textId="3DA781C0" w:rsidR="008F6770" w:rsidRPr="007522AC" w:rsidRDefault="00226DA3" w:rsidP="007522AC">
      <w:pPr>
        <w:spacing w:line="480" w:lineRule="auto"/>
        <w:ind w:firstLine="720"/>
        <w:rPr>
          <w:rStyle w:val="eop"/>
          <w:rFonts w:eastAsiaTheme="majorEastAsia"/>
          <w:color w:val="000000" w:themeColor="text1"/>
          <w:lang w:val="en-GB"/>
        </w:rPr>
      </w:pPr>
      <w:r w:rsidRPr="007522AC">
        <w:rPr>
          <w:rStyle w:val="eop"/>
          <w:rFonts w:eastAsiaTheme="majorEastAsia"/>
          <w:color w:val="000000" w:themeColor="text1"/>
          <w:lang w:val="en-GB"/>
        </w:rPr>
        <w:t xml:space="preserve">As shown in Figure </w:t>
      </w:r>
      <w:r w:rsidR="00EA3CF2" w:rsidRPr="007522AC">
        <w:rPr>
          <w:rStyle w:val="eop"/>
          <w:rFonts w:eastAsiaTheme="majorEastAsia"/>
          <w:color w:val="000000" w:themeColor="text1"/>
          <w:lang w:val="en-GB"/>
        </w:rPr>
        <w:t>2</w:t>
      </w:r>
      <w:r w:rsidRPr="007522AC">
        <w:rPr>
          <w:rStyle w:val="eop"/>
          <w:rFonts w:eastAsiaTheme="majorEastAsia"/>
          <w:color w:val="000000" w:themeColor="text1"/>
          <w:lang w:val="en-GB"/>
        </w:rPr>
        <w:t>, monolingual children became significantly faster at task-switching between Wave 2 and Wave 3. Although a slight improvement was observed in bilingual children, this change was not statistically significant.</w:t>
      </w:r>
    </w:p>
    <w:p w14:paraId="08973E0D" w14:textId="2FD5FF9A" w:rsidR="0054081B" w:rsidRPr="007522AC" w:rsidRDefault="0054081B" w:rsidP="007522AC">
      <w:pPr>
        <w:spacing w:line="480" w:lineRule="auto"/>
        <w:rPr>
          <w:rStyle w:val="eop"/>
          <w:rFonts w:eastAsiaTheme="majorEastAsia"/>
          <w:b/>
          <w:bCs/>
          <w:lang w:val="en-GB"/>
        </w:rPr>
      </w:pPr>
      <w:r w:rsidRPr="007522AC">
        <w:rPr>
          <w:rStyle w:val="eop"/>
          <w:rFonts w:eastAsiaTheme="majorEastAsia"/>
          <w:b/>
          <w:bCs/>
          <w:lang w:val="en-GB"/>
        </w:rPr>
        <w:t xml:space="preserve">Figure </w:t>
      </w:r>
      <w:r w:rsidR="00EA3CF2" w:rsidRPr="007522AC">
        <w:rPr>
          <w:rStyle w:val="eop"/>
          <w:rFonts w:eastAsiaTheme="majorEastAsia"/>
          <w:b/>
          <w:bCs/>
          <w:lang w:val="en-GB"/>
        </w:rPr>
        <w:t>2</w:t>
      </w:r>
    </w:p>
    <w:p w14:paraId="2D3437D0" w14:textId="77777777" w:rsidR="0054081B" w:rsidRPr="007522AC" w:rsidRDefault="0054081B" w:rsidP="007522AC">
      <w:pPr>
        <w:spacing w:line="480" w:lineRule="auto"/>
        <w:rPr>
          <w:rStyle w:val="eop"/>
          <w:rFonts w:eastAsiaTheme="majorEastAsia"/>
          <w:i/>
          <w:iCs/>
          <w:lang w:val="en-GB"/>
        </w:rPr>
      </w:pPr>
      <w:r w:rsidRPr="007522AC">
        <w:rPr>
          <w:rStyle w:val="eop"/>
          <w:rFonts w:eastAsiaTheme="majorEastAsia"/>
          <w:i/>
          <w:iCs/>
          <w:lang w:val="en-GB"/>
        </w:rPr>
        <w:t xml:space="preserve">Changes in mean reaction times of Task Switching Abilities over wave 1 and wave 2. </w:t>
      </w:r>
    </w:p>
    <w:p w14:paraId="11EE1774" w14:textId="77777777" w:rsidR="007F03BF" w:rsidRPr="007522AC" w:rsidRDefault="007F03BF" w:rsidP="007522AC">
      <w:pPr>
        <w:spacing w:line="480" w:lineRule="auto"/>
        <w:rPr>
          <w:rStyle w:val="eop"/>
          <w:rFonts w:eastAsiaTheme="majorEastAsia"/>
          <w:i/>
          <w:iCs/>
          <w:lang w:val="en-GB"/>
        </w:rPr>
      </w:pPr>
    </w:p>
    <w:p w14:paraId="11CDEF1A" w14:textId="7AEE61C4" w:rsidR="00D6737C" w:rsidRPr="007522AC" w:rsidRDefault="0054081B" w:rsidP="007522AC">
      <w:pPr>
        <w:spacing w:line="480" w:lineRule="auto"/>
        <w:rPr>
          <w:rStyle w:val="eop"/>
          <w:rFonts w:eastAsiaTheme="majorEastAsia"/>
          <w:lang w:val="en-GB"/>
        </w:rPr>
      </w:pPr>
      <w:r w:rsidRPr="007522AC">
        <w:rPr>
          <w:rFonts w:eastAsiaTheme="majorEastAsia"/>
          <w:noProof/>
          <w:lang w:val="en-GB"/>
        </w:rPr>
        <w:drawing>
          <wp:inline distT="0" distB="0" distL="0" distR="0" wp14:anchorId="4BF78006" wp14:editId="3D58C106">
            <wp:extent cx="3359150" cy="2464904"/>
            <wp:effectExtent l="0" t="0" r="0" b="0"/>
            <wp:docPr id="94519848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EEEBC0F" w14:textId="3577992B" w:rsidR="006A46ED" w:rsidRPr="007522AC" w:rsidRDefault="0054081B" w:rsidP="007522AC">
      <w:pPr>
        <w:spacing w:line="480" w:lineRule="auto"/>
        <w:rPr>
          <w:rStyle w:val="eop"/>
          <w:rFonts w:eastAsiaTheme="majorEastAsia"/>
          <w:lang w:val="en-GB"/>
        </w:rPr>
      </w:pPr>
      <w:r w:rsidRPr="007522AC">
        <w:rPr>
          <w:rStyle w:val="eop"/>
          <w:rFonts w:eastAsiaTheme="majorEastAsia"/>
          <w:i/>
          <w:iCs/>
          <w:lang w:val="en-GB"/>
        </w:rPr>
        <w:t xml:space="preserve">Note. </w:t>
      </w:r>
      <w:r w:rsidRPr="007522AC">
        <w:rPr>
          <w:rStyle w:val="eop"/>
          <w:rFonts w:eastAsiaTheme="majorEastAsia"/>
          <w:lang w:val="en-GB"/>
        </w:rPr>
        <w:t xml:space="preserve">Monolingual and bilingual average reaction times </w:t>
      </w:r>
      <w:r w:rsidR="00546F23" w:rsidRPr="007522AC">
        <w:rPr>
          <w:rStyle w:val="eop"/>
          <w:rFonts w:eastAsiaTheme="majorEastAsia"/>
          <w:lang w:val="en-GB"/>
        </w:rPr>
        <w:t xml:space="preserve">in </w:t>
      </w:r>
      <w:r w:rsidR="00010798" w:rsidRPr="007522AC">
        <w:rPr>
          <w:rStyle w:val="eop"/>
          <w:rFonts w:eastAsiaTheme="majorEastAsia"/>
          <w:lang w:val="en-GB"/>
        </w:rPr>
        <w:t>milliseconds</w:t>
      </w:r>
      <w:r w:rsidR="00546F23" w:rsidRPr="007522AC">
        <w:rPr>
          <w:rStyle w:val="eop"/>
          <w:rFonts w:eastAsiaTheme="majorEastAsia"/>
          <w:lang w:val="en-GB"/>
        </w:rPr>
        <w:t xml:space="preserve"> </w:t>
      </w:r>
      <w:r w:rsidRPr="007522AC">
        <w:rPr>
          <w:rStyle w:val="eop"/>
          <w:rFonts w:eastAsiaTheme="majorEastAsia"/>
          <w:lang w:val="en-GB"/>
        </w:rPr>
        <w:t xml:space="preserve">on wave 1 and 2 of task switching abilities. </w:t>
      </w:r>
    </w:p>
    <w:bookmarkEnd w:id="1"/>
    <w:p w14:paraId="270A63D9" w14:textId="39A6B35D" w:rsidR="005047F8" w:rsidRPr="007522AC" w:rsidRDefault="005047F8" w:rsidP="007522AC">
      <w:pPr>
        <w:spacing w:line="480" w:lineRule="auto"/>
        <w:jc w:val="center"/>
        <w:rPr>
          <w:rStyle w:val="eop"/>
          <w:rFonts w:eastAsiaTheme="majorEastAsia"/>
          <w:b/>
          <w:bCs/>
          <w:lang w:val="en-GB"/>
        </w:rPr>
      </w:pPr>
      <w:r w:rsidRPr="007522AC">
        <w:rPr>
          <w:rStyle w:val="eop"/>
          <w:rFonts w:eastAsiaTheme="majorEastAsia"/>
          <w:b/>
          <w:bCs/>
          <w:lang w:val="en-GB"/>
        </w:rPr>
        <w:t>Discussion</w:t>
      </w:r>
    </w:p>
    <w:p w14:paraId="4CB56915" w14:textId="087920DD" w:rsidR="00697275" w:rsidRPr="007522AC" w:rsidRDefault="00697275" w:rsidP="007522AC">
      <w:pPr>
        <w:spacing w:line="480" w:lineRule="auto"/>
        <w:ind w:firstLine="720"/>
        <w:rPr>
          <w:rStyle w:val="eop"/>
          <w:rFonts w:eastAsiaTheme="majorEastAsia"/>
          <w:lang w:val="en-GB"/>
        </w:rPr>
      </w:pPr>
      <w:bookmarkStart w:id="2" w:name="OLE_LINK1"/>
      <w:r w:rsidRPr="007522AC">
        <w:rPr>
          <w:rStyle w:val="eop"/>
          <w:rFonts w:eastAsiaTheme="majorEastAsia"/>
          <w:lang w:val="en-GB"/>
        </w:rPr>
        <w:t xml:space="preserve">The current study investigated whether there is a difference between monolingual and bilingual </w:t>
      </w:r>
      <w:r w:rsidR="00B63593" w:rsidRPr="007522AC">
        <w:rPr>
          <w:rStyle w:val="eop"/>
          <w:rFonts w:eastAsiaTheme="majorEastAsia"/>
          <w:lang w:val="en-GB"/>
        </w:rPr>
        <w:t>5–8-year-old</w:t>
      </w:r>
      <w:r w:rsidRPr="007522AC">
        <w:rPr>
          <w:rStyle w:val="eop"/>
          <w:rFonts w:eastAsiaTheme="majorEastAsia"/>
          <w:lang w:val="en-GB"/>
        </w:rPr>
        <w:t xml:space="preserve"> children in their performance and development of visuospatial working memory and task switching ability. This longitudinal study design aimed to address the limitations of previous cross-sectional studies, which fail to capture changes </w:t>
      </w:r>
      <w:r w:rsidR="00ED4780">
        <w:rPr>
          <w:rStyle w:val="eop"/>
          <w:rFonts w:eastAsiaTheme="majorEastAsia"/>
          <w:lang w:val="en-GB"/>
        </w:rPr>
        <w:t>in</w:t>
      </w:r>
      <w:r w:rsidR="00267B20" w:rsidRPr="007522AC">
        <w:rPr>
          <w:rStyle w:val="eop"/>
          <w:rFonts w:eastAsiaTheme="majorEastAsia"/>
          <w:lang w:val="en-GB"/>
        </w:rPr>
        <w:t xml:space="preserve"> these mechanisms </w:t>
      </w:r>
      <w:r w:rsidRPr="007522AC">
        <w:rPr>
          <w:rStyle w:val="eop"/>
          <w:rFonts w:eastAsiaTheme="majorEastAsia"/>
          <w:lang w:val="en-GB"/>
        </w:rPr>
        <w:t xml:space="preserve">over time (Huizinga et al., 2006). The </w:t>
      </w:r>
      <w:r w:rsidR="00A47ACE" w:rsidRPr="007522AC">
        <w:rPr>
          <w:rStyle w:val="eop"/>
          <w:rFonts w:eastAsiaTheme="majorEastAsia"/>
          <w:lang w:val="en-GB"/>
        </w:rPr>
        <w:t>results</w:t>
      </w:r>
      <w:r w:rsidRPr="007522AC">
        <w:rPr>
          <w:rStyle w:val="eop"/>
          <w:rFonts w:eastAsiaTheme="majorEastAsia"/>
          <w:lang w:val="en-GB"/>
        </w:rPr>
        <w:t xml:space="preserve"> of the current study allow researchers to focus on the critical developments and gain a</w:t>
      </w:r>
      <w:r w:rsidR="00986C0D">
        <w:rPr>
          <w:rStyle w:val="eop"/>
          <w:rFonts w:eastAsiaTheme="majorEastAsia"/>
          <w:lang w:val="en-GB"/>
        </w:rPr>
        <w:t xml:space="preserve"> deeper </w:t>
      </w:r>
      <w:r w:rsidRPr="007522AC">
        <w:rPr>
          <w:rStyle w:val="eop"/>
          <w:rFonts w:eastAsiaTheme="majorEastAsia"/>
          <w:lang w:val="en-GB"/>
        </w:rPr>
        <w:t xml:space="preserve">understanding of the developmental </w:t>
      </w:r>
      <w:r w:rsidR="009304A9">
        <w:rPr>
          <w:rStyle w:val="eop"/>
          <w:rFonts w:eastAsiaTheme="majorEastAsia"/>
          <w:lang w:val="en-GB"/>
        </w:rPr>
        <w:t>patterns</w:t>
      </w:r>
      <w:r w:rsidRPr="007522AC">
        <w:rPr>
          <w:rStyle w:val="eop"/>
          <w:rFonts w:eastAsiaTheme="majorEastAsia"/>
          <w:lang w:val="en-GB"/>
        </w:rPr>
        <w:t xml:space="preserve"> within task switching ability and visuospatial working memory. </w:t>
      </w:r>
    </w:p>
    <w:p w14:paraId="51AB4B05" w14:textId="37EDA8C7" w:rsidR="00697275" w:rsidRPr="007522AC" w:rsidRDefault="00C005E3" w:rsidP="007522AC">
      <w:pPr>
        <w:spacing w:line="480" w:lineRule="auto"/>
        <w:ind w:firstLine="720"/>
        <w:rPr>
          <w:rStyle w:val="eop"/>
          <w:rFonts w:eastAsiaTheme="majorEastAsia"/>
          <w:lang w:val="en-GB"/>
        </w:rPr>
      </w:pPr>
      <w:r w:rsidRPr="00C005E3">
        <w:rPr>
          <w:rStyle w:val="eop"/>
          <w:rFonts w:eastAsiaTheme="majorEastAsia"/>
          <w:lang w:val="en-GB"/>
        </w:rPr>
        <w:t xml:space="preserve">Based on previous research suggesting a bilingual advantage in executive control, particularly in working memory and visuospatial working memory (Carlson &amp; Meltzoff, 2008; Kerrigan et al., 2017; </w:t>
      </w:r>
      <w:proofErr w:type="spellStart"/>
      <w:r w:rsidRPr="00C005E3">
        <w:rPr>
          <w:rStyle w:val="eop"/>
          <w:rFonts w:eastAsiaTheme="majorEastAsia"/>
          <w:lang w:val="en-GB"/>
        </w:rPr>
        <w:t>Alazzaz</w:t>
      </w:r>
      <w:proofErr w:type="spellEnd"/>
      <w:r w:rsidRPr="00C005E3">
        <w:rPr>
          <w:rStyle w:val="eop"/>
          <w:rFonts w:eastAsiaTheme="majorEastAsia"/>
          <w:lang w:val="en-GB"/>
        </w:rPr>
        <w:t xml:space="preserve"> et al., 2022), it was hypothesized that bilingual children would outperform monolingual children on the visuospatial working memory Dot Matrix Task across the three different waves.</w:t>
      </w:r>
      <w:r>
        <w:rPr>
          <w:rStyle w:val="eop"/>
          <w:rFonts w:eastAsiaTheme="majorEastAsia"/>
          <w:lang w:val="en-GB"/>
        </w:rPr>
        <w:t xml:space="preserve"> </w:t>
      </w:r>
      <w:r w:rsidR="00A84283" w:rsidRPr="007522AC">
        <w:rPr>
          <w:rStyle w:val="eop"/>
          <w:rFonts w:eastAsiaTheme="majorEastAsia"/>
          <w:lang w:val="en-GB"/>
        </w:rPr>
        <w:t xml:space="preserve">However, the current findings do not support this hypothesis. Although both groups showed significant improvement over time, there were no significant differences in overall performance or developmental trajectories between bilingual and monolingual children. </w:t>
      </w:r>
      <w:r w:rsidR="00ED1529" w:rsidRPr="007522AC">
        <w:rPr>
          <w:rStyle w:val="eop"/>
          <w:rFonts w:eastAsiaTheme="majorEastAsia"/>
          <w:lang w:val="en-GB"/>
        </w:rPr>
        <w:t>These results contradict</w:t>
      </w:r>
      <w:r w:rsidR="00267B20" w:rsidRPr="007522AC">
        <w:rPr>
          <w:rStyle w:val="eop"/>
          <w:rFonts w:eastAsiaTheme="majorEastAsia"/>
          <w:lang w:val="en-GB"/>
        </w:rPr>
        <w:t xml:space="preserve"> the</w:t>
      </w:r>
      <w:r w:rsidR="00ED1529" w:rsidRPr="007522AC">
        <w:rPr>
          <w:rStyle w:val="eop"/>
          <w:rFonts w:eastAsiaTheme="majorEastAsia"/>
          <w:lang w:val="en-GB"/>
        </w:rPr>
        <w:t xml:space="preserve"> prior claim of a </w:t>
      </w:r>
      <w:r w:rsidR="006A6A80" w:rsidRPr="007522AC">
        <w:rPr>
          <w:rStyle w:val="eop"/>
          <w:rFonts w:eastAsiaTheme="majorEastAsia"/>
          <w:lang w:val="en-GB"/>
        </w:rPr>
        <w:t>bilin</w:t>
      </w:r>
      <w:r w:rsidR="006A6A80">
        <w:rPr>
          <w:rStyle w:val="eop"/>
          <w:rFonts w:eastAsiaTheme="majorEastAsia"/>
          <w:lang w:val="en-GB"/>
        </w:rPr>
        <w:t>g</w:t>
      </w:r>
      <w:r w:rsidR="006A6A80" w:rsidRPr="007522AC">
        <w:rPr>
          <w:rStyle w:val="eop"/>
          <w:rFonts w:eastAsiaTheme="majorEastAsia"/>
          <w:lang w:val="en-GB"/>
        </w:rPr>
        <w:t>ual</w:t>
      </w:r>
      <w:r w:rsidR="00ED1529" w:rsidRPr="007522AC">
        <w:rPr>
          <w:rStyle w:val="eop"/>
          <w:rFonts w:eastAsiaTheme="majorEastAsia"/>
          <w:lang w:val="en-GB"/>
        </w:rPr>
        <w:t xml:space="preserve"> advantage, showing no measurable benefit</w:t>
      </w:r>
      <w:r w:rsidR="00A84283" w:rsidRPr="007522AC">
        <w:rPr>
          <w:rStyle w:val="eop"/>
          <w:rFonts w:eastAsiaTheme="majorEastAsia"/>
          <w:lang w:val="en-GB"/>
        </w:rPr>
        <w:t xml:space="preserve"> in visuospatial working memory in this sample.</w:t>
      </w:r>
    </w:p>
    <w:p w14:paraId="76FD9AFD" w14:textId="5FB1B5E7" w:rsidR="00A84283" w:rsidRPr="007522AC" w:rsidRDefault="00A47ACE" w:rsidP="007522AC">
      <w:pPr>
        <w:spacing w:line="480" w:lineRule="auto"/>
        <w:ind w:firstLine="720"/>
        <w:rPr>
          <w:rStyle w:val="eop"/>
          <w:rFonts w:eastAsiaTheme="majorEastAsia"/>
          <w:lang w:val="en-GB"/>
        </w:rPr>
      </w:pPr>
      <w:r w:rsidRPr="007522AC">
        <w:rPr>
          <w:rStyle w:val="eop"/>
          <w:rFonts w:eastAsiaTheme="majorEastAsia"/>
          <w:lang w:val="en-GB"/>
        </w:rPr>
        <w:t xml:space="preserve">Previous research </w:t>
      </w:r>
      <w:r w:rsidR="00EF354C" w:rsidRPr="007522AC">
        <w:rPr>
          <w:rStyle w:val="eop"/>
          <w:rFonts w:eastAsiaTheme="majorEastAsia"/>
          <w:lang w:val="en-GB"/>
        </w:rPr>
        <w:t>highlight</w:t>
      </w:r>
      <w:r w:rsidR="00955FDE">
        <w:rPr>
          <w:rStyle w:val="eop"/>
          <w:rFonts w:eastAsiaTheme="majorEastAsia"/>
          <w:lang w:val="en-GB"/>
        </w:rPr>
        <w:t>s</w:t>
      </w:r>
      <w:r w:rsidRPr="007522AC">
        <w:rPr>
          <w:rStyle w:val="eop"/>
          <w:rFonts w:eastAsiaTheme="majorEastAsia"/>
          <w:lang w:val="en-GB"/>
        </w:rPr>
        <w:t xml:space="preserve"> that bilingual individuals frequently switch between languages depending on the social context (Green &amp; </w:t>
      </w:r>
      <w:proofErr w:type="spellStart"/>
      <w:r w:rsidRPr="007522AC">
        <w:rPr>
          <w:rStyle w:val="eop"/>
          <w:rFonts w:eastAsiaTheme="majorEastAsia"/>
          <w:lang w:val="en-GB"/>
        </w:rPr>
        <w:t>Abutalebi</w:t>
      </w:r>
      <w:proofErr w:type="spellEnd"/>
      <w:r w:rsidRPr="007522AC">
        <w:rPr>
          <w:rStyle w:val="eop"/>
          <w:rFonts w:eastAsiaTheme="majorEastAsia"/>
          <w:lang w:val="en-GB"/>
        </w:rPr>
        <w:t xml:space="preserve">, 2013). </w:t>
      </w:r>
      <w:r w:rsidR="00014191" w:rsidRPr="007522AC">
        <w:rPr>
          <w:rStyle w:val="eop"/>
          <w:rFonts w:eastAsiaTheme="majorEastAsia"/>
          <w:lang w:val="en-GB"/>
        </w:rPr>
        <w:t>The</w:t>
      </w:r>
      <w:r w:rsidRPr="007522AC">
        <w:rPr>
          <w:rStyle w:val="eop"/>
          <w:rFonts w:eastAsiaTheme="majorEastAsia"/>
          <w:lang w:val="en-GB"/>
        </w:rPr>
        <w:t xml:space="preserve"> constant</w:t>
      </w:r>
      <w:r w:rsidR="00014191" w:rsidRPr="007522AC">
        <w:rPr>
          <w:rStyle w:val="eop"/>
          <w:rFonts w:eastAsiaTheme="majorEastAsia"/>
          <w:lang w:val="en-GB"/>
        </w:rPr>
        <w:t xml:space="preserve"> need to switch between</w:t>
      </w:r>
      <w:r w:rsidRPr="007522AC">
        <w:rPr>
          <w:rStyle w:val="eop"/>
          <w:rFonts w:eastAsiaTheme="majorEastAsia"/>
          <w:lang w:val="en-GB"/>
        </w:rPr>
        <w:t xml:space="preserve"> language</w:t>
      </w:r>
      <w:r w:rsidR="00014191" w:rsidRPr="007522AC">
        <w:rPr>
          <w:rStyle w:val="eop"/>
          <w:rFonts w:eastAsiaTheme="majorEastAsia"/>
          <w:lang w:val="en-GB"/>
        </w:rPr>
        <w:t>s</w:t>
      </w:r>
      <w:r w:rsidRPr="007522AC">
        <w:rPr>
          <w:rStyle w:val="eop"/>
          <w:rFonts w:eastAsiaTheme="majorEastAsia"/>
          <w:lang w:val="en-GB"/>
        </w:rPr>
        <w:t xml:space="preserve"> </w:t>
      </w:r>
      <w:r w:rsidR="00267B20" w:rsidRPr="007522AC">
        <w:rPr>
          <w:rStyle w:val="eop"/>
          <w:rFonts w:eastAsiaTheme="majorEastAsia"/>
          <w:lang w:val="en-GB"/>
        </w:rPr>
        <w:t>in bilingual speakers</w:t>
      </w:r>
      <w:r w:rsidRPr="007522AC">
        <w:rPr>
          <w:rStyle w:val="eop"/>
          <w:rFonts w:eastAsiaTheme="majorEastAsia"/>
          <w:lang w:val="en-GB"/>
        </w:rPr>
        <w:t xml:space="preserve"> is believed to enhance executive functions such as cognitive flexibility and inhibitory control, potentially offering neurological and cognitive advantages (Bialystok et al., 2010; Carlson et al., 2008). Based on these findings, it was hypothesized that bilingual children would outperform monolingual children in task-switching abilities. However, the current results do not support this hypothesis. Contrary to expectations, monolingual children demonstrated greater improvement in task-switching performance over time, while bilingual children did not </w:t>
      </w:r>
      <w:r w:rsidR="00267B20" w:rsidRPr="007522AC">
        <w:rPr>
          <w:rStyle w:val="eop"/>
          <w:rFonts w:eastAsiaTheme="majorEastAsia"/>
          <w:lang w:val="en-GB"/>
        </w:rPr>
        <w:t>demonstrate</w:t>
      </w:r>
      <w:r w:rsidRPr="007522AC">
        <w:rPr>
          <w:rStyle w:val="eop"/>
          <w:rFonts w:eastAsiaTheme="majorEastAsia"/>
          <w:lang w:val="en-GB"/>
        </w:rPr>
        <w:t xml:space="preserve"> the same developmental trajectory. Notably, mean scores from Wave 2 indicate that monolingual children began with longer reaction times, which may have allowed for greater gains as their performance improved. </w:t>
      </w:r>
    </w:p>
    <w:p w14:paraId="666B739E" w14:textId="7ECA5850" w:rsidR="00807A31" w:rsidRPr="007522AC" w:rsidRDefault="00807A31" w:rsidP="007522AC">
      <w:pPr>
        <w:spacing w:line="480" w:lineRule="auto"/>
        <w:ind w:firstLine="720"/>
        <w:rPr>
          <w:rStyle w:val="eop"/>
          <w:rFonts w:eastAsiaTheme="majorEastAsia"/>
          <w:lang w:val="en-GB"/>
        </w:rPr>
      </w:pPr>
      <w:r w:rsidRPr="007522AC">
        <w:rPr>
          <w:rStyle w:val="eop"/>
          <w:rFonts w:eastAsiaTheme="majorEastAsia"/>
          <w:lang w:val="en-GB"/>
        </w:rPr>
        <w:t xml:space="preserve">Importantly, this study highlights the </w:t>
      </w:r>
      <w:r w:rsidR="00267B20" w:rsidRPr="007522AC">
        <w:rPr>
          <w:rStyle w:val="eop"/>
          <w:rFonts w:eastAsiaTheme="majorEastAsia"/>
          <w:lang w:val="en-GB"/>
        </w:rPr>
        <w:t>importance</w:t>
      </w:r>
      <w:r w:rsidRPr="007522AC">
        <w:rPr>
          <w:rStyle w:val="eop"/>
          <w:rFonts w:eastAsiaTheme="majorEastAsia"/>
          <w:lang w:val="en-GB"/>
        </w:rPr>
        <w:t xml:space="preserve"> of a longitudinal approach in understanding the development of task-switching abilities. Although the bilingual group appeared to perform slightly better at Wave 1 and the monolingual group slightly better at Wave 2, these differences were not statistically significant. Nevertheless, the shifting </w:t>
      </w:r>
      <w:r w:rsidR="007D381E" w:rsidRPr="007D381E">
        <w:rPr>
          <w:rStyle w:val="eop"/>
          <w:rFonts w:eastAsiaTheme="majorEastAsia"/>
          <w:lang w:val="en-GB"/>
        </w:rPr>
        <w:t>trajectory</w:t>
      </w:r>
      <w:r w:rsidR="007D381E">
        <w:rPr>
          <w:rStyle w:val="eop"/>
          <w:rFonts w:eastAsiaTheme="majorEastAsia"/>
          <w:lang w:val="en-GB"/>
        </w:rPr>
        <w:t xml:space="preserve"> </w:t>
      </w:r>
      <w:r w:rsidRPr="007522AC">
        <w:rPr>
          <w:rStyle w:val="eop"/>
          <w:rFonts w:eastAsiaTheme="majorEastAsia"/>
          <w:lang w:val="en-GB"/>
        </w:rPr>
        <w:t xml:space="preserve">over time </w:t>
      </w:r>
      <w:r w:rsidR="00267B20" w:rsidRPr="007522AC">
        <w:rPr>
          <w:rStyle w:val="eop"/>
          <w:rFonts w:eastAsiaTheme="majorEastAsia"/>
          <w:lang w:val="en-GB"/>
        </w:rPr>
        <w:t>emphasises</w:t>
      </w:r>
      <w:r w:rsidRPr="007522AC">
        <w:rPr>
          <w:rStyle w:val="eop"/>
          <w:rFonts w:eastAsiaTheme="majorEastAsia"/>
          <w:lang w:val="en-GB"/>
        </w:rPr>
        <w:t xml:space="preserve"> the limitations of cross-sectional studies, which may misinterpret such findings </w:t>
      </w:r>
      <w:r w:rsidR="006172E2">
        <w:rPr>
          <w:rStyle w:val="eop"/>
          <w:rFonts w:eastAsiaTheme="majorEastAsia"/>
          <w:lang w:val="en-GB"/>
        </w:rPr>
        <w:t>by</w:t>
      </w:r>
      <w:r w:rsidR="00267B20" w:rsidRPr="007522AC">
        <w:rPr>
          <w:rStyle w:val="eop"/>
          <w:rFonts w:eastAsiaTheme="majorEastAsia"/>
          <w:lang w:val="en-GB"/>
        </w:rPr>
        <w:t xml:space="preserve"> initially </w:t>
      </w:r>
      <w:r w:rsidR="006172E2">
        <w:rPr>
          <w:rStyle w:val="eop"/>
          <w:rFonts w:eastAsiaTheme="majorEastAsia"/>
          <w:lang w:val="en-GB"/>
        </w:rPr>
        <w:t>providing</w:t>
      </w:r>
      <w:r w:rsidRPr="007522AC">
        <w:rPr>
          <w:rStyle w:val="eop"/>
          <w:rFonts w:eastAsiaTheme="majorEastAsia"/>
          <w:lang w:val="en-GB"/>
        </w:rPr>
        <w:t xml:space="preserve"> evidence of a group advantage without considering developmental </w:t>
      </w:r>
      <w:r w:rsidR="006172E2">
        <w:rPr>
          <w:rStyle w:val="eop"/>
          <w:rFonts w:eastAsiaTheme="majorEastAsia"/>
          <w:lang w:val="en-GB"/>
        </w:rPr>
        <w:t>trajectories</w:t>
      </w:r>
      <w:r w:rsidRPr="007522AC">
        <w:rPr>
          <w:rStyle w:val="eop"/>
          <w:rFonts w:eastAsiaTheme="majorEastAsia"/>
          <w:lang w:val="en-GB"/>
        </w:rPr>
        <w:t>. This raises questions about the strength and stability of early cognitive advantages if they diminish or reverse over time. Given that task-switching continues to develop significantly from early childhood into adolescence (Anderson, 2002), longitudinal designs are essential for capturing these dynamic changes.</w:t>
      </w:r>
      <w:r w:rsidR="006172E2">
        <w:rPr>
          <w:rStyle w:val="eop"/>
          <w:rFonts w:eastAsiaTheme="majorEastAsia"/>
          <w:lang w:val="en-GB"/>
        </w:rPr>
        <w:t xml:space="preserve"> </w:t>
      </w:r>
    </w:p>
    <w:p w14:paraId="5FAF31CD" w14:textId="38905415" w:rsidR="004C32DD" w:rsidRPr="007522AC" w:rsidRDefault="00281C2A" w:rsidP="007522AC">
      <w:pPr>
        <w:spacing w:line="480" w:lineRule="auto"/>
        <w:ind w:firstLine="720"/>
        <w:rPr>
          <w:rStyle w:val="eop"/>
          <w:rFonts w:eastAsiaTheme="majorEastAsia"/>
          <w:lang w:val="en-GB"/>
        </w:rPr>
      </w:pPr>
      <w:r w:rsidRPr="007522AC">
        <w:rPr>
          <w:rStyle w:val="eop"/>
          <w:rFonts w:eastAsiaTheme="majorEastAsia"/>
          <w:lang w:val="en-GB"/>
        </w:rPr>
        <w:t xml:space="preserve">While many studies include bilingual samples from diverse cultural backgrounds, the present study focused only on a group of </w:t>
      </w:r>
      <w:proofErr w:type="gramStart"/>
      <w:r w:rsidRPr="007522AC">
        <w:rPr>
          <w:rStyle w:val="eop"/>
          <w:rFonts w:eastAsiaTheme="majorEastAsia"/>
          <w:lang w:val="en-GB"/>
        </w:rPr>
        <w:t>Turkish-Dutch</w:t>
      </w:r>
      <w:proofErr w:type="gramEnd"/>
      <w:r w:rsidRPr="007522AC">
        <w:rPr>
          <w:rStyle w:val="eop"/>
          <w:rFonts w:eastAsiaTheme="majorEastAsia"/>
          <w:lang w:val="en-GB"/>
        </w:rPr>
        <w:t xml:space="preserve"> bilingual children. This culturally and linguistically consistent sample strengthens the relevance of the findings for the </w:t>
      </w:r>
      <w:proofErr w:type="gramStart"/>
      <w:r w:rsidRPr="007522AC">
        <w:rPr>
          <w:rStyle w:val="eop"/>
          <w:rFonts w:eastAsiaTheme="majorEastAsia"/>
          <w:lang w:val="en-GB"/>
        </w:rPr>
        <w:t>Turkish-Dutch</w:t>
      </w:r>
      <w:proofErr w:type="gramEnd"/>
      <w:r w:rsidRPr="007522AC">
        <w:rPr>
          <w:rStyle w:val="eop"/>
          <w:rFonts w:eastAsiaTheme="majorEastAsia"/>
          <w:lang w:val="en-GB"/>
        </w:rPr>
        <w:t xml:space="preserve"> bilingual population. However, a limitation of the study is that prior research has shown that </w:t>
      </w:r>
      <w:proofErr w:type="gramStart"/>
      <w:r w:rsidRPr="007522AC">
        <w:rPr>
          <w:rStyle w:val="eop"/>
          <w:rFonts w:eastAsiaTheme="majorEastAsia"/>
          <w:lang w:val="en-GB"/>
        </w:rPr>
        <w:t>Dutch-Turkish</w:t>
      </w:r>
      <w:proofErr w:type="gramEnd"/>
      <w:r w:rsidRPr="007522AC">
        <w:rPr>
          <w:rStyle w:val="eop"/>
          <w:rFonts w:eastAsiaTheme="majorEastAsia"/>
          <w:lang w:val="en-GB"/>
        </w:rPr>
        <w:t xml:space="preserve"> families often experience lower socioeconomic status (SES) compared to Dutch families (Blom et al., 2014). Children from lower-SES backgrounds typically have reduced access to resources that support language and cognitive development, which may lead to delays in language skills and related cognitive functions (Dixon &amp; Daraghmeh, 2012). </w:t>
      </w:r>
      <w:r w:rsidR="004C32DD" w:rsidRPr="007522AC">
        <w:rPr>
          <w:rStyle w:val="eop"/>
          <w:rFonts w:eastAsiaTheme="majorEastAsia"/>
          <w:lang w:val="en-GB"/>
        </w:rPr>
        <w:t>This may have influenced the bilingual group's performance, potentially contributing to lower visuospatial working memory scores if they were less able to retain and process the presented information. Therefore, SES-related factors should be considered when interpreting the results and drawing conclusions about bilingual cognitive development.</w:t>
      </w:r>
    </w:p>
    <w:p w14:paraId="4110B06C" w14:textId="40192AA8" w:rsidR="00B36715" w:rsidRPr="007522AC" w:rsidRDefault="00B36715" w:rsidP="007522AC">
      <w:pPr>
        <w:spacing w:line="480" w:lineRule="auto"/>
        <w:ind w:firstLine="720"/>
        <w:rPr>
          <w:rStyle w:val="eop"/>
          <w:rFonts w:eastAsiaTheme="majorEastAsia"/>
          <w:lang w:val="en-GB"/>
        </w:rPr>
      </w:pPr>
      <w:r w:rsidRPr="007522AC">
        <w:rPr>
          <w:rStyle w:val="eop"/>
          <w:rFonts w:eastAsiaTheme="majorEastAsia"/>
          <w:lang w:val="en-GB"/>
        </w:rPr>
        <w:t xml:space="preserve">Unlike many previous studies, the current research investigates the performance and developmental trajectories of two cognitive mechanisms (visuospatial working memory and task switching) simultaneously. According to Schmitz and Krämer (2023), focusing on </w:t>
      </w:r>
      <w:r w:rsidR="005C0A53">
        <w:rPr>
          <w:rStyle w:val="eop"/>
          <w:rFonts w:eastAsiaTheme="majorEastAsia"/>
          <w:lang w:val="en-GB"/>
        </w:rPr>
        <w:t>single</w:t>
      </w:r>
      <w:r w:rsidRPr="007522AC">
        <w:rPr>
          <w:rStyle w:val="eop"/>
          <w:rFonts w:eastAsiaTheme="majorEastAsia"/>
          <w:lang w:val="en-GB"/>
        </w:rPr>
        <w:t xml:space="preserve"> mechanism can limit generalizability across contexts and cognitive domains, as it may misrepresent the true developmental </w:t>
      </w:r>
      <w:r w:rsidR="006172E2" w:rsidRPr="007522AC">
        <w:rPr>
          <w:rStyle w:val="eop"/>
          <w:rFonts w:eastAsiaTheme="majorEastAsia"/>
          <w:lang w:val="en-GB"/>
        </w:rPr>
        <w:t>trajector</w:t>
      </w:r>
      <w:r w:rsidR="006172E2">
        <w:rPr>
          <w:rStyle w:val="eop"/>
          <w:rFonts w:eastAsiaTheme="majorEastAsia"/>
          <w:lang w:val="en-GB"/>
        </w:rPr>
        <w:t>y</w:t>
      </w:r>
      <w:r w:rsidRPr="007522AC">
        <w:rPr>
          <w:rStyle w:val="eop"/>
          <w:rFonts w:eastAsiaTheme="majorEastAsia"/>
          <w:lang w:val="en-GB"/>
        </w:rPr>
        <w:t xml:space="preserve">, </w:t>
      </w:r>
      <w:r w:rsidR="004E0719" w:rsidRPr="004E0719">
        <w:rPr>
          <w:rStyle w:val="eop"/>
          <w:rFonts w:eastAsiaTheme="majorEastAsia"/>
          <w:lang w:val="en-GB"/>
        </w:rPr>
        <w:t>particularly when cognitive mechanisms are interdependent</w:t>
      </w:r>
      <w:r w:rsidR="004E0719">
        <w:rPr>
          <w:rStyle w:val="eop"/>
          <w:rFonts w:eastAsiaTheme="majorEastAsia"/>
          <w:lang w:val="en-GB"/>
        </w:rPr>
        <w:t>.</w:t>
      </w:r>
      <w:r w:rsidRPr="007522AC">
        <w:rPr>
          <w:rStyle w:val="eop"/>
          <w:rFonts w:eastAsiaTheme="majorEastAsia"/>
          <w:lang w:val="en-GB"/>
        </w:rPr>
        <w:t xml:space="preserve"> By examining </w:t>
      </w:r>
      <w:r w:rsidR="00267B20" w:rsidRPr="007522AC">
        <w:rPr>
          <w:rStyle w:val="eop"/>
          <w:rFonts w:eastAsiaTheme="majorEastAsia"/>
          <w:lang w:val="en-GB"/>
        </w:rPr>
        <w:t xml:space="preserve">two </w:t>
      </w:r>
      <w:r w:rsidRPr="007522AC">
        <w:rPr>
          <w:rStyle w:val="eop"/>
          <w:rFonts w:eastAsiaTheme="majorEastAsia"/>
          <w:lang w:val="en-GB"/>
        </w:rPr>
        <w:t xml:space="preserve">cognitive </w:t>
      </w:r>
      <w:r w:rsidR="00AC3A40" w:rsidRPr="007522AC">
        <w:rPr>
          <w:rStyle w:val="eop"/>
          <w:rFonts w:eastAsiaTheme="majorEastAsia"/>
          <w:lang w:val="en-GB"/>
        </w:rPr>
        <w:t>mechanisms</w:t>
      </w:r>
      <w:r w:rsidRPr="007522AC">
        <w:rPr>
          <w:rStyle w:val="eop"/>
          <w:rFonts w:eastAsiaTheme="majorEastAsia"/>
          <w:lang w:val="en-GB"/>
        </w:rPr>
        <w:t xml:space="preserve">, this study provides a comprehensive understanding of </w:t>
      </w:r>
      <w:r w:rsidR="00267B20" w:rsidRPr="007522AC">
        <w:rPr>
          <w:rStyle w:val="eop"/>
          <w:rFonts w:eastAsiaTheme="majorEastAsia"/>
          <w:lang w:val="en-GB"/>
        </w:rPr>
        <w:t>the development of cognitive abilities</w:t>
      </w:r>
      <w:r w:rsidRPr="007522AC">
        <w:rPr>
          <w:rStyle w:val="eop"/>
          <w:rFonts w:eastAsiaTheme="majorEastAsia"/>
          <w:lang w:val="en-GB"/>
        </w:rPr>
        <w:t>.</w:t>
      </w:r>
      <w:r w:rsidR="005621F3">
        <w:rPr>
          <w:rStyle w:val="eop"/>
          <w:rFonts w:eastAsiaTheme="majorEastAsia"/>
          <w:lang w:val="en-GB"/>
        </w:rPr>
        <w:t xml:space="preserve"> </w:t>
      </w:r>
    </w:p>
    <w:p w14:paraId="6CEF0052" w14:textId="16662DF4" w:rsidR="003D6A25" w:rsidRPr="007522AC" w:rsidRDefault="000D078E" w:rsidP="007522AC">
      <w:pPr>
        <w:spacing w:line="480" w:lineRule="auto"/>
        <w:ind w:firstLine="720"/>
        <w:rPr>
          <w:rStyle w:val="eop"/>
          <w:rFonts w:eastAsiaTheme="majorEastAsia"/>
          <w:lang w:val="en-GB"/>
        </w:rPr>
      </w:pPr>
      <w:r w:rsidRPr="007522AC">
        <w:rPr>
          <w:rStyle w:val="eop"/>
          <w:rFonts w:eastAsiaTheme="majorEastAsia"/>
          <w:lang w:val="en-GB"/>
        </w:rPr>
        <w:t>T</w:t>
      </w:r>
      <w:r w:rsidR="003D6A25" w:rsidRPr="007522AC">
        <w:rPr>
          <w:rStyle w:val="eop"/>
          <w:rFonts w:eastAsiaTheme="majorEastAsia"/>
          <w:lang w:val="en-GB"/>
        </w:rPr>
        <w:t xml:space="preserve">his study may </w:t>
      </w:r>
      <w:r w:rsidR="00596812">
        <w:rPr>
          <w:rStyle w:val="eop"/>
          <w:rFonts w:eastAsiaTheme="majorEastAsia"/>
          <w:lang w:val="en-GB"/>
        </w:rPr>
        <w:t>be limited</w:t>
      </w:r>
      <w:r w:rsidR="003D6A25" w:rsidRPr="007522AC">
        <w:rPr>
          <w:rStyle w:val="eop"/>
          <w:rFonts w:eastAsiaTheme="majorEastAsia"/>
          <w:lang w:val="en-GB"/>
        </w:rPr>
        <w:t xml:space="preserve"> </w:t>
      </w:r>
      <w:r w:rsidR="00297352" w:rsidRPr="007522AC">
        <w:rPr>
          <w:rStyle w:val="eop"/>
          <w:rFonts w:eastAsiaTheme="majorEastAsia"/>
          <w:lang w:val="en-GB"/>
        </w:rPr>
        <w:t>in</w:t>
      </w:r>
      <w:r w:rsidR="003D6A25" w:rsidRPr="007522AC">
        <w:rPr>
          <w:rStyle w:val="eop"/>
          <w:rFonts w:eastAsiaTheme="majorEastAsia"/>
          <w:lang w:val="en-GB"/>
        </w:rPr>
        <w:t xml:space="preserve"> ecological validity (Poarch &amp; Krott, 2019). As noted by Poarch and Krott, </w:t>
      </w:r>
      <w:r w:rsidR="00267B20" w:rsidRPr="007522AC">
        <w:rPr>
          <w:rStyle w:val="eop"/>
          <w:rFonts w:eastAsiaTheme="majorEastAsia"/>
          <w:lang w:val="en-GB"/>
        </w:rPr>
        <w:t xml:space="preserve">observed </w:t>
      </w:r>
      <w:r w:rsidR="003D6A25" w:rsidRPr="007522AC">
        <w:rPr>
          <w:rStyle w:val="eop"/>
          <w:rFonts w:eastAsiaTheme="majorEastAsia"/>
          <w:lang w:val="en-GB"/>
        </w:rPr>
        <w:t>differences in controlled executive function tasks do not always reflect meaningful advantages in everyday life. This raises</w:t>
      </w:r>
      <w:r w:rsidR="00267B20" w:rsidRPr="007522AC">
        <w:rPr>
          <w:rStyle w:val="eop"/>
          <w:rFonts w:eastAsiaTheme="majorEastAsia"/>
          <w:lang w:val="en-GB"/>
        </w:rPr>
        <w:t xml:space="preserve"> the question</w:t>
      </w:r>
      <w:r w:rsidR="003D6A25" w:rsidRPr="007522AC">
        <w:rPr>
          <w:rStyle w:val="eop"/>
          <w:rFonts w:eastAsiaTheme="majorEastAsia"/>
          <w:lang w:val="en-GB"/>
        </w:rPr>
        <w:t xml:space="preserve"> of whether the differences </w:t>
      </w:r>
      <w:r w:rsidR="00267B20" w:rsidRPr="007522AC">
        <w:rPr>
          <w:rStyle w:val="eop"/>
          <w:rFonts w:eastAsiaTheme="majorEastAsia"/>
          <w:lang w:val="en-GB"/>
        </w:rPr>
        <w:t xml:space="preserve">between </w:t>
      </w:r>
      <w:r w:rsidR="003D6A25" w:rsidRPr="007522AC">
        <w:rPr>
          <w:rStyle w:val="eop"/>
          <w:rFonts w:eastAsiaTheme="majorEastAsia"/>
          <w:lang w:val="en-GB"/>
        </w:rPr>
        <w:t xml:space="preserve">bilingual and monolingual individuals truly translate into practical benefits outside the lab. To address this, future research should move beyond abstract task performance and investigate cognitive abilities with real-world relevance. For example, studies such as </w:t>
      </w:r>
      <w:proofErr w:type="spellStart"/>
      <w:r w:rsidR="003D6A25" w:rsidRPr="007522AC">
        <w:rPr>
          <w:rStyle w:val="eop"/>
          <w:rFonts w:eastAsiaTheme="majorEastAsia"/>
          <w:lang w:val="en-GB"/>
        </w:rPr>
        <w:t>Kharkhurin</w:t>
      </w:r>
      <w:proofErr w:type="spellEnd"/>
      <w:r w:rsidR="003D6A25" w:rsidRPr="007522AC">
        <w:rPr>
          <w:rStyle w:val="eop"/>
          <w:rFonts w:eastAsiaTheme="majorEastAsia"/>
          <w:lang w:val="en-GB"/>
        </w:rPr>
        <w:t xml:space="preserve"> (2009) have examined creativity </w:t>
      </w:r>
      <w:r w:rsidR="00267B20" w:rsidRPr="007522AC">
        <w:rPr>
          <w:rStyle w:val="eop"/>
          <w:rFonts w:eastAsiaTheme="majorEastAsia"/>
          <w:lang w:val="en-GB"/>
        </w:rPr>
        <w:t>which provided a</w:t>
      </w:r>
      <w:r w:rsidR="00CA34E3" w:rsidRPr="007522AC">
        <w:rPr>
          <w:rStyle w:val="eop"/>
          <w:rFonts w:eastAsiaTheme="majorEastAsia"/>
          <w:lang w:val="en-GB"/>
        </w:rPr>
        <w:t xml:space="preserve"> </w:t>
      </w:r>
      <w:r w:rsidR="00267B20" w:rsidRPr="007522AC">
        <w:rPr>
          <w:rStyle w:val="eop"/>
          <w:rFonts w:eastAsiaTheme="majorEastAsia"/>
          <w:lang w:val="en-GB"/>
        </w:rPr>
        <w:t xml:space="preserve">more </w:t>
      </w:r>
      <w:r w:rsidR="003D6A25" w:rsidRPr="007522AC">
        <w:rPr>
          <w:rStyle w:val="eop"/>
          <w:rFonts w:eastAsiaTheme="majorEastAsia"/>
          <w:lang w:val="en-GB"/>
        </w:rPr>
        <w:t xml:space="preserve">ecologically valid outcome, potentially offering </w:t>
      </w:r>
      <w:r w:rsidR="00267B20" w:rsidRPr="007522AC">
        <w:rPr>
          <w:rStyle w:val="eop"/>
          <w:rFonts w:eastAsiaTheme="majorEastAsia"/>
          <w:lang w:val="en-GB"/>
        </w:rPr>
        <w:t>understanding in</w:t>
      </w:r>
      <w:r w:rsidR="003D6A25" w:rsidRPr="007522AC">
        <w:rPr>
          <w:rStyle w:val="eop"/>
          <w:rFonts w:eastAsiaTheme="majorEastAsia"/>
          <w:lang w:val="en-GB"/>
        </w:rPr>
        <w:t xml:space="preserve"> how bilingualism may manifest as a meaningful advantage in daily functioning.</w:t>
      </w:r>
    </w:p>
    <w:p w14:paraId="5C5BB91E" w14:textId="6233EE00" w:rsidR="00D3520B" w:rsidRPr="007522AC" w:rsidRDefault="004E0719" w:rsidP="007522AC">
      <w:pPr>
        <w:spacing w:line="480" w:lineRule="auto"/>
        <w:ind w:firstLine="720"/>
        <w:rPr>
          <w:rStyle w:val="eop"/>
          <w:rFonts w:eastAsiaTheme="majorEastAsia"/>
          <w:lang w:val="en-GB"/>
        </w:rPr>
      </w:pPr>
      <w:r>
        <w:rPr>
          <w:rStyle w:val="eop"/>
          <w:rFonts w:eastAsiaTheme="majorEastAsia"/>
          <w:lang w:val="en-GB"/>
        </w:rPr>
        <w:t>Furthermore</w:t>
      </w:r>
      <w:r w:rsidR="00D3520B" w:rsidRPr="007522AC">
        <w:rPr>
          <w:rStyle w:val="eop"/>
          <w:rFonts w:eastAsiaTheme="majorEastAsia"/>
          <w:lang w:val="en-GB"/>
        </w:rPr>
        <w:t xml:space="preserve">, </w:t>
      </w:r>
      <w:r w:rsidRPr="004E0719">
        <w:rPr>
          <w:rStyle w:val="eop"/>
          <w:rFonts w:eastAsiaTheme="majorEastAsia"/>
          <w:lang w:val="en-GB"/>
        </w:rPr>
        <w:t>it is recommended that future research investigate</w:t>
      </w:r>
      <w:r w:rsidR="00D3520B" w:rsidRPr="007522AC">
        <w:rPr>
          <w:rStyle w:val="eop"/>
          <w:rFonts w:eastAsiaTheme="majorEastAsia"/>
          <w:lang w:val="en-GB"/>
        </w:rPr>
        <w:t xml:space="preserve"> </w:t>
      </w:r>
      <w:r w:rsidR="00CA34E3" w:rsidRPr="007522AC">
        <w:rPr>
          <w:rStyle w:val="eop"/>
          <w:rFonts w:eastAsiaTheme="majorEastAsia"/>
          <w:lang w:val="en-GB"/>
        </w:rPr>
        <w:t>visuospatial working memory and task switching ability</w:t>
      </w:r>
      <w:r w:rsidR="00D3520B" w:rsidRPr="007522AC">
        <w:rPr>
          <w:rStyle w:val="eop"/>
          <w:rFonts w:eastAsiaTheme="majorEastAsia"/>
          <w:lang w:val="en-GB"/>
        </w:rPr>
        <w:t xml:space="preserve"> with a larger sample size. The generalizability of the results </w:t>
      </w:r>
      <w:r w:rsidR="00D10586" w:rsidRPr="007522AC">
        <w:rPr>
          <w:rStyle w:val="eop"/>
          <w:rFonts w:eastAsiaTheme="majorEastAsia"/>
          <w:lang w:val="en-GB"/>
        </w:rPr>
        <w:t>is</w:t>
      </w:r>
      <w:r w:rsidR="00D3520B" w:rsidRPr="007522AC">
        <w:rPr>
          <w:rStyle w:val="eop"/>
          <w:rFonts w:eastAsiaTheme="majorEastAsia"/>
          <w:lang w:val="en-GB"/>
        </w:rPr>
        <w:t xml:space="preserve"> limited, highlighting that the results should be interpreted with caution. The relatively small and imbalanced sample size between the monolingual and the bilingual group may have influenced the results. Faber &amp; Fonseca (2004) highlight that small, unreliable sample sizes fail to achieve meaningful results. Future research should take sample size into account.</w:t>
      </w:r>
    </w:p>
    <w:p w14:paraId="0B1210F6" w14:textId="7EE143E9" w:rsidR="007C3D50" w:rsidRPr="007522AC" w:rsidRDefault="00905892" w:rsidP="007522AC">
      <w:pPr>
        <w:spacing w:line="480" w:lineRule="auto"/>
        <w:ind w:firstLine="720"/>
        <w:rPr>
          <w:rStyle w:val="normaltextrun"/>
          <w:rFonts w:eastAsiaTheme="majorEastAsia"/>
          <w:lang w:val="en-GB"/>
        </w:rPr>
      </w:pPr>
      <w:r w:rsidRPr="007522AC">
        <w:rPr>
          <w:rStyle w:val="eop"/>
          <w:rFonts w:eastAsiaTheme="majorEastAsia"/>
          <w:lang w:val="en-GB"/>
        </w:rPr>
        <w:t>In conclusion</w:t>
      </w:r>
      <w:r w:rsidR="00FA1261" w:rsidRPr="007522AC">
        <w:rPr>
          <w:rStyle w:val="eop"/>
          <w:rFonts w:eastAsiaTheme="majorEastAsia"/>
          <w:lang w:val="en-GB"/>
        </w:rPr>
        <w:t xml:space="preserve">, the present study found minimal differences in the development and performance of visuospatial working memory and task-switching abilities between bilingual and monolingual children. These findings </w:t>
      </w:r>
      <w:r w:rsidR="004E0719">
        <w:rPr>
          <w:rStyle w:val="eop"/>
          <w:rFonts w:eastAsiaTheme="majorEastAsia"/>
          <w:lang w:val="en-GB"/>
        </w:rPr>
        <w:t>challenge</w:t>
      </w:r>
      <w:r w:rsidR="00FA1261" w:rsidRPr="007522AC">
        <w:rPr>
          <w:rStyle w:val="eop"/>
          <w:rFonts w:eastAsiaTheme="majorEastAsia"/>
          <w:lang w:val="en-GB"/>
        </w:rPr>
        <w:t xml:space="preserve"> the assumption of a bilingual advantage in cognitive development. </w:t>
      </w:r>
      <w:r w:rsidR="001F1772" w:rsidRPr="007522AC">
        <w:rPr>
          <w:rStyle w:val="eop"/>
          <w:rFonts w:eastAsiaTheme="majorEastAsia"/>
          <w:lang w:val="en-GB"/>
        </w:rPr>
        <w:t>Nevertheless</w:t>
      </w:r>
      <w:r w:rsidR="00FA1261" w:rsidRPr="007522AC">
        <w:rPr>
          <w:rStyle w:val="eop"/>
          <w:rFonts w:eastAsiaTheme="majorEastAsia"/>
          <w:lang w:val="en-GB"/>
        </w:rPr>
        <w:t xml:space="preserve">, the current results should be interpreted with caution, as they are limited by potential issues </w:t>
      </w:r>
      <w:r w:rsidR="00340BFE" w:rsidRPr="007522AC">
        <w:rPr>
          <w:rStyle w:val="eop"/>
          <w:rFonts w:eastAsiaTheme="majorEastAsia"/>
          <w:lang w:val="en-GB"/>
        </w:rPr>
        <w:t>due to a potential lack of</w:t>
      </w:r>
      <w:r w:rsidR="00FA1261" w:rsidRPr="007522AC">
        <w:rPr>
          <w:rStyle w:val="eop"/>
          <w:rFonts w:eastAsiaTheme="majorEastAsia"/>
          <w:lang w:val="en-GB"/>
        </w:rPr>
        <w:t xml:space="preserve"> ecological validity and a relatively small sample size. Future longitudinal research </w:t>
      </w:r>
      <w:r w:rsidR="00340BFE" w:rsidRPr="007522AC">
        <w:rPr>
          <w:rStyle w:val="eop"/>
          <w:rFonts w:eastAsiaTheme="majorEastAsia"/>
          <w:lang w:val="en-GB"/>
        </w:rPr>
        <w:t>should focus</w:t>
      </w:r>
      <w:r w:rsidR="00FA1261" w:rsidRPr="007522AC">
        <w:rPr>
          <w:rStyle w:val="eop"/>
          <w:rFonts w:eastAsiaTheme="majorEastAsia"/>
          <w:lang w:val="en-GB"/>
        </w:rPr>
        <w:t xml:space="preserve"> on real-life cognitive outcomes</w:t>
      </w:r>
      <w:r w:rsidR="00340BFE" w:rsidRPr="007522AC">
        <w:rPr>
          <w:rStyle w:val="eop"/>
          <w:rFonts w:eastAsiaTheme="majorEastAsia"/>
          <w:lang w:val="en-GB"/>
        </w:rPr>
        <w:t xml:space="preserve"> as they </w:t>
      </w:r>
      <w:r w:rsidR="00FA1261" w:rsidRPr="007522AC">
        <w:rPr>
          <w:rStyle w:val="eop"/>
          <w:rFonts w:eastAsiaTheme="majorEastAsia"/>
          <w:lang w:val="en-GB"/>
        </w:rPr>
        <w:t xml:space="preserve">may provide deeper insight into developmental differences between bilingual and monolingual children. </w:t>
      </w:r>
      <w:bookmarkEnd w:id="2"/>
    </w:p>
    <w:p w14:paraId="1917987B" w14:textId="77777777" w:rsidR="00C47C3D" w:rsidRDefault="00C47C3D">
      <w:pPr>
        <w:rPr>
          <w:rStyle w:val="normaltextrun"/>
          <w:b/>
          <w:bCs/>
          <w:color w:val="000000"/>
          <w:lang w:val="en-GB"/>
        </w:rPr>
      </w:pPr>
      <w:r>
        <w:rPr>
          <w:rStyle w:val="normaltextrun"/>
          <w:b/>
          <w:bCs/>
          <w:color w:val="000000"/>
          <w:lang w:val="en-GB"/>
        </w:rPr>
        <w:br w:type="page"/>
      </w:r>
    </w:p>
    <w:p w14:paraId="3AF1FD15" w14:textId="3BC1E915" w:rsidR="00404C2A" w:rsidRPr="007522AC" w:rsidRDefault="00404C2A" w:rsidP="007522AC">
      <w:pPr>
        <w:spacing w:line="480" w:lineRule="auto"/>
        <w:jc w:val="center"/>
        <w:rPr>
          <w:rFonts w:eastAsiaTheme="majorEastAsia"/>
          <w:b/>
          <w:bCs/>
          <w:lang w:val="en-GB"/>
        </w:rPr>
      </w:pPr>
      <w:r w:rsidRPr="007522AC">
        <w:rPr>
          <w:rStyle w:val="normaltextrun"/>
          <w:b/>
          <w:bCs/>
          <w:color w:val="000000"/>
          <w:lang w:val="en-GB"/>
        </w:rPr>
        <w:t>References</w:t>
      </w:r>
    </w:p>
    <w:p w14:paraId="7F4F7AC4" w14:textId="59718FBD" w:rsidR="00404C2A" w:rsidRPr="007522AC" w:rsidRDefault="00404C2A" w:rsidP="007522AC">
      <w:pPr>
        <w:pStyle w:val="paragraph"/>
        <w:spacing w:before="0" w:beforeAutospacing="0" w:after="0" w:afterAutospacing="0" w:line="480" w:lineRule="auto"/>
        <w:textAlignment w:val="baseline"/>
        <w:rPr>
          <w:rStyle w:val="normaltextrun"/>
          <w:color w:val="000000" w:themeColor="text1"/>
          <w:shd w:val="clear" w:color="auto" w:fill="FFFFFF"/>
          <w:lang w:val="en-GB"/>
        </w:rPr>
      </w:pPr>
      <w:proofErr w:type="spellStart"/>
      <w:r w:rsidRPr="007522AC">
        <w:rPr>
          <w:color w:val="000000" w:themeColor="text1"/>
          <w:shd w:val="clear" w:color="auto" w:fill="FFFFFF"/>
          <w:lang w:val="en-GB"/>
        </w:rPr>
        <w:t>Abutalebi</w:t>
      </w:r>
      <w:proofErr w:type="spellEnd"/>
      <w:r w:rsidRPr="007522AC">
        <w:rPr>
          <w:color w:val="000000" w:themeColor="text1"/>
          <w:shd w:val="clear" w:color="auto" w:fill="FFFFFF"/>
          <w:lang w:val="en-GB"/>
        </w:rPr>
        <w:t>, J., &amp; Green</w:t>
      </w:r>
      <w:r w:rsidRPr="007522AC">
        <w:rPr>
          <w:rFonts w:ascii="Cambria Math" w:hAnsi="Cambria Math" w:cs="Cambria Math"/>
          <w:color w:val="000000" w:themeColor="text1"/>
          <w:shd w:val="clear" w:color="auto" w:fill="FFFFFF"/>
          <w:lang w:val="en-GB"/>
        </w:rPr>
        <w:t>∗</w:t>
      </w:r>
      <w:r w:rsidRPr="007522AC">
        <w:rPr>
          <w:color w:val="000000" w:themeColor="text1"/>
          <w:shd w:val="clear" w:color="auto" w:fill="FFFFFF"/>
          <w:lang w:val="en-GB"/>
        </w:rPr>
        <w:t xml:space="preserve">, D. W. (2008). Control mechanisms in bilingual language </w:t>
      </w:r>
      <w:r w:rsidRPr="007522AC">
        <w:rPr>
          <w:color w:val="000000" w:themeColor="text1"/>
          <w:shd w:val="clear" w:color="auto" w:fill="FFFFFF"/>
          <w:lang w:val="en-GB"/>
        </w:rPr>
        <w:tab/>
        <w:t>production: Neural evidence from language switching studies. </w:t>
      </w:r>
      <w:r w:rsidRPr="007522AC">
        <w:rPr>
          <w:i/>
          <w:iCs/>
          <w:color w:val="000000" w:themeColor="text1"/>
          <w:shd w:val="clear" w:color="auto" w:fill="FFFFFF"/>
          <w:lang w:val="en-GB"/>
        </w:rPr>
        <w:t xml:space="preserve">Language and </w:t>
      </w:r>
      <w:r w:rsidRPr="007522AC">
        <w:rPr>
          <w:i/>
          <w:iCs/>
          <w:color w:val="000000" w:themeColor="text1"/>
          <w:shd w:val="clear" w:color="auto" w:fill="FFFFFF"/>
          <w:lang w:val="en-GB"/>
        </w:rPr>
        <w:tab/>
        <w:t>cognitive processes</w:t>
      </w:r>
      <w:r w:rsidRPr="007522AC">
        <w:rPr>
          <w:color w:val="000000" w:themeColor="text1"/>
          <w:shd w:val="clear" w:color="auto" w:fill="FFFFFF"/>
          <w:lang w:val="en-GB"/>
        </w:rPr>
        <w:t>, </w:t>
      </w:r>
      <w:r w:rsidRPr="007522AC">
        <w:rPr>
          <w:i/>
          <w:iCs/>
          <w:color w:val="000000" w:themeColor="text1"/>
          <w:shd w:val="clear" w:color="auto" w:fill="FFFFFF"/>
          <w:lang w:val="en-GB"/>
        </w:rPr>
        <w:t>23</w:t>
      </w:r>
      <w:r w:rsidRPr="007522AC">
        <w:rPr>
          <w:color w:val="000000" w:themeColor="text1"/>
          <w:shd w:val="clear" w:color="auto" w:fill="FFFFFF"/>
          <w:lang w:val="en-GB"/>
        </w:rPr>
        <w:t>(4), 557-582.</w:t>
      </w:r>
      <w:r w:rsidR="0005605A" w:rsidRPr="007522AC">
        <w:rPr>
          <w:color w:val="000000" w:themeColor="text1"/>
          <w:shd w:val="clear" w:color="auto" w:fill="FFFFFF"/>
          <w:lang w:val="en-GB"/>
        </w:rPr>
        <w:t xml:space="preserve"> </w:t>
      </w:r>
      <w:hyperlink r:id="rId9" w:history="1">
        <w:r w:rsidR="0005605A" w:rsidRPr="007522AC">
          <w:rPr>
            <w:rStyle w:val="Hyperlink"/>
            <w:shd w:val="clear" w:color="auto" w:fill="FFFFFF"/>
            <w:lang w:val="en-GB"/>
          </w:rPr>
          <w:t>https://doi.org/10.1080/01690960801920602</w:t>
        </w:r>
      </w:hyperlink>
      <w:r w:rsidR="0005605A" w:rsidRPr="007522AC">
        <w:rPr>
          <w:color w:val="000000" w:themeColor="text1"/>
          <w:shd w:val="clear" w:color="auto" w:fill="FFFFFF"/>
          <w:lang w:val="en-GB"/>
        </w:rPr>
        <w:t xml:space="preserve"> </w:t>
      </w:r>
    </w:p>
    <w:p w14:paraId="7132ABA2" w14:textId="6325979C" w:rsidR="0005605A" w:rsidRPr="007522AC" w:rsidRDefault="0005605A" w:rsidP="007522AC">
      <w:pPr>
        <w:pStyle w:val="paragraph"/>
        <w:spacing w:before="0" w:beforeAutospacing="0" w:after="0" w:afterAutospacing="0" w:line="480" w:lineRule="auto"/>
        <w:textAlignment w:val="baseline"/>
        <w:rPr>
          <w:rStyle w:val="normaltextrun"/>
          <w:rFonts w:eastAsiaTheme="majorEastAsia"/>
          <w:lang w:val="en-GB"/>
        </w:rPr>
      </w:pPr>
      <w:proofErr w:type="spellStart"/>
      <w:r w:rsidRPr="007522AC">
        <w:rPr>
          <w:rStyle w:val="normaltextrun"/>
          <w:rFonts w:eastAsiaTheme="majorEastAsia"/>
          <w:lang w:val="en-GB"/>
        </w:rPr>
        <w:t>Alazzaz</w:t>
      </w:r>
      <w:proofErr w:type="spellEnd"/>
      <w:r w:rsidRPr="007522AC">
        <w:rPr>
          <w:rStyle w:val="normaltextrun"/>
          <w:rFonts w:eastAsiaTheme="majorEastAsia"/>
          <w:lang w:val="en-GB"/>
        </w:rPr>
        <w:t xml:space="preserve">, L. A., &amp; </w:t>
      </w:r>
      <w:proofErr w:type="spellStart"/>
      <w:r w:rsidRPr="007522AC">
        <w:rPr>
          <w:rStyle w:val="normaltextrun"/>
          <w:rFonts w:eastAsiaTheme="majorEastAsia"/>
          <w:lang w:val="en-GB"/>
        </w:rPr>
        <w:t>Almutrafi</w:t>
      </w:r>
      <w:proofErr w:type="spellEnd"/>
      <w:r w:rsidRPr="007522AC">
        <w:rPr>
          <w:rStyle w:val="normaltextrun"/>
          <w:rFonts w:eastAsiaTheme="majorEastAsia"/>
          <w:lang w:val="en-GB"/>
        </w:rPr>
        <w:t>, F. (2022). Verbal and visuospatial working memory in Arabic-</w:t>
      </w:r>
      <w:r w:rsidRPr="007522AC">
        <w:rPr>
          <w:rStyle w:val="normaltextrun"/>
          <w:rFonts w:eastAsiaTheme="majorEastAsia"/>
          <w:lang w:val="en-GB"/>
        </w:rPr>
        <w:tab/>
        <w:t xml:space="preserve">English female bilinguals: Is there an advantage? Arab World English Journal, 13(4), </w:t>
      </w:r>
      <w:r w:rsidRPr="007522AC">
        <w:rPr>
          <w:rStyle w:val="normaltextrun"/>
          <w:rFonts w:eastAsiaTheme="majorEastAsia"/>
          <w:lang w:val="en-GB"/>
        </w:rPr>
        <w:tab/>
        <w:t xml:space="preserve">468–485. </w:t>
      </w:r>
      <w:hyperlink r:id="rId10" w:history="1">
        <w:r w:rsidRPr="007522AC">
          <w:rPr>
            <w:rStyle w:val="Hyperlink"/>
            <w:rFonts w:eastAsiaTheme="majorEastAsia"/>
            <w:lang w:val="en-GB"/>
          </w:rPr>
          <w:t>https://doi.org/10.24093/awej/vol13no4.31</w:t>
        </w:r>
      </w:hyperlink>
    </w:p>
    <w:p w14:paraId="789802DC" w14:textId="7BDF4D20" w:rsidR="0005605A" w:rsidRPr="007522AC" w:rsidRDefault="0005605A"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Alloway, T. P., &amp; Alloway, R. G. (2009). Investigating the predictive roles of working </w:t>
      </w:r>
      <w:r w:rsidRPr="007522AC">
        <w:rPr>
          <w:rStyle w:val="normaltextrun"/>
          <w:rFonts w:eastAsiaTheme="majorEastAsia"/>
          <w:lang w:val="en-GB"/>
        </w:rPr>
        <w:tab/>
        <w:t xml:space="preserve">memory and IQ in academic attainment. </w:t>
      </w:r>
      <w:r w:rsidRPr="007522AC">
        <w:rPr>
          <w:rStyle w:val="normaltextrun"/>
          <w:rFonts w:eastAsiaTheme="majorEastAsia"/>
          <w:i/>
          <w:iCs/>
          <w:lang w:val="en-GB"/>
        </w:rPr>
        <w:t xml:space="preserve">Journal of Experimental Child Psychology, </w:t>
      </w:r>
      <w:r w:rsidRPr="007522AC">
        <w:rPr>
          <w:rStyle w:val="normaltextrun"/>
          <w:rFonts w:eastAsiaTheme="majorEastAsia"/>
          <w:i/>
          <w:iCs/>
          <w:lang w:val="en-GB"/>
        </w:rPr>
        <w:tab/>
        <w:t>106</w:t>
      </w:r>
      <w:r w:rsidRPr="007522AC">
        <w:rPr>
          <w:rStyle w:val="normaltextrun"/>
          <w:rFonts w:eastAsiaTheme="majorEastAsia"/>
          <w:lang w:val="en-GB"/>
        </w:rPr>
        <w:t xml:space="preserve">(1), 20–29. </w:t>
      </w:r>
      <w:hyperlink r:id="rId11" w:history="1">
        <w:r w:rsidRPr="007522AC">
          <w:rPr>
            <w:rStyle w:val="Hyperlink"/>
            <w:rFonts w:eastAsiaTheme="majorEastAsia"/>
            <w:lang w:val="en-GB"/>
          </w:rPr>
          <w:t>https://doi.org/10.1016/j.jecp.2009.11.003</w:t>
        </w:r>
      </w:hyperlink>
    </w:p>
    <w:p w14:paraId="1B741DD3" w14:textId="409DF385" w:rsidR="0005605A" w:rsidRPr="007522AC" w:rsidRDefault="0005605A"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Anderson, P. (2002). Assessment and development of Executive function (EF) during </w:t>
      </w:r>
      <w:r w:rsidRPr="007522AC">
        <w:rPr>
          <w:rStyle w:val="normaltextrun"/>
          <w:rFonts w:eastAsiaTheme="majorEastAsia"/>
          <w:lang w:val="en-GB"/>
        </w:rPr>
        <w:tab/>
        <w:t xml:space="preserve">childhood. Child Neuropsychology, 8(2), 71–82. </w:t>
      </w:r>
      <w:r w:rsidRPr="007522AC">
        <w:rPr>
          <w:rStyle w:val="normaltextrun"/>
          <w:rFonts w:eastAsiaTheme="majorEastAsia"/>
          <w:lang w:val="en-GB"/>
        </w:rPr>
        <w:tab/>
      </w:r>
      <w:hyperlink r:id="rId12" w:history="1">
        <w:r w:rsidRPr="007522AC">
          <w:rPr>
            <w:rStyle w:val="Hyperlink"/>
            <w:rFonts w:eastAsiaTheme="majorEastAsia"/>
            <w:lang w:val="en-GB"/>
          </w:rPr>
          <w:t>https://doi.org/10.1076/chin.8.2.71.8724</w:t>
        </w:r>
      </w:hyperlink>
    </w:p>
    <w:p w14:paraId="5282B40F" w14:textId="08FC2708" w:rsidR="0005605A" w:rsidRPr="007522AC" w:rsidRDefault="0005605A"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Andreou, M., </w:t>
      </w:r>
      <w:proofErr w:type="spellStart"/>
      <w:r w:rsidRPr="007522AC">
        <w:rPr>
          <w:rStyle w:val="normaltextrun"/>
          <w:rFonts w:eastAsiaTheme="majorEastAsia"/>
          <w:lang w:val="en-GB"/>
        </w:rPr>
        <w:t>Tsimpli</w:t>
      </w:r>
      <w:proofErr w:type="spellEnd"/>
      <w:r w:rsidRPr="007522AC">
        <w:rPr>
          <w:rStyle w:val="normaltextrun"/>
          <w:rFonts w:eastAsiaTheme="majorEastAsia"/>
          <w:lang w:val="en-GB"/>
        </w:rPr>
        <w:t xml:space="preserve">, I. M., </w:t>
      </w:r>
      <w:proofErr w:type="spellStart"/>
      <w:r w:rsidRPr="007522AC">
        <w:rPr>
          <w:rStyle w:val="normaltextrun"/>
          <w:rFonts w:eastAsiaTheme="majorEastAsia"/>
          <w:lang w:val="en-GB"/>
        </w:rPr>
        <w:t>Masoura</w:t>
      </w:r>
      <w:proofErr w:type="spellEnd"/>
      <w:r w:rsidRPr="007522AC">
        <w:rPr>
          <w:rStyle w:val="normaltextrun"/>
          <w:rFonts w:eastAsiaTheme="majorEastAsia"/>
          <w:lang w:val="en-GB"/>
        </w:rPr>
        <w:t xml:space="preserve">, E., &amp; </w:t>
      </w:r>
      <w:proofErr w:type="spellStart"/>
      <w:r w:rsidRPr="007522AC">
        <w:rPr>
          <w:rStyle w:val="normaltextrun"/>
          <w:rFonts w:eastAsiaTheme="majorEastAsia"/>
          <w:lang w:val="en-GB"/>
        </w:rPr>
        <w:t>Agathopoulou</w:t>
      </w:r>
      <w:proofErr w:type="spellEnd"/>
      <w:r w:rsidRPr="007522AC">
        <w:rPr>
          <w:rStyle w:val="normaltextrun"/>
          <w:rFonts w:eastAsiaTheme="majorEastAsia"/>
          <w:lang w:val="en-GB"/>
        </w:rPr>
        <w:t xml:space="preserve">, E. (2021). Cognitive </w:t>
      </w:r>
      <w:r w:rsidRPr="007522AC">
        <w:rPr>
          <w:rStyle w:val="normaltextrun"/>
          <w:rFonts w:eastAsiaTheme="majorEastAsia"/>
          <w:lang w:val="en-GB"/>
        </w:rPr>
        <w:tab/>
        <w:t xml:space="preserve">mechanisms of monolingual and bilingual children in </w:t>
      </w:r>
      <w:proofErr w:type="spellStart"/>
      <w:r w:rsidRPr="007522AC">
        <w:rPr>
          <w:rStyle w:val="normaltextrun"/>
          <w:rFonts w:eastAsiaTheme="majorEastAsia"/>
          <w:lang w:val="en-GB"/>
        </w:rPr>
        <w:t>monoliterate</w:t>
      </w:r>
      <w:proofErr w:type="spellEnd"/>
      <w:r w:rsidRPr="007522AC">
        <w:rPr>
          <w:rStyle w:val="normaltextrun"/>
          <w:rFonts w:eastAsiaTheme="majorEastAsia"/>
          <w:lang w:val="en-GB"/>
        </w:rPr>
        <w:t xml:space="preserve"> educational </w:t>
      </w:r>
      <w:r w:rsidRPr="007522AC">
        <w:rPr>
          <w:rStyle w:val="normaltextrun"/>
          <w:rFonts w:eastAsiaTheme="majorEastAsia"/>
          <w:lang w:val="en-GB"/>
        </w:rPr>
        <w:tab/>
        <w:t xml:space="preserve">settings: evidence from sentence repetition. </w:t>
      </w:r>
      <w:r w:rsidRPr="007522AC">
        <w:rPr>
          <w:rStyle w:val="normaltextrun"/>
          <w:rFonts w:eastAsiaTheme="majorEastAsia"/>
          <w:i/>
          <w:iCs/>
          <w:lang w:val="en-GB"/>
        </w:rPr>
        <w:t>Frontiers in Psychology, 11.</w:t>
      </w:r>
      <w:r w:rsidRPr="007522AC">
        <w:rPr>
          <w:rStyle w:val="normaltextrun"/>
          <w:rFonts w:eastAsiaTheme="majorEastAsia"/>
          <w:lang w:val="en-GB"/>
        </w:rPr>
        <w:t xml:space="preserve"> </w:t>
      </w:r>
      <w:r w:rsidRPr="007522AC">
        <w:rPr>
          <w:rStyle w:val="normaltextrun"/>
          <w:rFonts w:eastAsiaTheme="majorEastAsia"/>
          <w:lang w:val="en-GB"/>
        </w:rPr>
        <w:tab/>
      </w:r>
      <w:hyperlink r:id="rId13" w:history="1">
        <w:r w:rsidRPr="007522AC">
          <w:rPr>
            <w:rStyle w:val="Hyperlink"/>
            <w:rFonts w:eastAsiaTheme="majorEastAsia"/>
            <w:lang w:val="en-GB"/>
          </w:rPr>
          <w:t>https://doi.org/10.3389/fpsyg.2020.613992</w:t>
        </w:r>
      </w:hyperlink>
    </w:p>
    <w:p w14:paraId="083315ED" w14:textId="6B7D9BE9" w:rsidR="00404C2A" w:rsidRPr="007522AC" w:rsidRDefault="00404C2A" w:rsidP="007522AC">
      <w:pPr>
        <w:pStyle w:val="paragraph"/>
        <w:spacing w:before="0" w:beforeAutospacing="0" w:after="0" w:afterAutospacing="0" w:line="480" w:lineRule="auto"/>
        <w:textAlignment w:val="baseline"/>
        <w:rPr>
          <w:rFonts w:eastAsiaTheme="majorEastAsia"/>
          <w:lang w:val="en-GB"/>
        </w:rPr>
      </w:pPr>
      <w:r w:rsidRPr="007522AC">
        <w:rPr>
          <w:rStyle w:val="normaltextrun"/>
          <w:rFonts w:eastAsiaTheme="majorEastAsia"/>
          <w:lang w:val="en-GB"/>
        </w:rPr>
        <w:t xml:space="preserve">Ashkenazi, S., Rosenberg-Lee, M., Metcalfe, A. W., Swigart, A. G., &amp; Menon, V. (2013). </w:t>
      </w:r>
      <w:r w:rsidRPr="007522AC">
        <w:rPr>
          <w:rStyle w:val="normaltextrun"/>
          <w:rFonts w:eastAsiaTheme="majorEastAsia"/>
          <w:lang w:val="en-GB"/>
        </w:rPr>
        <w:tab/>
        <w:t xml:space="preserve">Visuo–spatial working memory is an important source of domain- general </w:t>
      </w:r>
      <w:r w:rsidRPr="007522AC">
        <w:rPr>
          <w:rStyle w:val="normaltextrun"/>
          <w:rFonts w:eastAsiaTheme="majorEastAsia"/>
          <w:lang w:val="en-GB"/>
        </w:rPr>
        <w:tab/>
        <w:t xml:space="preserve">vulnerability in the development of arithmetic cognition. </w:t>
      </w:r>
      <w:proofErr w:type="spellStart"/>
      <w:r w:rsidRPr="007522AC">
        <w:rPr>
          <w:rStyle w:val="normaltextrun"/>
          <w:rFonts w:eastAsiaTheme="majorEastAsia"/>
          <w:i/>
          <w:iCs/>
          <w:lang w:val="en-GB"/>
        </w:rPr>
        <w:t>Neuropsychologia</w:t>
      </w:r>
      <w:proofErr w:type="spellEnd"/>
      <w:r w:rsidRPr="007522AC">
        <w:rPr>
          <w:rStyle w:val="normaltextrun"/>
          <w:rFonts w:eastAsiaTheme="majorEastAsia"/>
          <w:lang w:val="en-GB"/>
        </w:rPr>
        <w:t xml:space="preserve">, </w:t>
      </w:r>
      <w:r w:rsidRPr="007522AC">
        <w:rPr>
          <w:rStyle w:val="normaltextrun"/>
          <w:rFonts w:eastAsiaTheme="majorEastAsia"/>
          <w:i/>
          <w:iCs/>
          <w:lang w:val="en-GB"/>
        </w:rPr>
        <w:t>51</w:t>
      </w:r>
      <w:r w:rsidRPr="007522AC">
        <w:rPr>
          <w:rStyle w:val="normaltextrun"/>
          <w:rFonts w:eastAsiaTheme="majorEastAsia"/>
          <w:lang w:val="en-GB"/>
        </w:rPr>
        <w:t xml:space="preserve">(11), </w:t>
      </w:r>
      <w:r w:rsidRPr="007522AC">
        <w:rPr>
          <w:rStyle w:val="normaltextrun"/>
          <w:rFonts w:eastAsiaTheme="majorEastAsia"/>
          <w:lang w:val="en-GB"/>
        </w:rPr>
        <w:tab/>
        <w:t xml:space="preserve">2305-2317. </w:t>
      </w:r>
      <w:hyperlink r:id="rId14" w:tgtFrame="_blank" w:history="1">
        <w:r w:rsidRPr="007522AC">
          <w:rPr>
            <w:rStyle w:val="normaltextrun"/>
            <w:rFonts w:eastAsiaTheme="majorEastAsia"/>
            <w:color w:val="467886"/>
            <w:u w:val="single"/>
            <w:lang w:val="en-GB"/>
          </w:rPr>
          <w:t>https://doi.org/10.1016/j.neuropsychologia.2013.06.031</w:t>
        </w:r>
      </w:hyperlink>
      <w:r w:rsidRPr="007522AC">
        <w:rPr>
          <w:rStyle w:val="normaltextrun"/>
          <w:rFonts w:eastAsiaTheme="majorEastAsia"/>
          <w:lang w:val="en-GB"/>
        </w:rPr>
        <w:t>.</w:t>
      </w:r>
      <w:r w:rsidRPr="007522AC">
        <w:rPr>
          <w:rStyle w:val="eop"/>
          <w:rFonts w:eastAsiaTheme="majorEastAsia"/>
          <w:lang w:val="en-GB"/>
        </w:rPr>
        <w:t> </w:t>
      </w:r>
    </w:p>
    <w:p w14:paraId="2B2EF886" w14:textId="43CCD35C" w:rsidR="00C614CD" w:rsidRPr="007522AC" w:rsidRDefault="00C614CD" w:rsidP="007522AC">
      <w:pPr>
        <w:pStyle w:val="paragraph"/>
        <w:spacing w:before="0" w:beforeAutospacing="0" w:after="0" w:afterAutospacing="0" w:line="480" w:lineRule="auto"/>
        <w:textAlignment w:val="baseline"/>
        <w:rPr>
          <w:rStyle w:val="eop"/>
          <w:rFonts w:eastAsiaTheme="majorEastAsia"/>
          <w:lang w:val="en-GB"/>
        </w:rPr>
      </w:pPr>
      <w:r w:rsidRPr="007522AC">
        <w:rPr>
          <w:rStyle w:val="eop"/>
          <w:rFonts w:eastAsiaTheme="majorEastAsia"/>
          <w:lang w:val="en-GB"/>
        </w:rPr>
        <w:t xml:space="preserve">Morales, J., Calvo, A., &amp; Bialystok, E. (2012). Working memory development in </w:t>
      </w:r>
      <w:r w:rsidRPr="007522AC">
        <w:rPr>
          <w:rStyle w:val="eop"/>
          <w:rFonts w:eastAsiaTheme="majorEastAsia"/>
          <w:lang w:val="en-GB"/>
        </w:rPr>
        <w:tab/>
        <w:t>monolingual and bilingual children</w:t>
      </w:r>
      <w:r w:rsidRPr="007522AC">
        <w:rPr>
          <w:rStyle w:val="eop"/>
          <w:rFonts w:eastAsiaTheme="majorEastAsia"/>
          <w:i/>
          <w:iCs/>
          <w:lang w:val="en-GB"/>
        </w:rPr>
        <w:t xml:space="preserve">. Journal of Experimental Child Psychology, </w:t>
      </w:r>
      <w:r w:rsidRPr="007522AC">
        <w:rPr>
          <w:rStyle w:val="eop"/>
          <w:rFonts w:eastAsiaTheme="majorEastAsia"/>
          <w:i/>
          <w:iCs/>
          <w:lang w:val="en-GB"/>
        </w:rPr>
        <w:tab/>
        <w:t>114</w:t>
      </w:r>
      <w:r w:rsidRPr="007522AC">
        <w:rPr>
          <w:rStyle w:val="eop"/>
          <w:rFonts w:eastAsiaTheme="majorEastAsia"/>
          <w:lang w:val="en-GB"/>
        </w:rPr>
        <w:t xml:space="preserve">(2), 187–202. </w:t>
      </w:r>
      <w:hyperlink r:id="rId15" w:history="1">
        <w:r w:rsidRPr="007522AC">
          <w:rPr>
            <w:rStyle w:val="Hyperlink"/>
            <w:rFonts w:eastAsiaTheme="majorEastAsia"/>
            <w:lang w:val="en-GB"/>
          </w:rPr>
          <w:t>https://doi.org/10.1016/j.jecp.2012.09.002</w:t>
        </w:r>
      </w:hyperlink>
    </w:p>
    <w:p w14:paraId="0DE9C5CA" w14:textId="78B2BBA7" w:rsidR="00C614CD" w:rsidRPr="007522AC" w:rsidRDefault="00C614CD"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Blom, E., </w:t>
      </w:r>
      <w:proofErr w:type="spellStart"/>
      <w:r w:rsidRPr="007522AC">
        <w:rPr>
          <w:rStyle w:val="normaltextrun"/>
          <w:rFonts w:eastAsiaTheme="majorEastAsia"/>
          <w:lang w:val="en-GB"/>
        </w:rPr>
        <w:t>Küntay</w:t>
      </w:r>
      <w:proofErr w:type="spellEnd"/>
      <w:r w:rsidRPr="007522AC">
        <w:rPr>
          <w:rStyle w:val="normaltextrun"/>
          <w:rFonts w:eastAsiaTheme="majorEastAsia"/>
          <w:lang w:val="en-GB"/>
        </w:rPr>
        <w:t xml:space="preserve">, A. C., Messer, M., Verhagen, J., &amp; Leseman, P. (2014). The benefits of </w:t>
      </w:r>
      <w:r w:rsidRPr="007522AC">
        <w:rPr>
          <w:rStyle w:val="normaltextrun"/>
          <w:rFonts w:eastAsiaTheme="majorEastAsia"/>
          <w:lang w:val="en-GB"/>
        </w:rPr>
        <w:tab/>
        <w:t xml:space="preserve">being bilingual: Working memory in bilingual </w:t>
      </w:r>
      <w:proofErr w:type="gramStart"/>
      <w:r w:rsidRPr="007522AC">
        <w:rPr>
          <w:rStyle w:val="normaltextrun"/>
          <w:rFonts w:eastAsiaTheme="majorEastAsia"/>
          <w:lang w:val="en-GB"/>
        </w:rPr>
        <w:t>Turkish–Dutch</w:t>
      </w:r>
      <w:proofErr w:type="gramEnd"/>
      <w:r w:rsidRPr="007522AC">
        <w:rPr>
          <w:rStyle w:val="normaltextrun"/>
          <w:rFonts w:eastAsiaTheme="majorEastAsia"/>
          <w:lang w:val="en-GB"/>
        </w:rPr>
        <w:t xml:space="preserve"> children. </w:t>
      </w:r>
      <w:r w:rsidRPr="007522AC">
        <w:rPr>
          <w:rStyle w:val="normaltextrun"/>
          <w:rFonts w:eastAsiaTheme="majorEastAsia"/>
          <w:i/>
          <w:iCs/>
          <w:lang w:val="en-GB"/>
        </w:rPr>
        <w:t xml:space="preserve">Journal of </w:t>
      </w:r>
      <w:r w:rsidRPr="007522AC">
        <w:rPr>
          <w:rStyle w:val="normaltextrun"/>
          <w:rFonts w:eastAsiaTheme="majorEastAsia"/>
          <w:i/>
          <w:iCs/>
          <w:lang w:val="en-GB"/>
        </w:rPr>
        <w:tab/>
        <w:t>Experimental Child Psychology, 128</w:t>
      </w:r>
      <w:r w:rsidRPr="007522AC">
        <w:rPr>
          <w:rStyle w:val="normaltextrun"/>
          <w:rFonts w:eastAsiaTheme="majorEastAsia"/>
          <w:lang w:val="en-GB"/>
        </w:rPr>
        <w:t xml:space="preserve">, 105–119. </w:t>
      </w:r>
      <w:r w:rsidRPr="007522AC">
        <w:rPr>
          <w:rStyle w:val="normaltextrun"/>
          <w:rFonts w:eastAsiaTheme="majorEastAsia"/>
          <w:lang w:val="en-GB"/>
        </w:rPr>
        <w:tab/>
      </w:r>
      <w:hyperlink r:id="rId16" w:history="1">
        <w:r w:rsidRPr="007522AC">
          <w:rPr>
            <w:rStyle w:val="Hyperlink"/>
            <w:rFonts w:eastAsiaTheme="majorEastAsia"/>
            <w:lang w:val="en-GB"/>
          </w:rPr>
          <w:t>https://doi.org/10.1016/j.jecp.2014.06.007</w:t>
        </w:r>
      </w:hyperlink>
    </w:p>
    <w:p w14:paraId="36F1B4C6" w14:textId="2CBD668E" w:rsidR="00404C2A" w:rsidRPr="007522AC" w:rsidRDefault="00404C2A" w:rsidP="007522AC">
      <w:pPr>
        <w:pStyle w:val="paragraph"/>
        <w:spacing w:before="0" w:beforeAutospacing="0" w:after="0" w:afterAutospacing="0" w:line="480" w:lineRule="auto"/>
        <w:textAlignment w:val="baseline"/>
        <w:rPr>
          <w:rFonts w:eastAsiaTheme="majorEastAsia"/>
          <w:lang w:val="en-GB"/>
        </w:rPr>
      </w:pPr>
      <w:r w:rsidRPr="007522AC">
        <w:rPr>
          <w:rStyle w:val="normaltextrun"/>
          <w:rFonts w:eastAsiaTheme="majorEastAsia"/>
          <w:lang w:val="en-GB"/>
        </w:rPr>
        <w:t xml:space="preserve">Byers-Heinlein, K., &amp; Lew-Williams, C. (2013). Bilingualism in the early years: What the </w:t>
      </w:r>
      <w:r w:rsidRPr="007522AC">
        <w:rPr>
          <w:rStyle w:val="normaltextrun"/>
          <w:rFonts w:eastAsiaTheme="majorEastAsia"/>
          <w:lang w:val="en-GB"/>
        </w:rPr>
        <w:tab/>
        <w:t xml:space="preserve">science says. </w:t>
      </w:r>
      <w:proofErr w:type="spellStart"/>
      <w:r w:rsidRPr="007522AC">
        <w:rPr>
          <w:rStyle w:val="normaltextrun"/>
          <w:rFonts w:eastAsiaTheme="majorEastAsia"/>
          <w:i/>
          <w:iCs/>
          <w:lang w:val="en-GB"/>
        </w:rPr>
        <w:t>LEARNing</w:t>
      </w:r>
      <w:proofErr w:type="spellEnd"/>
      <w:r w:rsidRPr="007522AC">
        <w:rPr>
          <w:rStyle w:val="normaltextrun"/>
          <w:rFonts w:eastAsiaTheme="majorEastAsia"/>
          <w:i/>
          <w:iCs/>
          <w:lang w:val="en-GB"/>
        </w:rPr>
        <w:t xml:space="preserve"> Landscapes</w:t>
      </w:r>
      <w:r w:rsidRPr="007522AC">
        <w:rPr>
          <w:rStyle w:val="normaltextrun"/>
          <w:rFonts w:eastAsiaTheme="majorEastAsia"/>
          <w:lang w:val="en-GB"/>
        </w:rPr>
        <w:t xml:space="preserve">, 7(1), </w:t>
      </w:r>
      <w:r w:rsidR="00C614CD" w:rsidRPr="007522AC">
        <w:rPr>
          <w:rStyle w:val="normaltextrun"/>
          <w:rFonts w:eastAsiaTheme="majorEastAsia"/>
          <w:lang w:val="en-GB"/>
        </w:rPr>
        <w:t xml:space="preserve">PubMed. </w:t>
      </w:r>
      <w:r w:rsidR="00C614CD" w:rsidRPr="007522AC">
        <w:rPr>
          <w:rStyle w:val="normaltextrun"/>
          <w:rFonts w:eastAsiaTheme="majorEastAsia"/>
          <w:lang w:val="en-GB"/>
        </w:rPr>
        <w:tab/>
      </w:r>
      <w:hyperlink r:id="rId17" w:history="1">
        <w:r w:rsidR="00C614CD" w:rsidRPr="007522AC">
          <w:rPr>
            <w:rStyle w:val="Hyperlink"/>
            <w:rFonts w:eastAsiaTheme="majorEastAsia"/>
            <w:lang w:val="en-GB"/>
          </w:rPr>
          <w:t>https://pubmed.ncbi.nlm.nih.gov/30288204/</w:t>
        </w:r>
      </w:hyperlink>
      <w:r w:rsidR="00C614CD" w:rsidRPr="007522AC">
        <w:rPr>
          <w:rStyle w:val="normaltextrun"/>
          <w:rFonts w:eastAsiaTheme="majorEastAsia"/>
          <w:lang w:val="en-GB"/>
        </w:rPr>
        <w:t xml:space="preserve"> </w:t>
      </w:r>
    </w:p>
    <w:p w14:paraId="26E8EB93" w14:textId="6E97916B" w:rsidR="00404C2A" w:rsidRPr="007522AC" w:rsidRDefault="00404C2A" w:rsidP="007522AC">
      <w:pPr>
        <w:pStyle w:val="paragraph"/>
        <w:spacing w:before="0" w:beforeAutospacing="0" w:after="0" w:afterAutospacing="0" w:line="480" w:lineRule="auto"/>
        <w:textAlignment w:val="baseline"/>
        <w:rPr>
          <w:lang w:val="en-GB"/>
        </w:rPr>
      </w:pPr>
      <w:r w:rsidRPr="007522AC">
        <w:rPr>
          <w:rStyle w:val="normaltextrun"/>
          <w:rFonts w:eastAsiaTheme="majorEastAsia"/>
          <w:lang w:val="en-GB"/>
        </w:rPr>
        <w:t xml:space="preserve">Carlson, S. M., &amp; Meltzoff, A. N. (2008). Bilingual experience and executive functioning in </w:t>
      </w:r>
      <w:r w:rsidRPr="007522AC">
        <w:rPr>
          <w:rStyle w:val="normaltextrun"/>
          <w:rFonts w:eastAsiaTheme="majorEastAsia"/>
          <w:lang w:val="en-GB"/>
        </w:rPr>
        <w:tab/>
        <w:t xml:space="preserve">young children. </w:t>
      </w:r>
      <w:r w:rsidRPr="007522AC">
        <w:rPr>
          <w:rStyle w:val="normaltextrun"/>
          <w:rFonts w:eastAsiaTheme="majorEastAsia"/>
          <w:i/>
          <w:iCs/>
          <w:lang w:val="en-GB"/>
        </w:rPr>
        <w:t>Developmental Science, 11</w:t>
      </w:r>
      <w:r w:rsidRPr="007522AC">
        <w:rPr>
          <w:rStyle w:val="normaltextrun"/>
          <w:rFonts w:eastAsiaTheme="majorEastAsia"/>
          <w:lang w:val="en-GB"/>
        </w:rPr>
        <w:t xml:space="preserve">(2), 282-298. </w:t>
      </w:r>
      <w:r w:rsidRPr="007522AC">
        <w:rPr>
          <w:rStyle w:val="normaltextrun"/>
          <w:rFonts w:eastAsiaTheme="majorEastAsia"/>
          <w:lang w:val="en-GB"/>
        </w:rPr>
        <w:tab/>
      </w:r>
      <w:hyperlink r:id="rId18" w:history="1">
        <w:r w:rsidR="00C614CD" w:rsidRPr="007522AC">
          <w:rPr>
            <w:rStyle w:val="Hyperlink"/>
            <w:rFonts w:eastAsiaTheme="majorEastAsia"/>
            <w:lang w:val="en-GB"/>
          </w:rPr>
          <w:t>https://doi.org/10.1111/j.1467-7687.2008.00675.x</w:t>
        </w:r>
      </w:hyperlink>
      <w:r w:rsidRPr="007522AC">
        <w:rPr>
          <w:rStyle w:val="normaltextrun"/>
          <w:rFonts w:eastAsiaTheme="majorEastAsia"/>
          <w:lang w:val="en-GB"/>
        </w:rPr>
        <w:t>.</w:t>
      </w:r>
      <w:r w:rsidRPr="007522AC">
        <w:rPr>
          <w:rStyle w:val="eop"/>
          <w:rFonts w:eastAsiaTheme="majorEastAsia"/>
          <w:lang w:val="en-GB"/>
        </w:rPr>
        <w:t> </w:t>
      </w:r>
    </w:p>
    <w:p w14:paraId="4D01ECD7" w14:textId="2BDA36D7" w:rsidR="00623F22" w:rsidRPr="007522AC" w:rsidRDefault="00623F22"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De Angelis, G. (2019). The bilingual advantage and the language background bias. Questa </w:t>
      </w:r>
      <w:r w:rsidRPr="007522AC">
        <w:rPr>
          <w:rStyle w:val="normaltextrun"/>
          <w:rFonts w:eastAsiaTheme="majorEastAsia"/>
          <w:lang w:val="en-GB"/>
        </w:rPr>
        <w:tab/>
        <w:t xml:space="preserve">Soft. </w:t>
      </w:r>
      <w:hyperlink r:id="rId19" w:history="1">
        <w:r w:rsidRPr="007522AC">
          <w:rPr>
            <w:rStyle w:val="Hyperlink"/>
            <w:rFonts w:eastAsiaTheme="majorEastAsia"/>
            <w:lang w:val="en-GB"/>
          </w:rPr>
          <w:t>https://www.ceeol.com/search/article-detail?id=944593</w:t>
        </w:r>
      </w:hyperlink>
    </w:p>
    <w:p w14:paraId="7E0B2498" w14:textId="3A30BE69" w:rsidR="00623F22" w:rsidRPr="007522AC" w:rsidRDefault="00623F22"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Dixon, L. Q., Wu, S., &amp; Daraghmeh, A. (2011). Profiles in Bilingualism: Factors influencing </w:t>
      </w:r>
      <w:r w:rsidRPr="007522AC">
        <w:rPr>
          <w:rStyle w:val="normaltextrun"/>
          <w:rFonts w:eastAsiaTheme="majorEastAsia"/>
          <w:lang w:val="en-GB"/>
        </w:rPr>
        <w:tab/>
        <w:t xml:space="preserve">Kindergartners’ language proficiency. </w:t>
      </w:r>
      <w:r w:rsidRPr="007522AC">
        <w:rPr>
          <w:rStyle w:val="normaltextrun"/>
          <w:rFonts w:eastAsiaTheme="majorEastAsia"/>
          <w:i/>
          <w:iCs/>
          <w:lang w:val="en-GB"/>
        </w:rPr>
        <w:t>Early Childhood Education Journal, 40</w:t>
      </w:r>
      <w:r w:rsidRPr="007522AC">
        <w:rPr>
          <w:rStyle w:val="normaltextrun"/>
          <w:rFonts w:eastAsiaTheme="majorEastAsia"/>
          <w:lang w:val="en-GB"/>
        </w:rPr>
        <w:t>(1), 25–</w:t>
      </w:r>
      <w:r w:rsidRPr="007522AC">
        <w:rPr>
          <w:rStyle w:val="normaltextrun"/>
          <w:rFonts w:eastAsiaTheme="majorEastAsia"/>
          <w:lang w:val="en-GB"/>
        </w:rPr>
        <w:tab/>
        <w:t xml:space="preserve">34. </w:t>
      </w:r>
      <w:hyperlink r:id="rId20" w:history="1">
        <w:r w:rsidRPr="007522AC">
          <w:rPr>
            <w:rStyle w:val="Hyperlink"/>
            <w:rFonts w:eastAsiaTheme="majorEastAsia"/>
            <w:lang w:val="en-GB"/>
          </w:rPr>
          <w:t>https://doi.org/10.1007/s10643-011-0491-8</w:t>
        </w:r>
      </w:hyperlink>
    </w:p>
    <w:p w14:paraId="45C94D7E" w14:textId="35BF7CA6" w:rsidR="00A05272" w:rsidRPr="007522AC" w:rsidRDefault="00A05272" w:rsidP="007522AC">
      <w:pPr>
        <w:pStyle w:val="paragraph"/>
        <w:spacing w:before="0" w:beforeAutospacing="0" w:after="0" w:afterAutospacing="0" w:line="480" w:lineRule="auto"/>
        <w:textAlignment w:val="baseline"/>
        <w:rPr>
          <w:rStyle w:val="normaltextrun"/>
          <w:rFonts w:eastAsiaTheme="majorEastAsia"/>
          <w:lang w:val="en-GB"/>
        </w:rPr>
      </w:pPr>
      <w:proofErr w:type="spellStart"/>
      <w:r w:rsidRPr="007522AC">
        <w:rPr>
          <w:rStyle w:val="normaltextrun"/>
          <w:rFonts w:eastAsiaTheme="majorEastAsia"/>
          <w:lang w:val="en-GB"/>
        </w:rPr>
        <w:t>Duñabeitia</w:t>
      </w:r>
      <w:proofErr w:type="spellEnd"/>
      <w:r w:rsidRPr="007522AC">
        <w:rPr>
          <w:rStyle w:val="normaltextrun"/>
          <w:rFonts w:eastAsiaTheme="majorEastAsia"/>
          <w:lang w:val="en-GB"/>
        </w:rPr>
        <w:t xml:space="preserve">, J. A., Hernández, J. A., Antón, E., </w:t>
      </w:r>
      <w:proofErr w:type="spellStart"/>
      <w:r w:rsidRPr="007522AC">
        <w:rPr>
          <w:rStyle w:val="normaltextrun"/>
          <w:rFonts w:eastAsiaTheme="majorEastAsia"/>
          <w:lang w:val="en-GB"/>
        </w:rPr>
        <w:t>Macizo</w:t>
      </w:r>
      <w:proofErr w:type="spellEnd"/>
      <w:r w:rsidRPr="007522AC">
        <w:rPr>
          <w:rStyle w:val="normaltextrun"/>
          <w:rFonts w:eastAsiaTheme="majorEastAsia"/>
          <w:lang w:val="en-GB"/>
        </w:rPr>
        <w:t xml:space="preserve">, P., Estévez, A., Fuentes, L. J., &amp; </w:t>
      </w:r>
      <w:r w:rsidRPr="007522AC">
        <w:rPr>
          <w:rStyle w:val="normaltextrun"/>
          <w:rFonts w:eastAsiaTheme="majorEastAsia"/>
          <w:lang w:val="en-GB"/>
        </w:rPr>
        <w:tab/>
      </w:r>
      <w:proofErr w:type="spellStart"/>
      <w:r w:rsidRPr="007522AC">
        <w:rPr>
          <w:rStyle w:val="normaltextrun"/>
          <w:rFonts w:eastAsiaTheme="majorEastAsia"/>
          <w:lang w:val="en-GB"/>
        </w:rPr>
        <w:t>Carreiras</w:t>
      </w:r>
      <w:proofErr w:type="spellEnd"/>
      <w:r w:rsidRPr="007522AC">
        <w:rPr>
          <w:rStyle w:val="normaltextrun"/>
          <w:rFonts w:eastAsiaTheme="majorEastAsia"/>
          <w:lang w:val="en-GB"/>
        </w:rPr>
        <w:t xml:space="preserve">, M. (2013). The inhibitory advantage in bilingual children revisited. </w:t>
      </w:r>
      <w:r w:rsidRPr="007522AC">
        <w:rPr>
          <w:rStyle w:val="normaltextrun"/>
          <w:rFonts w:eastAsiaTheme="majorEastAsia"/>
          <w:lang w:val="en-GB"/>
        </w:rPr>
        <w:tab/>
      </w:r>
      <w:r w:rsidRPr="007522AC">
        <w:rPr>
          <w:rStyle w:val="normaltextrun"/>
          <w:rFonts w:eastAsiaTheme="majorEastAsia"/>
          <w:i/>
          <w:iCs/>
          <w:lang w:val="en-GB"/>
        </w:rPr>
        <w:t xml:space="preserve">Experimental Psychology (Formerly </w:t>
      </w:r>
      <w:proofErr w:type="spellStart"/>
      <w:r w:rsidRPr="007522AC">
        <w:rPr>
          <w:rStyle w:val="normaltextrun"/>
          <w:rFonts w:eastAsiaTheme="majorEastAsia"/>
          <w:i/>
          <w:iCs/>
          <w:lang w:val="en-GB"/>
        </w:rPr>
        <w:t>Zeitschrift</w:t>
      </w:r>
      <w:proofErr w:type="spellEnd"/>
      <w:r w:rsidRPr="007522AC">
        <w:rPr>
          <w:rStyle w:val="normaltextrun"/>
          <w:rFonts w:eastAsiaTheme="majorEastAsia"/>
          <w:i/>
          <w:iCs/>
          <w:lang w:val="en-GB"/>
        </w:rPr>
        <w:t xml:space="preserve"> Für </w:t>
      </w:r>
      <w:proofErr w:type="spellStart"/>
      <w:r w:rsidRPr="007522AC">
        <w:rPr>
          <w:rStyle w:val="normaltextrun"/>
          <w:rFonts w:eastAsiaTheme="majorEastAsia"/>
          <w:i/>
          <w:iCs/>
          <w:lang w:val="en-GB"/>
        </w:rPr>
        <w:t>Experimentelle</w:t>
      </w:r>
      <w:proofErr w:type="spellEnd"/>
      <w:r w:rsidRPr="007522AC">
        <w:rPr>
          <w:rStyle w:val="normaltextrun"/>
          <w:rFonts w:eastAsiaTheme="majorEastAsia"/>
          <w:i/>
          <w:iCs/>
          <w:lang w:val="en-GB"/>
        </w:rPr>
        <w:t xml:space="preserve"> </w:t>
      </w:r>
      <w:proofErr w:type="spellStart"/>
      <w:r w:rsidRPr="007522AC">
        <w:rPr>
          <w:rStyle w:val="normaltextrun"/>
          <w:rFonts w:eastAsiaTheme="majorEastAsia"/>
          <w:i/>
          <w:iCs/>
          <w:lang w:val="en-GB"/>
        </w:rPr>
        <w:t>Psychologie</w:t>
      </w:r>
      <w:proofErr w:type="spellEnd"/>
      <w:r w:rsidRPr="007522AC">
        <w:rPr>
          <w:rStyle w:val="normaltextrun"/>
          <w:rFonts w:eastAsiaTheme="majorEastAsia"/>
          <w:i/>
          <w:iCs/>
          <w:lang w:val="en-GB"/>
        </w:rPr>
        <w:t xml:space="preserve">), </w:t>
      </w:r>
      <w:r w:rsidRPr="007522AC">
        <w:rPr>
          <w:rStyle w:val="normaltextrun"/>
          <w:rFonts w:eastAsiaTheme="majorEastAsia"/>
          <w:i/>
          <w:iCs/>
          <w:lang w:val="en-GB"/>
        </w:rPr>
        <w:tab/>
        <w:t>61</w:t>
      </w:r>
      <w:r w:rsidRPr="007522AC">
        <w:rPr>
          <w:rStyle w:val="normaltextrun"/>
          <w:rFonts w:eastAsiaTheme="majorEastAsia"/>
          <w:lang w:val="en-GB"/>
        </w:rPr>
        <w:t xml:space="preserve">(3), 234–251. </w:t>
      </w:r>
      <w:hyperlink r:id="rId21" w:history="1">
        <w:r w:rsidRPr="007522AC">
          <w:rPr>
            <w:rStyle w:val="Hyperlink"/>
            <w:rFonts w:eastAsiaTheme="majorEastAsia"/>
            <w:lang w:val="en-GB"/>
          </w:rPr>
          <w:t>https://doi.org/10.1027/1618-3169/a000243</w:t>
        </w:r>
      </w:hyperlink>
    </w:p>
    <w:p w14:paraId="25FAFE52" w14:textId="2E68E41A" w:rsidR="00CD4852" w:rsidRPr="007522AC" w:rsidRDefault="00CD4852"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Faber, J., &amp; Fonseca, L. M. (2014). How sample size influences research outcomes. Dental </w:t>
      </w:r>
      <w:r w:rsidRPr="007522AC">
        <w:rPr>
          <w:rStyle w:val="normaltextrun"/>
          <w:rFonts w:eastAsiaTheme="majorEastAsia"/>
          <w:lang w:val="en-GB"/>
        </w:rPr>
        <w:tab/>
      </w:r>
      <w:r w:rsidRPr="007522AC">
        <w:rPr>
          <w:rStyle w:val="normaltextrun"/>
          <w:rFonts w:eastAsiaTheme="majorEastAsia"/>
          <w:i/>
          <w:iCs/>
          <w:lang w:val="en-GB"/>
        </w:rPr>
        <w:t>Press Journal of Orthodontics, 19</w:t>
      </w:r>
      <w:r w:rsidRPr="007522AC">
        <w:rPr>
          <w:rStyle w:val="normaltextrun"/>
          <w:rFonts w:eastAsiaTheme="majorEastAsia"/>
          <w:lang w:val="en-GB"/>
        </w:rPr>
        <w:t xml:space="preserve">(4), 27–29. </w:t>
      </w:r>
      <w:hyperlink r:id="rId22" w:history="1">
        <w:r w:rsidRPr="007522AC">
          <w:rPr>
            <w:rStyle w:val="Hyperlink"/>
            <w:rFonts w:eastAsiaTheme="majorEastAsia"/>
            <w:lang w:val="en-GB"/>
          </w:rPr>
          <w:t>https://doi.org/10.1590/2176-</w:t>
        </w:r>
        <w:r w:rsidRPr="007522AC">
          <w:rPr>
            <w:rStyle w:val="Hyperlink"/>
            <w:rFonts w:eastAsiaTheme="majorEastAsia"/>
            <w:lang w:val="en-GB"/>
          </w:rPr>
          <w:tab/>
          <w:t>9451.19.4.027-029.ebo</w:t>
        </w:r>
      </w:hyperlink>
    </w:p>
    <w:p w14:paraId="2C6494A7" w14:textId="6186AA7D" w:rsidR="00CD4852" w:rsidRPr="007522AC" w:rsidRDefault="00CD4852"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Folke, T., </w:t>
      </w:r>
      <w:proofErr w:type="spellStart"/>
      <w:r w:rsidRPr="007522AC">
        <w:rPr>
          <w:rStyle w:val="normaltextrun"/>
          <w:rFonts w:eastAsiaTheme="majorEastAsia"/>
          <w:lang w:val="en-GB"/>
        </w:rPr>
        <w:t>Ouzia</w:t>
      </w:r>
      <w:proofErr w:type="spellEnd"/>
      <w:r w:rsidRPr="007522AC">
        <w:rPr>
          <w:rStyle w:val="normaltextrun"/>
          <w:rFonts w:eastAsiaTheme="majorEastAsia"/>
          <w:lang w:val="en-GB"/>
        </w:rPr>
        <w:t xml:space="preserve">, J., Bright, P., De Martino, B., &amp; Filippi, R. (2016). A bilingual </w:t>
      </w:r>
      <w:r w:rsidRPr="007522AC">
        <w:rPr>
          <w:rStyle w:val="normaltextrun"/>
          <w:rFonts w:eastAsiaTheme="majorEastAsia"/>
          <w:lang w:val="en-GB"/>
        </w:rPr>
        <w:tab/>
        <w:t xml:space="preserve">disadvantage in metacognitive processing. </w:t>
      </w:r>
      <w:r w:rsidRPr="007522AC">
        <w:rPr>
          <w:rStyle w:val="normaltextrun"/>
          <w:rFonts w:eastAsiaTheme="majorEastAsia"/>
          <w:i/>
          <w:iCs/>
          <w:lang w:val="en-GB"/>
        </w:rPr>
        <w:t>Cognition, 150</w:t>
      </w:r>
      <w:r w:rsidRPr="007522AC">
        <w:rPr>
          <w:rStyle w:val="normaltextrun"/>
          <w:rFonts w:eastAsiaTheme="majorEastAsia"/>
          <w:lang w:val="en-GB"/>
        </w:rPr>
        <w:t xml:space="preserve">, 119–132. </w:t>
      </w:r>
      <w:r w:rsidRPr="007522AC">
        <w:rPr>
          <w:rStyle w:val="normaltextrun"/>
          <w:rFonts w:eastAsiaTheme="majorEastAsia"/>
          <w:lang w:val="en-GB"/>
        </w:rPr>
        <w:tab/>
      </w:r>
      <w:hyperlink r:id="rId23" w:history="1">
        <w:r w:rsidRPr="007522AC">
          <w:rPr>
            <w:rStyle w:val="Hyperlink"/>
            <w:rFonts w:eastAsiaTheme="majorEastAsia"/>
            <w:lang w:val="en-GB"/>
          </w:rPr>
          <w:t>https://doi.org/10.1016/j.cognition.2016.02.008</w:t>
        </w:r>
      </w:hyperlink>
    </w:p>
    <w:p w14:paraId="6AEF93BB" w14:textId="1430AC02" w:rsidR="00CD4852" w:rsidRPr="007522AC" w:rsidRDefault="00CD4852"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Gathercole, V. C. M., Thomas, E. M., Kennedy, I., Prys, C., Young, N., Guasch, N. V., </w:t>
      </w:r>
      <w:r w:rsidRPr="007522AC">
        <w:rPr>
          <w:rStyle w:val="normaltextrun"/>
          <w:rFonts w:eastAsiaTheme="majorEastAsia"/>
          <w:lang w:val="en-GB"/>
        </w:rPr>
        <w:tab/>
        <w:t xml:space="preserve">Roberts, E. J., Hughes, E. K., &amp; Jones, L. (2014). Does language dominance affect </w:t>
      </w:r>
      <w:r w:rsidRPr="007522AC">
        <w:rPr>
          <w:rStyle w:val="normaltextrun"/>
          <w:rFonts w:eastAsiaTheme="majorEastAsia"/>
          <w:lang w:val="en-GB"/>
        </w:rPr>
        <w:tab/>
        <w:t xml:space="preserve">cognitive performance in bilinguals? Lifespan evidence from preschoolers through </w:t>
      </w:r>
      <w:r w:rsidRPr="007522AC">
        <w:rPr>
          <w:rStyle w:val="normaltextrun"/>
          <w:rFonts w:eastAsiaTheme="majorEastAsia"/>
          <w:lang w:val="en-GB"/>
        </w:rPr>
        <w:tab/>
        <w:t xml:space="preserve">older adults on card sorting, Simon, and metalinguistic tasks. </w:t>
      </w:r>
      <w:r w:rsidRPr="007522AC">
        <w:rPr>
          <w:rStyle w:val="normaltextrun"/>
          <w:rFonts w:eastAsiaTheme="majorEastAsia"/>
          <w:i/>
          <w:iCs/>
          <w:lang w:val="en-GB"/>
        </w:rPr>
        <w:t xml:space="preserve">Frontiers in Psychology, </w:t>
      </w:r>
      <w:r w:rsidRPr="007522AC">
        <w:rPr>
          <w:rStyle w:val="normaltextrun"/>
          <w:rFonts w:eastAsiaTheme="majorEastAsia"/>
          <w:i/>
          <w:iCs/>
          <w:lang w:val="en-GB"/>
        </w:rPr>
        <w:tab/>
        <w:t>5</w:t>
      </w:r>
      <w:r w:rsidRPr="007522AC">
        <w:rPr>
          <w:rStyle w:val="normaltextrun"/>
          <w:rFonts w:eastAsiaTheme="majorEastAsia"/>
          <w:lang w:val="en-GB"/>
        </w:rPr>
        <w:t xml:space="preserve">. </w:t>
      </w:r>
      <w:hyperlink r:id="rId24" w:history="1">
        <w:r w:rsidRPr="007522AC">
          <w:rPr>
            <w:rStyle w:val="Hyperlink"/>
            <w:rFonts w:eastAsiaTheme="majorEastAsia"/>
            <w:lang w:val="en-GB"/>
          </w:rPr>
          <w:t>https://doi.org/10.3389/fpsyg.2014.00011</w:t>
        </w:r>
      </w:hyperlink>
    </w:p>
    <w:p w14:paraId="2D50D926" w14:textId="1F4B7A83" w:rsidR="00CD4852" w:rsidRPr="007522AC" w:rsidRDefault="00CD4852"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Green, D. W., &amp; </w:t>
      </w:r>
      <w:proofErr w:type="spellStart"/>
      <w:r w:rsidRPr="007522AC">
        <w:rPr>
          <w:rStyle w:val="normaltextrun"/>
          <w:rFonts w:eastAsiaTheme="majorEastAsia"/>
          <w:lang w:val="en-GB"/>
        </w:rPr>
        <w:t>Abutalebi</w:t>
      </w:r>
      <w:proofErr w:type="spellEnd"/>
      <w:r w:rsidRPr="007522AC">
        <w:rPr>
          <w:rStyle w:val="normaltextrun"/>
          <w:rFonts w:eastAsiaTheme="majorEastAsia"/>
          <w:lang w:val="en-GB"/>
        </w:rPr>
        <w:t xml:space="preserve">, J. (2013). Language control in bilinguals: The adaptive control </w:t>
      </w:r>
      <w:r w:rsidRPr="007522AC">
        <w:rPr>
          <w:rStyle w:val="normaltextrun"/>
          <w:rFonts w:eastAsiaTheme="majorEastAsia"/>
          <w:lang w:val="en-GB"/>
        </w:rPr>
        <w:tab/>
        <w:t xml:space="preserve">hypothesis. Journal of Cognitive Psychology, 25(5), 515–530. </w:t>
      </w:r>
      <w:r w:rsidRPr="007522AC">
        <w:rPr>
          <w:rStyle w:val="normaltextrun"/>
          <w:rFonts w:eastAsiaTheme="majorEastAsia"/>
          <w:lang w:val="en-GB"/>
        </w:rPr>
        <w:tab/>
      </w:r>
      <w:hyperlink r:id="rId25" w:history="1">
        <w:r w:rsidR="009C7B30" w:rsidRPr="007522AC">
          <w:rPr>
            <w:rStyle w:val="Hyperlink"/>
            <w:rFonts w:eastAsiaTheme="majorEastAsia"/>
            <w:lang w:val="en-GB"/>
          </w:rPr>
          <w:t>https://doi.org/10.1080/20445911.2013.796377</w:t>
        </w:r>
      </w:hyperlink>
    </w:p>
    <w:p w14:paraId="6BE55D46" w14:textId="2E721369" w:rsidR="009C7B30" w:rsidRPr="007522AC" w:rsidRDefault="009C7B3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Green, D. W. (1998). Mental control of the bilingual </w:t>
      </w:r>
      <w:proofErr w:type="spellStart"/>
      <w:r w:rsidRPr="007522AC">
        <w:rPr>
          <w:rStyle w:val="normaltextrun"/>
          <w:rFonts w:eastAsiaTheme="majorEastAsia"/>
          <w:lang w:val="en-GB"/>
        </w:rPr>
        <w:t>lexico</w:t>
      </w:r>
      <w:proofErr w:type="spellEnd"/>
      <w:r w:rsidRPr="007522AC">
        <w:rPr>
          <w:rStyle w:val="normaltextrun"/>
          <w:rFonts w:eastAsiaTheme="majorEastAsia"/>
          <w:lang w:val="en-GB"/>
        </w:rPr>
        <w:t xml:space="preserve">-semantic system. Bilingualism </w:t>
      </w:r>
      <w:r w:rsidRPr="007522AC">
        <w:rPr>
          <w:rStyle w:val="normaltextrun"/>
          <w:rFonts w:eastAsiaTheme="majorEastAsia"/>
          <w:lang w:val="en-GB"/>
        </w:rPr>
        <w:tab/>
      </w:r>
      <w:r w:rsidRPr="007522AC">
        <w:rPr>
          <w:rStyle w:val="normaltextrun"/>
          <w:rFonts w:eastAsiaTheme="majorEastAsia"/>
          <w:i/>
          <w:iCs/>
          <w:lang w:val="en-GB"/>
        </w:rPr>
        <w:t>Language and Cognition, 1</w:t>
      </w:r>
      <w:r w:rsidRPr="007522AC">
        <w:rPr>
          <w:rStyle w:val="normaltextrun"/>
          <w:rFonts w:eastAsiaTheme="majorEastAsia"/>
          <w:lang w:val="en-GB"/>
        </w:rPr>
        <w:t xml:space="preserve">(2), 67–81. </w:t>
      </w:r>
      <w:hyperlink r:id="rId26" w:history="1">
        <w:r w:rsidRPr="007522AC">
          <w:rPr>
            <w:rStyle w:val="Hyperlink"/>
            <w:rFonts w:eastAsiaTheme="majorEastAsia"/>
            <w:lang w:val="en-GB"/>
          </w:rPr>
          <w:t>https://doi.org/10.1017/s1366728998000133</w:t>
        </w:r>
      </w:hyperlink>
    </w:p>
    <w:p w14:paraId="420C3CA7" w14:textId="369BD657" w:rsidR="00404C2A" w:rsidRPr="007522AC" w:rsidRDefault="00404C2A" w:rsidP="007522AC">
      <w:pPr>
        <w:pStyle w:val="paragraph"/>
        <w:spacing w:before="0" w:beforeAutospacing="0" w:after="0" w:afterAutospacing="0" w:line="480" w:lineRule="auto"/>
        <w:textAlignment w:val="baseline"/>
        <w:rPr>
          <w:rStyle w:val="normaltextrun"/>
          <w:lang w:val="en-GB"/>
        </w:rPr>
      </w:pPr>
      <w:r w:rsidRPr="007522AC">
        <w:rPr>
          <w:rStyle w:val="normaltextrun"/>
          <w:rFonts w:eastAsiaTheme="majorEastAsia"/>
          <w:lang w:val="en-GB"/>
        </w:rPr>
        <w:t xml:space="preserve">Grosjean, F. (2010). </w:t>
      </w:r>
      <w:r w:rsidRPr="007522AC">
        <w:rPr>
          <w:rStyle w:val="normaltextrun"/>
          <w:rFonts w:eastAsiaTheme="majorEastAsia"/>
          <w:i/>
          <w:iCs/>
          <w:lang w:val="en-GB"/>
        </w:rPr>
        <w:t>Bilingual: Life and Reality</w:t>
      </w:r>
      <w:r w:rsidRPr="007522AC">
        <w:rPr>
          <w:rStyle w:val="normaltextrun"/>
          <w:rFonts w:eastAsiaTheme="majorEastAsia"/>
          <w:lang w:val="en-GB"/>
        </w:rPr>
        <w:t xml:space="preserve">. </w:t>
      </w:r>
      <w:r w:rsidRPr="007522AC">
        <w:rPr>
          <w:rStyle w:val="normaltextrun"/>
          <w:rFonts w:eastAsiaTheme="majorEastAsia"/>
          <w:i/>
          <w:iCs/>
          <w:lang w:val="en-GB"/>
        </w:rPr>
        <w:t>Harvard University Press</w:t>
      </w:r>
      <w:r w:rsidR="009C7B30" w:rsidRPr="007522AC">
        <w:rPr>
          <w:rStyle w:val="normaltextrun"/>
          <w:rFonts w:eastAsiaTheme="majorEastAsia"/>
          <w:lang w:val="en-GB"/>
        </w:rPr>
        <w:t xml:space="preserve">. </w:t>
      </w:r>
      <w:r w:rsidR="009C7B30" w:rsidRPr="007522AC">
        <w:rPr>
          <w:rStyle w:val="normaltextrun"/>
          <w:rFonts w:eastAsiaTheme="majorEastAsia"/>
          <w:lang w:val="en-GB"/>
        </w:rPr>
        <w:tab/>
      </w:r>
      <w:hyperlink r:id="rId27" w:history="1">
        <w:r w:rsidR="009C7B30" w:rsidRPr="007522AC">
          <w:rPr>
            <w:rStyle w:val="Hyperlink"/>
            <w:rFonts w:eastAsiaTheme="majorEastAsia"/>
            <w:lang w:val="en-GB"/>
          </w:rPr>
          <w:t>https://doi.org/10.4159/9780674056459-intro</w:t>
        </w:r>
      </w:hyperlink>
      <w:r w:rsidR="009C7B30" w:rsidRPr="007522AC">
        <w:rPr>
          <w:rStyle w:val="normaltextrun"/>
          <w:rFonts w:eastAsiaTheme="majorEastAsia"/>
          <w:lang w:val="en-GB"/>
        </w:rPr>
        <w:t xml:space="preserve"> </w:t>
      </w:r>
    </w:p>
    <w:p w14:paraId="1794F708" w14:textId="537735C0" w:rsidR="009C7B30" w:rsidRPr="007522AC" w:rsidRDefault="009C7B3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Hernández, M., Martin, C. D., Barceló, F., &amp; Costa, A. (2013). Where is the bilingual </w:t>
      </w:r>
      <w:r w:rsidRPr="007522AC">
        <w:rPr>
          <w:rStyle w:val="normaltextrun"/>
          <w:rFonts w:eastAsiaTheme="majorEastAsia"/>
          <w:lang w:val="en-GB"/>
        </w:rPr>
        <w:tab/>
        <w:t xml:space="preserve">advantage in task-switching? </w:t>
      </w:r>
      <w:r w:rsidRPr="007522AC">
        <w:rPr>
          <w:rStyle w:val="normaltextrun"/>
          <w:rFonts w:eastAsiaTheme="majorEastAsia"/>
          <w:i/>
          <w:iCs/>
          <w:lang w:val="en-GB"/>
        </w:rPr>
        <w:t>Journal of Memory and Language, 69</w:t>
      </w:r>
      <w:r w:rsidRPr="007522AC">
        <w:rPr>
          <w:rStyle w:val="normaltextrun"/>
          <w:rFonts w:eastAsiaTheme="majorEastAsia"/>
          <w:lang w:val="en-GB"/>
        </w:rPr>
        <w:t xml:space="preserve">(3), 257–276. </w:t>
      </w:r>
      <w:r w:rsidRPr="007522AC">
        <w:rPr>
          <w:rStyle w:val="normaltextrun"/>
          <w:rFonts w:eastAsiaTheme="majorEastAsia"/>
          <w:lang w:val="en-GB"/>
        </w:rPr>
        <w:tab/>
      </w:r>
      <w:hyperlink r:id="rId28" w:history="1">
        <w:r w:rsidRPr="007522AC">
          <w:rPr>
            <w:rStyle w:val="Hyperlink"/>
            <w:rFonts w:eastAsiaTheme="majorEastAsia"/>
            <w:lang w:val="en-GB"/>
          </w:rPr>
          <w:t>https://doi.org/10.1016/j.jml.2013.06.004</w:t>
        </w:r>
      </w:hyperlink>
    </w:p>
    <w:p w14:paraId="6B4D478D" w14:textId="5FCB676D" w:rsidR="009C7B30" w:rsidRPr="007522AC" w:rsidRDefault="009C7B3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Huizinga, M., Dolan, C. V., &amp; Van Der Molen, M. W. (2006). Age-related change in </w:t>
      </w:r>
      <w:r w:rsidRPr="007522AC">
        <w:rPr>
          <w:rStyle w:val="normaltextrun"/>
          <w:rFonts w:eastAsiaTheme="majorEastAsia"/>
          <w:lang w:val="en-GB"/>
        </w:rPr>
        <w:tab/>
        <w:t xml:space="preserve">executive function: Developmental trends and a latent variable analysis. </w:t>
      </w:r>
      <w:r w:rsidRPr="007522AC">
        <w:rPr>
          <w:rStyle w:val="normaltextrun"/>
          <w:rFonts w:eastAsiaTheme="majorEastAsia"/>
          <w:lang w:val="en-GB"/>
        </w:rPr>
        <w:tab/>
      </w:r>
      <w:proofErr w:type="spellStart"/>
      <w:r w:rsidRPr="007522AC">
        <w:rPr>
          <w:rStyle w:val="normaltextrun"/>
          <w:rFonts w:eastAsiaTheme="majorEastAsia"/>
          <w:i/>
          <w:iCs/>
          <w:lang w:val="en-GB"/>
        </w:rPr>
        <w:t>Neuropsychologia</w:t>
      </w:r>
      <w:proofErr w:type="spellEnd"/>
      <w:r w:rsidRPr="007522AC">
        <w:rPr>
          <w:rStyle w:val="normaltextrun"/>
          <w:rFonts w:eastAsiaTheme="majorEastAsia"/>
          <w:i/>
          <w:iCs/>
          <w:lang w:val="en-GB"/>
        </w:rPr>
        <w:t>, 44</w:t>
      </w:r>
      <w:r w:rsidRPr="007522AC">
        <w:rPr>
          <w:rStyle w:val="normaltextrun"/>
          <w:rFonts w:eastAsiaTheme="majorEastAsia"/>
          <w:lang w:val="en-GB"/>
        </w:rPr>
        <w:t xml:space="preserve">(11), 2017–2036. </w:t>
      </w:r>
      <w:r w:rsidRPr="007522AC">
        <w:rPr>
          <w:rStyle w:val="normaltextrun"/>
          <w:rFonts w:eastAsiaTheme="majorEastAsia"/>
          <w:lang w:val="en-GB"/>
        </w:rPr>
        <w:tab/>
      </w:r>
      <w:hyperlink r:id="rId29" w:history="1">
        <w:r w:rsidRPr="007522AC">
          <w:rPr>
            <w:rStyle w:val="Hyperlink"/>
            <w:rFonts w:eastAsiaTheme="majorEastAsia"/>
            <w:lang w:val="en-GB"/>
          </w:rPr>
          <w:t>https://doi.org/10.1016/j.neuropsychologia.2006.01.010</w:t>
        </w:r>
      </w:hyperlink>
    </w:p>
    <w:p w14:paraId="1EE4C4FA" w14:textId="1A1BCAC3" w:rsidR="009C7B30" w:rsidRPr="007522AC" w:rsidRDefault="009C7B3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Kerrigan, L., Thomas, M. S. C., Bright, P., &amp; Filippi, R. (2016). Evidence of an advantage in </w:t>
      </w:r>
      <w:r w:rsidRPr="007522AC">
        <w:rPr>
          <w:rStyle w:val="normaltextrun"/>
          <w:rFonts w:eastAsiaTheme="majorEastAsia"/>
          <w:lang w:val="en-GB"/>
        </w:rPr>
        <w:tab/>
        <w:t xml:space="preserve">visuo-spatial memory for bilingual compared to monolingual speakers. </w:t>
      </w:r>
      <w:r w:rsidRPr="007522AC">
        <w:rPr>
          <w:rStyle w:val="normaltextrun"/>
          <w:rFonts w:eastAsiaTheme="majorEastAsia"/>
          <w:i/>
          <w:iCs/>
          <w:lang w:val="en-GB"/>
        </w:rPr>
        <w:t>Bilingualism</w:t>
      </w:r>
      <w:r w:rsidRPr="007522AC">
        <w:rPr>
          <w:rStyle w:val="normaltextrun"/>
          <w:rFonts w:eastAsiaTheme="majorEastAsia"/>
          <w:lang w:val="en-GB"/>
        </w:rPr>
        <w:t xml:space="preserve"> </w:t>
      </w:r>
      <w:r w:rsidRPr="007522AC">
        <w:rPr>
          <w:rStyle w:val="normaltextrun"/>
          <w:rFonts w:eastAsiaTheme="majorEastAsia"/>
          <w:lang w:val="en-GB"/>
        </w:rPr>
        <w:tab/>
      </w:r>
      <w:r w:rsidRPr="007522AC">
        <w:rPr>
          <w:rStyle w:val="normaltextrun"/>
          <w:rFonts w:eastAsiaTheme="majorEastAsia"/>
          <w:i/>
          <w:iCs/>
          <w:lang w:val="en-GB"/>
        </w:rPr>
        <w:t>Language and Cognition, 20</w:t>
      </w:r>
      <w:r w:rsidRPr="007522AC">
        <w:rPr>
          <w:rStyle w:val="normaltextrun"/>
          <w:rFonts w:eastAsiaTheme="majorEastAsia"/>
          <w:lang w:val="en-GB"/>
        </w:rPr>
        <w:t xml:space="preserve">(3), 602–612. </w:t>
      </w:r>
      <w:r w:rsidRPr="007522AC">
        <w:rPr>
          <w:rStyle w:val="normaltextrun"/>
          <w:rFonts w:eastAsiaTheme="majorEastAsia"/>
          <w:lang w:val="en-GB"/>
        </w:rPr>
        <w:tab/>
      </w:r>
      <w:hyperlink r:id="rId30" w:history="1">
        <w:r w:rsidRPr="007522AC">
          <w:rPr>
            <w:rStyle w:val="Hyperlink"/>
            <w:rFonts w:eastAsiaTheme="majorEastAsia"/>
            <w:lang w:val="en-GB"/>
          </w:rPr>
          <w:t>https://doi.org/10.1017/s1366728915000917</w:t>
        </w:r>
      </w:hyperlink>
    </w:p>
    <w:p w14:paraId="707E718F" w14:textId="46C3551D" w:rsidR="008A3CC0" w:rsidRPr="007522AC" w:rsidRDefault="008A3CC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Kharkhurin, A. V. (2009). The role of bilingualism in creative performance on divergent </w:t>
      </w:r>
      <w:r w:rsidRPr="007522AC">
        <w:rPr>
          <w:rStyle w:val="normaltextrun"/>
          <w:rFonts w:eastAsiaTheme="majorEastAsia"/>
          <w:lang w:val="en-GB"/>
        </w:rPr>
        <w:tab/>
        <w:t xml:space="preserve">thinking and invented alien </w:t>
      </w:r>
      <w:proofErr w:type="gramStart"/>
      <w:r w:rsidRPr="007522AC">
        <w:rPr>
          <w:rStyle w:val="normaltextrun"/>
          <w:rFonts w:eastAsiaTheme="majorEastAsia"/>
          <w:lang w:val="en-GB"/>
        </w:rPr>
        <w:t>creatures</w:t>
      </w:r>
      <w:proofErr w:type="gramEnd"/>
      <w:r w:rsidRPr="007522AC">
        <w:rPr>
          <w:rStyle w:val="normaltextrun"/>
          <w:rFonts w:eastAsiaTheme="majorEastAsia"/>
          <w:lang w:val="en-GB"/>
        </w:rPr>
        <w:t xml:space="preserve"> tests</w:t>
      </w:r>
      <w:r w:rsidRPr="007522AC">
        <w:rPr>
          <w:rStyle w:val="normaltextrun"/>
          <w:rFonts w:eastAsiaTheme="majorEastAsia"/>
          <w:i/>
          <w:iCs/>
          <w:lang w:val="en-GB"/>
        </w:rPr>
        <w:t xml:space="preserve">. The Journal of Creative </w:t>
      </w:r>
      <w:proofErr w:type="spellStart"/>
      <w:r w:rsidRPr="007522AC">
        <w:rPr>
          <w:rStyle w:val="normaltextrun"/>
          <w:rFonts w:eastAsiaTheme="majorEastAsia"/>
          <w:i/>
          <w:iCs/>
          <w:lang w:val="en-GB"/>
        </w:rPr>
        <w:t>Behavior</w:t>
      </w:r>
      <w:proofErr w:type="spellEnd"/>
      <w:r w:rsidRPr="007522AC">
        <w:rPr>
          <w:rStyle w:val="normaltextrun"/>
          <w:rFonts w:eastAsiaTheme="majorEastAsia"/>
          <w:i/>
          <w:iCs/>
          <w:lang w:val="en-GB"/>
        </w:rPr>
        <w:t>, 43</w:t>
      </w:r>
      <w:r w:rsidRPr="007522AC">
        <w:rPr>
          <w:rStyle w:val="normaltextrun"/>
          <w:rFonts w:eastAsiaTheme="majorEastAsia"/>
          <w:lang w:val="en-GB"/>
        </w:rPr>
        <w:t xml:space="preserve">(1), </w:t>
      </w:r>
      <w:r w:rsidRPr="007522AC">
        <w:rPr>
          <w:rStyle w:val="normaltextrun"/>
          <w:rFonts w:eastAsiaTheme="majorEastAsia"/>
          <w:lang w:val="en-GB"/>
        </w:rPr>
        <w:tab/>
        <w:t xml:space="preserve">59–71. </w:t>
      </w:r>
      <w:hyperlink r:id="rId31" w:history="1">
        <w:r w:rsidRPr="007522AC">
          <w:rPr>
            <w:rStyle w:val="Hyperlink"/>
            <w:rFonts w:eastAsiaTheme="majorEastAsia"/>
            <w:lang w:val="en-GB"/>
          </w:rPr>
          <w:t>https://doi.org/10.1002/j.2162-6057.2009.tb01306.x</w:t>
        </w:r>
      </w:hyperlink>
    </w:p>
    <w:p w14:paraId="30071E32" w14:textId="682C564B" w:rsidR="008A3CC0" w:rsidRPr="007522AC" w:rsidRDefault="008A3CC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Martin-Rhee, M. M., &amp; Bialystok, E. (2008). The development of two types of inhibitory </w:t>
      </w:r>
      <w:r w:rsidRPr="007522AC">
        <w:rPr>
          <w:rStyle w:val="normaltextrun"/>
          <w:rFonts w:eastAsiaTheme="majorEastAsia"/>
          <w:lang w:val="en-GB"/>
        </w:rPr>
        <w:tab/>
        <w:t xml:space="preserve">control in monolingual and bilingual children. </w:t>
      </w:r>
      <w:r w:rsidRPr="007522AC">
        <w:rPr>
          <w:rStyle w:val="normaltextrun"/>
          <w:rFonts w:eastAsiaTheme="majorEastAsia"/>
          <w:i/>
          <w:iCs/>
          <w:lang w:val="en-GB"/>
        </w:rPr>
        <w:t xml:space="preserve">Bilingualism Language and Cognition, </w:t>
      </w:r>
      <w:r w:rsidRPr="007522AC">
        <w:rPr>
          <w:rStyle w:val="normaltextrun"/>
          <w:rFonts w:eastAsiaTheme="majorEastAsia"/>
          <w:i/>
          <w:iCs/>
          <w:lang w:val="en-GB"/>
        </w:rPr>
        <w:tab/>
        <w:t>11</w:t>
      </w:r>
      <w:r w:rsidRPr="007522AC">
        <w:rPr>
          <w:rStyle w:val="normaltextrun"/>
          <w:rFonts w:eastAsiaTheme="majorEastAsia"/>
          <w:lang w:val="en-GB"/>
        </w:rPr>
        <w:t xml:space="preserve">(1), 81–93. </w:t>
      </w:r>
      <w:hyperlink r:id="rId32" w:history="1">
        <w:r w:rsidRPr="007522AC">
          <w:rPr>
            <w:rStyle w:val="Hyperlink"/>
            <w:rFonts w:eastAsiaTheme="majorEastAsia"/>
            <w:lang w:val="en-GB"/>
          </w:rPr>
          <w:t>https://doi.org/10.1017/s1366728907003227</w:t>
        </w:r>
      </w:hyperlink>
    </w:p>
    <w:p w14:paraId="53C408E7" w14:textId="7FEC3749" w:rsidR="008A3CC0" w:rsidRPr="007522AC" w:rsidRDefault="008A3CC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McAfoose, J., &amp; Baune, B. T. (2008). Exploring Visual–Spatial Working Memory: A Critical </w:t>
      </w:r>
      <w:r w:rsidRPr="007522AC">
        <w:rPr>
          <w:rStyle w:val="normaltextrun"/>
          <w:rFonts w:eastAsiaTheme="majorEastAsia"/>
          <w:lang w:val="en-GB"/>
        </w:rPr>
        <w:tab/>
        <w:t xml:space="preserve">Review of Concepts and models. </w:t>
      </w:r>
      <w:r w:rsidRPr="007522AC">
        <w:rPr>
          <w:rStyle w:val="normaltextrun"/>
          <w:rFonts w:eastAsiaTheme="majorEastAsia"/>
          <w:i/>
          <w:iCs/>
          <w:lang w:val="en-GB"/>
        </w:rPr>
        <w:t>Neuropsychology Review, 19</w:t>
      </w:r>
      <w:r w:rsidRPr="007522AC">
        <w:rPr>
          <w:rStyle w:val="normaltextrun"/>
          <w:rFonts w:eastAsiaTheme="majorEastAsia"/>
          <w:lang w:val="en-GB"/>
        </w:rPr>
        <w:t xml:space="preserve">(1), 130–142. </w:t>
      </w:r>
      <w:r w:rsidRPr="007522AC">
        <w:rPr>
          <w:rStyle w:val="normaltextrun"/>
          <w:rFonts w:eastAsiaTheme="majorEastAsia"/>
          <w:lang w:val="en-GB"/>
        </w:rPr>
        <w:tab/>
      </w:r>
      <w:hyperlink r:id="rId33" w:history="1">
        <w:r w:rsidRPr="007522AC">
          <w:rPr>
            <w:rStyle w:val="Hyperlink"/>
            <w:rFonts w:eastAsiaTheme="majorEastAsia"/>
            <w:lang w:val="en-GB"/>
          </w:rPr>
          <w:t>https://doi.org/10.1007/s11065-008-9063-0</w:t>
        </w:r>
      </w:hyperlink>
    </w:p>
    <w:p w14:paraId="15A2908C" w14:textId="01AC8DAE" w:rsidR="00404C2A" w:rsidRPr="007522AC" w:rsidRDefault="00404C2A" w:rsidP="007522AC">
      <w:pPr>
        <w:pStyle w:val="paragraph"/>
        <w:spacing w:before="0" w:beforeAutospacing="0" w:after="0" w:afterAutospacing="0" w:line="480" w:lineRule="auto"/>
        <w:textAlignment w:val="baseline"/>
        <w:rPr>
          <w:rStyle w:val="normaltextrun"/>
          <w:lang w:val="en-GB"/>
        </w:rPr>
      </w:pPr>
      <w:r w:rsidRPr="007522AC">
        <w:rPr>
          <w:rStyle w:val="normaltextrun"/>
          <w:rFonts w:eastAsiaTheme="majorEastAsia"/>
          <w:lang w:val="en-GB"/>
        </w:rPr>
        <w:t xml:space="preserve">McVeigh, C., Wylie, J., &amp; Mulhern, G. (2017). Verbal and visuospatial working memory in </w:t>
      </w:r>
      <w:r w:rsidRPr="007522AC">
        <w:rPr>
          <w:rStyle w:val="normaltextrun"/>
          <w:rFonts w:eastAsiaTheme="majorEastAsia"/>
          <w:lang w:val="en-GB"/>
        </w:rPr>
        <w:tab/>
        <w:t xml:space="preserve">immersion-educated bilingual children. </w:t>
      </w:r>
      <w:r w:rsidRPr="007522AC">
        <w:rPr>
          <w:rStyle w:val="normaltextrun"/>
          <w:rFonts w:eastAsiaTheme="majorEastAsia"/>
          <w:i/>
          <w:iCs/>
          <w:lang w:val="en-GB"/>
        </w:rPr>
        <w:t xml:space="preserve">International Journal of Bilingual Education </w:t>
      </w:r>
      <w:r w:rsidRPr="007522AC">
        <w:rPr>
          <w:rStyle w:val="normaltextrun"/>
          <w:rFonts w:eastAsiaTheme="majorEastAsia"/>
          <w:i/>
          <w:iCs/>
          <w:lang w:val="en-GB"/>
        </w:rPr>
        <w:tab/>
        <w:t>and Bilingualism</w:t>
      </w:r>
      <w:r w:rsidRPr="007522AC">
        <w:rPr>
          <w:rStyle w:val="normaltextrun"/>
          <w:rFonts w:eastAsiaTheme="majorEastAsia"/>
          <w:lang w:val="en-GB"/>
        </w:rPr>
        <w:t xml:space="preserve">, 22(4), 505– 517. </w:t>
      </w:r>
      <w:hyperlink r:id="rId34" w:tgtFrame="_blank" w:history="1">
        <w:r w:rsidRPr="007522AC">
          <w:rPr>
            <w:rStyle w:val="normaltextrun"/>
            <w:rFonts w:eastAsiaTheme="majorEastAsia"/>
            <w:color w:val="467886"/>
            <w:u w:val="single"/>
            <w:lang w:val="en-GB"/>
          </w:rPr>
          <w:t>https://doi.org/10.1080/13670050.2016.1271769</w:t>
        </w:r>
      </w:hyperlink>
      <w:r w:rsidRPr="007522AC">
        <w:rPr>
          <w:rStyle w:val="normaltextrun"/>
          <w:rFonts w:eastAsiaTheme="majorEastAsia"/>
          <w:lang w:val="en-GB"/>
        </w:rPr>
        <w:t>.</w:t>
      </w:r>
      <w:r w:rsidRPr="007522AC">
        <w:rPr>
          <w:rStyle w:val="eop"/>
          <w:rFonts w:eastAsiaTheme="majorEastAsia"/>
          <w:lang w:val="en-GB"/>
        </w:rPr>
        <w:t> </w:t>
      </w:r>
    </w:p>
    <w:p w14:paraId="58B896A9" w14:textId="1B43C3FA" w:rsidR="008A3CC0" w:rsidRPr="007522AC" w:rsidRDefault="008A3CC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Morton, J. B., &amp; Harper, S. N. (2007). What did Simon say? Revisiting the bilingual </w:t>
      </w:r>
      <w:r w:rsidRPr="007522AC">
        <w:rPr>
          <w:rStyle w:val="normaltextrun"/>
          <w:rFonts w:eastAsiaTheme="majorEastAsia"/>
          <w:lang w:val="en-GB"/>
        </w:rPr>
        <w:tab/>
        <w:t xml:space="preserve">advantage. </w:t>
      </w:r>
      <w:r w:rsidRPr="007522AC">
        <w:rPr>
          <w:rStyle w:val="normaltextrun"/>
          <w:rFonts w:eastAsiaTheme="majorEastAsia"/>
          <w:i/>
          <w:iCs/>
          <w:lang w:val="en-GB"/>
        </w:rPr>
        <w:t>Developmental Science, 10</w:t>
      </w:r>
      <w:r w:rsidRPr="007522AC">
        <w:rPr>
          <w:rStyle w:val="normaltextrun"/>
          <w:rFonts w:eastAsiaTheme="majorEastAsia"/>
          <w:lang w:val="en-GB"/>
        </w:rPr>
        <w:t xml:space="preserve">(6), 719–726. </w:t>
      </w:r>
      <w:hyperlink r:id="rId35" w:history="1">
        <w:r w:rsidRPr="007522AC">
          <w:rPr>
            <w:rStyle w:val="Hyperlink"/>
            <w:rFonts w:eastAsiaTheme="majorEastAsia"/>
            <w:lang w:val="en-GB"/>
          </w:rPr>
          <w:t>https://doi.org/10.1111/j.1467-</w:t>
        </w:r>
        <w:r w:rsidRPr="007522AC">
          <w:rPr>
            <w:rStyle w:val="Hyperlink"/>
            <w:rFonts w:eastAsiaTheme="majorEastAsia"/>
            <w:lang w:val="en-GB"/>
          </w:rPr>
          <w:tab/>
          <w:t>7687.2007.00623.x</w:t>
        </w:r>
      </w:hyperlink>
    </w:p>
    <w:p w14:paraId="120EF923" w14:textId="218DCF46" w:rsidR="008A3CC0" w:rsidRPr="007522AC" w:rsidRDefault="008A3CC0"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Paap, K. R., Johnson, H. A., &amp; Sawi, O. (2015). Bilingual advantages in executive </w:t>
      </w:r>
      <w:r w:rsidRPr="007522AC">
        <w:rPr>
          <w:rStyle w:val="normaltextrun"/>
          <w:rFonts w:eastAsiaTheme="majorEastAsia"/>
          <w:lang w:val="en-GB"/>
        </w:rPr>
        <w:tab/>
        <w:t xml:space="preserve">functioning either do not exist or are restricted to very specific and undetermined </w:t>
      </w:r>
      <w:r w:rsidRPr="007522AC">
        <w:rPr>
          <w:rStyle w:val="normaltextrun"/>
          <w:rFonts w:eastAsiaTheme="majorEastAsia"/>
          <w:lang w:val="en-GB"/>
        </w:rPr>
        <w:tab/>
        <w:t xml:space="preserve">circumstances. </w:t>
      </w:r>
      <w:r w:rsidRPr="007522AC">
        <w:rPr>
          <w:rStyle w:val="normaltextrun"/>
          <w:rFonts w:eastAsiaTheme="majorEastAsia"/>
          <w:i/>
          <w:iCs/>
          <w:lang w:val="en-GB"/>
        </w:rPr>
        <w:t>Cortex, 69</w:t>
      </w:r>
      <w:r w:rsidRPr="007522AC">
        <w:rPr>
          <w:rStyle w:val="normaltextrun"/>
          <w:rFonts w:eastAsiaTheme="majorEastAsia"/>
          <w:lang w:val="en-GB"/>
        </w:rPr>
        <w:t xml:space="preserve">, 265–278. </w:t>
      </w:r>
      <w:hyperlink r:id="rId36" w:history="1">
        <w:r w:rsidRPr="007522AC">
          <w:rPr>
            <w:rStyle w:val="Hyperlink"/>
            <w:rFonts w:eastAsiaTheme="majorEastAsia"/>
            <w:lang w:val="en-GB"/>
          </w:rPr>
          <w:t>https://doi.org/10.1016/j.cortex.2015.04.014</w:t>
        </w:r>
      </w:hyperlink>
    </w:p>
    <w:p w14:paraId="54339228" w14:textId="6B2553DB" w:rsidR="00404C2A" w:rsidRPr="007522AC" w:rsidRDefault="00404C2A"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Poarch, G. J., &amp; Krott, A. (2019). A Bilingual Advantage? An Appeal for a Change in </w:t>
      </w:r>
      <w:r w:rsidRPr="007522AC">
        <w:rPr>
          <w:rStyle w:val="normaltextrun"/>
          <w:rFonts w:eastAsiaTheme="majorEastAsia"/>
          <w:lang w:val="en-GB"/>
        </w:rPr>
        <w:tab/>
        <w:t xml:space="preserve">Perspective and Recommendations for Future Research. </w:t>
      </w:r>
      <w:proofErr w:type="spellStart"/>
      <w:r w:rsidRPr="007522AC">
        <w:rPr>
          <w:rStyle w:val="normaltextrun"/>
          <w:rFonts w:eastAsiaTheme="majorEastAsia"/>
          <w:i/>
          <w:iCs/>
          <w:lang w:val="en-GB"/>
        </w:rPr>
        <w:t>Behavioral</w:t>
      </w:r>
      <w:proofErr w:type="spellEnd"/>
      <w:r w:rsidRPr="007522AC">
        <w:rPr>
          <w:rStyle w:val="normaltextrun"/>
          <w:rFonts w:eastAsiaTheme="majorEastAsia"/>
          <w:i/>
          <w:iCs/>
          <w:lang w:val="en-GB"/>
        </w:rPr>
        <w:t xml:space="preserve"> Sciences, 9</w:t>
      </w:r>
      <w:r w:rsidRPr="007522AC">
        <w:rPr>
          <w:rStyle w:val="normaltextrun"/>
          <w:rFonts w:eastAsiaTheme="majorEastAsia"/>
          <w:lang w:val="en-GB"/>
        </w:rPr>
        <w:t xml:space="preserve">(9), </w:t>
      </w:r>
      <w:r w:rsidRPr="007522AC">
        <w:rPr>
          <w:rStyle w:val="normaltextrun"/>
          <w:rFonts w:eastAsiaTheme="majorEastAsia"/>
          <w:lang w:val="en-GB"/>
        </w:rPr>
        <w:tab/>
        <w:t xml:space="preserve">95. </w:t>
      </w:r>
      <w:hyperlink r:id="rId37" w:history="1">
        <w:r w:rsidRPr="007522AC">
          <w:rPr>
            <w:rStyle w:val="Hyperlink"/>
            <w:rFonts w:eastAsiaTheme="majorEastAsia"/>
            <w:lang w:val="en-GB"/>
          </w:rPr>
          <w:t>https://doi.org/10.3390/bs9090095</w:t>
        </w:r>
      </w:hyperlink>
    </w:p>
    <w:p w14:paraId="425F61CF" w14:textId="31A1FBE5" w:rsidR="0077074A" w:rsidRPr="007522AC" w:rsidRDefault="0077074A"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Prior, A., &amp; </w:t>
      </w:r>
      <w:proofErr w:type="spellStart"/>
      <w:r w:rsidRPr="007522AC">
        <w:rPr>
          <w:rStyle w:val="normaltextrun"/>
          <w:rFonts w:eastAsiaTheme="majorEastAsia"/>
          <w:lang w:val="en-GB"/>
        </w:rPr>
        <w:t>Macwhinney</w:t>
      </w:r>
      <w:proofErr w:type="spellEnd"/>
      <w:r w:rsidRPr="007522AC">
        <w:rPr>
          <w:rStyle w:val="normaltextrun"/>
          <w:rFonts w:eastAsiaTheme="majorEastAsia"/>
          <w:lang w:val="en-GB"/>
        </w:rPr>
        <w:t xml:space="preserve">, B. (2009). A bilingual advantage in task switching. Bilingualism </w:t>
      </w:r>
      <w:r w:rsidRPr="007522AC">
        <w:rPr>
          <w:rStyle w:val="normaltextrun"/>
          <w:rFonts w:eastAsiaTheme="majorEastAsia"/>
          <w:lang w:val="en-GB"/>
        </w:rPr>
        <w:tab/>
      </w:r>
      <w:r w:rsidRPr="007522AC">
        <w:rPr>
          <w:rStyle w:val="normaltextrun"/>
          <w:rFonts w:eastAsiaTheme="majorEastAsia"/>
          <w:i/>
          <w:iCs/>
          <w:lang w:val="en-GB"/>
        </w:rPr>
        <w:t>Language and Cognition, 13</w:t>
      </w:r>
      <w:r w:rsidRPr="007522AC">
        <w:rPr>
          <w:rStyle w:val="normaltextrun"/>
          <w:rFonts w:eastAsiaTheme="majorEastAsia"/>
          <w:lang w:val="en-GB"/>
        </w:rPr>
        <w:t xml:space="preserve">(2), 253–262. </w:t>
      </w:r>
      <w:r w:rsidRPr="007522AC">
        <w:rPr>
          <w:rStyle w:val="normaltextrun"/>
          <w:rFonts w:eastAsiaTheme="majorEastAsia"/>
          <w:lang w:val="en-GB"/>
        </w:rPr>
        <w:tab/>
      </w:r>
      <w:hyperlink r:id="rId38" w:history="1">
        <w:r w:rsidRPr="007522AC">
          <w:rPr>
            <w:rStyle w:val="Hyperlink"/>
            <w:rFonts w:eastAsiaTheme="majorEastAsia"/>
            <w:lang w:val="en-GB"/>
          </w:rPr>
          <w:t>https://doi.org/10.1017/s1366728909990526</w:t>
        </w:r>
      </w:hyperlink>
    </w:p>
    <w:p w14:paraId="3289C5FB" w14:textId="30F798DF" w:rsidR="0077074A" w:rsidRPr="007522AC" w:rsidRDefault="0077074A"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Schroeder, S. R., &amp; Marian, V. (2013). Bilingual Episodic Memory: How speaking two </w:t>
      </w:r>
      <w:r w:rsidRPr="007522AC">
        <w:rPr>
          <w:rStyle w:val="normaltextrun"/>
          <w:rFonts w:eastAsiaTheme="majorEastAsia"/>
          <w:lang w:val="en-GB"/>
        </w:rPr>
        <w:tab/>
        <w:t xml:space="preserve">languages influences remembering. </w:t>
      </w:r>
      <w:r w:rsidRPr="007522AC">
        <w:rPr>
          <w:rStyle w:val="normaltextrun"/>
          <w:rFonts w:eastAsiaTheme="majorEastAsia"/>
          <w:i/>
          <w:iCs/>
          <w:lang w:val="en-GB"/>
        </w:rPr>
        <w:t>In Springer eBooks (pp. 111–132)</w:t>
      </w:r>
      <w:r w:rsidRPr="007522AC">
        <w:rPr>
          <w:rStyle w:val="normaltextrun"/>
          <w:rFonts w:eastAsiaTheme="majorEastAsia"/>
          <w:lang w:val="en-GB"/>
        </w:rPr>
        <w:t xml:space="preserve">. </w:t>
      </w:r>
      <w:r w:rsidRPr="007522AC">
        <w:rPr>
          <w:rStyle w:val="normaltextrun"/>
          <w:rFonts w:eastAsiaTheme="majorEastAsia"/>
          <w:lang w:val="en-GB"/>
        </w:rPr>
        <w:tab/>
      </w:r>
      <w:hyperlink r:id="rId39" w:history="1">
        <w:r w:rsidRPr="007522AC">
          <w:rPr>
            <w:rStyle w:val="Hyperlink"/>
            <w:rFonts w:eastAsiaTheme="majorEastAsia"/>
            <w:lang w:val="en-GB"/>
          </w:rPr>
          <w:t>https://doi.org/10.1007/978-1-4614-9218-4_6</w:t>
        </w:r>
      </w:hyperlink>
    </w:p>
    <w:p w14:paraId="532E907A" w14:textId="3F7CEC59" w:rsidR="0077074A" w:rsidRPr="007522AC" w:rsidRDefault="0077074A" w:rsidP="007522AC">
      <w:pPr>
        <w:pStyle w:val="paragraph"/>
        <w:spacing w:before="0" w:beforeAutospacing="0" w:after="0" w:afterAutospacing="0" w:line="480" w:lineRule="auto"/>
        <w:textAlignment w:val="baseline"/>
        <w:rPr>
          <w:rStyle w:val="normaltextrun"/>
          <w:rFonts w:eastAsiaTheme="majorEastAsia"/>
          <w:lang w:val="en-GB"/>
        </w:rPr>
      </w:pPr>
      <w:r w:rsidRPr="007522AC">
        <w:rPr>
          <w:rStyle w:val="normaltextrun"/>
          <w:rFonts w:eastAsiaTheme="majorEastAsia"/>
          <w:lang w:val="en-GB"/>
        </w:rPr>
        <w:t xml:space="preserve">Schmitz, F., &amp; Krämer, R. J. (2023). Task Switching: On the Relation of Cognitive </w:t>
      </w:r>
      <w:r w:rsidRPr="007522AC">
        <w:rPr>
          <w:rStyle w:val="normaltextrun"/>
          <w:rFonts w:eastAsiaTheme="majorEastAsia"/>
          <w:lang w:val="en-GB"/>
        </w:rPr>
        <w:tab/>
        <w:t xml:space="preserve">Flexibility with Cognitive Capacity. </w:t>
      </w:r>
      <w:r w:rsidRPr="007522AC">
        <w:rPr>
          <w:rStyle w:val="normaltextrun"/>
          <w:rFonts w:eastAsiaTheme="majorEastAsia"/>
          <w:i/>
          <w:iCs/>
          <w:lang w:val="en-GB"/>
        </w:rPr>
        <w:t>Journal of Intelligence, 11</w:t>
      </w:r>
      <w:r w:rsidRPr="007522AC">
        <w:rPr>
          <w:rStyle w:val="normaltextrun"/>
          <w:rFonts w:eastAsiaTheme="majorEastAsia"/>
          <w:lang w:val="en-GB"/>
        </w:rPr>
        <w:t xml:space="preserve">(4), 68. </w:t>
      </w:r>
      <w:r w:rsidRPr="007522AC">
        <w:rPr>
          <w:rStyle w:val="normaltextrun"/>
          <w:rFonts w:eastAsiaTheme="majorEastAsia"/>
          <w:lang w:val="en-GB"/>
        </w:rPr>
        <w:tab/>
      </w:r>
      <w:hyperlink r:id="rId40" w:history="1">
        <w:r w:rsidRPr="007522AC">
          <w:rPr>
            <w:rStyle w:val="Hyperlink"/>
            <w:rFonts w:eastAsiaTheme="majorEastAsia"/>
            <w:lang w:val="en-GB"/>
          </w:rPr>
          <w:t>https://doi.org/10.3390/jintelligence11040068</w:t>
        </w:r>
      </w:hyperlink>
    </w:p>
    <w:p w14:paraId="1CFDAF5F" w14:textId="3F4B9F64" w:rsidR="00404C2A" w:rsidRPr="007522AC" w:rsidRDefault="00404C2A" w:rsidP="007522AC">
      <w:pPr>
        <w:pStyle w:val="paragraph"/>
        <w:spacing w:before="0" w:beforeAutospacing="0" w:after="0" w:afterAutospacing="0" w:line="480" w:lineRule="auto"/>
        <w:textAlignment w:val="baseline"/>
        <w:rPr>
          <w:rStyle w:val="eop"/>
          <w:rFonts w:eastAsiaTheme="majorEastAsia"/>
          <w:lang w:val="en-GB"/>
        </w:rPr>
      </w:pPr>
      <w:proofErr w:type="spellStart"/>
      <w:r w:rsidRPr="007522AC">
        <w:rPr>
          <w:rStyle w:val="normaltextrun"/>
          <w:rFonts w:eastAsiaTheme="majorEastAsia"/>
          <w:lang w:val="en-GB"/>
        </w:rPr>
        <w:t>Timmermeister</w:t>
      </w:r>
      <w:proofErr w:type="spellEnd"/>
      <w:r w:rsidRPr="007522AC">
        <w:rPr>
          <w:rStyle w:val="normaltextrun"/>
          <w:rFonts w:eastAsiaTheme="majorEastAsia"/>
          <w:lang w:val="en-GB"/>
        </w:rPr>
        <w:t xml:space="preserve">, M., Leseman, P., </w:t>
      </w:r>
      <w:proofErr w:type="spellStart"/>
      <w:r w:rsidRPr="007522AC">
        <w:rPr>
          <w:rStyle w:val="normaltextrun"/>
          <w:rFonts w:eastAsiaTheme="majorEastAsia"/>
          <w:lang w:val="en-GB"/>
        </w:rPr>
        <w:t>Wijnen</w:t>
      </w:r>
      <w:proofErr w:type="spellEnd"/>
      <w:r w:rsidRPr="007522AC">
        <w:rPr>
          <w:rStyle w:val="normaltextrun"/>
          <w:rFonts w:eastAsiaTheme="majorEastAsia"/>
          <w:lang w:val="en-GB"/>
        </w:rPr>
        <w:t xml:space="preserve">, F., &amp; Blom, E. (2020). No Bilingual    Benefits </w:t>
      </w:r>
      <w:r w:rsidRPr="007522AC">
        <w:rPr>
          <w:rStyle w:val="normaltextrun"/>
          <w:rFonts w:eastAsiaTheme="majorEastAsia"/>
          <w:lang w:val="en-GB"/>
        </w:rPr>
        <w:tab/>
        <w:t xml:space="preserve">Despite Relations Between Language Switching and Task Switching. </w:t>
      </w:r>
      <w:r w:rsidRPr="007522AC">
        <w:rPr>
          <w:rStyle w:val="normaltextrun"/>
          <w:rFonts w:eastAsiaTheme="majorEastAsia"/>
          <w:i/>
          <w:iCs/>
          <w:lang w:val="en-GB"/>
        </w:rPr>
        <w:t xml:space="preserve">Frontiers in </w:t>
      </w:r>
      <w:r w:rsidRPr="007522AC">
        <w:rPr>
          <w:rStyle w:val="normaltextrun"/>
          <w:rFonts w:eastAsiaTheme="majorEastAsia"/>
          <w:i/>
          <w:iCs/>
          <w:lang w:val="en-GB"/>
        </w:rPr>
        <w:tab/>
        <w:t>Psychology, 11</w:t>
      </w:r>
      <w:r w:rsidRPr="007522AC">
        <w:rPr>
          <w:rStyle w:val="normaltextrun"/>
          <w:rFonts w:eastAsiaTheme="majorEastAsia"/>
          <w:lang w:val="en-GB"/>
        </w:rPr>
        <w:t xml:space="preserve">, 1832. </w:t>
      </w:r>
      <w:hyperlink r:id="rId41" w:tgtFrame="_blank" w:history="1">
        <w:r w:rsidRPr="007522AC">
          <w:rPr>
            <w:rStyle w:val="normaltextrun"/>
            <w:rFonts w:eastAsiaTheme="majorEastAsia"/>
            <w:color w:val="467886"/>
            <w:u w:val="single"/>
            <w:lang w:val="en-GB"/>
          </w:rPr>
          <w:t>https://doi.org/10.3389/fpsyg.2020.01832</w:t>
        </w:r>
      </w:hyperlink>
      <w:r w:rsidRPr="007522AC">
        <w:rPr>
          <w:rStyle w:val="normaltextrun"/>
          <w:rFonts w:eastAsiaTheme="majorEastAsia"/>
          <w:lang w:val="en-GB"/>
        </w:rPr>
        <w:t>.</w:t>
      </w:r>
      <w:r w:rsidRPr="007522AC">
        <w:rPr>
          <w:rStyle w:val="eop"/>
          <w:rFonts w:eastAsiaTheme="majorEastAsia"/>
          <w:lang w:val="en-GB"/>
        </w:rPr>
        <w:t> </w:t>
      </w:r>
    </w:p>
    <w:p w14:paraId="39A90730" w14:textId="73305CD3" w:rsidR="00267CD6" w:rsidRPr="00473DC4" w:rsidRDefault="00446787" w:rsidP="006474E1">
      <w:pPr>
        <w:pStyle w:val="paragraph"/>
        <w:spacing w:before="0" w:beforeAutospacing="0" w:after="0" w:afterAutospacing="0" w:line="480" w:lineRule="auto"/>
        <w:textAlignment w:val="baseline"/>
        <w:rPr>
          <w:lang w:val="en-GB"/>
        </w:rPr>
      </w:pPr>
      <w:r w:rsidRPr="007522AC">
        <w:rPr>
          <w:rStyle w:val="normaltextrun"/>
          <w:rFonts w:eastAsiaTheme="majorEastAsia"/>
          <w:lang w:val="en-GB"/>
        </w:rPr>
        <w:t xml:space="preserve">Van Den Noort, M., </w:t>
      </w:r>
      <w:proofErr w:type="spellStart"/>
      <w:r w:rsidRPr="007522AC">
        <w:rPr>
          <w:rStyle w:val="normaltextrun"/>
          <w:rFonts w:eastAsiaTheme="majorEastAsia"/>
          <w:lang w:val="en-GB"/>
        </w:rPr>
        <w:t>Struys</w:t>
      </w:r>
      <w:proofErr w:type="spellEnd"/>
      <w:r w:rsidRPr="007522AC">
        <w:rPr>
          <w:rStyle w:val="normaltextrun"/>
          <w:rFonts w:eastAsiaTheme="majorEastAsia"/>
          <w:lang w:val="en-GB"/>
        </w:rPr>
        <w:t xml:space="preserve">, E., Bosch, P., </w:t>
      </w:r>
      <w:proofErr w:type="spellStart"/>
      <w:r w:rsidRPr="007522AC">
        <w:rPr>
          <w:rStyle w:val="normaltextrun"/>
          <w:rFonts w:eastAsiaTheme="majorEastAsia"/>
          <w:lang w:val="en-GB"/>
        </w:rPr>
        <w:t>Jaswetz</w:t>
      </w:r>
      <w:proofErr w:type="spellEnd"/>
      <w:r w:rsidRPr="007522AC">
        <w:rPr>
          <w:rStyle w:val="normaltextrun"/>
          <w:rFonts w:eastAsiaTheme="majorEastAsia"/>
          <w:lang w:val="en-GB"/>
        </w:rPr>
        <w:t xml:space="preserve">, L., Perriard, B., Yeo, S., </w:t>
      </w:r>
      <w:proofErr w:type="spellStart"/>
      <w:r w:rsidRPr="007522AC">
        <w:rPr>
          <w:rStyle w:val="normaltextrun"/>
          <w:rFonts w:eastAsiaTheme="majorEastAsia"/>
          <w:lang w:val="en-GB"/>
        </w:rPr>
        <w:t>Barisch</w:t>
      </w:r>
      <w:proofErr w:type="spellEnd"/>
      <w:r w:rsidRPr="007522AC">
        <w:rPr>
          <w:rStyle w:val="normaltextrun"/>
          <w:rFonts w:eastAsiaTheme="majorEastAsia"/>
          <w:lang w:val="en-GB"/>
        </w:rPr>
        <w:t xml:space="preserve">, P., </w:t>
      </w:r>
      <w:r w:rsidRPr="007522AC">
        <w:rPr>
          <w:rStyle w:val="normaltextrun"/>
          <w:rFonts w:eastAsiaTheme="majorEastAsia"/>
          <w:lang w:val="en-GB"/>
        </w:rPr>
        <w:tab/>
        <w:t xml:space="preserve">Vermeire, K., Lee, S., &amp; Lim, S. (2019). Does the bilingual advantage in cognitive </w:t>
      </w:r>
      <w:r w:rsidRPr="007522AC">
        <w:rPr>
          <w:rStyle w:val="normaltextrun"/>
          <w:rFonts w:eastAsiaTheme="majorEastAsia"/>
          <w:lang w:val="en-GB"/>
        </w:rPr>
        <w:tab/>
        <w:t xml:space="preserve">control exist and if so, what are its modulating factors? A systematic review. </w:t>
      </w:r>
      <w:r w:rsidRPr="007522AC">
        <w:rPr>
          <w:rStyle w:val="normaltextrun"/>
          <w:rFonts w:eastAsiaTheme="majorEastAsia"/>
          <w:lang w:val="en-GB"/>
        </w:rPr>
        <w:tab/>
      </w:r>
      <w:proofErr w:type="spellStart"/>
      <w:r w:rsidRPr="007522AC">
        <w:rPr>
          <w:rStyle w:val="normaltextrun"/>
          <w:rFonts w:eastAsiaTheme="majorEastAsia"/>
          <w:i/>
          <w:iCs/>
          <w:lang w:val="en-GB"/>
        </w:rPr>
        <w:t>Behavioral</w:t>
      </w:r>
      <w:proofErr w:type="spellEnd"/>
      <w:r w:rsidRPr="007522AC">
        <w:rPr>
          <w:rStyle w:val="normaltextrun"/>
          <w:rFonts w:eastAsiaTheme="majorEastAsia"/>
          <w:i/>
          <w:iCs/>
          <w:lang w:val="en-GB"/>
        </w:rPr>
        <w:t xml:space="preserve"> Sciences, 9</w:t>
      </w:r>
      <w:r w:rsidRPr="007522AC">
        <w:rPr>
          <w:rStyle w:val="normaltextrun"/>
          <w:rFonts w:eastAsiaTheme="majorEastAsia"/>
          <w:lang w:val="en-GB"/>
        </w:rPr>
        <w:t xml:space="preserve">(3), 27. </w:t>
      </w:r>
      <w:hyperlink r:id="rId42" w:history="1">
        <w:r w:rsidRPr="007522AC">
          <w:rPr>
            <w:rStyle w:val="Hyperlink"/>
            <w:rFonts w:eastAsiaTheme="majorEastAsia"/>
            <w:lang w:val="en-GB"/>
          </w:rPr>
          <w:t>https://doi.org/10.3390/bs9030027</w:t>
        </w:r>
      </w:hyperlink>
      <w:r w:rsidRPr="007522AC">
        <w:rPr>
          <w:rStyle w:val="eop"/>
          <w:rFonts w:eastAsiaTheme="majorEastAsia"/>
          <w:lang w:val="en-GB"/>
        </w:rPr>
        <w:t xml:space="preserve"> </w:t>
      </w:r>
    </w:p>
    <w:sectPr w:rsidR="00267CD6" w:rsidRPr="00473DC4" w:rsidSect="007522AC">
      <w:headerReference w:type="even" r:id="rId43"/>
      <w:headerReference w:type="default" r:id="rId44"/>
      <w:footerReference w:type="even" r:id="rId45"/>
      <w:footerReference w:type="default" r:id="rId46"/>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B2D882" w14:textId="77777777" w:rsidR="00D10750" w:rsidRDefault="00D10750" w:rsidP="0069249A">
      <w:r>
        <w:separator/>
      </w:r>
    </w:p>
  </w:endnote>
  <w:endnote w:type="continuationSeparator" w:id="0">
    <w:p w14:paraId="552D83E9" w14:textId="77777777" w:rsidR="00D10750" w:rsidRDefault="00D10750" w:rsidP="006924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74202859"/>
      <w:docPartObj>
        <w:docPartGallery w:val="Page Numbers (Bottom of Page)"/>
        <w:docPartUnique/>
      </w:docPartObj>
    </w:sdtPr>
    <w:sdtEndPr>
      <w:rPr>
        <w:rStyle w:val="PageNumber"/>
      </w:rPr>
    </w:sdtEndPr>
    <w:sdtContent>
      <w:p w14:paraId="398B1E08" w14:textId="4AF654DA" w:rsidR="0069249A" w:rsidRDefault="0069249A" w:rsidP="0069249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27F5275" w14:textId="77777777" w:rsidR="0069249A" w:rsidRDefault="0069249A" w:rsidP="0069249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8874F" w14:textId="77777777" w:rsidR="0069249A" w:rsidRDefault="0069249A" w:rsidP="0069249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A6AF1" w14:textId="77777777" w:rsidR="00D10750" w:rsidRDefault="00D10750" w:rsidP="0069249A">
      <w:r>
        <w:separator/>
      </w:r>
    </w:p>
  </w:footnote>
  <w:footnote w:type="continuationSeparator" w:id="0">
    <w:p w14:paraId="683EEE82" w14:textId="77777777" w:rsidR="00D10750" w:rsidRDefault="00D10750" w:rsidP="006924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14500433"/>
      <w:docPartObj>
        <w:docPartGallery w:val="Page Numbers (Top of Page)"/>
        <w:docPartUnique/>
      </w:docPartObj>
    </w:sdtPr>
    <w:sdtEndPr>
      <w:rPr>
        <w:rStyle w:val="PageNumber"/>
      </w:rPr>
    </w:sdtEndPr>
    <w:sdtContent>
      <w:p w14:paraId="5377F176" w14:textId="64D0182C" w:rsidR="0069249A" w:rsidRDefault="0069249A" w:rsidP="007522A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CBE816D" w14:textId="77777777" w:rsidR="0069249A" w:rsidRDefault="0069249A" w:rsidP="0069249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10498725"/>
      <w:docPartObj>
        <w:docPartGallery w:val="Page Numbers (Top of Page)"/>
        <w:docPartUnique/>
      </w:docPartObj>
    </w:sdtPr>
    <w:sdtEndPr>
      <w:rPr>
        <w:rStyle w:val="PageNumber"/>
      </w:rPr>
    </w:sdtEndPr>
    <w:sdtContent>
      <w:p w14:paraId="1538A949" w14:textId="33440BD5" w:rsidR="00D17A9F" w:rsidRDefault="00D17A9F" w:rsidP="007522A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30</w:t>
        </w:r>
        <w:r>
          <w:rPr>
            <w:rStyle w:val="PageNumber"/>
          </w:rPr>
          <w:fldChar w:fldCharType="end"/>
        </w:r>
      </w:p>
    </w:sdtContent>
  </w:sdt>
  <w:p w14:paraId="7DA90793" w14:textId="77777777" w:rsidR="0069249A" w:rsidRDefault="0069249A" w:rsidP="0069249A">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E2678"/>
    <w:multiLevelType w:val="multilevel"/>
    <w:tmpl w:val="12803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42174D"/>
    <w:multiLevelType w:val="multilevel"/>
    <w:tmpl w:val="1F6A8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18E1678"/>
    <w:multiLevelType w:val="multilevel"/>
    <w:tmpl w:val="5FB638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854A20"/>
    <w:multiLevelType w:val="multilevel"/>
    <w:tmpl w:val="BE9AB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D2C4C04"/>
    <w:multiLevelType w:val="multilevel"/>
    <w:tmpl w:val="17F80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FCF7024"/>
    <w:multiLevelType w:val="multilevel"/>
    <w:tmpl w:val="B87E5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0C6F55"/>
    <w:multiLevelType w:val="multilevel"/>
    <w:tmpl w:val="C570F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520675C"/>
    <w:multiLevelType w:val="multilevel"/>
    <w:tmpl w:val="12C2F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C521136"/>
    <w:multiLevelType w:val="multilevel"/>
    <w:tmpl w:val="CF381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CF4438F"/>
    <w:multiLevelType w:val="multilevel"/>
    <w:tmpl w:val="1AA6B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D695C67"/>
    <w:multiLevelType w:val="multilevel"/>
    <w:tmpl w:val="2BF0F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1524146"/>
    <w:multiLevelType w:val="hybridMultilevel"/>
    <w:tmpl w:val="541E5B9C"/>
    <w:lvl w:ilvl="0" w:tplc="C17C3F92">
      <w:start w:val="1"/>
      <w:numFmt w:val="decimal"/>
      <w:lvlText w:val="%1)"/>
      <w:lvlJc w:val="left"/>
      <w:pPr>
        <w:ind w:left="400" w:hanging="360"/>
      </w:pPr>
      <w:rPr>
        <w:rFonts w:hint="default"/>
      </w:rPr>
    </w:lvl>
    <w:lvl w:ilvl="1" w:tplc="08090019">
      <w:start w:val="1"/>
      <w:numFmt w:val="lowerLetter"/>
      <w:lvlText w:val="%2."/>
      <w:lvlJc w:val="left"/>
      <w:pPr>
        <w:ind w:left="1120" w:hanging="360"/>
      </w:pPr>
    </w:lvl>
    <w:lvl w:ilvl="2" w:tplc="0809001B" w:tentative="1">
      <w:start w:val="1"/>
      <w:numFmt w:val="lowerRoman"/>
      <w:lvlText w:val="%3."/>
      <w:lvlJc w:val="right"/>
      <w:pPr>
        <w:ind w:left="1840" w:hanging="180"/>
      </w:pPr>
    </w:lvl>
    <w:lvl w:ilvl="3" w:tplc="0809000F" w:tentative="1">
      <w:start w:val="1"/>
      <w:numFmt w:val="decimal"/>
      <w:lvlText w:val="%4."/>
      <w:lvlJc w:val="left"/>
      <w:pPr>
        <w:ind w:left="2560" w:hanging="360"/>
      </w:pPr>
    </w:lvl>
    <w:lvl w:ilvl="4" w:tplc="08090019" w:tentative="1">
      <w:start w:val="1"/>
      <w:numFmt w:val="lowerLetter"/>
      <w:lvlText w:val="%5."/>
      <w:lvlJc w:val="left"/>
      <w:pPr>
        <w:ind w:left="3280" w:hanging="360"/>
      </w:pPr>
    </w:lvl>
    <w:lvl w:ilvl="5" w:tplc="0809001B" w:tentative="1">
      <w:start w:val="1"/>
      <w:numFmt w:val="lowerRoman"/>
      <w:lvlText w:val="%6."/>
      <w:lvlJc w:val="right"/>
      <w:pPr>
        <w:ind w:left="4000" w:hanging="180"/>
      </w:pPr>
    </w:lvl>
    <w:lvl w:ilvl="6" w:tplc="0809000F" w:tentative="1">
      <w:start w:val="1"/>
      <w:numFmt w:val="decimal"/>
      <w:lvlText w:val="%7."/>
      <w:lvlJc w:val="left"/>
      <w:pPr>
        <w:ind w:left="4720" w:hanging="360"/>
      </w:pPr>
    </w:lvl>
    <w:lvl w:ilvl="7" w:tplc="08090019" w:tentative="1">
      <w:start w:val="1"/>
      <w:numFmt w:val="lowerLetter"/>
      <w:lvlText w:val="%8."/>
      <w:lvlJc w:val="left"/>
      <w:pPr>
        <w:ind w:left="5440" w:hanging="360"/>
      </w:pPr>
    </w:lvl>
    <w:lvl w:ilvl="8" w:tplc="0809001B" w:tentative="1">
      <w:start w:val="1"/>
      <w:numFmt w:val="lowerRoman"/>
      <w:lvlText w:val="%9."/>
      <w:lvlJc w:val="right"/>
      <w:pPr>
        <w:ind w:left="6160" w:hanging="180"/>
      </w:pPr>
    </w:lvl>
  </w:abstractNum>
  <w:abstractNum w:abstractNumId="12" w15:restartNumberingAfterBreak="0">
    <w:nsid w:val="321346C1"/>
    <w:multiLevelType w:val="multilevel"/>
    <w:tmpl w:val="1C6CE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22913B7"/>
    <w:multiLevelType w:val="multilevel"/>
    <w:tmpl w:val="08AC1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9385178"/>
    <w:multiLevelType w:val="multilevel"/>
    <w:tmpl w:val="7012F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BE44F8B"/>
    <w:multiLevelType w:val="multilevel"/>
    <w:tmpl w:val="7ADEF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DF4210"/>
    <w:multiLevelType w:val="multilevel"/>
    <w:tmpl w:val="3B48A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0BA6D53"/>
    <w:multiLevelType w:val="multilevel"/>
    <w:tmpl w:val="B6766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115181"/>
    <w:multiLevelType w:val="multilevel"/>
    <w:tmpl w:val="F5765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924134"/>
    <w:multiLevelType w:val="multilevel"/>
    <w:tmpl w:val="62582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9ED5DA2"/>
    <w:multiLevelType w:val="multilevel"/>
    <w:tmpl w:val="BE10F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CC4518E"/>
    <w:multiLevelType w:val="hybridMultilevel"/>
    <w:tmpl w:val="DB4221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E30822"/>
    <w:multiLevelType w:val="multilevel"/>
    <w:tmpl w:val="5422F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65A14BB"/>
    <w:multiLevelType w:val="multilevel"/>
    <w:tmpl w:val="D6D2C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A4A0AC4"/>
    <w:multiLevelType w:val="hybridMultilevel"/>
    <w:tmpl w:val="13785BDC"/>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C957A76"/>
    <w:multiLevelType w:val="multilevel"/>
    <w:tmpl w:val="BD2E0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DD9297D"/>
    <w:multiLevelType w:val="multilevel"/>
    <w:tmpl w:val="A8AA2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745018E"/>
    <w:multiLevelType w:val="multilevel"/>
    <w:tmpl w:val="B9B03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DA94410"/>
    <w:multiLevelType w:val="multilevel"/>
    <w:tmpl w:val="98880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EAF0456"/>
    <w:multiLevelType w:val="multilevel"/>
    <w:tmpl w:val="200CF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1767A06"/>
    <w:multiLevelType w:val="multilevel"/>
    <w:tmpl w:val="047EB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6CF2F76"/>
    <w:multiLevelType w:val="multilevel"/>
    <w:tmpl w:val="205CC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73862B4"/>
    <w:multiLevelType w:val="multilevel"/>
    <w:tmpl w:val="9AF07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A5F60C9"/>
    <w:multiLevelType w:val="multilevel"/>
    <w:tmpl w:val="BA7C9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C9074A5"/>
    <w:multiLevelType w:val="hybridMultilevel"/>
    <w:tmpl w:val="812CE61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A6053A"/>
    <w:multiLevelType w:val="multilevel"/>
    <w:tmpl w:val="52BA2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22334765">
    <w:abstractNumId w:val="23"/>
  </w:num>
  <w:num w:numId="2" w16cid:durableId="1849370653">
    <w:abstractNumId w:val="7"/>
  </w:num>
  <w:num w:numId="3" w16cid:durableId="763570268">
    <w:abstractNumId w:val="8"/>
  </w:num>
  <w:num w:numId="4" w16cid:durableId="1340044547">
    <w:abstractNumId w:val="33"/>
  </w:num>
  <w:num w:numId="5" w16cid:durableId="1839345204">
    <w:abstractNumId w:val="26"/>
  </w:num>
  <w:num w:numId="6" w16cid:durableId="2003502698">
    <w:abstractNumId w:val="20"/>
  </w:num>
  <w:num w:numId="7" w16cid:durableId="2057464803">
    <w:abstractNumId w:val="18"/>
  </w:num>
  <w:num w:numId="8" w16cid:durableId="755515642">
    <w:abstractNumId w:val="28"/>
  </w:num>
  <w:num w:numId="9" w16cid:durableId="868227005">
    <w:abstractNumId w:val="17"/>
  </w:num>
  <w:num w:numId="10" w16cid:durableId="220988221">
    <w:abstractNumId w:val="14"/>
  </w:num>
  <w:num w:numId="11" w16cid:durableId="1332367372">
    <w:abstractNumId w:val="3"/>
  </w:num>
  <w:num w:numId="12" w16cid:durableId="911888493">
    <w:abstractNumId w:val="12"/>
  </w:num>
  <w:num w:numId="13" w16cid:durableId="999432101">
    <w:abstractNumId w:val="32"/>
  </w:num>
  <w:num w:numId="14" w16cid:durableId="1998921597">
    <w:abstractNumId w:val="16"/>
  </w:num>
  <w:num w:numId="15" w16cid:durableId="1488016705">
    <w:abstractNumId w:val="4"/>
  </w:num>
  <w:num w:numId="16" w16cid:durableId="787696234">
    <w:abstractNumId w:val="25"/>
  </w:num>
  <w:num w:numId="17" w16cid:durableId="902329265">
    <w:abstractNumId w:val="0"/>
  </w:num>
  <w:num w:numId="18" w16cid:durableId="1468471081">
    <w:abstractNumId w:val="15"/>
  </w:num>
  <w:num w:numId="19" w16cid:durableId="918564375">
    <w:abstractNumId w:val="5"/>
  </w:num>
  <w:num w:numId="20" w16cid:durableId="67770093">
    <w:abstractNumId w:val="31"/>
  </w:num>
  <w:num w:numId="21" w16cid:durableId="701247046">
    <w:abstractNumId w:val="29"/>
  </w:num>
  <w:num w:numId="22" w16cid:durableId="133524827">
    <w:abstractNumId w:val="6"/>
  </w:num>
  <w:num w:numId="23" w16cid:durableId="1180126383">
    <w:abstractNumId w:val="1"/>
  </w:num>
  <w:num w:numId="24" w16cid:durableId="561790372">
    <w:abstractNumId w:val="22"/>
  </w:num>
  <w:num w:numId="25" w16cid:durableId="274142428">
    <w:abstractNumId w:val="13"/>
  </w:num>
  <w:num w:numId="26" w16cid:durableId="1434590879">
    <w:abstractNumId w:val="27"/>
  </w:num>
  <w:num w:numId="27" w16cid:durableId="39332542">
    <w:abstractNumId w:val="19"/>
  </w:num>
  <w:num w:numId="28" w16cid:durableId="221839876">
    <w:abstractNumId w:val="35"/>
  </w:num>
  <w:num w:numId="29" w16cid:durableId="88937593">
    <w:abstractNumId w:val="30"/>
  </w:num>
  <w:num w:numId="30" w16cid:durableId="1699626606">
    <w:abstractNumId w:val="9"/>
  </w:num>
  <w:num w:numId="31" w16cid:durableId="21244387">
    <w:abstractNumId w:val="10"/>
  </w:num>
  <w:num w:numId="32" w16cid:durableId="1589651110">
    <w:abstractNumId w:val="21"/>
  </w:num>
  <w:num w:numId="33" w16cid:durableId="2001347369">
    <w:abstractNumId w:val="24"/>
  </w:num>
  <w:num w:numId="34" w16cid:durableId="937521641">
    <w:abstractNumId w:val="34"/>
  </w:num>
  <w:num w:numId="35" w16cid:durableId="258031068">
    <w:abstractNumId w:val="2"/>
  </w:num>
  <w:num w:numId="36" w16cid:durableId="11824744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035A"/>
    <w:rsid w:val="00001969"/>
    <w:rsid w:val="00002740"/>
    <w:rsid w:val="00002DF2"/>
    <w:rsid w:val="00006AD4"/>
    <w:rsid w:val="00007632"/>
    <w:rsid w:val="00010798"/>
    <w:rsid w:val="00014191"/>
    <w:rsid w:val="00017395"/>
    <w:rsid w:val="00017EAC"/>
    <w:rsid w:val="00025CFE"/>
    <w:rsid w:val="0003018A"/>
    <w:rsid w:val="00037FE9"/>
    <w:rsid w:val="0005078A"/>
    <w:rsid w:val="000536DA"/>
    <w:rsid w:val="0005583F"/>
    <w:rsid w:val="0005605A"/>
    <w:rsid w:val="000576C6"/>
    <w:rsid w:val="000678C8"/>
    <w:rsid w:val="00070ADE"/>
    <w:rsid w:val="00073835"/>
    <w:rsid w:val="000801D2"/>
    <w:rsid w:val="000829E5"/>
    <w:rsid w:val="000857CD"/>
    <w:rsid w:val="00095516"/>
    <w:rsid w:val="00097C41"/>
    <w:rsid w:val="000B10D2"/>
    <w:rsid w:val="000B4584"/>
    <w:rsid w:val="000B4D7F"/>
    <w:rsid w:val="000B63FA"/>
    <w:rsid w:val="000B7951"/>
    <w:rsid w:val="000C0BC3"/>
    <w:rsid w:val="000C1358"/>
    <w:rsid w:val="000D067A"/>
    <w:rsid w:val="000D078E"/>
    <w:rsid w:val="000E46CC"/>
    <w:rsid w:val="000E556C"/>
    <w:rsid w:val="00102FE4"/>
    <w:rsid w:val="00111961"/>
    <w:rsid w:val="00113A9B"/>
    <w:rsid w:val="00114937"/>
    <w:rsid w:val="001215C6"/>
    <w:rsid w:val="00122ED0"/>
    <w:rsid w:val="00130804"/>
    <w:rsid w:val="00131FB9"/>
    <w:rsid w:val="00140A8C"/>
    <w:rsid w:val="00141C6E"/>
    <w:rsid w:val="00154140"/>
    <w:rsid w:val="001545DD"/>
    <w:rsid w:val="001611D2"/>
    <w:rsid w:val="00165C6B"/>
    <w:rsid w:val="0016691B"/>
    <w:rsid w:val="00175058"/>
    <w:rsid w:val="0018074F"/>
    <w:rsid w:val="00183C49"/>
    <w:rsid w:val="00191B16"/>
    <w:rsid w:val="001962EA"/>
    <w:rsid w:val="001963CB"/>
    <w:rsid w:val="001A0F24"/>
    <w:rsid w:val="001A2798"/>
    <w:rsid w:val="001A6EAA"/>
    <w:rsid w:val="001A739E"/>
    <w:rsid w:val="001B398D"/>
    <w:rsid w:val="001B7BF9"/>
    <w:rsid w:val="001C0FFE"/>
    <w:rsid w:val="001C13AF"/>
    <w:rsid w:val="001C2204"/>
    <w:rsid w:val="001C343E"/>
    <w:rsid w:val="001D2980"/>
    <w:rsid w:val="001D46F0"/>
    <w:rsid w:val="001D52A6"/>
    <w:rsid w:val="001E00E4"/>
    <w:rsid w:val="001E2584"/>
    <w:rsid w:val="001E2C88"/>
    <w:rsid w:val="001F08C3"/>
    <w:rsid w:val="001F1337"/>
    <w:rsid w:val="001F1772"/>
    <w:rsid w:val="00202E2C"/>
    <w:rsid w:val="0020322F"/>
    <w:rsid w:val="0021633F"/>
    <w:rsid w:val="00226DA3"/>
    <w:rsid w:val="00227F99"/>
    <w:rsid w:val="0023643E"/>
    <w:rsid w:val="00237CBD"/>
    <w:rsid w:val="00237FD4"/>
    <w:rsid w:val="00246A2F"/>
    <w:rsid w:val="002478D2"/>
    <w:rsid w:val="002639B8"/>
    <w:rsid w:val="00263C97"/>
    <w:rsid w:val="002667BD"/>
    <w:rsid w:val="00267A14"/>
    <w:rsid w:val="00267B20"/>
    <w:rsid w:val="00267CD6"/>
    <w:rsid w:val="00270E78"/>
    <w:rsid w:val="00273B70"/>
    <w:rsid w:val="00276AF9"/>
    <w:rsid w:val="002773F8"/>
    <w:rsid w:val="00280A31"/>
    <w:rsid w:val="00281C2A"/>
    <w:rsid w:val="00282B78"/>
    <w:rsid w:val="00284CA1"/>
    <w:rsid w:val="00285326"/>
    <w:rsid w:val="002875FA"/>
    <w:rsid w:val="002951F5"/>
    <w:rsid w:val="00297352"/>
    <w:rsid w:val="002973CB"/>
    <w:rsid w:val="00297AEE"/>
    <w:rsid w:val="002A1997"/>
    <w:rsid w:val="002A1B1D"/>
    <w:rsid w:val="002B269B"/>
    <w:rsid w:val="002B3203"/>
    <w:rsid w:val="002C3AF8"/>
    <w:rsid w:val="002C559D"/>
    <w:rsid w:val="002D5741"/>
    <w:rsid w:val="002E1BAE"/>
    <w:rsid w:val="002E6DCB"/>
    <w:rsid w:val="002E7287"/>
    <w:rsid w:val="002F39CE"/>
    <w:rsid w:val="002F6A1B"/>
    <w:rsid w:val="0030013C"/>
    <w:rsid w:val="00300F36"/>
    <w:rsid w:val="00305813"/>
    <w:rsid w:val="0031572D"/>
    <w:rsid w:val="00321A66"/>
    <w:rsid w:val="003236EF"/>
    <w:rsid w:val="00326104"/>
    <w:rsid w:val="00334FAF"/>
    <w:rsid w:val="00335CC2"/>
    <w:rsid w:val="00336272"/>
    <w:rsid w:val="003373EF"/>
    <w:rsid w:val="00337770"/>
    <w:rsid w:val="00340BFE"/>
    <w:rsid w:val="003452AB"/>
    <w:rsid w:val="00345C84"/>
    <w:rsid w:val="00352ABA"/>
    <w:rsid w:val="00377F63"/>
    <w:rsid w:val="00381C95"/>
    <w:rsid w:val="003846B5"/>
    <w:rsid w:val="00384F71"/>
    <w:rsid w:val="00390470"/>
    <w:rsid w:val="00392C1C"/>
    <w:rsid w:val="00394BD8"/>
    <w:rsid w:val="00396BD2"/>
    <w:rsid w:val="003A5929"/>
    <w:rsid w:val="003B61E4"/>
    <w:rsid w:val="003B6BEF"/>
    <w:rsid w:val="003C2680"/>
    <w:rsid w:val="003D2E83"/>
    <w:rsid w:val="003D4FDC"/>
    <w:rsid w:val="003D6A25"/>
    <w:rsid w:val="003E1731"/>
    <w:rsid w:val="003E28C5"/>
    <w:rsid w:val="003E4364"/>
    <w:rsid w:val="003E6BCF"/>
    <w:rsid w:val="003F42F9"/>
    <w:rsid w:val="00404C2A"/>
    <w:rsid w:val="00404FC0"/>
    <w:rsid w:val="004079E5"/>
    <w:rsid w:val="004178EB"/>
    <w:rsid w:val="00422FB7"/>
    <w:rsid w:val="00424E40"/>
    <w:rsid w:val="00425900"/>
    <w:rsid w:val="0043607E"/>
    <w:rsid w:val="004377A3"/>
    <w:rsid w:val="004400C8"/>
    <w:rsid w:val="00440113"/>
    <w:rsid w:val="00440422"/>
    <w:rsid w:val="00446787"/>
    <w:rsid w:val="00453B4B"/>
    <w:rsid w:val="00453CFB"/>
    <w:rsid w:val="00455FB7"/>
    <w:rsid w:val="004573C3"/>
    <w:rsid w:val="004574F9"/>
    <w:rsid w:val="00464D4C"/>
    <w:rsid w:val="0046671A"/>
    <w:rsid w:val="0047094F"/>
    <w:rsid w:val="00473AD9"/>
    <w:rsid w:val="00473DC4"/>
    <w:rsid w:val="004800D3"/>
    <w:rsid w:val="00481FB3"/>
    <w:rsid w:val="00482331"/>
    <w:rsid w:val="00486C28"/>
    <w:rsid w:val="0049015D"/>
    <w:rsid w:val="004909CE"/>
    <w:rsid w:val="00490EB7"/>
    <w:rsid w:val="00491BCE"/>
    <w:rsid w:val="004937D5"/>
    <w:rsid w:val="004A125D"/>
    <w:rsid w:val="004A3E98"/>
    <w:rsid w:val="004B2BB2"/>
    <w:rsid w:val="004C182F"/>
    <w:rsid w:val="004C1F1F"/>
    <w:rsid w:val="004C32DD"/>
    <w:rsid w:val="004D02EE"/>
    <w:rsid w:val="004D146A"/>
    <w:rsid w:val="004D41B9"/>
    <w:rsid w:val="004D483C"/>
    <w:rsid w:val="004E0719"/>
    <w:rsid w:val="004F00ED"/>
    <w:rsid w:val="004F51D1"/>
    <w:rsid w:val="00503A62"/>
    <w:rsid w:val="005047F8"/>
    <w:rsid w:val="005058FD"/>
    <w:rsid w:val="00513C42"/>
    <w:rsid w:val="00514E0B"/>
    <w:rsid w:val="00520ABB"/>
    <w:rsid w:val="005260DD"/>
    <w:rsid w:val="005263C0"/>
    <w:rsid w:val="00530148"/>
    <w:rsid w:val="00531949"/>
    <w:rsid w:val="005345D2"/>
    <w:rsid w:val="00537F13"/>
    <w:rsid w:val="0054081B"/>
    <w:rsid w:val="00543B77"/>
    <w:rsid w:val="00546F23"/>
    <w:rsid w:val="00546FDE"/>
    <w:rsid w:val="0055134A"/>
    <w:rsid w:val="00552EF7"/>
    <w:rsid w:val="005574BE"/>
    <w:rsid w:val="005621F3"/>
    <w:rsid w:val="00566145"/>
    <w:rsid w:val="005735A0"/>
    <w:rsid w:val="00584FDD"/>
    <w:rsid w:val="00585907"/>
    <w:rsid w:val="00586774"/>
    <w:rsid w:val="005913D9"/>
    <w:rsid w:val="00596812"/>
    <w:rsid w:val="00596E5A"/>
    <w:rsid w:val="005A35C8"/>
    <w:rsid w:val="005A3BA9"/>
    <w:rsid w:val="005A5916"/>
    <w:rsid w:val="005B0B0D"/>
    <w:rsid w:val="005C0A53"/>
    <w:rsid w:val="005C3B5B"/>
    <w:rsid w:val="005C5AB5"/>
    <w:rsid w:val="005C682B"/>
    <w:rsid w:val="005D0D75"/>
    <w:rsid w:val="005D5158"/>
    <w:rsid w:val="005D5850"/>
    <w:rsid w:val="005D61D2"/>
    <w:rsid w:val="005D683B"/>
    <w:rsid w:val="005D6F18"/>
    <w:rsid w:val="005E1987"/>
    <w:rsid w:val="00600814"/>
    <w:rsid w:val="006013E1"/>
    <w:rsid w:val="00603246"/>
    <w:rsid w:val="00603649"/>
    <w:rsid w:val="00605174"/>
    <w:rsid w:val="0061208C"/>
    <w:rsid w:val="00614C9B"/>
    <w:rsid w:val="00615EC2"/>
    <w:rsid w:val="006166AF"/>
    <w:rsid w:val="006172E2"/>
    <w:rsid w:val="00623F22"/>
    <w:rsid w:val="006474E1"/>
    <w:rsid w:val="00652681"/>
    <w:rsid w:val="006559F6"/>
    <w:rsid w:val="006600EF"/>
    <w:rsid w:val="00664064"/>
    <w:rsid w:val="00665898"/>
    <w:rsid w:val="006706FB"/>
    <w:rsid w:val="00671B84"/>
    <w:rsid w:val="00671D39"/>
    <w:rsid w:val="006747A4"/>
    <w:rsid w:val="00675735"/>
    <w:rsid w:val="0068538B"/>
    <w:rsid w:val="00690A69"/>
    <w:rsid w:val="00690B8C"/>
    <w:rsid w:val="00691D74"/>
    <w:rsid w:val="0069249A"/>
    <w:rsid w:val="00692863"/>
    <w:rsid w:val="00692AED"/>
    <w:rsid w:val="00697275"/>
    <w:rsid w:val="006A01FB"/>
    <w:rsid w:val="006A0603"/>
    <w:rsid w:val="006A0A65"/>
    <w:rsid w:val="006A46ED"/>
    <w:rsid w:val="006A4C66"/>
    <w:rsid w:val="006A6A80"/>
    <w:rsid w:val="006A7481"/>
    <w:rsid w:val="006B0C43"/>
    <w:rsid w:val="006B1AEF"/>
    <w:rsid w:val="006C1940"/>
    <w:rsid w:val="006C344A"/>
    <w:rsid w:val="006C35EC"/>
    <w:rsid w:val="006C7DBB"/>
    <w:rsid w:val="006D09A4"/>
    <w:rsid w:val="006D1229"/>
    <w:rsid w:val="006D77ED"/>
    <w:rsid w:val="006E4A8D"/>
    <w:rsid w:val="00706181"/>
    <w:rsid w:val="00720035"/>
    <w:rsid w:val="00724A49"/>
    <w:rsid w:val="007252B2"/>
    <w:rsid w:val="007342D4"/>
    <w:rsid w:val="0074043E"/>
    <w:rsid w:val="0074295C"/>
    <w:rsid w:val="00750536"/>
    <w:rsid w:val="007522AC"/>
    <w:rsid w:val="00754F1E"/>
    <w:rsid w:val="00755123"/>
    <w:rsid w:val="0077074A"/>
    <w:rsid w:val="007743C3"/>
    <w:rsid w:val="00774CD8"/>
    <w:rsid w:val="0077773E"/>
    <w:rsid w:val="00781A1B"/>
    <w:rsid w:val="00782A25"/>
    <w:rsid w:val="007855B7"/>
    <w:rsid w:val="00785C18"/>
    <w:rsid w:val="00797D80"/>
    <w:rsid w:val="007A278C"/>
    <w:rsid w:val="007A2E94"/>
    <w:rsid w:val="007A32AC"/>
    <w:rsid w:val="007A4490"/>
    <w:rsid w:val="007A566F"/>
    <w:rsid w:val="007B277C"/>
    <w:rsid w:val="007B34C9"/>
    <w:rsid w:val="007B37A8"/>
    <w:rsid w:val="007B397C"/>
    <w:rsid w:val="007B4270"/>
    <w:rsid w:val="007B4D7F"/>
    <w:rsid w:val="007B7032"/>
    <w:rsid w:val="007C3D50"/>
    <w:rsid w:val="007C4A7A"/>
    <w:rsid w:val="007D0C5C"/>
    <w:rsid w:val="007D0D2F"/>
    <w:rsid w:val="007D381E"/>
    <w:rsid w:val="007D6FBE"/>
    <w:rsid w:val="007E598C"/>
    <w:rsid w:val="007E5B33"/>
    <w:rsid w:val="007E5E24"/>
    <w:rsid w:val="007E5F46"/>
    <w:rsid w:val="007F03BF"/>
    <w:rsid w:val="007F4226"/>
    <w:rsid w:val="007F5485"/>
    <w:rsid w:val="007F5606"/>
    <w:rsid w:val="007F643A"/>
    <w:rsid w:val="00806E0C"/>
    <w:rsid w:val="00807A31"/>
    <w:rsid w:val="00810166"/>
    <w:rsid w:val="00814DD7"/>
    <w:rsid w:val="008179BD"/>
    <w:rsid w:val="0083348E"/>
    <w:rsid w:val="008417E3"/>
    <w:rsid w:val="00841934"/>
    <w:rsid w:val="008505DE"/>
    <w:rsid w:val="00854925"/>
    <w:rsid w:val="00855112"/>
    <w:rsid w:val="00861BDE"/>
    <w:rsid w:val="00864D8F"/>
    <w:rsid w:val="00871EB8"/>
    <w:rsid w:val="008802D8"/>
    <w:rsid w:val="008A1F1C"/>
    <w:rsid w:val="008A3CC0"/>
    <w:rsid w:val="008C04B1"/>
    <w:rsid w:val="008C64B0"/>
    <w:rsid w:val="008D0077"/>
    <w:rsid w:val="008D3D48"/>
    <w:rsid w:val="008D4610"/>
    <w:rsid w:val="008D6E3D"/>
    <w:rsid w:val="008E26AE"/>
    <w:rsid w:val="008E54E4"/>
    <w:rsid w:val="008F57C5"/>
    <w:rsid w:val="008F6770"/>
    <w:rsid w:val="008F6DB4"/>
    <w:rsid w:val="0090095B"/>
    <w:rsid w:val="0090131A"/>
    <w:rsid w:val="00902B74"/>
    <w:rsid w:val="00905892"/>
    <w:rsid w:val="00907F99"/>
    <w:rsid w:val="009162B6"/>
    <w:rsid w:val="009224F7"/>
    <w:rsid w:val="009245A3"/>
    <w:rsid w:val="0092787F"/>
    <w:rsid w:val="009304A9"/>
    <w:rsid w:val="00935776"/>
    <w:rsid w:val="00936587"/>
    <w:rsid w:val="0093795E"/>
    <w:rsid w:val="00942F8D"/>
    <w:rsid w:val="009521E8"/>
    <w:rsid w:val="00954478"/>
    <w:rsid w:val="00954D21"/>
    <w:rsid w:val="00955FDE"/>
    <w:rsid w:val="00964DB5"/>
    <w:rsid w:val="009666A5"/>
    <w:rsid w:val="00971252"/>
    <w:rsid w:val="00976554"/>
    <w:rsid w:val="00980A30"/>
    <w:rsid w:val="00986C0D"/>
    <w:rsid w:val="009940C8"/>
    <w:rsid w:val="009A2FDE"/>
    <w:rsid w:val="009A6465"/>
    <w:rsid w:val="009B19A8"/>
    <w:rsid w:val="009B2CB3"/>
    <w:rsid w:val="009C3407"/>
    <w:rsid w:val="009C49DC"/>
    <w:rsid w:val="009C4FFE"/>
    <w:rsid w:val="009C525E"/>
    <w:rsid w:val="009C6D9E"/>
    <w:rsid w:val="009C7B30"/>
    <w:rsid w:val="009D0313"/>
    <w:rsid w:val="009D2F0A"/>
    <w:rsid w:val="009D7C91"/>
    <w:rsid w:val="009E0536"/>
    <w:rsid w:val="009E42D0"/>
    <w:rsid w:val="009E797B"/>
    <w:rsid w:val="009E7C2A"/>
    <w:rsid w:val="00A01E8E"/>
    <w:rsid w:val="00A03615"/>
    <w:rsid w:val="00A05272"/>
    <w:rsid w:val="00A05767"/>
    <w:rsid w:val="00A07890"/>
    <w:rsid w:val="00A10034"/>
    <w:rsid w:val="00A10327"/>
    <w:rsid w:val="00A16314"/>
    <w:rsid w:val="00A20FEC"/>
    <w:rsid w:val="00A2394F"/>
    <w:rsid w:val="00A25946"/>
    <w:rsid w:val="00A31116"/>
    <w:rsid w:val="00A3222E"/>
    <w:rsid w:val="00A33632"/>
    <w:rsid w:val="00A404BB"/>
    <w:rsid w:val="00A41EB7"/>
    <w:rsid w:val="00A43C4D"/>
    <w:rsid w:val="00A46688"/>
    <w:rsid w:val="00A47ACE"/>
    <w:rsid w:val="00A5108C"/>
    <w:rsid w:val="00A539DD"/>
    <w:rsid w:val="00A554AC"/>
    <w:rsid w:val="00A55669"/>
    <w:rsid w:val="00A564C5"/>
    <w:rsid w:val="00A572B0"/>
    <w:rsid w:val="00A65F53"/>
    <w:rsid w:val="00A732C3"/>
    <w:rsid w:val="00A8296C"/>
    <w:rsid w:val="00A84283"/>
    <w:rsid w:val="00A912C9"/>
    <w:rsid w:val="00A9148A"/>
    <w:rsid w:val="00A94783"/>
    <w:rsid w:val="00A97449"/>
    <w:rsid w:val="00AB0F50"/>
    <w:rsid w:val="00AB30AE"/>
    <w:rsid w:val="00AB37F8"/>
    <w:rsid w:val="00AB4AC7"/>
    <w:rsid w:val="00AB5B3E"/>
    <w:rsid w:val="00AC1AF4"/>
    <w:rsid w:val="00AC3A40"/>
    <w:rsid w:val="00AC6303"/>
    <w:rsid w:val="00AC7909"/>
    <w:rsid w:val="00AD032A"/>
    <w:rsid w:val="00AD1EF3"/>
    <w:rsid w:val="00AE17C6"/>
    <w:rsid w:val="00AE2C44"/>
    <w:rsid w:val="00AE363A"/>
    <w:rsid w:val="00AE4174"/>
    <w:rsid w:val="00AE4A28"/>
    <w:rsid w:val="00AF02A7"/>
    <w:rsid w:val="00AF1143"/>
    <w:rsid w:val="00AF6F81"/>
    <w:rsid w:val="00B156FF"/>
    <w:rsid w:val="00B17AB7"/>
    <w:rsid w:val="00B17F47"/>
    <w:rsid w:val="00B36667"/>
    <w:rsid w:val="00B36715"/>
    <w:rsid w:val="00B43905"/>
    <w:rsid w:val="00B60086"/>
    <w:rsid w:val="00B601E3"/>
    <w:rsid w:val="00B63593"/>
    <w:rsid w:val="00B678DD"/>
    <w:rsid w:val="00B80349"/>
    <w:rsid w:val="00B83D36"/>
    <w:rsid w:val="00B914DF"/>
    <w:rsid w:val="00BA06EA"/>
    <w:rsid w:val="00BA6ACE"/>
    <w:rsid w:val="00BB3F7A"/>
    <w:rsid w:val="00BB608E"/>
    <w:rsid w:val="00BB7E45"/>
    <w:rsid w:val="00BB7F43"/>
    <w:rsid w:val="00BC0960"/>
    <w:rsid w:val="00BC4648"/>
    <w:rsid w:val="00BC77A7"/>
    <w:rsid w:val="00BD1CEA"/>
    <w:rsid w:val="00BD78D6"/>
    <w:rsid w:val="00BE6E1D"/>
    <w:rsid w:val="00BF10A7"/>
    <w:rsid w:val="00BF3CF9"/>
    <w:rsid w:val="00C005E3"/>
    <w:rsid w:val="00C01B0F"/>
    <w:rsid w:val="00C10C6C"/>
    <w:rsid w:val="00C10F95"/>
    <w:rsid w:val="00C22894"/>
    <w:rsid w:val="00C2537F"/>
    <w:rsid w:val="00C3126E"/>
    <w:rsid w:val="00C3171D"/>
    <w:rsid w:val="00C351F2"/>
    <w:rsid w:val="00C3641E"/>
    <w:rsid w:val="00C41EBB"/>
    <w:rsid w:val="00C45656"/>
    <w:rsid w:val="00C463C5"/>
    <w:rsid w:val="00C4740B"/>
    <w:rsid w:val="00C47C3D"/>
    <w:rsid w:val="00C564B1"/>
    <w:rsid w:val="00C61134"/>
    <w:rsid w:val="00C614CD"/>
    <w:rsid w:val="00C61C51"/>
    <w:rsid w:val="00C62A4F"/>
    <w:rsid w:val="00C7035A"/>
    <w:rsid w:val="00C70778"/>
    <w:rsid w:val="00C75CDD"/>
    <w:rsid w:val="00C77104"/>
    <w:rsid w:val="00C8188F"/>
    <w:rsid w:val="00C8648A"/>
    <w:rsid w:val="00C9655D"/>
    <w:rsid w:val="00C97DB7"/>
    <w:rsid w:val="00CA2FC1"/>
    <w:rsid w:val="00CA34E3"/>
    <w:rsid w:val="00CB0014"/>
    <w:rsid w:val="00CB63AD"/>
    <w:rsid w:val="00CC2CE2"/>
    <w:rsid w:val="00CC735F"/>
    <w:rsid w:val="00CC7CB0"/>
    <w:rsid w:val="00CD4852"/>
    <w:rsid w:val="00CD7BC6"/>
    <w:rsid w:val="00CE09AE"/>
    <w:rsid w:val="00CE17F9"/>
    <w:rsid w:val="00CE1B73"/>
    <w:rsid w:val="00CE54B8"/>
    <w:rsid w:val="00CE6F28"/>
    <w:rsid w:val="00CF2452"/>
    <w:rsid w:val="00CF43DE"/>
    <w:rsid w:val="00D001C6"/>
    <w:rsid w:val="00D030AB"/>
    <w:rsid w:val="00D0428B"/>
    <w:rsid w:val="00D10586"/>
    <w:rsid w:val="00D10750"/>
    <w:rsid w:val="00D10B63"/>
    <w:rsid w:val="00D11EB0"/>
    <w:rsid w:val="00D127A2"/>
    <w:rsid w:val="00D12FE2"/>
    <w:rsid w:val="00D14530"/>
    <w:rsid w:val="00D17172"/>
    <w:rsid w:val="00D17A9F"/>
    <w:rsid w:val="00D31569"/>
    <w:rsid w:val="00D3520B"/>
    <w:rsid w:val="00D35757"/>
    <w:rsid w:val="00D4045F"/>
    <w:rsid w:val="00D56DA4"/>
    <w:rsid w:val="00D6737C"/>
    <w:rsid w:val="00D72563"/>
    <w:rsid w:val="00D731E9"/>
    <w:rsid w:val="00D75ABE"/>
    <w:rsid w:val="00D75C2C"/>
    <w:rsid w:val="00D75C9F"/>
    <w:rsid w:val="00D76FA4"/>
    <w:rsid w:val="00D804B0"/>
    <w:rsid w:val="00D82CD4"/>
    <w:rsid w:val="00D85149"/>
    <w:rsid w:val="00DA6A9A"/>
    <w:rsid w:val="00DA74D9"/>
    <w:rsid w:val="00DB5403"/>
    <w:rsid w:val="00DB6F0D"/>
    <w:rsid w:val="00DB7561"/>
    <w:rsid w:val="00DC08FD"/>
    <w:rsid w:val="00DC3D56"/>
    <w:rsid w:val="00DC709C"/>
    <w:rsid w:val="00DD06B5"/>
    <w:rsid w:val="00DD2013"/>
    <w:rsid w:val="00DD7972"/>
    <w:rsid w:val="00DE3C7D"/>
    <w:rsid w:val="00DE5639"/>
    <w:rsid w:val="00DF0ECE"/>
    <w:rsid w:val="00DF20CC"/>
    <w:rsid w:val="00DF42F6"/>
    <w:rsid w:val="00DF6ABE"/>
    <w:rsid w:val="00DF75A3"/>
    <w:rsid w:val="00E03E9B"/>
    <w:rsid w:val="00E14908"/>
    <w:rsid w:val="00E27A29"/>
    <w:rsid w:val="00E33FD2"/>
    <w:rsid w:val="00E3432A"/>
    <w:rsid w:val="00E450C7"/>
    <w:rsid w:val="00E57095"/>
    <w:rsid w:val="00E60FB5"/>
    <w:rsid w:val="00E64559"/>
    <w:rsid w:val="00E67F8A"/>
    <w:rsid w:val="00E7402B"/>
    <w:rsid w:val="00E76515"/>
    <w:rsid w:val="00E77B86"/>
    <w:rsid w:val="00E80C62"/>
    <w:rsid w:val="00E91DAF"/>
    <w:rsid w:val="00E91E1D"/>
    <w:rsid w:val="00E93526"/>
    <w:rsid w:val="00E9484D"/>
    <w:rsid w:val="00EA0372"/>
    <w:rsid w:val="00EA3CF2"/>
    <w:rsid w:val="00EA5620"/>
    <w:rsid w:val="00EA5662"/>
    <w:rsid w:val="00EA59BF"/>
    <w:rsid w:val="00EB4EB9"/>
    <w:rsid w:val="00EB6B8D"/>
    <w:rsid w:val="00EB6CED"/>
    <w:rsid w:val="00EB6EDC"/>
    <w:rsid w:val="00EC0357"/>
    <w:rsid w:val="00EC1643"/>
    <w:rsid w:val="00EC5573"/>
    <w:rsid w:val="00ED1529"/>
    <w:rsid w:val="00ED3C50"/>
    <w:rsid w:val="00ED4780"/>
    <w:rsid w:val="00ED4DFD"/>
    <w:rsid w:val="00EE0C3E"/>
    <w:rsid w:val="00EE0CA3"/>
    <w:rsid w:val="00EE3763"/>
    <w:rsid w:val="00EE690F"/>
    <w:rsid w:val="00EF354C"/>
    <w:rsid w:val="00EF40E2"/>
    <w:rsid w:val="00F01843"/>
    <w:rsid w:val="00F12270"/>
    <w:rsid w:val="00F2320D"/>
    <w:rsid w:val="00F25C49"/>
    <w:rsid w:val="00F26A3A"/>
    <w:rsid w:val="00F26AB0"/>
    <w:rsid w:val="00F344FC"/>
    <w:rsid w:val="00F36747"/>
    <w:rsid w:val="00F367A9"/>
    <w:rsid w:val="00F40E11"/>
    <w:rsid w:val="00F4291B"/>
    <w:rsid w:val="00F455DB"/>
    <w:rsid w:val="00F517DE"/>
    <w:rsid w:val="00F5240B"/>
    <w:rsid w:val="00F54093"/>
    <w:rsid w:val="00F54F41"/>
    <w:rsid w:val="00F635F6"/>
    <w:rsid w:val="00F676B6"/>
    <w:rsid w:val="00F72B81"/>
    <w:rsid w:val="00F735E1"/>
    <w:rsid w:val="00F76D32"/>
    <w:rsid w:val="00F83E9F"/>
    <w:rsid w:val="00FA1261"/>
    <w:rsid w:val="00FA3299"/>
    <w:rsid w:val="00FA3874"/>
    <w:rsid w:val="00FB14B9"/>
    <w:rsid w:val="00FB17AC"/>
    <w:rsid w:val="00FB3CAF"/>
    <w:rsid w:val="00FC4BA9"/>
    <w:rsid w:val="00FC5BB0"/>
    <w:rsid w:val="00FC5F89"/>
    <w:rsid w:val="00FC7E1C"/>
    <w:rsid w:val="00FF064A"/>
    <w:rsid w:val="00FF181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CB801"/>
  <w15:chartTrackingRefBased/>
  <w15:docId w15:val="{88033C31-AB88-4240-AFCC-655DB551A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7CB0"/>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C703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703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7035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7035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7035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7035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7035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7035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7035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035A"/>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C7035A"/>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C7035A"/>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C7035A"/>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C7035A"/>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C7035A"/>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C7035A"/>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C7035A"/>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C7035A"/>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C7035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7035A"/>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C7035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7035A"/>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C7035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7035A"/>
    <w:rPr>
      <w:i/>
      <w:iCs/>
      <w:color w:val="404040" w:themeColor="text1" w:themeTint="BF"/>
      <w:lang w:val="en-GB"/>
    </w:rPr>
  </w:style>
  <w:style w:type="paragraph" w:styleId="ListParagraph">
    <w:name w:val="List Paragraph"/>
    <w:basedOn w:val="Normal"/>
    <w:uiPriority w:val="34"/>
    <w:qFormat/>
    <w:rsid w:val="00C7035A"/>
    <w:pPr>
      <w:ind w:left="720"/>
      <w:contextualSpacing/>
    </w:pPr>
  </w:style>
  <w:style w:type="character" w:styleId="IntenseEmphasis">
    <w:name w:val="Intense Emphasis"/>
    <w:basedOn w:val="DefaultParagraphFont"/>
    <w:uiPriority w:val="21"/>
    <w:qFormat/>
    <w:rsid w:val="00C7035A"/>
    <w:rPr>
      <w:i/>
      <w:iCs/>
      <w:color w:val="0F4761" w:themeColor="accent1" w:themeShade="BF"/>
    </w:rPr>
  </w:style>
  <w:style w:type="paragraph" w:styleId="IntenseQuote">
    <w:name w:val="Intense Quote"/>
    <w:basedOn w:val="Normal"/>
    <w:next w:val="Normal"/>
    <w:link w:val="IntenseQuoteChar"/>
    <w:uiPriority w:val="30"/>
    <w:qFormat/>
    <w:rsid w:val="00C703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7035A"/>
    <w:rPr>
      <w:i/>
      <w:iCs/>
      <w:color w:val="0F4761" w:themeColor="accent1" w:themeShade="BF"/>
      <w:lang w:val="en-GB"/>
    </w:rPr>
  </w:style>
  <w:style w:type="character" w:styleId="IntenseReference">
    <w:name w:val="Intense Reference"/>
    <w:basedOn w:val="DefaultParagraphFont"/>
    <w:uiPriority w:val="32"/>
    <w:qFormat/>
    <w:rsid w:val="00C7035A"/>
    <w:rPr>
      <w:b/>
      <w:bCs/>
      <w:smallCaps/>
      <w:color w:val="0F4761" w:themeColor="accent1" w:themeShade="BF"/>
      <w:spacing w:val="5"/>
    </w:rPr>
  </w:style>
  <w:style w:type="paragraph" w:customStyle="1" w:styleId="paragraph">
    <w:name w:val="paragraph"/>
    <w:basedOn w:val="Normal"/>
    <w:rsid w:val="00C7035A"/>
    <w:pPr>
      <w:spacing w:before="100" w:beforeAutospacing="1" w:after="100" w:afterAutospacing="1"/>
    </w:pPr>
  </w:style>
  <w:style w:type="character" w:customStyle="1" w:styleId="normaltextrun">
    <w:name w:val="normaltextrun"/>
    <w:basedOn w:val="DefaultParagraphFont"/>
    <w:rsid w:val="00C7035A"/>
  </w:style>
  <w:style w:type="character" w:customStyle="1" w:styleId="eop">
    <w:name w:val="eop"/>
    <w:basedOn w:val="DefaultParagraphFont"/>
    <w:rsid w:val="00C7035A"/>
  </w:style>
  <w:style w:type="character" w:customStyle="1" w:styleId="tabchar">
    <w:name w:val="tabchar"/>
    <w:basedOn w:val="DefaultParagraphFont"/>
    <w:rsid w:val="00C7035A"/>
  </w:style>
  <w:style w:type="character" w:customStyle="1" w:styleId="scxw75953010">
    <w:name w:val="scxw75953010"/>
    <w:basedOn w:val="DefaultParagraphFont"/>
    <w:rsid w:val="00C7035A"/>
  </w:style>
  <w:style w:type="table" w:styleId="TableGrid">
    <w:name w:val="Table Grid"/>
    <w:basedOn w:val="TableNormal"/>
    <w:uiPriority w:val="39"/>
    <w:rsid w:val="00AB5B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001969"/>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semiHidden/>
    <w:unhideWhenUsed/>
    <w:rsid w:val="003B6BEF"/>
    <w:pPr>
      <w:spacing w:before="100" w:beforeAutospacing="1" w:after="100" w:afterAutospacing="1"/>
    </w:pPr>
  </w:style>
  <w:style w:type="character" w:customStyle="1" w:styleId="apple-converted-space">
    <w:name w:val="apple-converted-space"/>
    <w:basedOn w:val="DefaultParagraphFont"/>
    <w:rsid w:val="00EA59BF"/>
  </w:style>
  <w:style w:type="character" w:styleId="Emphasis">
    <w:name w:val="Emphasis"/>
    <w:basedOn w:val="DefaultParagraphFont"/>
    <w:uiPriority w:val="20"/>
    <w:qFormat/>
    <w:rsid w:val="00EA59BF"/>
    <w:rPr>
      <w:i/>
      <w:iCs/>
    </w:rPr>
  </w:style>
  <w:style w:type="character" w:styleId="Strong">
    <w:name w:val="Strong"/>
    <w:basedOn w:val="DefaultParagraphFont"/>
    <w:uiPriority w:val="22"/>
    <w:qFormat/>
    <w:rsid w:val="00EA59BF"/>
    <w:rPr>
      <w:b/>
      <w:bCs/>
    </w:rPr>
  </w:style>
  <w:style w:type="character" w:styleId="CommentReference">
    <w:name w:val="annotation reference"/>
    <w:basedOn w:val="DefaultParagraphFont"/>
    <w:uiPriority w:val="99"/>
    <w:semiHidden/>
    <w:unhideWhenUsed/>
    <w:rsid w:val="00CB63AD"/>
    <w:rPr>
      <w:sz w:val="16"/>
      <w:szCs w:val="16"/>
    </w:rPr>
  </w:style>
  <w:style w:type="paragraph" w:styleId="CommentText">
    <w:name w:val="annotation text"/>
    <w:basedOn w:val="Normal"/>
    <w:link w:val="CommentTextChar"/>
    <w:uiPriority w:val="99"/>
    <w:unhideWhenUsed/>
    <w:rsid w:val="00CB63AD"/>
    <w:rPr>
      <w:sz w:val="20"/>
      <w:szCs w:val="20"/>
    </w:rPr>
  </w:style>
  <w:style w:type="character" w:customStyle="1" w:styleId="CommentTextChar">
    <w:name w:val="Comment Text Char"/>
    <w:basedOn w:val="DefaultParagraphFont"/>
    <w:link w:val="CommentText"/>
    <w:uiPriority w:val="99"/>
    <w:rsid w:val="00CB63AD"/>
    <w:rPr>
      <w:sz w:val="20"/>
      <w:szCs w:val="20"/>
      <w:lang w:val="en-GB"/>
    </w:rPr>
  </w:style>
  <w:style w:type="paragraph" w:styleId="CommentSubject">
    <w:name w:val="annotation subject"/>
    <w:basedOn w:val="CommentText"/>
    <w:next w:val="CommentText"/>
    <w:link w:val="CommentSubjectChar"/>
    <w:uiPriority w:val="99"/>
    <w:semiHidden/>
    <w:unhideWhenUsed/>
    <w:rsid w:val="00CB63AD"/>
    <w:rPr>
      <w:b/>
      <w:bCs/>
    </w:rPr>
  </w:style>
  <w:style w:type="character" w:customStyle="1" w:styleId="CommentSubjectChar">
    <w:name w:val="Comment Subject Char"/>
    <w:basedOn w:val="CommentTextChar"/>
    <w:link w:val="CommentSubject"/>
    <w:uiPriority w:val="99"/>
    <w:semiHidden/>
    <w:rsid w:val="00CB63AD"/>
    <w:rPr>
      <w:b/>
      <w:bCs/>
      <w:sz w:val="20"/>
      <w:szCs w:val="20"/>
      <w:lang w:val="en-GB"/>
    </w:rPr>
  </w:style>
  <w:style w:type="character" w:customStyle="1" w:styleId="katex-mathml">
    <w:name w:val="katex-mathml"/>
    <w:basedOn w:val="DefaultParagraphFont"/>
    <w:rsid w:val="006600EF"/>
  </w:style>
  <w:style w:type="character" w:customStyle="1" w:styleId="mord">
    <w:name w:val="mord"/>
    <w:basedOn w:val="DefaultParagraphFont"/>
    <w:rsid w:val="006600EF"/>
  </w:style>
  <w:style w:type="character" w:customStyle="1" w:styleId="mrel">
    <w:name w:val="mrel"/>
    <w:basedOn w:val="DefaultParagraphFont"/>
    <w:rsid w:val="006600EF"/>
  </w:style>
  <w:style w:type="character" w:styleId="Hyperlink">
    <w:name w:val="Hyperlink"/>
    <w:basedOn w:val="DefaultParagraphFont"/>
    <w:uiPriority w:val="99"/>
    <w:unhideWhenUsed/>
    <w:rsid w:val="006A7481"/>
    <w:rPr>
      <w:color w:val="467886" w:themeColor="hyperlink"/>
      <w:u w:val="single"/>
    </w:rPr>
  </w:style>
  <w:style w:type="character" w:styleId="UnresolvedMention">
    <w:name w:val="Unresolved Mention"/>
    <w:basedOn w:val="DefaultParagraphFont"/>
    <w:uiPriority w:val="99"/>
    <w:semiHidden/>
    <w:unhideWhenUsed/>
    <w:rsid w:val="00D11EB0"/>
    <w:rPr>
      <w:color w:val="605E5C"/>
      <w:shd w:val="clear" w:color="auto" w:fill="E1DFDD"/>
    </w:rPr>
  </w:style>
  <w:style w:type="paragraph" w:customStyle="1" w:styleId="my-0">
    <w:name w:val="my-0"/>
    <w:basedOn w:val="Normal"/>
    <w:rsid w:val="00CC7CB0"/>
    <w:pPr>
      <w:spacing w:before="100" w:beforeAutospacing="1" w:after="100" w:afterAutospacing="1"/>
    </w:pPr>
  </w:style>
  <w:style w:type="paragraph" w:customStyle="1" w:styleId="mb15">
    <w:name w:val="mb15"/>
    <w:basedOn w:val="Normal"/>
    <w:rsid w:val="00605174"/>
    <w:pPr>
      <w:spacing w:before="100" w:beforeAutospacing="1" w:after="100" w:afterAutospacing="1"/>
    </w:pPr>
  </w:style>
  <w:style w:type="paragraph" w:styleId="Footer">
    <w:name w:val="footer"/>
    <w:basedOn w:val="Normal"/>
    <w:link w:val="FooterChar"/>
    <w:uiPriority w:val="99"/>
    <w:unhideWhenUsed/>
    <w:rsid w:val="0069249A"/>
    <w:pPr>
      <w:tabs>
        <w:tab w:val="center" w:pos="4513"/>
        <w:tab w:val="right" w:pos="9026"/>
      </w:tabs>
    </w:pPr>
  </w:style>
  <w:style w:type="character" w:customStyle="1" w:styleId="FooterChar">
    <w:name w:val="Footer Char"/>
    <w:basedOn w:val="DefaultParagraphFont"/>
    <w:link w:val="Footer"/>
    <w:uiPriority w:val="99"/>
    <w:rsid w:val="0069249A"/>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69249A"/>
  </w:style>
  <w:style w:type="paragraph" w:styleId="Header">
    <w:name w:val="header"/>
    <w:basedOn w:val="Normal"/>
    <w:link w:val="HeaderChar"/>
    <w:uiPriority w:val="99"/>
    <w:unhideWhenUsed/>
    <w:rsid w:val="0069249A"/>
    <w:pPr>
      <w:tabs>
        <w:tab w:val="center" w:pos="4513"/>
        <w:tab w:val="right" w:pos="9026"/>
      </w:tabs>
    </w:pPr>
  </w:style>
  <w:style w:type="character" w:customStyle="1" w:styleId="HeaderChar">
    <w:name w:val="Header Char"/>
    <w:basedOn w:val="DefaultParagraphFont"/>
    <w:link w:val="Header"/>
    <w:uiPriority w:val="99"/>
    <w:rsid w:val="0069249A"/>
    <w:rPr>
      <w:rFonts w:ascii="Times New Roman" w:eastAsia="Times New Roman" w:hAnsi="Times New Roman" w:cs="Times New Roman"/>
      <w:lang w:eastAsia="en-GB"/>
    </w:rPr>
  </w:style>
  <w:style w:type="character" w:styleId="FollowedHyperlink">
    <w:name w:val="FollowedHyperlink"/>
    <w:basedOn w:val="DefaultParagraphFont"/>
    <w:uiPriority w:val="99"/>
    <w:semiHidden/>
    <w:unhideWhenUsed/>
    <w:rsid w:val="0005605A"/>
    <w:rPr>
      <w:color w:val="96607D" w:themeColor="followedHyperlink"/>
      <w:u w:val="single"/>
    </w:rPr>
  </w:style>
  <w:style w:type="paragraph" w:styleId="Revision">
    <w:name w:val="Revision"/>
    <w:hidden/>
    <w:uiPriority w:val="99"/>
    <w:semiHidden/>
    <w:rsid w:val="006013E1"/>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77759">
      <w:bodyDiv w:val="1"/>
      <w:marLeft w:val="0"/>
      <w:marRight w:val="0"/>
      <w:marTop w:val="0"/>
      <w:marBottom w:val="0"/>
      <w:divBdr>
        <w:top w:val="none" w:sz="0" w:space="0" w:color="auto"/>
        <w:left w:val="none" w:sz="0" w:space="0" w:color="auto"/>
        <w:bottom w:val="none" w:sz="0" w:space="0" w:color="auto"/>
        <w:right w:val="none" w:sz="0" w:space="0" w:color="auto"/>
      </w:divBdr>
    </w:div>
    <w:div w:id="362944930">
      <w:bodyDiv w:val="1"/>
      <w:marLeft w:val="0"/>
      <w:marRight w:val="0"/>
      <w:marTop w:val="0"/>
      <w:marBottom w:val="0"/>
      <w:divBdr>
        <w:top w:val="none" w:sz="0" w:space="0" w:color="auto"/>
        <w:left w:val="none" w:sz="0" w:space="0" w:color="auto"/>
        <w:bottom w:val="none" w:sz="0" w:space="0" w:color="auto"/>
        <w:right w:val="none" w:sz="0" w:space="0" w:color="auto"/>
      </w:divBdr>
    </w:div>
    <w:div w:id="417408357">
      <w:bodyDiv w:val="1"/>
      <w:marLeft w:val="0"/>
      <w:marRight w:val="0"/>
      <w:marTop w:val="0"/>
      <w:marBottom w:val="0"/>
      <w:divBdr>
        <w:top w:val="none" w:sz="0" w:space="0" w:color="auto"/>
        <w:left w:val="none" w:sz="0" w:space="0" w:color="auto"/>
        <w:bottom w:val="none" w:sz="0" w:space="0" w:color="auto"/>
        <w:right w:val="none" w:sz="0" w:space="0" w:color="auto"/>
      </w:divBdr>
    </w:div>
    <w:div w:id="557056738">
      <w:bodyDiv w:val="1"/>
      <w:marLeft w:val="0"/>
      <w:marRight w:val="0"/>
      <w:marTop w:val="0"/>
      <w:marBottom w:val="0"/>
      <w:divBdr>
        <w:top w:val="none" w:sz="0" w:space="0" w:color="auto"/>
        <w:left w:val="none" w:sz="0" w:space="0" w:color="auto"/>
        <w:bottom w:val="none" w:sz="0" w:space="0" w:color="auto"/>
        <w:right w:val="none" w:sz="0" w:space="0" w:color="auto"/>
      </w:divBdr>
    </w:div>
    <w:div w:id="587227759">
      <w:bodyDiv w:val="1"/>
      <w:marLeft w:val="0"/>
      <w:marRight w:val="0"/>
      <w:marTop w:val="0"/>
      <w:marBottom w:val="0"/>
      <w:divBdr>
        <w:top w:val="none" w:sz="0" w:space="0" w:color="auto"/>
        <w:left w:val="none" w:sz="0" w:space="0" w:color="auto"/>
        <w:bottom w:val="none" w:sz="0" w:space="0" w:color="auto"/>
        <w:right w:val="none" w:sz="0" w:space="0" w:color="auto"/>
      </w:divBdr>
      <w:divsChild>
        <w:div w:id="1103844549">
          <w:marLeft w:val="0"/>
          <w:marRight w:val="0"/>
          <w:marTop w:val="0"/>
          <w:marBottom w:val="0"/>
          <w:divBdr>
            <w:top w:val="none" w:sz="0" w:space="0" w:color="auto"/>
            <w:left w:val="none" w:sz="0" w:space="0" w:color="auto"/>
            <w:bottom w:val="none" w:sz="0" w:space="0" w:color="auto"/>
            <w:right w:val="none" w:sz="0" w:space="0" w:color="auto"/>
          </w:divBdr>
        </w:div>
      </w:divsChild>
    </w:div>
    <w:div w:id="1093819083">
      <w:bodyDiv w:val="1"/>
      <w:marLeft w:val="0"/>
      <w:marRight w:val="0"/>
      <w:marTop w:val="0"/>
      <w:marBottom w:val="0"/>
      <w:divBdr>
        <w:top w:val="none" w:sz="0" w:space="0" w:color="auto"/>
        <w:left w:val="none" w:sz="0" w:space="0" w:color="auto"/>
        <w:bottom w:val="none" w:sz="0" w:space="0" w:color="auto"/>
        <w:right w:val="none" w:sz="0" w:space="0" w:color="auto"/>
      </w:divBdr>
    </w:div>
    <w:div w:id="1589074916">
      <w:bodyDiv w:val="1"/>
      <w:marLeft w:val="0"/>
      <w:marRight w:val="0"/>
      <w:marTop w:val="0"/>
      <w:marBottom w:val="0"/>
      <w:divBdr>
        <w:top w:val="none" w:sz="0" w:space="0" w:color="auto"/>
        <w:left w:val="none" w:sz="0" w:space="0" w:color="auto"/>
        <w:bottom w:val="none" w:sz="0" w:space="0" w:color="auto"/>
        <w:right w:val="none" w:sz="0" w:space="0" w:color="auto"/>
      </w:divBdr>
      <w:divsChild>
        <w:div w:id="595823">
          <w:marLeft w:val="0"/>
          <w:marRight w:val="0"/>
          <w:marTop w:val="0"/>
          <w:marBottom w:val="0"/>
          <w:divBdr>
            <w:top w:val="none" w:sz="0" w:space="0" w:color="auto"/>
            <w:left w:val="none" w:sz="0" w:space="0" w:color="auto"/>
            <w:bottom w:val="none" w:sz="0" w:space="0" w:color="auto"/>
            <w:right w:val="none" w:sz="0" w:space="0" w:color="auto"/>
          </w:divBdr>
        </w:div>
        <w:div w:id="84614142">
          <w:marLeft w:val="0"/>
          <w:marRight w:val="0"/>
          <w:marTop w:val="0"/>
          <w:marBottom w:val="0"/>
          <w:divBdr>
            <w:top w:val="none" w:sz="0" w:space="0" w:color="auto"/>
            <w:left w:val="none" w:sz="0" w:space="0" w:color="auto"/>
            <w:bottom w:val="none" w:sz="0" w:space="0" w:color="auto"/>
            <w:right w:val="none" w:sz="0" w:space="0" w:color="auto"/>
          </w:divBdr>
        </w:div>
        <w:div w:id="94323418">
          <w:marLeft w:val="0"/>
          <w:marRight w:val="0"/>
          <w:marTop w:val="0"/>
          <w:marBottom w:val="0"/>
          <w:divBdr>
            <w:top w:val="none" w:sz="0" w:space="0" w:color="auto"/>
            <w:left w:val="none" w:sz="0" w:space="0" w:color="auto"/>
            <w:bottom w:val="none" w:sz="0" w:space="0" w:color="auto"/>
            <w:right w:val="none" w:sz="0" w:space="0" w:color="auto"/>
          </w:divBdr>
        </w:div>
        <w:div w:id="118845932">
          <w:marLeft w:val="0"/>
          <w:marRight w:val="0"/>
          <w:marTop w:val="0"/>
          <w:marBottom w:val="0"/>
          <w:divBdr>
            <w:top w:val="none" w:sz="0" w:space="0" w:color="auto"/>
            <w:left w:val="none" w:sz="0" w:space="0" w:color="auto"/>
            <w:bottom w:val="none" w:sz="0" w:space="0" w:color="auto"/>
            <w:right w:val="none" w:sz="0" w:space="0" w:color="auto"/>
          </w:divBdr>
        </w:div>
        <w:div w:id="192767943">
          <w:marLeft w:val="0"/>
          <w:marRight w:val="0"/>
          <w:marTop w:val="0"/>
          <w:marBottom w:val="0"/>
          <w:divBdr>
            <w:top w:val="none" w:sz="0" w:space="0" w:color="auto"/>
            <w:left w:val="none" w:sz="0" w:space="0" w:color="auto"/>
            <w:bottom w:val="none" w:sz="0" w:space="0" w:color="auto"/>
            <w:right w:val="none" w:sz="0" w:space="0" w:color="auto"/>
          </w:divBdr>
        </w:div>
        <w:div w:id="261646805">
          <w:marLeft w:val="0"/>
          <w:marRight w:val="0"/>
          <w:marTop w:val="0"/>
          <w:marBottom w:val="0"/>
          <w:divBdr>
            <w:top w:val="none" w:sz="0" w:space="0" w:color="auto"/>
            <w:left w:val="none" w:sz="0" w:space="0" w:color="auto"/>
            <w:bottom w:val="none" w:sz="0" w:space="0" w:color="auto"/>
            <w:right w:val="none" w:sz="0" w:space="0" w:color="auto"/>
          </w:divBdr>
        </w:div>
        <w:div w:id="275061781">
          <w:marLeft w:val="0"/>
          <w:marRight w:val="0"/>
          <w:marTop w:val="0"/>
          <w:marBottom w:val="0"/>
          <w:divBdr>
            <w:top w:val="none" w:sz="0" w:space="0" w:color="auto"/>
            <w:left w:val="none" w:sz="0" w:space="0" w:color="auto"/>
            <w:bottom w:val="none" w:sz="0" w:space="0" w:color="auto"/>
            <w:right w:val="none" w:sz="0" w:space="0" w:color="auto"/>
          </w:divBdr>
        </w:div>
        <w:div w:id="282226238">
          <w:marLeft w:val="0"/>
          <w:marRight w:val="0"/>
          <w:marTop w:val="0"/>
          <w:marBottom w:val="0"/>
          <w:divBdr>
            <w:top w:val="none" w:sz="0" w:space="0" w:color="auto"/>
            <w:left w:val="none" w:sz="0" w:space="0" w:color="auto"/>
            <w:bottom w:val="none" w:sz="0" w:space="0" w:color="auto"/>
            <w:right w:val="none" w:sz="0" w:space="0" w:color="auto"/>
          </w:divBdr>
        </w:div>
        <w:div w:id="307829907">
          <w:marLeft w:val="0"/>
          <w:marRight w:val="0"/>
          <w:marTop w:val="0"/>
          <w:marBottom w:val="0"/>
          <w:divBdr>
            <w:top w:val="none" w:sz="0" w:space="0" w:color="auto"/>
            <w:left w:val="none" w:sz="0" w:space="0" w:color="auto"/>
            <w:bottom w:val="none" w:sz="0" w:space="0" w:color="auto"/>
            <w:right w:val="none" w:sz="0" w:space="0" w:color="auto"/>
          </w:divBdr>
        </w:div>
        <w:div w:id="466245832">
          <w:marLeft w:val="0"/>
          <w:marRight w:val="0"/>
          <w:marTop w:val="0"/>
          <w:marBottom w:val="0"/>
          <w:divBdr>
            <w:top w:val="none" w:sz="0" w:space="0" w:color="auto"/>
            <w:left w:val="none" w:sz="0" w:space="0" w:color="auto"/>
            <w:bottom w:val="none" w:sz="0" w:space="0" w:color="auto"/>
            <w:right w:val="none" w:sz="0" w:space="0" w:color="auto"/>
          </w:divBdr>
          <w:divsChild>
            <w:div w:id="253635235">
              <w:marLeft w:val="0"/>
              <w:marRight w:val="0"/>
              <w:marTop w:val="0"/>
              <w:marBottom w:val="0"/>
              <w:divBdr>
                <w:top w:val="none" w:sz="0" w:space="0" w:color="auto"/>
                <w:left w:val="none" w:sz="0" w:space="0" w:color="auto"/>
                <w:bottom w:val="none" w:sz="0" w:space="0" w:color="auto"/>
                <w:right w:val="none" w:sz="0" w:space="0" w:color="auto"/>
              </w:divBdr>
            </w:div>
            <w:div w:id="283587657">
              <w:marLeft w:val="0"/>
              <w:marRight w:val="0"/>
              <w:marTop w:val="0"/>
              <w:marBottom w:val="0"/>
              <w:divBdr>
                <w:top w:val="none" w:sz="0" w:space="0" w:color="auto"/>
                <w:left w:val="none" w:sz="0" w:space="0" w:color="auto"/>
                <w:bottom w:val="none" w:sz="0" w:space="0" w:color="auto"/>
                <w:right w:val="none" w:sz="0" w:space="0" w:color="auto"/>
              </w:divBdr>
            </w:div>
            <w:div w:id="659192328">
              <w:marLeft w:val="0"/>
              <w:marRight w:val="0"/>
              <w:marTop w:val="0"/>
              <w:marBottom w:val="0"/>
              <w:divBdr>
                <w:top w:val="none" w:sz="0" w:space="0" w:color="auto"/>
                <w:left w:val="none" w:sz="0" w:space="0" w:color="auto"/>
                <w:bottom w:val="none" w:sz="0" w:space="0" w:color="auto"/>
                <w:right w:val="none" w:sz="0" w:space="0" w:color="auto"/>
              </w:divBdr>
            </w:div>
            <w:div w:id="693965169">
              <w:marLeft w:val="0"/>
              <w:marRight w:val="0"/>
              <w:marTop w:val="0"/>
              <w:marBottom w:val="0"/>
              <w:divBdr>
                <w:top w:val="none" w:sz="0" w:space="0" w:color="auto"/>
                <w:left w:val="none" w:sz="0" w:space="0" w:color="auto"/>
                <w:bottom w:val="none" w:sz="0" w:space="0" w:color="auto"/>
                <w:right w:val="none" w:sz="0" w:space="0" w:color="auto"/>
              </w:divBdr>
            </w:div>
            <w:div w:id="765004281">
              <w:marLeft w:val="0"/>
              <w:marRight w:val="0"/>
              <w:marTop w:val="0"/>
              <w:marBottom w:val="0"/>
              <w:divBdr>
                <w:top w:val="none" w:sz="0" w:space="0" w:color="auto"/>
                <w:left w:val="none" w:sz="0" w:space="0" w:color="auto"/>
                <w:bottom w:val="none" w:sz="0" w:space="0" w:color="auto"/>
                <w:right w:val="none" w:sz="0" w:space="0" w:color="auto"/>
              </w:divBdr>
            </w:div>
            <w:div w:id="770197043">
              <w:marLeft w:val="0"/>
              <w:marRight w:val="0"/>
              <w:marTop w:val="0"/>
              <w:marBottom w:val="0"/>
              <w:divBdr>
                <w:top w:val="none" w:sz="0" w:space="0" w:color="auto"/>
                <w:left w:val="none" w:sz="0" w:space="0" w:color="auto"/>
                <w:bottom w:val="none" w:sz="0" w:space="0" w:color="auto"/>
                <w:right w:val="none" w:sz="0" w:space="0" w:color="auto"/>
              </w:divBdr>
            </w:div>
            <w:div w:id="785123605">
              <w:marLeft w:val="0"/>
              <w:marRight w:val="0"/>
              <w:marTop w:val="0"/>
              <w:marBottom w:val="0"/>
              <w:divBdr>
                <w:top w:val="none" w:sz="0" w:space="0" w:color="auto"/>
                <w:left w:val="none" w:sz="0" w:space="0" w:color="auto"/>
                <w:bottom w:val="none" w:sz="0" w:space="0" w:color="auto"/>
                <w:right w:val="none" w:sz="0" w:space="0" w:color="auto"/>
              </w:divBdr>
            </w:div>
            <w:div w:id="969476776">
              <w:marLeft w:val="0"/>
              <w:marRight w:val="0"/>
              <w:marTop w:val="0"/>
              <w:marBottom w:val="0"/>
              <w:divBdr>
                <w:top w:val="none" w:sz="0" w:space="0" w:color="auto"/>
                <w:left w:val="none" w:sz="0" w:space="0" w:color="auto"/>
                <w:bottom w:val="none" w:sz="0" w:space="0" w:color="auto"/>
                <w:right w:val="none" w:sz="0" w:space="0" w:color="auto"/>
              </w:divBdr>
            </w:div>
            <w:div w:id="1066297393">
              <w:marLeft w:val="0"/>
              <w:marRight w:val="0"/>
              <w:marTop w:val="0"/>
              <w:marBottom w:val="0"/>
              <w:divBdr>
                <w:top w:val="none" w:sz="0" w:space="0" w:color="auto"/>
                <w:left w:val="none" w:sz="0" w:space="0" w:color="auto"/>
                <w:bottom w:val="none" w:sz="0" w:space="0" w:color="auto"/>
                <w:right w:val="none" w:sz="0" w:space="0" w:color="auto"/>
              </w:divBdr>
            </w:div>
            <w:div w:id="1084036007">
              <w:marLeft w:val="0"/>
              <w:marRight w:val="0"/>
              <w:marTop w:val="0"/>
              <w:marBottom w:val="0"/>
              <w:divBdr>
                <w:top w:val="none" w:sz="0" w:space="0" w:color="auto"/>
                <w:left w:val="none" w:sz="0" w:space="0" w:color="auto"/>
                <w:bottom w:val="none" w:sz="0" w:space="0" w:color="auto"/>
                <w:right w:val="none" w:sz="0" w:space="0" w:color="auto"/>
              </w:divBdr>
            </w:div>
            <w:div w:id="1148589557">
              <w:marLeft w:val="0"/>
              <w:marRight w:val="0"/>
              <w:marTop w:val="0"/>
              <w:marBottom w:val="0"/>
              <w:divBdr>
                <w:top w:val="none" w:sz="0" w:space="0" w:color="auto"/>
                <w:left w:val="none" w:sz="0" w:space="0" w:color="auto"/>
                <w:bottom w:val="none" w:sz="0" w:space="0" w:color="auto"/>
                <w:right w:val="none" w:sz="0" w:space="0" w:color="auto"/>
              </w:divBdr>
            </w:div>
            <w:div w:id="1199583903">
              <w:marLeft w:val="0"/>
              <w:marRight w:val="0"/>
              <w:marTop w:val="0"/>
              <w:marBottom w:val="0"/>
              <w:divBdr>
                <w:top w:val="none" w:sz="0" w:space="0" w:color="auto"/>
                <w:left w:val="none" w:sz="0" w:space="0" w:color="auto"/>
                <w:bottom w:val="none" w:sz="0" w:space="0" w:color="auto"/>
                <w:right w:val="none" w:sz="0" w:space="0" w:color="auto"/>
              </w:divBdr>
            </w:div>
            <w:div w:id="1269041478">
              <w:marLeft w:val="0"/>
              <w:marRight w:val="0"/>
              <w:marTop w:val="0"/>
              <w:marBottom w:val="0"/>
              <w:divBdr>
                <w:top w:val="none" w:sz="0" w:space="0" w:color="auto"/>
                <w:left w:val="none" w:sz="0" w:space="0" w:color="auto"/>
                <w:bottom w:val="none" w:sz="0" w:space="0" w:color="auto"/>
                <w:right w:val="none" w:sz="0" w:space="0" w:color="auto"/>
              </w:divBdr>
            </w:div>
            <w:div w:id="1493182531">
              <w:marLeft w:val="0"/>
              <w:marRight w:val="0"/>
              <w:marTop w:val="0"/>
              <w:marBottom w:val="0"/>
              <w:divBdr>
                <w:top w:val="none" w:sz="0" w:space="0" w:color="auto"/>
                <w:left w:val="none" w:sz="0" w:space="0" w:color="auto"/>
                <w:bottom w:val="none" w:sz="0" w:space="0" w:color="auto"/>
                <w:right w:val="none" w:sz="0" w:space="0" w:color="auto"/>
              </w:divBdr>
            </w:div>
            <w:div w:id="1529374126">
              <w:marLeft w:val="0"/>
              <w:marRight w:val="0"/>
              <w:marTop w:val="0"/>
              <w:marBottom w:val="0"/>
              <w:divBdr>
                <w:top w:val="none" w:sz="0" w:space="0" w:color="auto"/>
                <w:left w:val="none" w:sz="0" w:space="0" w:color="auto"/>
                <w:bottom w:val="none" w:sz="0" w:space="0" w:color="auto"/>
                <w:right w:val="none" w:sz="0" w:space="0" w:color="auto"/>
              </w:divBdr>
            </w:div>
            <w:div w:id="1551457343">
              <w:marLeft w:val="0"/>
              <w:marRight w:val="0"/>
              <w:marTop w:val="0"/>
              <w:marBottom w:val="0"/>
              <w:divBdr>
                <w:top w:val="none" w:sz="0" w:space="0" w:color="auto"/>
                <w:left w:val="none" w:sz="0" w:space="0" w:color="auto"/>
                <w:bottom w:val="none" w:sz="0" w:space="0" w:color="auto"/>
                <w:right w:val="none" w:sz="0" w:space="0" w:color="auto"/>
              </w:divBdr>
            </w:div>
            <w:div w:id="1555500978">
              <w:marLeft w:val="0"/>
              <w:marRight w:val="0"/>
              <w:marTop w:val="0"/>
              <w:marBottom w:val="0"/>
              <w:divBdr>
                <w:top w:val="none" w:sz="0" w:space="0" w:color="auto"/>
                <w:left w:val="none" w:sz="0" w:space="0" w:color="auto"/>
                <w:bottom w:val="none" w:sz="0" w:space="0" w:color="auto"/>
                <w:right w:val="none" w:sz="0" w:space="0" w:color="auto"/>
              </w:divBdr>
            </w:div>
            <w:div w:id="2029672180">
              <w:marLeft w:val="0"/>
              <w:marRight w:val="0"/>
              <w:marTop w:val="0"/>
              <w:marBottom w:val="0"/>
              <w:divBdr>
                <w:top w:val="none" w:sz="0" w:space="0" w:color="auto"/>
                <w:left w:val="none" w:sz="0" w:space="0" w:color="auto"/>
                <w:bottom w:val="none" w:sz="0" w:space="0" w:color="auto"/>
                <w:right w:val="none" w:sz="0" w:space="0" w:color="auto"/>
              </w:divBdr>
            </w:div>
            <w:div w:id="2069571527">
              <w:marLeft w:val="0"/>
              <w:marRight w:val="0"/>
              <w:marTop w:val="0"/>
              <w:marBottom w:val="0"/>
              <w:divBdr>
                <w:top w:val="none" w:sz="0" w:space="0" w:color="auto"/>
                <w:left w:val="none" w:sz="0" w:space="0" w:color="auto"/>
                <w:bottom w:val="none" w:sz="0" w:space="0" w:color="auto"/>
                <w:right w:val="none" w:sz="0" w:space="0" w:color="auto"/>
              </w:divBdr>
            </w:div>
            <w:div w:id="2129010648">
              <w:marLeft w:val="0"/>
              <w:marRight w:val="0"/>
              <w:marTop w:val="0"/>
              <w:marBottom w:val="0"/>
              <w:divBdr>
                <w:top w:val="none" w:sz="0" w:space="0" w:color="auto"/>
                <w:left w:val="none" w:sz="0" w:space="0" w:color="auto"/>
                <w:bottom w:val="none" w:sz="0" w:space="0" w:color="auto"/>
                <w:right w:val="none" w:sz="0" w:space="0" w:color="auto"/>
              </w:divBdr>
            </w:div>
          </w:divsChild>
        </w:div>
        <w:div w:id="477649471">
          <w:marLeft w:val="0"/>
          <w:marRight w:val="0"/>
          <w:marTop w:val="0"/>
          <w:marBottom w:val="0"/>
          <w:divBdr>
            <w:top w:val="none" w:sz="0" w:space="0" w:color="auto"/>
            <w:left w:val="none" w:sz="0" w:space="0" w:color="auto"/>
            <w:bottom w:val="none" w:sz="0" w:space="0" w:color="auto"/>
            <w:right w:val="none" w:sz="0" w:space="0" w:color="auto"/>
          </w:divBdr>
        </w:div>
        <w:div w:id="486092181">
          <w:marLeft w:val="0"/>
          <w:marRight w:val="0"/>
          <w:marTop w:val="0"/>
          <w:marBottom w:val="0"/>
          <w:divBdr>
            <w:top w:val="none" w:sz="0" w:space="0" w:color="auto"/>
            <w:left w:val="none" w:sz="0" w:space="0" w:color="auto"/>
            <w:bottom w:val="none" w:sz="0" w:space="0" w:color="auto"/>
            <w:right w:val="none" w:sz="0" w:space="0" w:color="auto"/>
          </w:divBdr>
        </w:div>
        <w:div w:id="666589630">
          <w:marLeft w:val="0"/>
          <w:marRight w:val="0"/>
          <w:marTop w:val="0"/>
          <w:marBottom w:val="0"/>
          <w:divBdr>
            <w:top w:val="none" w:sz="0" w:space="0" w:color="auto"/>
            <w:left w:val="none" w:sz="0" w:space="0" w:color="auto"/>
            <w:bottom w:val="none" w:sz="0" w:space="0" w:color="auto"/>
            <w:right w:val="none" w:sz="0" w:space="0" w:color="auto"/>
          </w:divBdr>
        </w:div>
        <w:div w:id="735473293">
          <w:marLeft w:val="0"/>
          <w:marRight w:val="0"/>
          <w:marTop w:val="0"/>
          <w:marBottom w:val="0"/>
          <w:divBdr>
            <w:top w:val="none" w:sz="0" w:space="0" w:color="auto"/>
            <w:left w:val="none" w:sz="0" w:space="0" w:color="auto"/>
            <w:bottom w:val="none" w:sz="0" w:space="0" w:color="auto"/>
            <w:right w:val="none" w:sz="0" w:space="0" w:color="auto"/>
          </w:divBdr>
        </w:div>
        <w:div w:id="867715438">
          <w:marLeft w:val="0"/>
          <w:marRight w:val="0"/>
          <w:marTop w:val="0"/>
          <w:marBottom w:val="0"/>
          <w:divBdr>
            <w:top w:val="none" w:sz="0" w:space="0" w:color="auto"/>
            <w:left w:val="none" w:sz="0" w:space="0" w:color="auto"/>
            <w:bottom w:val="none" w:sz="0" w:space="0" w:color="auto"/>
            <w:right w:val="none" w:sz="0" w:space="0" w:color="auto"/>
          </w:divBdr>
        </w:div>
        <w:div w:id="880291127">
          <w:marLeft w:val="0"/>
          <w:marRight w:val="0"/>
          <w:marTop w:val="0"/>
          <w:marBottom w:val="0"/>
          <w:divBdr>
            <w:top w:val="none" w:sz="0" w:space="0" w:color="auto"/>
            <w:left w:val="none" w:sz="0" w:space="0" w:color="auto"/>
            <w:bottom w:val="none" w:sz="0" w:space="0" w:color="auto"/>
            <w:right w:val="none" w:sz="0" w:space="0" w:color="auto"/>
          </w:divBdr>
        </w:div>
        <w:div w:id="959266278">
          <w:marLeft w:val="0"/>
          <w:marRight w:val="0"/>
          <w:marTop w:val="0"/>
          <w:marBottom w:val="0"/>
          <w:divBdr>
            <w:top w:val="none" w:sz="0" w:space="0" w:color="auto"/>
            <w:left w:val="none" w:sz="0" w:space="0" w:color="auto"/>
            <w:bottom w:val="none" w:sz="0" w:space="0" w:color="auto"/>
            <w:right w:val="none" w:sz="0" w:space="0" w:color="auto"/>
          </w:divBdr>
        </w:div>
        <w:div w:id="979723678">
          <w:marLeft w:val="0"/>
          <w:marRight w:val="0"/>
          <w:marTop w:val="0"/>
          <w:marBottom w:val="0"/>
          <w:divBdr>
            <w:top w:val="none" w:sz="0" w:space="0" w:color="auto"/>
            <w:left w:val="none" w:sz="0" w:space="0" w:color="auto"/>
            <w:bottom w:val="none" w:sz="0" w:space="0" w:color="auto"/>
            <w:right w:val="none" w:sz="0" w:space="0" w:color="auto"/>
          </w:divBdr>
        </w:div>
        <w:div w:id="987249504">
          <w:marLeft w:val="0"/>
          <w:marRight w:val="0"/>
          <w:marTop w:val="0"/>
          <w:marBottom w:val="0"/>
          <w:divBdr>
            <w:top w:val="none" w:sz="0" w:space="0" w:color="auto"/>
            <w:left w:val="none" w:sz="0" w:space="0" w:color="auto"/>
            <w:bottom w:val="none" w:sz="0" w:space="0" w:color="auto"/>
            <w:right w:val="none" w:sz="0" w:space="0" w:color="auto"/>
          </w:divBdr>
          <w:divsChild>
            <w:div w:id="130834211">
              <w:marLeft w:val="0"/>
              <w:marRight w:val="0"/>
              <w:marTop w:val="0"/>
              <w:marBottom w:val="0"/>
              <w:divBdr>
                <w:top w:val="none" w:sz="0" w:space="0" w:color="auto"/>
                <w:left w:val="none" w:sz="0" w:space="0" w:color="auto"/>
                <w:bottom w:val="none" w:sz="0" w:space="0" w:color="auto"/>
                <w:right w:val="none" w:sz="0" w:space="0" w:color="auto"/>
              </w:divBdr>
            </w:div>
            <w:div w:id="138690016">
              <w:marLeft w:val="0"/>
              <w:marRight w:val="0"/>
              <w:marTop w:val="0"/>
              <w:marBottom w:val="0"/>
              <w:divBdr>
                <w:top w:val="none" w:sz="0" w:space="0" w:color="auto"/>
                <w:left w:val="none" w:sz="0" w:space="0" w:color="auto"/>
                <w:bottom w:val="none" w:sz="0" w:space="0" w:color="auto"/>
                <w:right w:val="none" w:sz="0" w:space="0" w:color="auto"/>
              </w:divBdr>
            </w:div>
            <w:div w:id="181868580">
              <w:marLeft w:val="0"/>
              <w:marRight w:val="0"/>
              <w:marTop w:val="0"/>
              <w:marBottom w:val="0"/>
              <w:divBdr>
                <w:top w:val="none" w:sz="0" w:space="0" w:color="auto"/>
                <w:left w:val="none" w:sz="0" w:space="0" w:color="auto"/>
                <w:bottom w:val="none" w:sz="0" w:space="0" w:color="auto"/>
                <w:right w:val="none" w:sz="0" w:space="0" w:color="auto"/>
              </w:divBdr>
            </w:div>
            <w:div w:id="432407472">
              <w:marLeft w:val="0"/>
              <w:marRight w:val="0"/>
              <w:marTop w:val="0"/>
              <w:marBottom w:val="0"/>
              <w:divBdr>
                <w:top w:val="none" w:sz="0" w:space="0" w:color="auto"/>
                <w:left w:val="none" w:sz="0" w:space="0" w:color="auto"/>
                <w:bottom w:val="none" w:sz="0" w:space="0" w:color="auto"/>
                <w:right w:val="none" w:sz="0" w:space="0" w:color="auto"/>
              </w:divBdr>
            </w:div>
            <w:div w:id="534006827">
              <w:marLeft w:val="0"/>
              <w:marRight w:val="0"/>
              <w:marTop w:val="0"/>
              <w:marBottom w:val="0"/>
              <w:divBdr>
                <w:top w:val="none" w:sz="0" w:space="0" w:color="auto"/>
                <w:left w:val="none" w:sz="0" w:space="0" w:color="auto"/>
                <w:bottom w:val="none" w:sz="0" w:space="0" w:color="auto"/>
                <w:right w:val="none" w:sz="0" w:space="0" w:color="auto"/>
              </w:divBdr>
            </w:div>
            <w:div w:id="542638329">
              <w:marLeft w:val="0"/>
              <w:marRight w:val="0"/>
              <w:marTop w:val="0"/>
              <w:marBottom w:val="0"/>
              <w:divBdr>
                <w:top w:val="none" w:sz="0" w:space="0" w:color="auto"/>
                <w:left w:val="none" w:sz="0" w:space="0" w:color="auto"/>
                <w:bottom w:val="none" w:sz="0" w:space="0" w:color="auto"/>
                <w:right w:val="none" w:sz="0" w:space="0" w:color="auto"/>
              </w:divBdr>
            </w:div>
            <w:div w:id="1027290077">
              <w:marLeft w:val="0"/>
              <w:marRight w:val="0"/>
              <w:marTop w:val="0"/>
              <w:marBottom w:val="0"/>
              <w:divBdr>
                <w:top w:val="none" w:sz="0" w:space="0" w:color="auto"/>
                <w:left w:val="none" w:sz="0" w:space="0" w:color="auto"/>
                <w:bottom w:val="none" w:sz="0" w:space="0" w:color="auto"/>
                <w:right w:val="none" w:sz="0" w:space="0" w:color="auto"/>
              </w:divBdr>
            </w:div>
            <w:div w:id="1195192107">
              <w:marLeft w:val="0"/>
              <w:marRight w:val="0"/>
              <w:marTop w:val="0"/>
              <w:marBottom w:val="0"/>
              <w:divBdr>
                <w:top w:val="none" w:sz="0" w:space="0" w:color="auto"/>
                <w:left w:val="none" w:sz="0" w:space="0" w:color="auto"/>
                <w:bottom w:val="none" w:sz="0" w:space="0" w:color="auto"/>
                <w:right w:val="none" w:sz="0" w:space="0" w:color="auto"/>
              </w:divBdr>
            </w:div>
            <w:div w:id="1633948723">
              <w:marLeft w:val="0"/>
              <w:marRight w:val="0"/>
              <w:marTop w:val="0"/>
              <w:marBottom w:val="0"/>
              <w:divBdr>
                <w:top w:val="none" w:sz="0" w:space="0" w:color="auto"/>
                <w:left w:val="none" w:sz="0" w:space="0" w:color="auto"/>
                <w:bottom w:val="none" w:sz="0" w:space="0" w:color="auto"/>
                <w:right w:val="none" w:sz="0" w:space="0" w:color="auto"/>
              </w:divBdr>
            </w:div>
            <w:div w:id="1721979675">
              <w:marLeft w:val="0"/>
              <w:marRight w:val="0"/>
              <w:marTop w:val="0"/>
              <w:marBottom w:val="0"/>
              <w:divBdr>
                <w:top w:val="none" w:sz="0" w:space="0" w:color="auto"/>
                <w:left w:val="none" w:sz="0" w:space="0" w:color="auto"/>
                <w:bottom w:val="none" w:sz="0" w:space="0" w:color="auto"/>
                <w:right w:val="none" w:sz="0" w:space="0" w:color="auto"/>
              </w:divBdr>
            </w:div>
            <w:div w:id="1791511508">
              <w:marLeft w:val="0"/>
              <w:marRight w:val="0"/>
              <w:marTop w:val="0"/>
              <w:marBottom w:val="0"/>
              <w:divBdr>
                <w:top w:val="none" w:sz="0" w:space="0" w:color="auto"/>
                <w:left w:val="none" w:sz="0" w:space="0" w:color="auto"/>
                <w:bottom w:val="none" w:sz="0" w:space="0" w:color="auto"/>
                <w:right w:val="none" w:sz="0" w:space="0" w:color="auto"/>
              </w:divBdr>
            </w:div>
            <w:div w:id="1859391999">
              <w:marLeft w:val="0"/>
              <w:marRight w:val="0"/>
              <w:marTop w:val="0"/>
              <w:marBottom w:val="0"/>
              <w:divBdr>
                <w:top w:val="none" w:sz="0" w:space="0" w:color="auto"/>
                <w:left w:val="none" w:sz="0" w:space="0" w:color="auto"/>
                <w:bottom w:val="none" w:sz="0" w:space="0" w:color="auto"/>
                <w:right w:val="none" w:sz="0" w:space="0" w:color="auto"/>
              </w:divBdr>
            </w:div>
          </w:divsChild>
        </w:div>
        <w:div w:id="1143699220">
          <w:marLeft w:val="0"/>
          <w:marRight w:val="0"/>
          <w:marTop w:val="0"/>
          <w:marBottom w:val="0"/>
          <w:divBdr>
            <w:top w:val="none" w:sz="0" w:space="0" w:color="auto"/>
            <w:left w:val="none" w:sz="0" w:space="0" w:color="auto"/>
            <w:bottom w:val="none" w:sz="0" w:space="0" w:color="auto"/>
            <w:right w:val="none" w:sz="0" w:space="0" w:color="auto"/>
          </w:divBdr>
        </w:div>
        <w:div w:id="1155145957">
          <w:marLeft w:val="0"/>
          <w:marRight w:val="0"/>
          <w:marTop w:val="0"/>
          <w:marBottom w:val="0"/>
          <w:divBdr>
            <w:top w:val="none" w:sz="0" w:space="0" w:color="auto"/>
            <w:left w:val="none" w:sz="0" w:space="0" w:color="auto"/>
            <w:bottom w:val="none" w:sz="0" w:space="0" w:color="auto"/>
            <w:right w:val="none" w:sz="0" w:space="0" w:color="auto"/>
          </w:divBdr>
        </w:div>
        <w:div w:id="1160003033">
          <w:marLeft w:val="0"/>
          <w:marRight w:val="0"/>
          <w:marTop w:val="0"/>
          <w:marBottom w:val="0"/>
          <w:divBdr>
            <w:top w:val="none" w:sz="0" w:space="0" w:color="auto"/>
            <w:left w:val="none" w:sz="0" w:space="0" w:color="auto"/>
            <w:bottom w:val="none" w:sz="0" w:space="0" w:color="auto"/>
            <w:right w:val="none" w:sz="0" w:space="0" w:color="auto"/>
          </w:divBdr>
        </w:div>
        <w:div w:id="1198273262">
          <w:marLeft w:val="0"/>
          <w:marRight w:val="0"/>
          <w:marTop w:val="0"/>
          <w:marBottom w:val="0"/>
          <w:divBdr>
            <w:top w:val="none" w:sz="0" w:space="0" w:color="auto"/>
            <w:left w:val="none" w:sz="0" w:space="0" w:color="auto"/>
            <w:bottom w:val="none" w:sz="0" w:space="0" w:color="auto"/>
            <w:right w:val="none" w:sz="0" w:space="0" w:color="auto"/>
          </w:divBdr>
        </w:div>
        <w:div w:id="1288270065">
          <w:marLeft w:val="0"/>
          <w:marRight w:val="0"/>
          <w:marTop w:val="0"/>
          <w:marBottom w:val="0"/>
          <w:divBdr>
            <w:top w:val="none" w:sz="0" w:space="0" w:color="auto"/>
            <w:left w:val="none" w:sz="0" w:space="0" w:color="auto"/>
            <w:bottom w:val="none" w:sz="0" w:space="0" w:color="auto"/>
            <w:right w:val="none" w:sz="0" w:space="0" w:color="auto"/>
          </w:divBdr>
        </w:div>
        <w:div w:id="1298609828">
          <w:marLeft w:val="0"/>
          <w:marRight w:val="0"/>
          <w:marTop w:val="0"/>
          <w:marBottom w:val="0"/>
          <w:divBdr>
            <w:top w:val="none" w:sz="0" w:space="0" w:color="auto"/>
            <w:left w:val="none" w:sz="0" w:space="0" w:color="auto"/>
            <w:bottom w:val="none" w:sz="0" w:space="0" w:color="auto"/>
            <w:right w:val="none" w:sz="0" w:space="0" w:color="auto"/>
          </w:divBdr>
        </w:div>
        <w:div w:id="1363483816">
          <w:marLeft w:val="0"/>
          <w:marRight w:val="0"/>
          <w:marTop w:val="0"/>
          <w:marBottom w:val="0"/>
          <w:divBdr>
            <w:top w:val="none" w:sz="0" w:space="0" w:color="auto"/>
            <w:left w:val="none" w:sz="0" w:space="0" w:color="auto"/>
            <w:bottom w:val="none" w:sz="0" w:space="0" w:color="auto"/>
            <w:right w:val="none" w:sz="0" w:space="0" w:color="auto"/>
          </w:divBdr>
        </w:div>
        <w:div w:id="1392146450">
          <w:marLeft w:val="0"/>
          <w:marRight w:val="0"/>
          <w:marTop w:val="0"/>
          <w:marBottom w:val="0"/>
          <w:divBdr>
            <w:top w:val="none" w:sz="0" w:space="0" w:color="auto"/>
            <w:left w:val="none" w:sz="0" w:space="0" w:color="auto"/>
            <w:bottom w:val="none" w:sz="0" w:space="0" w:color="auto"/>
            <w:right w:val="none" w:sz="0" w:space="0" w:color="auto"/>
          </w:divBdr>
        </w:div>
        <w:div w:id="1406101888">
          <w:marLeft w:val="0"/>
          <w:marRight w:val="0"/>
          <w:marTop w:val="0"/>
          <w:marBottom w:val="0"/>
          <w:divBdr>
            <w:top w:val="none" w:sz="0" w:space="0" w:color="auto"/>
            <w:left w:val="none" w:sz="0" w:space="0" w:color="auto"/>
            <w:bottom w:val="none" w:sz="0" w:space="0" w:color="auto"/>
            <w:right w:val="none" w:sz="0" w:space="0" w:color="auto"/>
          </w:divBdr>
        </w:div>
        <w:div w:id="1493332513">
          <w:marLeft w:val="0"/>
          <w:marRight w:val="0"/>
          <w:marTop w:val="0"/>
          <w:marBottom w:val="0"/>
          <w:divBdr>
            <w:top w:val="none" w:sz="0" w:space="0" w:color="auto"/>
            <w:left w:val="none" w:sz="0" w:space="0" w:color="auto"/>
            <w:bottom w:val="none" w:sz="0" w:space="0" w:color="auto"/>
            <w:right w:val="none" w:sz="0" w:space="0" w:color="auto"/>
          </w:divBdr>
        </w:div>
        <w:div w:id="1535390362">
          <w:marLeft w:val="0"/>
          <w:marRight w:val="0"/>
          <w:marTop w:val="0"/>
          <w:marBottom w:val="0"/>
          <w:divBdr>
            <w:top w:val="none" w:sz="0" w:space="0" w:color="auto"/>
            <w:left w:val="none" w:sz="0" w:space="0" w:color="auto"/>
            <w:bottom w:val="none" w:sz="0" w:space="0" w:color="auto"/>
            <w:right w:val="none" w:sz="0" w:space="0" w:color="auto"/>
          </w:divBdr>
        </w:div>
        <w:div w:id="1559635502">
          <w:marLeft w:val="0"/>
          <w:marRight w:val="0"/>
          <w:marTop w:val="0"/>
          <w:marBottom w:val="0"/>
          <w:divBdr>
            <w:top w:val="none" w:sz="0" w:space="0" w:color="auto"/>
            <w:left w:val="none" w:sz="0" w:space="0" w:color="auto"/>
            <w:bottom w:val="none" w:sz="0" w:space="0" w:color="auto"/>
            <w:right w:val="none" w:sz="0" w:space="0" w:color="auto"/>
          </w:divBdr>
        </w:div>
        <w:div w:id="1594705833">
          <w:marLeft w:val="0"/>
          <w:marRight w:val="0"/>
          <w:marTop w:val="0"/>
          <w:marBottom w:val="0"/>
          <w:divBdr>
            <w:top w:val="none" w:sz="0" w:space="0" w:color="auto"/>
            <w:left w:val="none" w:sz="0" w:space="0" w:color="auto"/>
            <w:bottom w:val="none" w:sz="0" w:space="0" w:color="auto"/>
            <w:right w:val="none" w:sz="0" w:space="0" w:color="auto"/>
          </w:divBdr>
        </w:div>
        <w:div w:id="1652710489">
          <w:marLeft w:val="0"/>
          <w:marRight w:val="0"/>
          <w:marTop w:val="0"/>
          <w:marBottom w:val="0"/>
          <w:divBdr>
            <w:top w:val="none" w:sz="0" w:space="0" w:color="auto"/>
            <w:left w:val="none" w:sz="0" w:space="0" w:color="auto"/>
            <w:bottom w:val="none" w:sz="0" w:space="0" w:color="auto"/>
            <w:right w:val="none" w:sz="0" w:space="0" w:color="auto"/>
          </w:divBdr>
        </w:div>
        <w:div w:id="1700935389">
          <w:marLeft w:val="0"/>
          <w:marRight w:val="0"/>
          <w:marTop w:val="0"/>
          <w:marBottom w:val="0"/>
          <w:divBdr>
            <w:top w:val="none" w:sz="0" w:space="0" w:color="auto"/>
            <w:left w:val="none" w:sz="0" w:space="0" w:color="auto"/>
            <w:bottom w:val="none" w:sz="0" w:space="0" w:color="auto"/>
            <w:right w:val="none" w:sz="0" w:space="0" w:color="auto"/>
          </w:divBdr>
        </w:div>
        <w:div w:id="1727561203">
          <w:marLeft w:val="0"/>
          <w:marRight w:val="0"/>
          <w:marTop w:val="0"/>
          <w:marBottom w:val="0"/>
          <w:divBdr>
            <w:top w:val="none" w:sz="0" w:space="0" w:color="auto"/>
            <w:left w:val="none" w:sz="0" w:space="0" w:color="auto"/>
            <w:bottom w:val="none" w:sz="0" w:space="0" w:color="auto"/>
            <w:right w:val="none" w:sz="0" w:space="0" w:color="auto"/>
          </w:divBdr>
        </w:div>
        <w:div w:id="1758164708">
          <w:marLeft w:val="0"/>
          <w:marRight w:val="0"/>
          <w:marTop w:val="0"/>
          <w:marBottom w:val="0"/>
          <w:divBdr>
            <w:top w:val="none" w:sz="0" w:space="0" w:color="auto"/>
            <w:left w:val="none" w:sz="0" w:space="0" w:color="auto"/>
            <w:bottom w:val="none" w:sz="0" w:space="0" w:color="auto"/>
            <w:right w:val="none" w:sz="0" w:space="0" w:color="auto"/>
          </w:divBdr>
        </w:div>
        <w:div w:id="1837377312">
          <w:marLeft w:val="0"/>
          <w:marRight w:val="0"/>
          <w:marTop w:val="0"/>
          <w:marBottom w:val="0"/>
          <w:divBdr>
            <w:top w:val="none" w:sz="0" w:space="0" w:color="auto"/>
            <w:left w:val="none" w:sz="0" w:space="0" w:color="auto"/>
            <w:bottom w:val="none" w:sz="0" w:space="0" w:color="auto"/>
            <w:right w:val="none" w:sz="0" w:space="0" w:color="auto"/>
          </w:divBdr>
        </w:div>
        <w:div w:id="1878616827">
          <w:marLeft w:val="0"/>
          <w:marRight w:val="0"/>
          <w:marTop w:val="0"/>
          <w:marBottom w:val="0"/>
          <w:divBdr>
            <w:top w:val="none" w:sz="0" w:space="0" w:color="auto"/>
            <w:left w:val="none" w:sz="0" w:space="0" w:color="auto"/>
            <w:bottom w:val="none" w:sz="0" w:space="0" w:color="auto"/>
            <w:right w:val="none" w:sz="0" w:space="0" w:color="auto"/>
          </w:divBdr>
        </w:div>
        <w:div w:id="1893228396">
          <w:marLeft w:val="0"/>
          <w:marRight w:val="0"/>
          <w:marTop w:val="0"/>
          <w:marBottom w:val="0"/>
          <w:divBdr>
            <w:top w:val="none" w:sz="0" w:space="0" w:color="auto"/>
            <w:left w:val="none" w:sz="0" w:space="0" w:color="auto"/>
            <w:bottom w:val="none" w:sz="0" w:space="0" w:color="auto"/>
            <w:right w:val="none" w:sz="0" w:space="0" w:color="auto"/>
          </w:divBdr>
        </w:div>
        <w:div w:id="1981956075">
          <w:marLeft w:val="0"/>
          <w:marRight w:val="0"/>
          <w:marTop w:val="0"/>
          <w:marBottom w:val="0"/>
          <w:divBdr>
            <w:top w:val="none" w:sz="0" w:space="0" w:color="auto"/>
            <w:left w:val="none" w:sz="0" w:space="0" w:color="auto"/>
            <w:bottom w:val="none" w:sz="0" w:space="0" w:color="auto"/>
            <w:right w:val="none" w:sz="0" w:space="0" w:color="auto"/>
          </w:divBdr>
          <w:divsChild>
            <w:div w:id="72165372">
              <w:marLeft w:val="0"/>
              <w:marRight w:val="0"/>
              <w:marTop w:val="0"/>
              <w:marBottom w:val="0"/>
              <w:divBdr>
                <w:top w:val="none" w:sz="0" w:space="0" w:color="auto"/>
                <w:left w:val="none" w:sz="0" w:space="0" w:color="auto"/>
                <w:bottom w:val="none" w:sz="0" w:space="0" w:color="auto"/>
                <w:right w:val="none" w:sz="0" w:space="0" w:color="auto"/>
              </w:divBdr>
            </w:div>
            <w:div w:id="206572987">
              <w:marLeft w:val="0"/>
              <w:marRight w:val="0"/>
              <w:marTop w:val="0"/>
              <w:marBottom w:val="0"/>
              <w:divBdr>
                <w:top w:val="none" w:sz="0" w:space="0" w:color="auto"/>
                <w:left w:val="none" w:sz="0" w:space="0" w:color="auto"/>
                <w:bottom w:val="none" w:sz="0" w:space="0" w:color="auto"/>
                <w:right w:val="none" w:sz="0" w:space="0" w:color="auto"/>
              </w:divBdr>
            </w:div>
            <w:div w:id="386414214">
              <w:marLeft w:val="0"/>
              <w:marRight w:val="0"/>
              <w:marTop w:val="0"/>
              <w:marBottom w:val="0"/>
              <w:divBdr>
                <w:top w:val="none" w:sz="0" w:space="0" w:color="auto"/>
                <w:left w:val="none" w:sz="0" w:space="0" w:color="auto"/>
                <w:bottom w:val="none" w:sz="0" w:space="0" w:color="auto"/>
                <w:right w:val="none" w:sz="0" w:space="0" w:color="auto"/>
              </w:divBdr>
            </w:div>
            <w:div w:id="451049536">
              <w:marLeft w:val="0"/>
              <w:marRight w:val="0"/>
              <w:marTop w:val="0"/>
              <w:marBottom w:val="0"/>
              <w:divBdr>
                <w:top w:val="none" w:sz="0" w:space="0" w:color="auto"/>
                <w:left w:val="none" w:sz="0" w:space="0" w:color="auto"/>
                <w:bottom w:val="none" w:sz="0" w:space="0" w:color="auto"/>
                <w:right w:val="none" w:sz="0" w:space="0" w:color="auto"/>
              </w:divBdr>
            </w:div>
            <w:div w:id="451706416">
              <w:marLeft w:val="0"/>
              <w:marRight w:val="0"/>
              <w:marTop w:val="0"/>
              <w:marBottom w:val="0"/>
              <w:divBdr>
                <w:top w:val="none" w:sz="0" w:space="0" w:color="auto"/>
                <w:left w:val="none" w:sz="0" w:space="0" w:color="auto"/>
                <w:bottom w:val="none" w:sz="0" w:space="0" w:color="auto"/>
                <w:right w:val="none" w:sz="0" w:space="0" w:color="auto"/>
              </w:divBdr>
            </w:div>
            <w:div w:id="587276669">
              <w:marLeft w:val="0"/>
              <w:marRight w:val="0"/>
              <w:marTop w:val="0"/>
              <w:marBottom w:val="0"/>
              <w:divBdr>
                <w:top w:val="none" w:sz="0" w:space="0" w:color="auto"/>
                <w:left w:val="none" w:sz="0" w:space="0" w:color="auto"/>
                <w:bottom w:val="none" w:sz="0" w:space="0" w:color="auto"/>
                <w:right w:val="none" w:sz="0" w:space="0" w:color="auto"/>
              </w:divBdr>
            </w:div>
            <w:div w:id="592671240">
              <w:marLeft w:val="0"/>
              <w:marRight w:val="0"/>
              <w:marTop w:val="0"/>
              <w:marBottom w:val="0"/>
              <w:divBdr>
                <w:top w:val="none" w:sz="0" w:space="0" w:color="auto"/>
                <w:left w:val="none" w:sz="0" w:space="0" w:color="auto"/>
                <w:bottom w:val="none" w:sz="0" w:space="0" w:color="auto"/>
                <w:right w:val="none" w:sz="0" w:space="0" w:color="auto"/>
              </w:divBdr>
            </w:div>
            <w:div w:id="990210226">
              <w:marLeft w:val="0"/>
              <w:marRight w:val="0"/>
              <w:marTop w:val="0"/>
              <w:marBottom w:val="0"/>
              <w:divBdr>
                <w:top w:val="none" w:sz="0" w:space="0" w:color="auto"/>
                <w:left w:val="none" w:sz="0" w:space="0" w:color="auto"/>
                <w:bottom w:val="none" w:sz="0" w:space="0" w:color="auto"/>
                <w:right w:val="none" w:sz="0" w:space="0" w:color="auto"/>
              </w:divBdr>
            </w:div>
            <w:div w:id="1263689351">
              <w:marLeft w:val="0"/>
              <w:marRight w:val="0"/>
              <w:marTop w:val="0"/>
              <w:marBottom w:val="0"/>
              <w:divBdr>
                <w:top w:val="none" w:sz="0" w:space="0" w:color="auto"/>
                <w:left w:val="none" w:sz="0" w:space="0" w:color="auto"/>
                <w:bottom w:val="none" w:sz="0" w:space="0" w:color="auto"/>
                <w:right w:val="none" w:sz="0" w:space="0" w:color="auto"/>
              </w:divBdr>
            </w:div>
            <w:div w:id="1267880389">
              <w:marLeft w:val="0"/>
              <w:marRight w:val="0"/>
              <w:marTop w:val="0"/>
              <w:marBottom w:val="0"/>
              <w:divBdr>
                <w:top w:val="none" w:sz="0" w:space="0" w:color="auto"/>
                <w:left w:val="none" w:sz="0" w:space="0" w:color="auto"/>
                <w:bottom w:val="none" w:sz="0" w:space="0" w:color="auto"/>
                <w:right w:val="none" w:sz="0" w:space="0" w:color="auto"/>
              </w:divBdr>
            </w:div>
            <w:div w:id="1280449158">
              <w:marLeft w:val="0"/>
              <w:marRight w:val="0"/>
              <w:marTop w:val="0"/>
              <w:marBottom w:val="0"/>
              <w:divBdr>
                <w:top w:val="none" w:sz="0" w:space="0" w:color="auto"/>
                <w:left w:val="none" w:sz="0" w:space="0" w:color="auto"/>
                <w:bottom w:val="none" w:sz="0" w:space="0" w:color="auto"/>
                <w:right w:val="none" w:sz="0" w:space="0" w:color="auto"/>
              </w:divBdr>
            </w:div>
            <w:div w:id="1317297138">
              <w:marLeft w:val="0"/>
              <w:marRight w:val="0"/>
              <w:marTop w:val="0"/>
              <w:marBottom w:val="0"/>
              <w:divBdr>
                <w:top w:val="none" w:sz="0" w:space="0" w:color="auto"/>
                <w:left w:val="none" w:sz="0" w:space="0" w:color="auto"/>
                <w:bottom w:val="none" w:sz="0" w:space="0" w:color="auto"/>
                <w:right w:val="none" w:sz="0" w:space="0" w:color="auto"/>
              </w:divBdr>
            </w:div>
            <w:div w:id="1427308783">
              <w:marLeft w:val="0"/>
              <w:marRight w:val="0"/>
              <w:marTop w:val="0"/>
              <w:marBottom w:val="0"/>
              <w:divBdr>
                <w:top w:val="none" w:sz="0" w:space="0" w:color="auto"/>
                <w:left w:val="none" w:sz="0" w:space="0" w:color="auto"/>
                <w:bottom w:val="none" w:sz="0" w:space="0" w:color="auto"/>
                <w:right w:val="none" w:sz="0" w:space="0" w:color="auto"/>
              </w:divBdr>
            </w:div>
            <w:div w:id="1523670587">
              <w:marLeft w:val="0"/>
              <w:marRight w:val="0"/>
              <w:marTop w:val="0"/>
              <w:marBottom w:val="0"/>
              <w:divBdr>
                <w:top w:val="none" w:sz="0" w:space="0" w:color="auto"/>
                <w:left w:val="none" w:sz="0" w:space="0" w:color="auto"/>
                <w:bottom w:val="none" w:sz="0" w:space="0" w:color="auto"/>
                <w:right w:val="none" w:sz="0" w:space="0" w:color="auto"/>
              </w:divBdr>
            </w:div>
            <w:div w:id="1570270571">
              <w:marLeft w:val="0"/>
              <w:marRight w:val="0"/>
              <w:marTop w:val="0"/>
              <w:marBottom w:val="0"/>
              <w:divBdr>
                <w:top w:val="none" w:sz="0" w:space="0" w:color="auto"/>
                <w:left w:val="none" w:sz="0" w:space="0" w:color="auto"/>
                <w:bottom w:val="none" w:sz="0" w:space="0" w:color="auto"/>
                <w:right w:val="none" w:sz="0" w:space="0" w:color="auto"/>
              </w:divBdr>
            </w:div>
            <w:div w:id="1786970899">
              <w:marLeft w:val="0"/>
              <w:marRight w:val="0"/>
              <w:marTop w:val="0"/>
              <w:marBottom w:val="0"/>
              <w:divBdr>
                <w:top w:val="none" w:sz="0" w:space="0" w:color="auto"/>
                <w:left w:val="none" w:sz="0" w:space="0" w:color="auto"/>
                <w:bottom w:val="none" w:sz="0" w:space="0" w:color="auto"/>
                <w:right w:val="none" w:sz="0" w:space="0" w:color="auto"/>
              </w:divBdr>
            </w:div>
            <w:div w:id="1887906632">
              <w:marLeft w:val="0"/>
              <w:marRight w:val="0"/>
              <w:marTop w:val="0"/>
              <w:marBottom w:val="0"/>
              <w:divBdr>
                <w:top w:val="none" w:sz="0" w:space="0" w:color="auto"/>
                <w:left w:val="none" w:sz="0" w:space="0" w:color="auto"/>
                <w:bottom w:val="none" w:sz="0" w:space="0" w:color="auto"/>
                <w:right w:val="none" w:sz="0" w:space="0" w:color="auto"/>
              </w:divBdr>
            </w:div>
            <w:div w:id="1997689190">
              <w:marLeft w:val="0"/>
              <w:marRight w:val="0"/>
              <w:marTop w:val="0"/>
              <w:marBottom w:val="0"/>
              <w:divBdr>
                <w:top w:val="none" w:sz="0" w:space="0" w:color="auto"/>
                <w:left w:val="none" w:sz="0" w:space="0" w:color="auto"/>
                <w:bottom w:val="none" w:sz="0" w:space="0" w:color="auto"/>
                <w:right w:val="none" w:sz="0" w:space="0" w:color="auto"/>
              </w:divBdr>
            </w:div>
            <w:div w:id="2096901195">
              <w:marLeft w:val="0"/>
              <w:marRight w:val="0"/>
              <w:marTop w:val="0"/>
              <w:marBottom w:val="0"/>
              <w:divBdr>
                <w:top w:val="none" w:sz="0" w:space="0" w:color="auto"/>
                <w:left w:val="none" w:sz="0" w:space="0" w:color="auto"/>
                <w:bottom w:val="none" w:sz="0" w:space="0" w:color="auto"/>
                <w:right w:val="none" w:sz="0" w:space="0" w:color="auto"/>
              </w:divBdr>
            </w:div>
            <w:div w:id="2146659039">
              <w:marLeft w:val="0"/>
              <w:marRight w:val="0"/>
              <w:marTop w:val="0"/>
              <w:marBottom w:val="0"/>
              <w:divBdr>
                <w:top w:val="none" w:sz="0" w:space="0" w:color="auto"/>
                <w:left w:val="none" w:sz="0" w:space="0" w:color="auto"/>
                <w:bottom w:val="none" w:sz="0" w:space="0" w:color="auto"/>
                <w:right w:val="none" w:sz="0" w:space="0" w:color="auto"/>
              </w:divBdr>
            </w:div>
          </w:divsChild>
        </w:div>
        <w:div w:id="1985507803">
          <w:marLeft w:val="0"/>
          <w:marRight w:val="0"/>
          <w:marTop w:val="0"/>
          <w:marBottom w:val="0"/>
          <w:divBdr>
            <w:top w:val="none" w:sz="0" w:space="0" w:color="auto"/>
            <w:left w:val="none" w:sz="0" w:space="0" w:color="auto"/>
            <w:bottom w:val="none" w:sz="0" w:space="0" w:color="auto"/>
            <w:right w:val="none" w:sz="0" w:space="0" w:color="auto"/>
          </w:divBdr>
        </w:div>
        <w:div w:id="2051874708">
          <w:marLeft w:val="0"/>
          <w:marRight w:val="0"/>
          <w:marTop w:val="0"/>
          <w:marBottom w:val="0"/>
          <w:divBdr>
            <w:top w:val="none" w:sz="0" w:space="0" w:color="auto"/>
            <w:left w:val="none" w:sz="0" w:space="0" w:color="auto"/>
            <w:bottom w:val="none" w:sz="0" w:space="0" w:color="auto"/>
            <w:right w:val="none" w:sz="0" w:space="0" w:color="auto"/>
          </w:divBdr>
        </w:div>
        <w:div w:id="2071733570">
          <w:marLeft w:val="0"/>
          <w:marRight w:val="0"/>
          <w:marTop w:val="0"/>
          <w:marBottom w:val="0"/>
          <w:divBdr>
            <w:top w:val="none" w:sz="0" w:space="0" w:color="auto"/>
            <w:left w:val="none" w:sz="0" w:space="0" w:color="auto"/>
            <w:bottom w:val="none" w:sz="0" w:space="0" w:color="auto"/>
            <w:right w:val="none" w:sz="0" w:space="0" w:color="auto"/>
          </w:divBdr>
        </w:div>
      </w:divsChild>
    </w:div>
    <w:div w:id="1596665652">
      <w:bodyDiv w:val="1"/>
      <w:marLeft w:val="0"/>
      <w:marRight w:val="0"/>
      <w:marTop w:val="0"/>
      <w:marBottom w:val="0"/>
      <w:divBdr>
        <w:top w:val="none" w:sz="0" w:space="0" w:color="auto"/>
        <w:left w:val="none" w:sz="0" w:space="0" w:color="auto"/>
        <w:bottom w:val="none" w:sz="0" w:space="0" w:color="auto"/>
        <w:right w:val="none" w:sz="0" w:space="0" w:color="auto"/>
      </w:divBdr>
    </w:div>
    <w:div w:id="1614244670">
      <w:bodyDiv w:val="1"/>
      <w:marLeft w:val="0"/>
      <w:marRight w:val="0"/>
      <w:marTop w:val="0"/>
      <w:marBottom w:val="0"/>
      <w:divBdr>
        <w:top w:val="none" w:sz="0" w:space="0" w:color="auto"/>
        <w:left w:val="none" w:sz="0" w:space="0" w:color="auto"/>
        <w:bottom w:val="none" w:sz="0" w:space="0" w:color="auto"/>
        <w:right w:val="none" w:sz="0" w:space="0" w:color="auto"/>
      </w:divBdr>
      <w:divsChild>
        <w:div w:id="934939">
          <w:marLeft w:val="0"/>
          <w:marRight w:val="0"/>
          <w:marTop w:val="0"/>
          <w:marBottom w:val="0"/>
          <w:divBdr>
            <w:top w:val="none" w:sz="0" w:space="0" w:color="auto"/>
            <w:left w:val="none" w:sz="0" w:space="0" w:color="auto"/>
            <w:bottom w:val="none" w:sz="0" w:space="0" w:color="auto"/>
            <w:right w:val="none" w:sz="0" w:space="0" w:color="auto"/>
          </w:divBdr>
        </w:div>
        <w:div w:id="102000346">
          <w:marLeft w:val="0"/>
          <w:marRight w:val="0"/>
          <w:marTop w:val="0"/>
          <w:marBottom w:val="0"/>
          <w:divBdr>
            <w:top w:val="none" w:sz="0" w:space="0" w:color="auto"/>
            <w:left w:val="none" w:sz="0" w:space="0" w:color="auto"/>
            <w:bottom w:val="none" w:sz="0" w:space="0" w:color="auto"/>
            <w:right w:val="none" w:sz="0" w:space="0" w:color="auto"/>
          </w:divBdr>
        </w:div>
        <w:div w:id="297758354">
          <w:marLeft w:val="0"/>
          <w:marRight w:val="0"/>
          <w:marTop w:val="0"/>
          <w:marBottom w:val="0"/>
          <w:divBdr>
            <w:top w:val="none" w:sz="0" w:space="0" w:color="auto"/>
            <w:left w:val="none" w:sz="0" w:space="0" w:color="auto"/>
            <w:bottom w:val="none" w:sz="0" w:space="0" w:color="auto"/>
            <w:right w:val="none" w:sz="0" w:space="0" w:color="auto"/>
          </w:divBdr>
        </w:div>
        <w:div w:id="398600865">
          <w:marLeft w:val="0"/>
          <w:marRight w:val="0"/>
          <w:marTop w:val="0"/>
          <w:marBottom w:val="0"/>
          <w:divBdr>
            <w:top w:val="none" w:sz="0" w:space="0" w:color="auto"/>
            <w:left w:val="none" w:sz="0" w:space="0" w:color="auto"/>
            <w:bottom w:val="none" w:sz="0" w:space="0" w:color="auto"/>
            <w:right w:val="none" w:sz="0" w:space="0" w:color="auto"/>
          </w:divBdr>
        </w:div>
        <w:div w:id="560217840">
          <w:marLeft w:val="0"/>
          <w:marRight w:val="0"/>
          <w:marTop w:val="0"/>
          <w:marBottom w:val="0"/>
          <w:divBdr>
            <w:top w:val="none" w:sz="0" w:space="0" w:color="auto"/>
            <w:left w:val="none" w:sz="0" w:space="0" w:color="auto"/>
            <w:bottom w:val="none" w:sz="0" w:space="0" w:color="auto"/>
            <w:right w:val="none" w:sz="0" w:space="0" w:color="auto"/>
          </w:divBdr>
        </w:div>
        <w:div w:id="625503896">
          <w:marLeft w:val="0"/>
          <w:marRight w:val="0"/>
          <w:marTop w:val="0"/>
          <w:marBottom w:val="0"/>
          <w:divBdr>
            <w:top w:val="none" w:sz="0" w:space="0" w:color="auto"/>
            <w:left w:val="none" w:sz="0" w:space="0" w:color="auto"/>
            <w:bottom w:val="none" w:sz="0" w:space="0" w:color="auto"/>
            <w:right w:val="none" w:sz="0" w:space="0" w:color="auto"/>
          </w:divBdr>
        </w:div>
        <w:div w:id="792090573">
          <w:marLeft w:val="0"/>
          <w:marRight w:val="0"/>
          <w:marTop w:val="0"/>
          <w:marBottom w:val="0"/>
          <w:divBdr>
            <w:top w:val="none" w:sz="0" w:space="0" w:color="auto"/>
            <w:left w:val="none" w:sz="0" w:space="0" w:color="auto"/>
            <w:bottom w:val="none" w:sz="0" w:space="0" w:color="auto"/>
            <w:right w:val="none" w:sz="0" w:space="0" w:color="auto"/>
          </w:divBdr>
        </w:div>
        <w:div w:id="815219982">
          <w:marLeft w:val="0"/>
          <w:marRight w:val="0"/>
          <w:marTop w:val="0"/>
          <w:marBottom w:val="0"/>
          <w:divBdr>
            <w:top w:val="none" w:sz="0" w:space="0" w:color="auto"/>
            <w:left w:val="none" w:sz="0" w:space="0" w:color="auto"/>
            <w:bottom w:val="none" w:sz="0" w:space="0" w:color="auto"/>
            <w:right w:val="none" w:sz="0" w:space="0" w:color="auto"/>
          </w:divBdr>
        </w:div>
        <w:div w:id="945231661">
          <w:marLeft w:val="0"/>
          <w:marRight w:val="0"/>
          <w:marTop w:val="0"/>
          <w:marBottom w:val="0"/>
          <w:divBdr>
            <w:top w:val="none" w:sz="0" w:space="0" w:color="auto"/>
            <w:left w:val="none" w:sz="0" w:space="0" w:color="auto"/>
            <w:bottom w:val="none" w:sz="0" w:space="0" w:color="auto"/>
            <w:right w:val="none" w:sz="0" w:space="0" w:color="auto"/>
          </w:divBdr>
        </w:div>
        <w:div w:id="1038697960">
          <w:marLeft w:val="0"/>
          <w:marRight w:val="0"/>
          <w:marTop w:val="0"/>
          <w:marBottom w:val="0"/>
          <w:divBdr>
            <w:top w:val="none" w:sz="0" w:space="0" w:color="auto"/>
            <w:left w:val="none" w:sz="0" w:space="0" w:color="auto"/>
            <w:bottom w:val="none" w:sz="0" w:space="0" w:color="auto"/>
            <w:right w:val="none" w:sz="0" w:space="0" w:color="auto"/>
          </w:divBdr>
        </w:div>
        <w:div w:id="1286765416">
          <w:marLeft w:val="0"/>
          <w:marRight w:val="0"/>
          <w:marTop w:val="0"/>
          <w:marBottom w:val="0"/>
          <w:divBdr>
            <w:top w:val="none" w:sz="0" w:space="0" w:color="auto"/>
            <w:left w:val="none" w:sz="0" w:space="0" w:color="auto"/>
            <w:bottom w:val="none" w:sz="0" w:space="0" w:color="auto"/>
            <w:right w:val="none" w:sz="0" w:space="0" w:color="auto"/>
          </w:divBdr>
        </w:div>
        <w:div w:id="1693726199">
          <w:marLeft w:val="0"/>
          <w:marRight w:val="0"/>
          <w:marTop w:val="0"/>
          <w:marBottom w:val="0"/>
          <w:divBdr>
            <w:top w:val="none" w:sz="0" w:space="0" w:color="auto"/>
            <w:left w:val="none" w:sz="0" w:space="0" w:color="auto"/>
            <w:bottom w:val="none" w:sz="0" w:space="0" w:color="auto"/>
            <w:right w:val="none" w:sz="0" w:space="0" w:color="auto"/>
          </w:divBdr>
        </w:div>
        <w:div w:id="1717391624">
          <w:marLeft w:val="0"/>
          <w:marRight w:val="0"/>
          <w:marTop w:val="0"/>
          <w:marBottom w:val="0"/>
          <w:divBdr>
            <w:top w:val="none" w:sz="0" w:space="0" w:color="auto"/>
            <w:left w:val="none" w:sz="0" w:space="0" w:color="auto"/>
            <w:bottom w:val="none" w:sz="0" w:space="0" w:color="auto"/>
            <w:right w:val="none" w:sz="0" w:space="0" w:color="auto"/>
          </w:divBdr>
        </w:div>
        <w:div w:id="1847750358">
          <w:marLeft w:val="0"/>
          <w:marRight w:val="0"/>
          <w:marTop w:val="0"/>
          <w:marBottom w:val="0"/>
          <w:divBdr>
            <w:top w:val="none" w:sz="0" w:space="0" w:color="auto"/>
            <w:left w:val="none" w:sz="0" w:space="0" w:color="auto"/>
            <w:bottom w:val="none" w:sz="0" w:space="0" w:color="auto"/>
            <w:right w:val="none" w:sz="0" w:space="0" w:color="auto"/>
          </w:divBdr>
        </w:div>
        <w:div w:id="1861242249">
          <w:marLeft w:val="0"/>
          <w:marRight w:val="0"/>
          <w:marTop w:val="0"/>
          <w:marBottom w:val="0"/>
          <w:divBdr>
            <w:top w:val="none" w:sz="0" w:space="0" w:color="auto"/>
            <w:left w:val="none" w:sz="0" w:space="0" w:color="auto"/>
            <w:bottom w:val="none" w:sz="0" w:space="0" w:color="auto"/>
            <w:right w:val="none" w:sz="0" w:space="0" w:color="auto"/>
          </w:divBdr>
        </w:div>
        <w:div w:id="2018458369">
          <w:marLeft w:val="0"/>
          <w:marRight w:val="0"/>
          <w:marTop w:val="0"/>
          <w:marBottom w:val="0"/>
          <w:divBdr>
            <w:top w:val="none" w:sz="0" w:space="0" w:color="auto"/>
            <w:left w:val="none" w:sz="0" w:space="0" w:color="auto"/>
            <w:bottom w:val="none" w:sz="0" w:space="0" w:color="auto"/>
            <w:right w:val="none" w:sz="0" w:space="0" w:color="auto"/>
          </w:divBdr>
        </w:div>
        <w:div w:id="2077892368">
          <w:marLeft w:val="0"/>
          <w:marRight w:val="0"/>
          <w:marTop w:val="0"/>
          <w:marBottom w:val="0"/>
          <w:divBdr>
            <w:top w:val="none" w:sz="0" w:space="0" w:color="auto"/>
            <w:left w:val="none" w:sz="0" w:space="0" w:color="auto"/>
            <w:bottom w:val="none" w:sz="0" w:space="0" w:color="auto"/>
            <w:right w:val="none" w:sz="0" w:space="0" w:color="auto"/>
          </w:divBdr>
        </w:div>
      </w:divsChild>
    </w:div>
    <w:div w:id="1796873829">
      <w:bodyDiv w:val="1"/>
      <w:marLeft w:val="0"/>
      <w:marRight w:val="0"/>
      <w:marTop w:val="0"/>
      <w:marBottom w:val="0"/>
      <w:divBdr>
        <w:top w:val="none" w:sz="0" w:space="0" w:color="auto"/>
        <w:left w:val="none" w:sz="0" w:space="0" w:color="auto"/>
        <w:bottom w:val="none" w:sz="0" w:space="0" w:color="auto"/>
        <w:right w:val="none" w:sz="0" w:space="0" w:color="auto"/>
      </w:divBdr>
    </w:div>
    <w:div w:id="1948853719">
      <w:bodyDiv w:val="1"/>
      <w:marLeft w:val="0"/>
      <w:marRight w:val="0"/>
      <w:marTop w:val="0"/>
      <w:marBottom w:val="0"/>
      <w:divBdr>
        <w:top w:val="none" w:sz="0" w:space="0" w:color="auto"/>
        <w:left w:val="none" w:sz="0" w:space="0" w:color="auto"/>
        <w:bottom w:val="none" w:sz="0" w:space="0" w:color="auto"/>
        <w:right w:val="none" w:sz="0" w:space="0" w:color="auto"/>
      </w:divBdr>
    </w:div>
    <w:div w:id="1987276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389/fpsyg.2020.613992" TargetMode="External"/><Relationship Id="rId18" Type="http://schemas.openxmlformats.org/officeDocument/2006/relationships/hyperlink" Target="https://doi.org/10.1111/j.1467-7687.2008.00675.x" TargetMode="External"/><Relationship Id="rId26" Type="http://schemas.openxmlformats.org/officeDocument/2006/relationships/hyperlink" Target="https://doi.org/10.1017/s1366728998000133" TargetMode="External"/><Relationship Id="rId39" Type="http://schemas.openxmlformats.org/officeDocument/2006/relationships/hyperlink" Target="https://doi.org/10.1007/978-1-4614-9218-4_6" TargetMode="External"/><Relationship Id="rId21" Type="http://schemas.openxmlformats.org/officeDocument/2006/relationships/hyperlink" Target="https://doi.org/10.1027/1618-3169/a000243" TargetMode="External"/><Relationship Id="rId34" Type="http://schemas.openxmlformats.org/officeDocument/2006/relationships/hyperlink" Target="https://doi.org/10.1080/13670050.2016.1271769" TargetMode="External"/><Relationship Id="rId42" Type="http://schemas.openxmlformats.org/officeDocument/2006/relationships/hyperlink" Target="https://doi.org/10.3390/bs9030027" TargetMode="External"/><Relationship Id="rId47" Type="http://schemas.openxmlformats.org/officeDocument/2006/relationships/fontTable" Target="fontTable.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hyperlink" Target="https://doi.org/10.1016/j.jecp.2014.06.007" TargetMode="External"/><Relationship Id="rId29" Type="http://schemas.openxmlformats.org/officeDocument/2006/relationships/hyperlink" Target="https://doi.org/10.1016/j.neuropsychologia.2006.01.0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j.jecp.2009.11.003" TargetMode="External"/><Relationship Id="rId24" Type="http://schemas.openxmlformats.org/officeDocument/2006/relationships/hyperlink" Target="https://doi.org/10.3389/fpsyg.2014.00011" TargetMode="External"/><Relationship Id="rId32" Type="http://schemas.openxmlformats.org/officeDocument/2006/relationships/hyperlink" Target="https://doi.org/10.1017/s1366728907003227" TargetMode="External"/><Relationship Id="rId37" Type="http://schemas.openxmlformats.org/officeDocument/2006/relationships/hyperlink" Target="https://doi.org/10.3390/bs9090095" TargetMode="External"/><Relationship Id="rId40" Type="http://schemas.openxmlformats.org/officeDocument/2006/relationships/hyperlink" Target="https://doi.org/10.3390/jintelligence11040068"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doi.org/10.1016/j.jecp.2012.09.002" TargetMode="External"/><Relationship Id="rId23" Type="http://schemas.openxmlformats.org/officeDocument/2006/relationships/hyperlink" Target="https://doi.org/10.1016/j.cognition.2016.02.008" TargetMode="External"/><Relationship Id="rId28" Type="http://schemas.openxmlformats.org/officeDocument/2006/relationships/hyperlink" Target="https://doi.org/10.1016/j.jml.2013.06.004" TargetMode="External"/><Relationship Id="rId36" Type="http://schemas.openxmlformats.org/officeDocument/2006/relationships/hyperlink" Target="https://doi.org/10.1016/j.cortex.2015.04.014" TargetMode="External"/><Relationship Id="rId10" Type="http://schemas.openxmlformats.org/officeDocument/2006/relationships/hyperlink" Target="https://doi.org/10.24093/awej/vol13no4.31" TargetMode="External"/><Relationship Id="rId19" Type="http://schemas.openxmlformats.org/officeDocument/2006/relationships/hyperlink" Target="https://www.ceeol.com/search/article-detail?id=944593" TargetMode="External"/><Relationship Id="rId31" Type="http://schemas.openxmlformats.org/officeDocument/2006/relationships/hyperlink" Target="https://doi.org/10.1002/j.2162-6057.2009.tb01306.x" TargetMode="External"/><Relationship Id="rId44"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doi.org/10.1080/01690960801920602" TargetMode="External"/><Relationship Id="rId14" Type="http://schemas.openxmlformats.org/officeDocument/2006/relationships/hyperlink" Target="https://doi.org/10.1016/j.neuropsychologia.2013.06.031" TargetMode="External"/><Relationship Id="rId22" Type="http://schemas.openxmlformats.org/officeDocument/2006/relationships/hyperlink" Target="https://doi.org/10.1590/2176-%099451.19.4.027-029.ebo" TargetMode="External"/><Relationship Id="rId27" Type="http://schemas.openxmlformats.org/officeDocument/2006/relationships/hyperlink" Target="https://doi.org/10.4159/9780674056459-intro" TargetMode="External"/><Relationship Id="rId30" Type="http://schemas.openxmlformats.org/officeDocument/2006/relationships/hyperlink" Target="https://doi.org/10.1017/s1366728915000917" TargetMode="External"/><Relationship Id="rId35" Type="http://schemas.openxmlformats.org/officeDocument/2006/relationships/hyperlink" Target="https://doi.org/10.1111/j.1467-%097687.2007.00623.x"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chart" Target="charts/chart2.xml"/><Relationship Id="rId3" Type="http://schemas.openxmlformats.org/officeDocument/2006/relationships/settings" Target="settings.xml"/><Relationship Id="rId12" Type="http://schemas.openxmlformats.org/officeDocument/2006/relationships/hyperlink" Target="https://doi.org/10.1076/chin.8.2.71.8724" TargetMode="External"/><Relationship Id="rId17" Type="http://schemas.openxmlformats.org/officeDocument/2006/relationships/hyperlink" Target="https://pubmed.ncbi.nlm.nih.gov/30288204/" TargetMode="External"/><Relationship Id="rId25" Type="http://schemas.openxmlformats.org/officeDocument/2006/relationships/hyperlink" Target="https://doi.org/10.1080/20445911.2013.796377" TargetMode="External"/><Relationship Id="rId33" Type="http://schemas.openxmlformats.org/officeDocument/2006/relationships/hyperlink" Target="https://doi.org/10.1007/s11065-008-9063-0" TargetMode="External"/><Relationship Id="rId38" Type="http://schemas.openxmlformats.org/officeDocument/2006/relationships/hyperlink" Target="https://doi.org/10.1017/s1366728909990526" TargetMode="External"/><Relationship Id="rId46" Type="http://schemas.openxmlformats.org/officeDocument/2006/relationships/footer" Target="footer2.xml"/><Relationship Id="rId20" Type="http://schemas.openxmlformats.org/officeDocument/2006/relationships/hyperlink" Target="https://doi.org/10.1007/s10643-011-0491-8" TargetMode="External"/><Relationship Id="rId41" Type="http://schemas.openxmlformats.org/officeDocument/2006/relationships/hyperlink" Target="https://doi.org/10.3389/fpsyg.2020.0183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8.8191818982915948E-2"/>
          <c:y val="4.134561172711896E-2"/>
          <c:w val="0.87209698968134397"/>
          <c:h val="0.84376801961888415"/>
        </c:manualLayout>
      </c:layout>
      <c:lineChart>
        <c:grouping val="standard"/>
        <c:varyColors val="0"/>
        <c:ser>
          <c:idx val="0"/>
          <c:order val="0"/>
          <c:tx>
            <c:strRef>
              <c:f>Sheet1!$B$1</c:f>
              <c:strCache>
                <c:ptCount val="1"/>
                <c:pt idx="0">
                  <c:v>Monolingual</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strRef>
              <c:f>Sheet1!$A$2:$A$4</c:f>
              <c:strCache>
                <c:ptCount val="3"/>
                <c:pt idx="0">
                  <c:v>Wave 1</c:v>
                </c:pt>
                <c:pt idx="1">
                  <c:v>Wave 2</c:v>
                </c:pt>
                <c:pt idx="2">
                  <c:v>Wave 3</c:v>
                </c:pt>
              </c:strCache>
            </c:strRef>
          </c:cat>
          <c:val>
            <c:numRef>
              <c:f>Sheet1!$B$2:$B$4</c:f>
              <c:numCache>
                <c:formatCode>General</c:formatCode>
                <c:ptCount val="3"/>
                <c:pt idx="0">
                  <c:v>12.5</c:v>
                </c:pt>
                <c:pt idx="1">
                  <c:v>18.18</c:v>
                </c:pt>
                <c:pt idx="2">
                  <c:v>20.55</c:v>
                </c:pt>
              </c:numCache>
            </c:numRef>
          </c:val>
          <c:smooth val="0"/>
          <c:extLst>
            <c:ext xmlns:c16="http://schemas.microsoft.com/office/drawing/2014/chart" uri="{C3380CC4-5D6E-409C-BE32-E72D297353CC}">
              <c16:uniqueId val="{00000000-4F43-B446-8B7D-F0ABEBD63283}"/>
            </c:ext>
          </c:extLst>
        </c:ser>
        <c:ser>
          <c:idx val="1"/>
          <c:order val="1"/>
          <c:tx>
            <c:strRef>
              <c:f>Sheet1!$C$1</c:f>
              <c:strCache>
                <c:ptCount val="1"/>
                <c:pt idx="0">
                  <c:v>Bilingual</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cat>
            <c:strRef>
              <c:f>Sheet1!$A$2:$A$4</c:f>
              <c:strCache>
                <c:ptCount val="3"/>
                <c:pt idx="0">
                  <c:v>Wave 1</c:v>
                </c:pt>
                <c:pt idx="1">
                  <c:v>Wave 2</c:v>
                </c:pt>
                <c:pt idx="2">
                  <c:v>Wave 3</c:v>
                </c:pt>
              </c:strCache>
            </c:strRef>
          </c:cat>
          <c:val>
            <c:numRef>
              <c:f>Sheet1!$C$2:$C$4</c:f>
              <c:numCache>
                <c:formatCode>General</c:formatCode>
                <c:ptCount val="3"/>
                <c:pt idx="0">
                  <c:v>12.1</c:v>
                </c:pt>
                <c:pt idx="1">
                  <c:v>16.52</c:v>
                </c:pt>
                <c:pt idx="2">
                  <c:v>18.899999999999999</c:v>
                </c:pt>
              </c:numCache>
            </c:numRef>
          </c:val>
          <c:smooth val="0"/>
          <c:extLst>
            <c:ext xmlns:c16="http://schemas.microsoft.com/office/drawing/2014/chart" uri="{C3380CC4-5D6E-409C-BE32-E72D297353CC}">
              <c16:uniqueId val="{00000001-4F43-B446-8B7D-F0ABEBD63283}"/>
            </c:ext>
          </c:extLst>
        </c:ser>
        <c:dLbls>
          <c:showLegendKey val="0"/>
          <c:showVal val="0"/>
          <c:showCatName val="0"/>
          <c:showSerName val="0"/>
          <c:showPercent val="0"/>
          <c:showBubbleSize val="0"/>
        </c:dLbls>
        <c:marker val="1"/>
        <c:smooth val="0"/>
        <c:axId val="164393951"/>
        <c:axId val="217207567"/>
      </c:lineChart>
      <c:catAx>
        <c:axId val="1643939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noFill/>
                </a:ln>
                <a:solidFill>
                  <a:schemeClr val="tx1"/>
                </a:solidFill>
                <a:latin typeface="+mn-lt"/>
                <a:ea typeface="+mn-ea"/>
                <a:cs typeface="+mn-cs"/>
              </a:defRPr>
            </a:pPr>
            <a:endParaRPr lang="en-NL"/>
          </a:p>
        </c:txPr>
        <c:crossAx val="217207567"/>
        <c:crosses val="autoZero"/>
        <c:auto val="1"/>
        <c:lblAlgn val="ctr"/>
        <c:lblOffset val="100"/>
        <c:noMultiLvlLbl val="0"/>
      </c:catAx>
      <c:valAx>
        <c:axId val="21720756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chemeClr val="tx1"/>
                </a:solidFill>
                <a:latin typeface="+mn-lt"/>
                <a:ea typeface="+mn-ea"/>
                <a:cs typeface="+mn-cs"/>
              </a:defRPr>
            </a:pPr>
            <a:endParaRPr lang="en-NL"/>
          </a:p>
        </c:txPr>
        <c:crossAx val="164393951"/>
        <c:crosses val="autoZero"/>
        <c:crossBetween val="between"/>
      </c:valAx>
      <c:spPr>
        <a:noFill/>
        <a:ln>
          <a:noFill/>
        </a:ln>
        <a:effectLst/>
      </c:spPr>
    </c:plotArea>
    <c:legend>
      <c:legendPos val="b"/>
      <c:layout>
        <c:manualLayout>
          <c:xMode val="edge"/>
          <c:yMode val="edge"/>
          <c:x val="0.54953381278603708"/>
          <c:y val="0.38404390862531018"/>
          <c:w val="0.41348631421072374"/>
          <c:h val="0.14987828645080328"/>
        </c:manualLayout>
      </c:layout>
      <c:overlay val="0"/>
      <c:spPr>
        <a:noFill/>
        <a:ln>
          <a:noFill/>
        </a:ln>
        <a:effectLst/>
      </c:spPr>
      <c:txPr>
        <a:bodyPr rot="0" spcFirstLastPara="1" vertOverflow="ellipsis" vert="horz" wrap="square" anchor="ctr" anchorCtr="1"/>
        <a:lstStyle/>
        <a:p>
          <a:pPr>
            <a:defRPr sz="900" b="0" i="0" u="none" strike="noStrike" kern="1200" baseline="0">
              <a:ln>
                <a:noFill/>
              </a:ln>
              <a:solidFill>
                <a:schemeClr val="tx1"/>
              </a:solidFill>
              <a:latin typeface="+mn-lt"/>
              <a:ea typeface="+mn-ea"/>
              <a:cs typeface="+mn-cs"/>
            </a:defRPr>
          </a:pPr>
          <a:endParaRPr lang="en-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n>
            <a:noFill/>
          </a:ln>
          <a:solidFill>
            <a:schemeClr val="tx1"/>
          </a:solidFill>
        </a:defRPr>
      </a:pPr>
      <a:endParaRPr lang="en-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2153893934773413"/>
          <c:y val="3.840782122905028E-2"/>
          <c:w val="0.83919638101635652"/>
          <c:h val="0.85113542711322498"/>
        </c:manualLayout>
      </c:layout>
      <c:lineChart>
        <c:grouping val="standard"/>
        <c:varyColors val="0"/>
        <c:ser>
          <c:idx val="0"/>
          <c:order val="0"/>
          <c:tx>
            <c:strRef>
              <c:f>Sheet1!$B$1</c:f>
              <c:strCache>
                <c:ptCount val="1"/>
                <c:pt idx="0">
                  <c:v>Monolinguals</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strRef>
              <c:f>Sheet1!$A$2:$A$3</c:f>
              <c:strCache>
                <c:ptCount val="2"/>
                <c:pt idx="0">
                  <c:v>Wave 2</c:v>
                </c:pt>
                <c:pt idx="1">
                  <c:v>Wave 3</c:v>
                </c:pt>
              </c:strCache>
            </c:strRef>
          </c:cat>
          <c:val>
            <c:numRef>
              <c:f>Sheet1!$B$2:$B$3</c:f>
              <c:numCache>
                <c:formatCode>General</c:formatCode>
                <c:ptCount val="2"/>
                <c:pt idx="0">
                  <c:v>1408.0365707999999</c:v>
                </c:pt>
                <c:pt idx="1">
                  <c:v>1174.1454471</c:v>
                </c:pt>
              </c:numCache>
            </c:numRef>
          </c:val>
          <c:smooth val="0"/>
          <c:extLst>
            <c:ext xmlns:c16="http://schemas.microsoft.com/office/drawing/2014/chart" uri="{C3380CC4-5D6E-409C-BE32-E72D297353CC}">
              <c16:uniqueId val="{00000000-05B1-3540-AD36-C0DB253DAF95}"/>
            </c:ext>
          </c:extLst>
        </c:ser>
        <c:ser>
          <c:idx val="1"/>
          <c:order val="1"/>
          <c:tx>
            <c:strRef>
              <c:f>Sheet1!$C$1</c:f>
              <c:strCache>
                <c:ptCount val="1"/>
                <c:pt idx="0">
                  <c:v>Bilinguals</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dPt>
            <c:idx val="1"/>
            <c:marker>
              <c:symbol val="circle"/>
              <c:size val="5"/>
              <c:spPr>
                <a:solidFill>
                  <a:schemeClr val="dk1">
                    <a:tint val="55000"/>
                  </a:schemeClr>
                </a:solidFill>
                <a:ln w="9525">
                  <a:solidFill>
                    <a:schemeClr val="dk1">
                      <a:tint val="55000"/>
                    </a:schemeClr>
                  </a:solidFill>
                </a:ln>
                <a:effectLst/>
              </c:spPr>
            </c:marker>
            <c:bubble3D val="0"/>
            <c:extLst>
              <c:ext xmlns:c16="http://schemas.microsoft.com/office/drawing/2014/chart" uri="{C3380CC4-5D6E-409C-BE32-E72D297353CC}">
                <c16:uniqueId val="{00000001-05B1-3540-AD36-C0DB253DAF95}"/>
              </c:ext>
            </c:extLst>
          </c:dPt>
          <c:cat>
            <c:strRef>
              <c:f>Sheet1!$A$2:$A$3</c:f>
              <c:strCache>
                <c:ptCount val="2"/>
                <c:pt idx="0">
                  <c:v>Wave 2</c:v>
                </c:pt>
                <c:pt idx="1">
                  <c:v>Wave 3</c:v>
                </c:pt>
              </c:strCache>
            </c:strRef>
          </c:cat>
          <c:val>
            <c:numRef>
              <c:f>Sheet1!$C$2:$C$3</c:f>
              <c:numCache>
                <c:formatCode>General</c:formatCode>
                <c:ptCount val="2"/>
                <c:pt idx="0">
                  <c:v>1290.1728465000001</c:v>
                </c:pt>
                <c:pt idx="1">
                  <c:v>1246.3194154</c:v>
                </c:pt>
              </c:numCache>
            </c:numRef>
          </c:val>
          <c:smooth val="0"/>
          <c:extLst>
            <c:ext xmlns:c16="http://schemas.microsoft.com/office/drawing/2014/chart" uri="{C3380CC4-5D6E-409C-BE32-E72D297353CC}">
              <c16:uniqueId val="{00000002-05B1-3540-AD36-C0DB253DAF95}"/>
            </c:ext>
          </c:extLst>
        </c:ser>
        <c:dLbls>
          <c:showLegendKey val="0"/>
          <c:showVal val="0"/>
          <c:showCatName val="0"/>
          <c:showSerName val="0"/>
          <c:showPercent val="0"/>
          <c:showBubbleSize val="0"/>
        </c:dLbls>
        <c:marker val="1"/>
        <c:smooth val="0"/>
        <c:axId val="123383839"/>
        <c:axId val="123386159"/>
      </c:lineChart>
      <c:catAx>
        <c:axId val="12338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NL"/>
          </a:p>
        </c:txPr>
        <c:crossAx val="123386159"/>
        <c:crosses val="autoZero"/>
        <c:auto val="1"/>
        <c:lblAlgn val="ctr"/>
        <c:lblOffset val="100"/>
        <c:noMultiLvlLbl val="0"/>
      </c:catAx>
      <c:valAx>
        <c:axId val="12338615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NL"/>
          </a:p>
        </c:txPr>
        <c:crossAx val="123383839"/>
        <c:crossesAt val="1"/>
        <c:crossBetween val="between"/>
      </c:valAx>
      <c:spPr>
        <a:noFill/>
        <a:ln>
          <a:noFill/>
        </a:ln>
        <a:effectLst/>
      </c:spPr>
    </c:plotArea>
    <c:legend>
      <c:legendPos val="b"/>
      <c:layout>
        <c:manualLayout>
          <c:xMode val="edge"/>
          <c:yMode val="edge"/>
          <c:x val="0.50375796992893296"/>
          <c:y val="0.14848073285532043"/>
          <c:w val="0.4529513857171566"/>
          <c:h val="0.1392287643513834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solidFill>
            <a:schemeClr val="tx1"/>
          </a:solidFill>
        </a:defRPr>
      </a:pPr>
      <a:endParaRPr lang="en-NL"/>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5947</Words>
  <Characters>33903</Characters>
  <Application>Microsoft Office Word</Application>
  <DocSecurity>0</DocSecurity>
  <Lines>282</Lines>
  <Paragraphs>79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39771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Nardine Adriaansen</dc:creator>
  <cp:keywords/>
  <dc:description/>
  <cp:lastModifiedBy>Nardine Adriaansen</cp:lastModifiedBy>
  <cp:revision>6</cp:revision>
  <dcterms:created xsi:type="dcterms:W3CDTF">2025-05-28T10:13:00Z</dcterms:created>
  <dcterms:modified xsi:type="dcterms:W3CDTF">2025-05-28T10:28:00Z</dcterms:modified>
</cp:coreProperties>
</file>