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51571027"/>
        <w:docPartObj>
          <w:docPartGallery w:val="Cover Pages"/>
          <w:docPartUnique/>
        </w:docPartObj>
      </w:sdtPr>
      <w:sdtEndPr/>
      <w:sdtContent>
        <w:p w14:paraId="40B11E0C" w14:textId="68BB1C1F" w:rsidR="003A787D" w:rsidRDefault="003A787D">
          <w:r>
            <w:rPr>
              <w:noProof/>
            </w:rPr>
            <w:drawing>
              <wp:anchor distT="0" distB="0" distL="114300" distR="114300" simplePos="0" relativeHeight="251657215" behindDoc="0" locked="0" layoutInCell="1" allowOverlap="1" wp14:anchorId="36DD8ADC" wp14:editId="79F918F4">
                <wp:simplePos x="0" y="0"/>
                <wp:positionH relativeFrom="margin">
                  <wp:posOffset>-2008505</wp:posOffset>
                </wp:positionH>
                <wp:positionV relativeFrom="margin">
                  <wp:posOffset>1005840</wp:posOffset>
                </wp:positionV>
                <wp:extent cx="9799320" cy="6857365"/>
                <wp:effectExtent l="4127"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l="1749" t="3384" r="94" b="5423"/>
                        <a:stretch/>
                      </pic:blipFill>
                      <pic:spPr bwMode="auto">
                        <a:xfrm rot="5400000">
                          <a:off x="0" y="0"/>
                          <a:ext cx="9799320" cy="6857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77254C32" wp14:editId="6CE90A8E">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65DA8FB8" w14:textId="616F0D5D" w:rsidR="003A787D" w:rsidRDefault="00F80144">
                                <w:pPr>
                                  <w:pStyle w:val="Geenafstand"/>
                                  <w:rPr>
                                    <w:color w:val="44546A" w:themeColor="text2"/>
                                  </w:rPr>
                                </w:pPr>
                                <w:sdt>
                                  <w:sdtPr>
                                    <w:rPr>
                                      <w:color w:val="44546A"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r w:rsidR="003A787D">
                                      <w:rPr>
                                        <w:color w:val="44546A" w:themeColor="text2"/>
                                      </w:rPr>
                                      <w:t>Jacco Bakx</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77254C32" id="_x0000_t202" coordsize="21600,21600" o:spt="202" path="m,l,21600r21600,l21600,xe">
                    <v:stroke joinstyle="miter"/>
                    <v:path gradientshapeok="t" o:connecttype="rect"/>
                  </v:shapetype>
                  <v:shape id="Tekstvak 465" o:spid="_x0000_s1026" type="#_x0000_t202" style="position:absolute;margin-left:0;margin-top:0;width:220.3pt;height:21.15pt;z-index:251683840;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" filled="f" stroked="f" strokeweight=".5pt">
                    <v:textbox style="mso-fit-shape-to-text:t">
                      <w:txbxContent>
                        <w:p w14:paraId="65DA8FB8" w14:textId="616F0D5D" w:rsidR="003A787D" w:rsidRDefault="009F0176">
                          <w:pPr>
                            <w:pStyle w:val="Geenafstand"/>
                            <w:rPr>
                              <w:color w:val="44546A" w:themeColor="text2"/>
                            </w:rPr>
                          </w:pPr>
                          <w:sdt>
                            <w:sdtPr>
                              <w:rPr>
                                <w:color w:val="44546A"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r w:rsidR="003A787D">
                                <w:rPr>
                                  <w:color w:val="44546A" w:themeColor="text2"/>
                                </w:rPr>
                                <w:t>Jacco Bakx</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4346D51C" wp14:editId="0F6A5FD4">
                    <wp:simplePos x="0" y="0"/>
                    <wp:positionH relativeFrom="page">
                      <wp:align>center</wp:align>
                    </wp:positionH>
                    <wp:positionV relativeFrom="page">
                      <wp:align>center</wp:align>
                    </wp:positionV>
                    <wp:extent cx="7383780" cy="9555480"/>
                    <wp:effectExtent l="0" t="0" r="7620" b="762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FE8B8C6" w14:textId="77777777" w:rsidR="003A787D" w:rsidRDefault="003A787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346D51C" id="Rechthoek 466" o:spid="_x0000_s1027" style="position:absolute;margin-left:0;margin-top:0;width:581.4pt;height:752.4pt;z-index:-2516336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" fillcolor="#d9e2f3 [660]" stroked="f" strokeweight="1pt">
                    <v:fill color2="#8eaadb [1940]" rotate="t" focus="100%" type="gradient">
                      <o:fill v:ext="view" type="gradientUnscaled"/>
                    </v:fill>
                    <v:textbox inset="21.6pt,,21.6pt">
                      <w:txbxContent>
                        <w:p w14:paraId="7FE8B8C6" w14:textId="77777777" w:rsidR="003A787D" w:rsidRDefault="003A787D"/>
                      </w:txbxContent>
                    </v:textbox>
                    <w10:wrap anchorx="page" anchory="page"/>
                  </v:rect>
                </w:pict>
              </mc:Fallback>
            </mc:AlternateContent>
          </w:r>
          <w:r>
            <w:rPr>
              <w:noProof/>
            </w:rPr>
            <mc:AlternateContent>
              <mc:Choice Requires="wps">
                <w:drawing>
                  <wp:anchor distT="0" distB="0" distL="114300" distR="114300" simplePos="0" relativeHeight="251679744" behindDoc="0" locked="0" layoutInCell="1" allowOverlap="1" wp14:anchorId="7EEAF485" wp14:editId="16B38E7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hthoe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0D3C0" w14:textId="0476FFE5" w:rsidR="003A787D" w:rsidRPr="005D1407" w:rsidRDefault="00F80144">
                                <w:pPr>
                                  <w:spacing w:before="240"/>
                                  <w:jc w:val="center"/>
                                  <w:rPr>
                                    <w:color w:val="FFFFFF" w:themeColor="background1"/>
                                  </w:rPr>
                                </w:pPr>
                                <w:sdt>
                                  <w:sdtPr>
                                    <w:rPr>
                                      <w:color w:val="FFFFFF" w:themeColor="background1"/>
                                    </w:rPr>
                                    <w:alias w:val="Samenvatting"/>
                                    <w:id w:val="8276291"/>
                                    <w:dataBinding w:prefixMappings="xmlns:ns0='http://schemas.microsoft.com/office/2006/coverPageProps'" w:xpath="/ns0:CoverPageProperties[1]/ns0:Abstract[1]" w:storeItemID="{55AF091B-3C7A-41E3-B477-F2FDAA23CFDA}"/>
                                    <w:text/>
                                  </w:sdtPr>
                                  <w:sdtEndPr/>
                                  <w:sdtContent>
                                    <w:r w:rsidR="005D1407">
                                      <w:rPr>
                                        <w:color w:val="FFFFFF" w:themeColor="background1"/>
                                      </w:rPr>
                                      <w:t>An attempt to elucidate the mechanisms behind the generation of non-canonical peptides through protein electroporation</w:t>
                                    </w:r>
                                    <w:r w:rsidR="00602849">
                                      <w:rPr>
                                        <w:color w:val="FFFFFF" w:themeColor="background1"/>
                                      </w:rPr>
                                      <w:t>, using the B3Z cellular reporter assay</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7EEAF485" id="Rechthoek 467" o:spid="_x0000_s1028" style="position:absolute;margin-left:0;margin-top:0;width:226.45pt;height:237.6pt;z-index:251679744;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" fillcolor="#44546a [3215]" stroked="f" strokeweight="1pt">
                    <v:textbox inset="14.4pt,14.4pt,14.4pt,28.8pt">
                      <w:txbxContent>
                        <w:p w14:paraId="5590D3C0" w14:textId="0476FFE5" w:rsidR="003A787D" w:rsidRPr="005D1407" w:rsidRDefault="009F0176">
                          <w:pPr>
                            <w:spacing w:before="240"/>
                            <w:jc w:val="center"/>
                            <w:rPr>
                              <w:color w:val="FFFFFF" w:themeColor="background1"/>
                            </w:rPr>
                          </w:pPr>
                          <w:sdt>
                            <w:sdtPr>
                              <w:rPr>
                                <w:color w:val="FFFFFF" w:themeColor="background1"/>
                              </w:rPr>
                              <w:alias w:val="Samenvatting"/>
                              <w:id w:val="8276291"/>
                              <w:dataBinding w:prefixMappings="xmlns:ns0='http://schemas.microsoft.com/office/2006/coverPageProps'" w:xpath="/ns0:CoverPageProperties[1]/ns0:Abstract[1]" w:storeItemID="{55AF091B-3C7A-41E3-B477-F2FDAA23CFDA}"/>
                              <w:text/>
                            </w:sdtPr>
                            <w:sdtEndPr/>
                            <w:sdtContent>
                              <w:r w:rsidR="005D1407">
                                <w:rPr>
                                  <w:color w:val="FFFFFF" w:themeColor="background1"/>
                                </w:rPr>
                                <w:t>An attempt to elucidate the mechanisms behind the generation of non-canonical peptides through protein electroporation</w:t>
                              </w:r>
                              <w:r w:rsidR="00602849">
                                <w:rPr>
                                  <w:color w:val="FFFFFF" w:themeColor="background1"/>
                                </w:rPr>
                                <w:t>, using the B3Z cellular reporter assay</w:t>
                              </w:r>
                            </w:sdtContent>
                          </w:sdt>
                        </w:p>
                      </w:txbxContent>
                    </v:textbox>
                    <w10:wrap anchorx="page" anchory="page"/>
                  </v:rect>
                </w:pict>
              </mc:Fallback>
            </mc:AlternateContent>
          </w:r>
          <w:r>
            <w:rPr>
              <w:noProof/>
            </w:rPr>
            <mc:AlternateContent>
              <mc:Choice Requires="wps">
                <w:drawing>
                  <wp:anchor distT="0" distB="0" distL="114300" distR="114300" simplePos="0" relativeHeight="251678720" behindDoc="0" locked="0" layoutInCell="1" allowOverlap="1" wp14:anchorId="016D910D" wp14:editId="63625213">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hthoe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6E29AD0D" id="Rechthoek 468" o:spid="_x0000_s1026" style="position:absolute;margin-left:0;margin-top:0;width:244.8pt;height:554.4pt;z-index:251678720;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681792" behindDoc="0" locked="0" layoutInCell="1" allowOverlap="1" wp14:anchorId="4DF37F24" wp14:editId="11615E06">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hthoe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103515D" id="Rechthoek 469" o:spid="_x0000_s1026" style="position:absolute;margin-left:0;margin-top:0;width:226.45pt;height:9.35pt;z-index:251681792;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RPc/oEC&#10;AABVBQAADgAAAAAAAAAAAAAAAAAuAgAAZHJzL2Uyb0RvYy54bWxQSwECLQAUAAYACAAAACEA3yma&#10;JN0AAAAEAQAADwAAAAAAAAAAAAAAAADbBAAAZHJzL2Rvd25yZXYueG1sUEsFBgAAAAAEAAQA8wAA&#10;AOUFAAAAAA==&#10;" fillcolor="#4472c4 [3204]" stroked="f" strokeweight="1pt">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5F60CCC4" wp14:editId="1F9C6B13">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4472C4" w:themeColor="accent1"/>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14:paraId="31A8DA61" w14:textId="52739868" w:rsidR="003A787D" w:rsidRPr="005D1407" w:rsidRDefault="00A54174">
                                    <w:pPr>
                                      <w:spacing w:line="240" w:lineRule="auto"/>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72"/>
                                        <w:szCs w:val="72"/>
                                      </w:rPr>
                                      <w:t>Proteasome Catalysed Peptide Splicing</w:t>
                                    </w:r>
                                  </w:p>
                                </w:sdtContent>
                              </w:sdt>
                              <w:sdt>
                                <w:sdtPr>
                                  <w:rPr>
                                    <w:rFonts w:asciiTheme="majorHAnsi" w:eastAsiaTheme="majorEastAsia" w:hAnsiTheme="majorHAnsi" w:cstheme="majorHAnsi"/>
                                    <w:color w:val="44546A" w:themeColor="text2"/>
                                    <w:sz w:val="28"/>
                                    <w:szCs w:val="28"/>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p w14:paraId="35CE7A2E" w14:textId="3348156D" w:rsidR="003A787D" w:rsidRPr="00152249" w:rsidRDefault="0021296A">
                                    <w:pPr>
                                      <w:rPr>
                                        <w:rFonts w:asciiTheme="majorHAnsi" w:eastAsiaTheme="majorEastAsia" w:hAnsiTheme="majorHAnsi" w:cstheme="majorHAnsi"/>
                                        <w:color w:val="44546A" w:themeColor="text2"/>
                                        <w:sz w:val="32"/>
                                        <w:szCs w:val="32"/>
                                      </w:rPr>
                                    </w:pPr>
                                    <w:r w:rsidRPr="0021296A">
                                      <w:rPr>
                                        <w:rFonts w:asciiTheme="majorHAnsi" w:eastAsiaTheme="majorEastAsia" w:hAnsiTheme="majorHAnsi" w:cstheme="majorHAnsi"/>
                                        <w:color w:val="44546A" w:themeColor="text2"/>
                                        <w:sz w:val="28"/>
                                        <w:szCs w:val="28"/>
                                      </w:rPr>
                                      <w:t xml:space="preserve">How studying proteasome arts and crafts can increase our understanding of </w:t>
                                    </w:r>
                                    <w:r>
                                      <w:rPr>
                                        <w:rFonts w:asciiTheme="majorHAnsi" w:eastAsiaTheme="majorEastAsia" w:hAnsiTheme="majorHAnsi" w:cstheme="majorHAnsi"/>
                                        <w:color w:val="44546A" w:themeColor="text2"/>
                                        <w:sz w:val="28"/>
                                        <w:szCs w:val="28"/>
                                      </w:rPr>
                                      <w:t>epitope generation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5F60CCC4" id="Tekstvak 470" o:spid="_x0000_s1029" type="#_x0000_t202" style="position:absolute;margin-left:0;margin-top:0;width:220.3pt;height:194.9pt;z-index:251680768;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" filled="f" stroked="f" strokeweight=".5pt">
                    <v:textbox style="mso-fit-shape-to-text:t">
                      <w:txbxContent>
                        <w:sdt>
                          <w:sdtPr>
                            <w:rPr>
                              <w:rFonts w:asciiTheme="majorHAnsi" w:eastAsiaTheme="majorEastAsia" w:hAnsiTheme="majorHAnsi" w:cstheme="majorBidi"/>
                              <w:color w:val="4472C4" w:themeColor="accent1"/>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14:paraId="31A8DA61" w14:textId="52739868" w:rsidR="003A787D" w:rsidRPr="005D1407" w:rsidRDefault="00A54174">
                              <w:pPr>
                                <w:spacing w:line="240" w:lineRule="auto"/>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72"/>
                                  <w:szCs w:val="72"/>
                                </w:rPr>
                                <w:t>Proteasome Catalysed Peptide Splicing</w:t>
                              </w:r>
                            </w:p>
                          </w:sdtContent>
                        </w:sdt>
                        <w:sdt>
                          <w:sdtPr>
                            <w:rPr>
                              <w:rFonts w:asciiTheme="majorHAnsi" w:eastAsiaTheme="majorEastAsia" w:hAnsiTheme="majorHAnsi" w:cstheme="majorHAnsi"/>
                              <w:color w:val="44546A" w:themeColor="text2"/>
                              <w:sz w:val="28"/>
                              <w:szCs w:val="28"/>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p w14:paraId="35CE7A2E" w14:textId="3348156D" w:rsidR="003A787D" w:rsidRPr="00152249" w:rsidRDefault="0021296A">
                              <w:pPr>
                                <w:rPr>
                                  <w:rFonts w:asciiTheme="majorHAnsi" w:eastAsiaTheme="majorEastAsia" w:hAnsiTheme="majorHAnsi" w:cstheme="majorHAnsi"/>
                                  <w:color w:val="44546A" w:themeColor="text2"/>
                                  <w:sz w:val="32"/>
                                  <w:szCs w:val="32"/>
                                </w:rPr>
                              </w:pPr>
                              <w:r w:rsidRPr="0021296A">
                                <w:rPr>
                                  <w:rFonts w:asciiTheme="majorHAnsi" w:eastAsiaTheme="majorEastAsia" w:hAnsiTheme="majorHAnsi" w:cstheme="majorHAnsi"/>
                                  <w:color w:val="44546A" w:themeColor="text2"/>
                                  <w:sz w:val="28"/>
                                  <w:szCs w:val="28"/>
                                </w:rPr>
                                <w:t xml:space="preserve">How studying proteasome arts and crafts can increase our understanding of </w:t>
                              </w:r>
                              <w:r>
                                <w:rPr>
                                  <w:rFonts w:asciiTheme="majorHAnsi" w:eastAsiaTheme="majorEastAsia" w:hAnsiTheme="majorHAnsi" w:cstheme="majorHAnsi"/>
                                  <w:color w:val="44546A" w:themeColor="text2"/>
                                  <w:sz w:val="28"/>
                                  <w:szCs w:val="28"/>
                                </w:rPr>
                                <w:t>epitope generation</w:t>
                              </w:r>
                            </w:p>
                          </w:sdtContent>
                        </w:sdt>
                      </w:txbxContent>
                    </v:textbox>
                    <w10:wrap type="square" anchorx="page" anchory="page"/>
                  </v:shape>
                </w:pict>
              </mc:Fallback>
            </mc:AlternateContent>
          </w:r>
        </w:p>
      </w:sdtContent>
    </w:sdt>
    <w:p w14:paraId="51B616B3" w14:textId="77777777" w:rsidR="00794E78" w:rsidRDefault="00794E78" w:rsidP="00794E78">
      <w:pPr>
        <w:pStyle w:val="Kop1"/>
      </w:pPr>
      <w:bookmarkStart w:id="0" w:name="_Toc85744680"/>
      <w:r>
        <w:lastRenderedPageBreak/>
        <w:t>Abstract</w:t>
      </w:r>
      <w:bookmarkEnd w:id="0"/>
    </w:p>
    <w:p w14:paraId="5F1518A2" w14:textId="54C6690D" w:rsidR="00794E78" w:rsidRPr="006F76D0" w:rsidRDefault="00685ABA">
      <w:r>
        <w:t xml:space="preserve">The proteasome, through its generation of immunogenic peptides, plays an essential role in the defence against pathogens and tumours. However, recently it has become clear that </w:t>
      </w:r>
      <w:r w:rsidR="005F0639">
        <w:t xml:space="preserve">certain </w:t>
      </w:r>
      <w:r>
        <w:t xml:space="preserve">peptides </w:t>
      </w:r>
      <w:r w:rsidR="005F0639">
        <w:t>presented on the cell surface have</w:t>
      </w:r>
      <w:r>
        <w:t xml:space="preserve"> no </w:t>
      </w:r>
      <w:r w:rsidR="006F76D0">
        <w:t>corresponding sequence</w:t>
      </w:r>
      <w:r>
        <w:t xml:space="preserve"> in the genome, </w:t>
      </w:r>
      <w:r w:rsidR="005F0639">
        <w:t>dubbed</w:t>
      </w:r>
      <w:r>
        <w:t xml:space="preserve"> non-canonical peptides. </w:t>
      </w:r>
      <w:r w:rsidR="00F662C5">
        <w:t>As of now, u</w:t>
      </w:r>
      <w:r w:rsidR="006F76D0">
        <w:t>ncertainty of the origin behind these peptides still exists</w:t>
      </w:r>
      <w:r w:rsidR="00F662C5">
        <w:t xml:space="preserve">, with theories ranging from translation of (previously thought) untranslated regions of the genome to post-translational RNA </w:t>
      </w:r>
      <w:r w:rsidR="00E15A66">
        <w:t>modifications</w:t>
      </w:r>
      <w:r w:rsidR="00F662C5">
        <w:t xml:space="preserve">. </w:t>
      </w:r>
      <w:r w:rsidR="00E15A66">
        <w:t xml:space="preserve">In this research, we will further explore one such theory, called Proteasome Catalysed Peptide Splicing, where the proteasome splices fuses a non-contiguous sequence into a new peptide. </w:t>
      </w:r>
      <w:r w:rsidR="00F662C5">
        <w:t xml:space="preserve">To circumvent the usual protein production pathway in which these peptides can arise, we produced protein in </w:t>
      </w:r>
      <w:r w:rsidR="00F662C5">
        <w:rPr>
          <w:i/>
          <w:iCs/>
        </w:rPr>
        <w:t>Escherichia coli</w:t>
      </w:r>
      <w:r w:rsidR="00F662C5">
        <w:t xml:space="preserve"> and, after thorough purification, were able to successfully introduce it into cells. </w:t>
      </w:r>
      <w:r w:rsidR="005F0639">
        <w:t>Subsequently</w:t>
      </w:r>
      <w:r w:rsidR="006F76D0">
        <w:t xml:space="preserve">, </w:t>
      </w:r>
      <w:r w:rsidR="00F662C5">
        <w:t xml:space="preserve">we inserted a reporter peptide in its contiguous or split </w:t>
      </w:r>
      <w:r w:rsidR="00AB08EC">
        <w:t>form</w:t>
      </w:r>
      <w:r w:rsidR="00F662C5">
        <w:t xml:space="preserve">(peptide divided in two using three intervening amino acids) in a </w:t>
      </w:r>
      <w:r w:rsidR="00F662C5">
        <w:rPr>
          <w:i/>
          <w:iCs/>
        </w:rPr>
        <w:t>Listeria monocytogenes</w:t>
      </w:r>
      <w:r w:rsidR="00F662C5">
        <w:t xml:space="preserve"> derived protein. Through the use of</w:t>
      </w:r>
      <w:r w:rsidR="006F76D0">
        <w:t xml:space="preserve"> </w:t>
      </w:r>
      <w:r w:rsidR="005F0639">
        <w:t xml:space="preserve">a reporter cell line able to recognize the </w:t>
      </w:r>
      <w:r w:rsidR="00F662C5">
        <w:t>contiguous</w:t>
      </w:r>
      <w:r w:rsidR="005F0639">
        <w:t xml:space="preserve"> version of this peptide</w:t>
      </w:r>
      <w:r w:rsidR="006F76D0">
        <w:t xml:space="preserve">, we have been </w:t>
      </w:r>
      <w:r w:rsidR="00AB08EC">
        <w:t>showed</w:t>
      </w:r>
      <w:r w:rsidR="006F76D0">
        <w:t xml:space="preserve"> that a peptide not originally present in the protein </w:t>
      </w:r>
      <w:r w:rsidR="00AB08EC">
        <w:t>can</w:t>
      </w:r>
      <w:r w:rsidR="006F76D0">
        <w:t xml:space="preserve"> be </w:t>
      </w:r>
      <w:r w:rsidR="003C2A7D">
        <w:t>found</w:t>
      </w:r>
      <w:r w:rsidR="006F76D0">
        <w:t xml:space="preserve"> on the cell surface. </w:t>
      </w:r>
      <w:r w:rsidR="003C2A7D">
        <w:t xml:space="preserve">Based on these results, we </w:t>
      </w:r>
      <w:r w:rsidR="006F76D0">
        <w:t>conclude t</w:t>
      </w:r>
      <w:r w:rsidR="003C2A7D">
        <w:t xml:space="preserve">his technique </w:t>
      </w:r>
      <w:r w:rsidR="00696F15">
        <w:t>is a viable alternative to express proteins intracellularly</w:t>
      </w:r>
      <w:r w:rsidR="005F0639">
        <w:t xml:space="preserve"> and that this protein </w:t>
      </w:r>
      <w:r w:rsidR="00AB08EC">
        <w:t>can</w:t>
      </w:r>
      <w:r w:rsidR="005F0639">
        <w:t xml:space="preserve"> be processed by the proteasome</w:t>
      </w:r>
      <w:r w:rsidR="00696F15">
        <w:t xml:space="preserve">. </w:t>
      </w:r>
      <w:r w:rsidR="00A46785">
        <w:t>Subsequently</w:t>
      </w:r>
      <w:r w:rsidR="00696F15">
        <w:t>, we</w:t>
      </w:r>
      <w:r w:rsidR="00A46785">
        <w:t xml:space="preserve"> also</w:t>
      </w:r>
      <w:r w:rsidR="00696F15">
        <w:t xml:space="preserve"> conclude that </w:t>
      </w:r>
      <w:r w:rsidR="00AB08EC">
        <w:t>n</w:t>
      </w:r>
      <w:r w:rsidR="003C2A7D">
        <w:t>on-canonical peptides can be generated from a solely protein-based source</w:t>
      </w:r>
      <w:r w:rsidR="00E15A66">
        <w:t>.</w:t>
      </w:r>
      <w:r w:rsidR="00794E78">
        <w:br w:type="page"/>
      </w:r>
    </w:p>
    <w:p w14:paraId="7C14576B" w14:textId="77777777" w:rsidR="00794E78" w:rsidRDefault="00794E78" w:rsidP="00794E78">
      <w:pPr>
        <w:pStyle w:val="Kop1"/>
      </w:pPr>
      <w:bookmarkStart w:id="1" w:name="_Toc85744681"/>
      <w:r>
        <w:lastRenderedPageBreak/>
        <w:t>Laymen’s summary</w:t>
      </w:r>
      <w:bookmarkEnd w:id="1"/>
    </w:p>
    <w:p w14:paraId="51F2B46F" w14:textId="77777777" w:rsidR="00B70E51" w:rsidRDefault="00D63519" w:rsidP="00D63519">
      <w:r>
        <w:t>In order to fight off pathogens and tumours, the body makes a lot of use of little pieces of information called peptides, which can be derived from proteins in a cell. By using the proteasome, a molecular scissor inside the cell, the body can cut up these proteins and present them on a silver platter on the cell surface, also known as the MHC molecules. From there, it can be recognized by immune cells in the body and a fitting reaction can take place, such as the production of antibodies or the killing of tumour cells.</w:t>
      </w:r>
      <w:r w:rsidR="000036F8">
        <w:t xml:space="preserve"> This</w:t>
      </w:r>
      <w:r w:rsidR="00B70E51">
        <w:t xml:space="preserve"> creates a system where there is continuous sampling of the waste products of the cells and allows the body to respond to unknown peptides in a quick and specific matter.</w:t>
      </w:r>
    </w:p>
    <w:p w14:paraId="27A82546" w14:textId="4F32CFFA" w:rsidR="00D63519" w:rsidRDefault="00D63519" w:rsidP="00D63519">
      <w:r>
        <w:t>Interestingly, it has been discovered that peptides exist that are not made from simply cutting up existing proteins</w:t>
      </w:r>
      <w:r w:rsidR="004E2244">
        <w:t>, called non-canonical peptides</w:t>
      </w:r>
      <w:r>
        <w:t>. So far it has been unclear what the actual mechanism behind the generation of these peptides is, although possible origins have been proposed</w:t>
      </w:r>
      <w:r w:rsidR="005973F6">
        <w:t>.</w:t>
      </w:r>
      <w:r w:rsidR="000036F8">
        <w:t xml:space="preserve"> </w:t>
      </w:r>
      <w:r w:rsidR="00F56A88">
        <w:t>Most theories propose that these peptides are cut from proteins made from faulty blueprints, which normally should not be present.</w:t>
      </w:r>
    </w:p>
    <w:p w14:paraId="49FFDF42" w14:textId="61E188F0" w:rsidR="004E2244" w:rsidRPr="004E2244" w:rsidRDefault="00D63519" w:rsidP="00D63519">
      <w:r>
        <w:t>In this report, one such origin will be explored, the so-called Proteasome Catalysed Peptide Splicing</w:t>
      </w:r>
      <w:r w:rsidR="004E2244">
        <w:t xml:space="preserve"> (PCPS)</w:t>
      </w:r>
      <w:r>
        <w:t xml:space="preserve">. According to this theory, the proteasome does not simply cut all the different proteins, but is also able to paste distant regions of the </w:t>
      </w:r>
      <w:r w:rsidR="004E2244">
        <w:t>protein together to create new peptides. To achieve this, we took a protein that was known to produce non-canonical peptides and replaced that part with a widely used reporter peptide (SIINFEKL, derived from egg white proteins), that was either complete or split into two parts (split SIIN/FEKL). These proteins could then be produced inside bacteria and could be purifi</w:t>
      </w:r>
      <w:r w:rsidR="00F56A88">
        <w:t>ed after, allowing us to use them in further experiments</w:t>
      </w:r>
      <w:r w:rsidR="004E2244">
        <w:t>.</w:t>
      </w:r>
    </w:p>
    <w:p w14:paraId="6FC3B43F" w14:textId="28606E58" w:rsidR="004E2244" w:rsidRDefault="004E2244" w:rsidP="00D63519">
      <w:r>
        <w:t xml:space="preserve">Subsequently, we transferred this protein into a cell by giving it electric shocks. After giving the cells time to recover and process the proteins, we then used a reporter cell that could recognize (non-split) SIINFEKL. Afterwards, we could then compare the cells </w:t>
      </w:r>
      <w:r w:rsidR="00F56A88">
        <w:t>that we gave</w:t>
      </w:r>
      <w:r>
        <w:t xml:space="preserve"> SIINFEKL</w:t>
      </w:r>
      <w:r w:rsidR="00F56A88">
        <w:t>-containing proteins</w:t>
      </w:r>
      <w:r>
        <w:t>, split SIINFEKL</w:t>
      </w:r>
      <w:r w:rsidR="00F56A88">
        <w:t>-containing proteins</w:t>
      </w:r>
      <w:r>
        <w:t xml:space="preserve"> or proteins containing neither.</w:t>
      </w:r>
    </w:p>
    <w:p w14:paraId="25083DDE" w14:textId="77777777" w:rsidR="004E2244" w:rsidRDefault="004E2244" w:rsidP="00D63519">
      <w:r>
        <w:t xml:space="preserve">Using this method, we were able to efficiently bring proteins that were produced in bacteria into mammalian cells. Additionally, we saw a presence of non-split SIINFEKL in cells that we only electroporated with split SIINFEKL. From this, we concluded that the proteasome could indeed paste distant parts of proteins together through PCPS. </w:t>
      </w:r>
    </w:p>
    <w:p w14:paraId="0E4C86B5" w14:textId="38D6A807" w:rsidR="008C3E43" w:rsidRPr="008208B6" w:rsidRDefault="004E2244" w:rsidP="00D63519">
      <w:r>
        <w:t>By modifying parts of the model protein, we can further study the mechanism behind PCPS</w:t>
      </w:r>
      <w:r w:rsidR="00031DE1">
        <w:t xml:space="preserve"> in future experiments. By better understanding the way in which these non-canonical peptides are produced, we can more accurately predict in the future which peptides can be generated from a given protein. In turn, this will allow us to make better vaccines against pathogens and even tumour cells.</w:t>
      </w:r>
      <w:r w:rsidR="008C3E43" w:rsidRPr="008208B6">
        <w:br w:type="page"/>
      </w:r>
    </w:p>
    <w:sdt>
      <w:sdtPr>
        <w:rPr>
          <w:rFonts w:asciiTheme="minorHAnsi" w:eastAsiaTheme="minorHAnsi" w:hAnsiTheme="minorHAnsi" w:cstheme="minorBidi"/>
          <w:color w:val="auto"/>
          <w:sz w:val="22"/>
          <w:szCs w:val="22"/>
          <w:lang w:eastAsia="en-US"/>
        </w:rPr>
        <w:id w:val="1725178592"/>
        <w:docPartObj>
          <w:docPartGallery w:val="Table of Contents"/>
          <w:docPartUnique/>
        </w:docPartObj>
      </w:sdtPr>
      <w:sdtEndPr>
        <w:rPr>
          <w:b/>
          <w:bCs/>
        </w:rPr>
      </w:sdtEndPr>
      <w:sdtContent>
        <w:p w14:paraId="7A6F8B87" w14:textId="333E55E5" w:rsidR="008C3E43" w:rsidRPr="008208B6" w:rsidRDefault="008C3E43">
          <w:pPr>
            <w:pStyle w:val="Kopvaninhoudsopgave"/>
          </w:pPr>
          <w:r w:rsidRPr="008208B6">
            <w:t>Table of contents</w:t>
          </w:r>
        </w:p>
        <w:p w14:paraId="10D40543" w14:textId="28361CE3" w:rsidR="00DC5BB7" w:rsidRDefault="008C3E43">
          <w:pPr>
            <w:pStyle w:val="Inhopg1"/>
            <w:tabs>
              <w:tab w:val="right" w:leader="dot" w:pos="9062"/>
            </w:tabs>
            <w:rPr>
              <w:rFonts w:eastAsiaTheme="minorEastAsia"/>
              <w:noProof/>
              <w:lang w:eastAsia="en-GB"/>
            </w:rPr>
          </w:pPr>
          <w:r w:rsidRPr="008208B6">
            <w:fldChar w:fldCharType="begin"/>
          </w:r>
          <w:r w:rsidRPr="008208B6">
            <w:instrText xml:space="preserve"> TOC \o "1-3" \h \z \u </w:instrText>
          </w:r>
          <w:r w:rsidRPr="008208B6">
            <w:fldChar w:fldCharType="separate"/>
          </w:r>
          <w:hyperlink w:anchor="_Toc85744680" w:history="1">
            <w:r w:rsidR="00DC5BB7" w:rsidRPr="00DC40F4">
              <w:rPr>
                <w:rStyle w:val="Hyperlink"/>
                <w:noProof/>
              </w:rPr>
              <w:t>Abstract</w:t>
            </w:r>
            <w:r w:rsidR="00DC5BB7">
              <w:rPr>
                <w:noProof/>
                <w:webHidden/>
              </w:rPr>
              <w:tab/>
            </w:r>
            <w:r w:rsidR="00DC5BB7">
              <w:rPr>
                <w:noProof/>
                <w:webHidden/>
              </w:rPr>
              <w:fldChar w:fldCharType="begin"/>
            </w:r>
            <w:r w:rsidR="00DC5BB7">
              <w:rPr>
                <w:noProof/>
                <w:webHidden/>
              </w:rPr>
              <w:instrText xml:space="preserve"> PAGEREF _Toc85744680 \h </w:instrText>
            </w:r>
            <w:r w:rsidR="00DC5BB7">
              <w:rPr>
                <w:noProof/>
                <w:webHidden/>
              </w:rPr>
            </w:r>
            <w:r w:rsidR="00DC5BB7">
              <w:rPr>
                <w:noProof/>
                <w:webHidden/>
              </w:rPr>
              <w:fldChar w:fldCharType="separate"/>
            </w:r>
            <w:r w:rsidR="0047083D">
              <w:rPr>
                <w:noProof/>
                <w:webHidden/>
              </w:rPr>
              <w:t>1</w:t>
            </w:r>
            <w:r w:rsidR="00DC5BB7">
              <w:rPr>
                <w:noProof/>
                <w:webHidden/>
              </w:rPr>
              <w:fldChar w:fldCharType="end"/>
            </w:r>
          </w:hyperlink>
        </w:p>
        <w:p w14:paraId="30DA8454" w14:textId="773F2CFF" w:rsidR="00DC5BB7" w:rsidRDefault="00F80144">
          <w:pPr>
            <w:pStyle w:val="Inhopg1"/>
            <w:tabs>
              <w:tab w:val="right" w:leader="dot" w:pos="9062"/>
            </w:tabs>
            <w:rPr>
              <w:rFonts w:eastAsiaTheme="minorEastAsia"/>
              <w:noProof/>
              <w:lang w:eastAsia="en-GB"/>
            </w:rPr>
          </w:pPr>
          <w:hyperlink w:anchor="_Toc85744681" w:history="1">
            <w:r w:rsidR="00DC5BB7" w:rsidRPr="00DC40F4">
              <w:rPr>
                <w:rStyle w:val="Hyperlink"/>
                <w:noProof/>
              </w:rPr>
              <w:t>Laymen’s summary</w:t>
            </w:r>
            <w:r w:rsidR="00DC5BB7">
              <w:rPr>
                <w:noProof/>
                <w:webHidden/>
              </w:rPr>
              <w:tab/>
            </w:r>
            <w:r w:rsidR="00DC5BB7">
              <w:rPr>
                <w:noProof/>
                <w:webHidden/>
              </w:rPr>
              <w:fldChar w:fldCharType="begin"/>
            </w:r>
            <w:r w:rsidR="00DC5BB7">
              <w:rPr>
                <w:noProof/>
                <w:webHidden/>
              </w:rPr>
              <w:instrText xml:space="preserve"> PAGEREF _Toc85744681 \h </w:instrText>
            </w:r>
            <w:r w:rsidR="00DC5BB7">
              <w:rPr>
                <w:noProof/>
                <w:webHidden/>
              </w:rPr>
            </w:r>
            <w:r w:rsidR="00DC5BB7">
              <w:rPr>
                <w:noProof/>
                <w:webHidden/>
              </w:rPr>
              <w:fldChar w:fldCharType="separate"/>
            </w:r>
            <w:r w:rsidR="0047083D">
              <w:rPr>
                <w:noProof/>
                <w:webHidden/>
              </w:rPr>
              <w:t>2</w:t>
            </w:r>
            <w:r w:rsidR="00DC5BB7">
              <w:rPr>
                <w:noProof/>
                <w:webHidden/>
              </w:rPr>
              <w:fldChar w:fldCharType="end"/>
            </w:r>
          </w:hyperlink>
        </w:p>
        <w:p w14:paraId="4A134BB4" w14:textId="2DD5DFF5" w:rsidR="00DC5BB7" w:rsidRDefault="00F80144">
          <w:pPr>
            <w:pStyle w:val="Inhopg1"/>
            <w:tabs>
              <w:tab w:val="right" w:leader="dot" w:pos="9062"/>
            </w:tabs>
            <w:rPr>
              <w:rFonts w:eastAsiaTheme="minorEastAsia"/>
              <w:noProof/>
              <w:lang w:eastAsia="en-GB"/>
            </w:rPr>
          </w:pPr>
          <w:hyperlink w:anchor="_Toc85744682" w:history="1">
            <w:r w:rsidR="00DC5BB7" w:rsidRPr="00DC40F4">
              <w:rPr>
                <w:rStyle w:val="Hyperlink"/>
                <w:noProof/>
              </w:rPr>
              <w:t>Acknowledgements</w:t>
            </w:r>
            <w:r w:rsidR="00DC5BB7">
              <w:rPr>
                <w:noProof/>
                <w:webHidden/>
              </w:rPr>
              <w:tab/>
            </w:r>
            <w:r w:rsidR="00DC5BB7">
              <w:rPr>
                <w:noProof/>
                <w:webHidden/>
              </w:rPr>
              <w:fldChar w:fldCharType="begin"/>
            </w:r>
            <w:r w:rsidR="00DC5BB7">
              <w:rPr>
                <w:noProof/>
                <w:webHidden/>
              </w:rPr>
              <w:instrText xml:space="preserve"> PAGEREF _Toc85744682 \h </w:instrText>
            </w:r>
            <w:r w:rsidR="00DC5BB7">
              <w:rPr>
                <w:noProof/>
                <w:webHidden/>
              </w:rPr>
            </w:r>
            <w:r w:rsidR="00DC5BB7">
              <w:rPr>
                <w:noProof/>
                <w:webHidden/>
              </w:rPr>
              <w:fldChar w:fldCharType="separate"/>
            </w:r>
            <w:r w:rsidR="0047083D">
              <w:rPr>
                <w:noProof/>
                <w:webHidden/>
              </w:rPr>
              <w:t>4</w:t>
            </w:r>
            <w:r w:rsidR="00DC5BB7">
              <w:rPr>
                <w:noProof/>
                <w:webHidden/>
              </w:rPr>
              <w:fldChar w:fldCharType="end"/>
            </w:r>
          </w:hyperlink>
        </w:p>
        <w:p w14:paraId="614C1347" w14:textId="1754E2BA" w:rsidR="00DC5BB7" w:rsidRDefault="00F80144">
          <w:pPr>
            <w:pStyle w:val="Inhopg1"/>
            <w:tabs>
              <w:tab w:val="right" w:leader="dot" w:pos="9062"/>
            </w:tabs>
            <w:rPr>
              <w:rFonts w:eastAsiaTheme="minorEastAsia"/>
              <w:noProof/>
              <w:lang w:eastAsia="en-GB"/>
            </w:rPr>
          </w:pPr>
          <w:hyperlink w:anchor="_Toc85744683" w:history="1">
            <w:r w:rsidR="00DC5BB7" w:rsidRPr="00DC40F4">
              <w:rPr>
                <w:rStyle w:val="Hyperlink"/>
                <w:noProof/>
              </w:rPr>
              <w:t>Introduction</w:t>
            </w:r>
            <w:r w:rsidR="00DC5BB7">
              <w:rPr>
                <w:noProof/>
                <w:webHidden/>
              </w:rPr>
              <w:tab/>
            </w:r>
            <w:r w:rsidR="00DC5BB7">
              <w:rPr>
                <w:noProof/>
                <w:webHidden/>
              </w:rPr>
              <w:fldChar w:fldCharType="begin"/>
            </w:r>
            <w:r w:rsidR="00DC5BB7">
              <w:rPr>
                <w:noProof/>
                <w:webHidden/>
              </w:rPr>
              <w:instrText xml:space="preserve"> PAGEREF _Toc85744683 \h </w:instrText>
            </w:r>
            <w:r w:rsidR="00DC5BB7">
              <w:rPr>
                <w:noProof/>
                <w:webHidden/>
              </w:rPr>
            </w:r>
            <w:r w:rsidR="00DC5BB7">
              <w:rPr>
                <w:noProof/>
                <w:webHidden/>
              </w:rPr>
              <w:fldChar w:fldCharType="separate"/>
            </w:r>
            <w:r w:rsidR="0047083D">
              <w:rPr>
                <w:noProof/>
                <w:webHidden/>
              </w:rPr>
              <w:t>5</w:t>
            </w:r>
            <w:r w:rsidR="00DC5BB7">
              <w:rPr>
                <w:noProof/>
                <w:webHidden/>
              </w:rPr>
              <w:fldChar w:fldCharType="end"/>
            </w:r>
          </w:hyperlink>
        </w:p>
        <w:p w14:paraId="3E8C714C" w14:textId="1A3455FE" w:rsidR="00DC5BB7" w:rsidRDefault="00F80144">
          <w:pPr>
            <w:pStyle w:val="Inhopg2"/>
            <w:tabs>
              <w:tab w:val="right" w:leader="dot" w:pos="9062"/>
            </w:tabs>
            <w:rPr>
              <w:rFonts w:eastAsiaTheme="minorEastAsia"/>
              <w:noProof/>
              <w:lang w:eastAsia="en-GB"/>
            </w:rPr>
          </w:pPr>
          <w:hyperlink w:anchor="_Toc85744684" w:history="1">
            <w:r w:rsidR="00DC5BB7" w:rsidRPr="00DC40F4">
              <w:rPr>
                <w:rStyle w:val="Hyperlink"/>
                <w:noProof/>
              </w:rPr>
              <w:t>Protein lifecycle</w:t>
            </w:r>
            <w:r w:rsidR="00DC5BB7">
              <w:rPr>
                <w:noProof/>
                <w:webHidden/>
              </w:rPr>
              <w:tab/>
            </w:r>
            <w:r w:rsidR="00DC5BB7">
              <w:rPr>
                <w:noProof/>
                <w:webHidden/>
              </w:rPr>
              <w:fldChar w:fldCharType="begin"/>
            </w:r>
            <w:r w:rsidR="00DC5BB7">
              <w:rPr>
                <w:noProof/>
                <w:webHidden/>
              </w:rPr>
              <w:instrText xml:space="preserve"> PAGEREF _Toc85744684 \h </w:instrText>
            </w:r>
            <w:r w:rsidR="00DC5BB7">
              <w:rPr>
                <w:noProof/>
                <w:webHidden/>
              </w:rPr>
            </w:r>
            <w:r w:rsidR="00DC5BB7">
              <w:rPr>
                <w:noProof/>
                <w:webHidden/>
              </w:rPr>
              <w:fldChar w:fldCharType="separate"/>
            </w:r>
            <w:r w:rsidR="0047083D">
              <w:rPr>
                <w:noProof/>
                <w:webHidden/>
              </w:rPr>
              <w:t>5</w:t>
            </w:r>
            <w:r w:rsidR="00DC5BB7">
              <w:rPr>
                <w:noProof/>
                <w:webHidden/>
              </w:rPr>
              <w:fldChar w:fldCharType="end"/>
            </w:r>
          </w:hyperlink>
        </w:p>
        <w:p w14:paraId="2CE336AB" w14:textId="261ADEB9" w:rsidR="00DC5BB7" w:rsidRDefault="00F80144">
          <w:pPr>
            <w:pStyle w:val="Inhopg2"/>
            <w:tabs>
              <w:tab w:val="right" w:leader="dot" w:pos="9062"/>
            </w:tabs>
            <w:rPr>
              <w:rFonts w:eastAsiaTheme="minorEastAsia"/>
              <w:noProof/>
              <w:lang w:eastAsia="en-GB"/>
            </w:rPr>
          </w:pPr>
          <w:hyperlink w:anchor="_Toc85744685" w:history="1">
            <w:r w:rsidR="00DC5BB7" w:rsidRPr="00DC40F4">
              <w:rPr>
                <w:rStyle w:val="Hyperlink"/>
                <w:noProof/>
              </w:rPr>
              <w:t>Proteasome</w:t>
            </w:r>
            <w:r w:rsidR="00DC5BB7">
              <w:rPr>
                <w:noProof/>
                <w:webHidden/>
              </w:rPr>
              <w:tab/>
            </w:r>
            <w:r w:rsidR="00DC5BB7">
              <w:rPr>
                <w:noProof/>
                <w:webHidden/>
              </w:rPr>
              <w:fldChar w:fldCharType="begin"/>
            </w:r>
            <w:r w:rsidR="00DC5BB7">
              <w:rPr>
                <w:noProof/>
                <w:webHidden/>
              </w:rPr>
              <w:instrText xml:space="preserve"> PAGEREF _Toc85744685 \h </w:instrText>
            </w:r>
            <w:r w:rsidR="00DC5BB7">
              <w:rPr>
                <w:noProof/>
                <w:webHidden/>
              </w:rPr>
            </w:r>
            <w:r w:rsidR="00DC5BB7">
              <w:rPr>
                <w:noProof/>
                <w:webHidden/>
              </w:rPr>
              <w:fldChar w:fldCharType="separate"/>
            </w:r>
            <w:r w:rsidR="0047083D">
              <w:rPr>
                <w:noProof/>
                <w:webHidden/>
              </w:rPr>
              <w:t>5</w:t>
            </w:r>
            <w:r w:rsidR="00DC5BB7">
              <w:rPr>
                <w:noProof/>
                <w:webHidden/>
              </w:rPr>
              <w:fldChar w:fldCharType="end"/>
            </w:r>
          </w:hyperlink>
        </w:p>
        <w:p w14:paraId="23B51198" w14:textId="5D2CE61D" w:rsidR="00DC5BB7" w:rsidRDefault="00F80144">
          <w:pPr>
            <w:pStyle w:val="Inhopg2"/>
            <w:tabs>
              <w:tab w:val="right" w:leader="dot" w:pos="9062"/>
            </w:tabs>
            <w:rPr>
              <w:rFonts w:eastAsiaTheme="minorEastAsia"/>
              <w:noProof/>
              <w:lang w:eastAsia="en-GB"/>
            </w:rPr>
          </w:pPr>
          <w:hyperlink w:anchor="_Toc85744686" w:history="1">
            <w:r w:rsidR="00DC5BB7" w:rsidRPr="00DC40F4">
              <w:rPr>
                <w:rStyle w:val="Hyperlink"/>
                <w:noProof/>
              </w:rPr>
              <w:t>Loading of peptides</w:t>
            </w:r>
            <w:r w:rsidR="00DC5BB7">
              <w:rPr>
                <w:noProof/>
                <w:webHidden/>
              </w:rPr>
              <w:tab/>
            </w:r>
            <w:r w:rsidR="00DC5BB7">
              <w:rPr>
                <w:noProof/>
                <w:webHidden/>
              </w:rPr>
              <w:fldChar w:fldCharType="begin"/>
            </w:r>
            <w:r w:rsidR="00DC5BB7">
              <w:rPr>
                <w:noProof/>
                <w:webHidden/>
              </w:rPr>
              <w:instrText xml:space="preserve"> PAGEREF _Toc85744686 \h </w:instrText>
            </w:r>
            <w:r w:rsidR="00DC5BB7">
              <w:rPr>
                <w:noProof/>
                <w:webHidden/>
              </w:rPr>
            </w:r>
            <w:r w:rsidR="00DC5BB7">
              <w:rPr>
                <w:noProof/>
                <w:webHidden/>
              </w:rPr>
              <w:fldChar w:fldCharType="separate"/>
            </w:r>
            <w:r w:rsidR="0047083D">
              <w:rPr>
                <w:noProof/>
                <w:webHidden/>
              </w:rPr>
              <w:t>7</w:t>
            </w:r>
            <w:r w:rsidR="00DC5BB7">
              <w:rPr>
                <w:noProof/>
                <w:webHidden/>
              </w:rPr>
              <w:fldChar w:fldCharType="end"/>
            </w:r>
          </w:hyperlink>
        </w:p>
        <w:p w14:paraId="7470B507" w14:textId="6841D89C" w:rsidR="00DC5BB7" w:rsidRDefault="00F80144">
          <w:pPr>
            <w:pStyle w:val="Inhopg2"/>
            <w:tabs>
              <w:tab w:val="right" w:leader="dot" w:pos="9062"/>
            </w:tabs>
            <w:rPr>
              <w:rFonts w:eastAsiaTheme="minorEastAsia"/>
              <w:noProof/>
              <w:lang w:eastAsia="en-GB"/>
            </w:rPr>
          </w:pPr>
          <w:hyperlink w:anchor="_Toc85744687" w:history="1">
            <w:r w:rsidR="00DC5BB7" w:rsidRPr="00DC40F4">
              <w:rPr>
                <w:rStyle w:val="Hyperlink"/>
                <w:noProof/>
                <w:lang w:val="en-US"/>
              </w:rPr>
              <w:t>Listeriolysin O peptidomics</w:t>
            </w:r>
            <w:r w:rsidR="00DC5BB7">
              <w:rPr>
                <w:noProof/>
                <w:webHidden/>
              </w:rPr>
              <w:tab/>
            </w:r>
            <w:r w:rsidR="00DC5BB7">
              <w:rPr>
                <w:noProof/>
                <w:webHidden/>
              </w:rPr>
              <w:fldChar w:fldCharType="begin"/>
            </w:r>
            <w:r w:rsidR="00DC5BB7">
              <w:rPr>
                <w:noProof/>
                <w:webHidden/>
              </w:rPr>
              <w:instrText xml:space="preserve"> PAGEREF _Toc85744687 \h </w:instrText>
            </w:r>
            <w:r w:rsidR="00DC5BB7">
              <w:rPr>
                <w:noProof/>
                <w:webHidden/>
              </w:rPr>
            </w:r>
            <w:r w:rsidR="00DC5BB7">
              <w:rPr>
                <w:noProof/>
                <w:webHidden/>
              </w:rPr>
              <w:fldChar w:fldCharType="separate"/>
            </w:r>
            <w:r w:rsidR="0047083D">
              <w:rPr>
                <w:noProof/>
                <w:webHidden/>
              </w:rPr>
              <w:t>7</w:t>
            </w:r>
            <w:r w:rsidR="00DC5BB7">
              <w:rPr>
                <w:noProof/>
                <w:webHidden/>
              </w:rPr>
              <w:fldChar w:fldCharType="end"/>
            </w:r>
          </w:hyperlink>
        </w:p>
        <w:p w14:paraId="22DDD251" w14:textId="7C93A945" w:rsidR="00DC5BB7" w:rsidRDefault="00F80144">
          <w:pPr>
            <w:pStyle w:val="Inhopg1"/>
            <w:tabs>
              <w:tab w:val="right" w:leader="dot" w:pos="9062"/>
            </w:tabs>
            <w:rPr>
              <w:rFonts w:eastAsiaTheme="minorEastAsia"/>
              <w:noProof/>
              <w:lang w:eastAsia="en-GB"/>
            </w:rPr>
          </w:pPr>
          <w:hyperlink w:anchor="_Toc85744688" w:history="1">
            <w:r w:rsidR="00DC5BB7" w:rsidRPr="00DC40F4">
              <w:rPr>
                <w:rStyle w:val="Hyperlink"/>
                <w:noProof/>
                <w:lang w:val="en-US"/>
              </w:rPr>
              <w:t>Purity is everything: how to make a clean protein</w:t>
            </w:r>
            <w:r w:rsidR="00DC5BB7">
              <w:rPr>
                <w:noProof/>
                <w:webHidden/>
              </w:rPr>
              <w:tab/>
            </w:r>
            <w:r w:rsidR="00DC5BB7">
              <w:rPr>
                <w:noProof/>
                <w:webHidden/>
              </w:rPr>
              <w:fldChar w:fldCharType="begin"/>
            </w:r>
            <w:r w:rsidR="00DC5BB7">
              <w:rPr>
                <w:noProof/>
                <w:webHidden/>
              </w:rPr>
              <w:instrText xml:space="preserve"> PAGEREF _Toc85744688 \h </w:instrText>
            </w:r>
            <w:r w:rsidR="00DC5BB7">
              <w:rPr>
                <w:noProof/>
                <w:webHidden/>
              </w:rPr>
            </w:r>
            <w:r w:rsidR="00DC5BB7">
              <w:rPr>
                <w:noProof/>
                <w:webHidden/>
              </w:rPr>
              <w:fldChar w:fldCharType="separate"/>
            </w:r>
            <w:r w:rsidR="0047083D">
              <w:rPr>
                <w:noProof/>
                <w:webHidden/>
              </w:rPr>
              <w:t>10</w:t>
            </w:r>
            <w:r w:rsidR="00DC5BB7">
              <w:rPr>
                <w:noProof/>
                <w:webHidden/>
              </w:rPr>
              <w:fldChar w:fldCharType="end"/>
            </w:r>
          </w:hyperlink>
        </w:p>
        <w:p w14:paraId="32DA422C" w14:textId="531101BF" w:rsidR="00DC5BB7" w:rsidRDefault="00F80144">
          <w:pPr>
            <w:pStyle w:val="Inhopg2"/>
            <w:tabs>
              <w:tab w:val="right" w:leader="dot" w:pos="9062"/>
            </w:tabs>
            <w:rPr>
              <w:rFonts w:eastAsiaTheme="minorEastAsia"/>
              <w:noProof/>
              <w:lang w:eastAsia="en-GB"/>
            </w:rPr>
          </w:pPr>
          <w:hyperlink w:anchor="_Toc85744689" w:history="1">
            <w:r w:rsidR="00DC5BB7" w:rsidRPr="00DC40F4">
              <w:rPr>
                <w:rStyle w:val="Hyperlink"/>
                <w:noProof/>
                <w:lang w:val="en-US"/>
              </w:rPr>
              <w:t>Plasmid generation</w:t>
            </w:r>
            <w:r w:rsidR="00DC5BB7">
              <w:rPr>
                <w:noProof/>
                <w:webHidden/>
              </w:rPr>
              <w:tab/>
            </w:r>
            <w:r w:rsidR="00DC5BB7">
              <w:rPr>
                <w:noProof/>
                <w:webHidden/>
              </w:rPr>
              <w:fldChar w:fldCharType="begin"/>
            </w:r>
            <w:r w:rsidR="00DC5BB7">
              <w:rPr>
                <w:noProof/>
                <w:webHidden/>
              </w:rPr>
              <w:instrText xml:space="preserve"> PAGEREF _Toc85744689 \h </w:instrText>
            </w:r>
            <w:r w:rsidR="00DC5BB7">
              <w:rPr>
                <w:noProof/>
                <w:webHidden/>
              </w:rPr>
            </w:r>
            <w:r w:rsidR="00DC5BB7">
              <w:rPr>
                <w:noProof/>
                <w:webHidden/>
              </w:rPr>
              <w:fldChar w:fldCharType="separate"/>
            </w:r>
            <w:r w:rsidR="0047083D">
              <w:rPr>
                <w:noProof/>
                <w:webHidden/>
              </w:rPr>
              <w:t>10</w:t>
            </w:r>
            <w:r w:rsidR="00DC5BB7">
              <w:rPr>
                <w:noProof/>
                <w:webHidden/>
              </w:rPr>
              <w:fldChar w:fldCharType="end"/>
            </w:r>
          </w:hyperlink>
        </w:p>
        <w:p w14:paraId="7A29562A" w14:textId="25B1E690" w:rsidR="00DC5BB7" w:rsidRDefault="00F80144">
          <w:pPr>
            <w:pStyle w:val="Inhopg3"/>
            <w:tabs>
              <w:tab w:val="right" w:leader="dot" w:pos="9062"/>
            </w:tabs>
            <w:rPr>
              <w:rFonts w:eastAsiaTheme="minorEastAsia"/>
              <w:noProof/>
              <w:lang w:eastAsia="en-GB"/>
            </w:rPr>
          </w:pPr>
          <w:hyperlink w:anchor="_Toc85744690" w:history="1">
            <w:r w:rsidR="00DC5BB7" w:rsidRPr="00DC40F4">
              <w:rPr>
                <w:rStyle w:val="Hyperlink"/>
                <w:noProof/>
                <w:lang w:val="en-US"/>
              </w:rPr>
              <w:t>Results</w:t>
            </w:r>
            <w:r w:rsidR="00DC5BB7">
              <w:rPr>
                <w:noProof/>
                <w:webHidden/>
              </w:rPr>
              <w:tab/>
            </w:r>
            <w:r w:rsidR="00DC5BB7">
              <w:rPr>
                <w:noProof/>
                <w:webHidden/>
              </w:rPr>
              <w:fldChar w:fldCharType="begin"/>
            </w:r>
            <w:r w:rsidR="00DC5BB7">
              <w:rPr>
                <w:noProof/>
                <w:webHidden/>
              </w:rPr>
              <w:instrText xml:space="preserve"> PAGEREF _Toc85744690 \h </w:instrText>
            </w:r>
            <w:r w:rsidR="00DC5BB7">
              <w:rPr>
                <w:noProof/>
                <w:webHidden/>
              </w:rPr>
            </w:r>
            <w:r w:rsidR="00DC5BB7">
              <w:rPr>
                <w:noProof/>
                <w:webHidden/>
              </w:rPr>
              <w:fldChar w:fldCharType="separate"/>
            </w:r>
            <w:r w:rsidR="0047083D">
              <w:rPr>
                <w:noProof/>
                <w:webHidden/>
              </w:rPr>
              <w:t>11</w:t>
            </w:r>
            <w:r w:rsidR="00DC5BB7">
              <w:rPr>
                <w:noProof/>
                <w:webHidden/>
              </w:rPr>
              <w:fldChar w:fldCharType="end"/>
            </w:r>
          </w:hyperlink>
        </w:p>
        <w:p w14:paraId="1EDB94B4" w14:textId="1B5EA19C" w:rsidR="00DC5BB7" w:rsidRDefault="00F80144">
          <w:pPr>
            <w:pStyle w:val="Inhopg2"/>
            <w:tabs>
              <w:tab w:val="right" w:leader="dot" w:pos="9062"/>
            </w:tabs>
            <w:rPr>
              <w:rFonts w:eastAsiaTheme="minorEastAsia"/>
              <w:noProof/>
              <w:lang w:eastAsia="en-GB"/>
            </w:rPr>
          </w:pPr>
          <w:hyperlink w:anchor="_Toc85744691" w:history="1">
            <w:r w:rsidR="00DC5BB7" w:rsidRPr="00DC40F4">
              <w:rPr>
                <w:rStyle w:val="Hyperlink"/>
                <w:noProof/>
                <w:lang w:val="en-US"/>
              </w:rPr>
              <w:t>Protein expression and purification</w:t>
            </w:r>
            <w:r w:rsidR="00DC5BB7">
              <w:rPr>
                <w:noProof/>
                <w:webHidden/>
              </w:rPr>
              <w:tab/>
            </w:r>
            <w:r w:rsidR="00DC5BB7">
              <w:rPr>
                <w:noProof/>
                <w:webHidden/>
              </w:rPr>
              <w:fldChar w:fldCharType="begin"/>
            </w:r>
            <w:r w:rsidR="00DC5BB7">
              <w:rPr>
                <w:noProof/>
                <w:webHidden/>
              </w:rPr>
              <w:instrText xml:space="preserve"> PAGEREF _Toc85744691 \h </w:instrText>
            </w:r>
            <w:r w:rsidR="00DC5BB7">
              <w:rPr>
                <w:noProof/>
                <w:webHidden/>
              </w:rPr>
            </w:r>
            <w:r w:rsidR="00DC5BB7">
              <w:rPr>
                <w:noProof/>
                <w:webHidden/>
              </w:rPr>
              <w:fldChar w:fldCharType="separate"/>
            </w:r>
            <w:r w:rsidR="0047083D">
              <w:rPr>
                <w:noProof/>
                <w:webHidden/>
              </w:rPr>
              <w:t>12</w:t>
            </w:r>
            <w:r w:rsidR="00DC5BB7">
              <w:rPr>
                <w:noProof/>
                <w:webHidden/>
              </w:rPr>
              <w:fldChar w:fldCharType="end"/>
            </w:r>
          </w:hyperlink>
        </w:p>
        <w:p w14:paraId="68E47237" w14:textId="4FB31DE9" w:rsidR="00DC5BB7" w:rsidRDefault="00F80144">
          <w:pPr>
            <w:pStyle w:val="Inhopg3"/>
            <w:tabs>
              <w:tab w:val="right" w:leader="dot" w:pos="9062"/>
            </w:tabs>
            <w:rPr>
              <w:rFonts w:eastAsiaTheme="minorEastAsia"/>
              <w:noProof/>
              <w:lang w:eastAsia="en-GB"/>
            </w:rPr>
          </w:pPr>
          <w:hyperlink w:anchor="_Toc85744692" w:history="1">
            <w:r w:rsidR="00DC5BB7" w:rsidRPr="00DC40F4">
              <w:rPr>
                <w:rStyle w:val="Hyperlink"/>
                <w:noProof/>
              </w:rPr>
              <w:t>Results</w:t>
            </w:r>
            <w:r w:rsidR="00DC5BB7">
              <w:rPr>
                <w:noProof/>
                <w:webHidden/>
              </w:rPr>
              <w:tab/>
            </w:r>
            <w:r w:rsidR="00DC5BB7">
              <w:rPr>
                <w:noProof/>
                <w:webHidden/>
              </w:rPr>
              <w:fldChar w:fldCharType="begin"/>
            </w:r>
            <w:r w:rsidR="00DC5BB7">
              <w:rPr>
                <w:noProof/>
                <w:webHidden/>
              </w:rPr>
              <w:instrText xml:space="preserve"> PAGEREF _Toc85744692 \h </w:instrText>
            </w:r>
            <w:r w:rsidR="00DC5BB7">
              <w:rPr>
                <w:noProof/>
                <w:webHidden/>
              </w:rPr>
            </w:r>
            <w:r w:rsidR="00DC5BB7">
              <w:rPr>
                <w:noProof/>
                <w:webHidden/>
              </w:rPr>
              <w:fldChar w:fldCharType="separate"/>
            </w:r>
            <w:r w:rsidR="0047083D">
              <w:rPr>
                <w:noProof/>
                <w:webHidden/>
              </w:rPr>
              <w:t>12</w:t>
            </w:r>
            <w:r w:rsidR="00DC5BB7">
              <w:rPr>
                <w:noProof/>
                <w:webHidden/>
              </w:rPr>
              <w:fldChar w:fldCharType="end"/>
            </w:r>
          </w:hyperlink>
        </w:p>
        <w:p w14:paraId="1EFE83FF" w14:textId="058840A1" w:rsidR="00DC5BB7" w:rsidRDefault="00F80144">
          <w:pPr>
            <w:pStyle w:val="Inhopg1"/>
            <w:tabs>
              <w:tab w:val="right" w:leader="dot" w:pos="9062"/>
            </w:tabs>
            <w:rPr>
              <w:rFonts w:eastAsiaTheme="minorEastAsia"/>
              <w:noProof/>
              <w:lang w:eastAsia="en-GB"/>
            </w:rPr>
          </w:pPr>
          <w:hyperlink w:anchor="_Toc85744693" w:history="1">
            <w:r w:rsidR="00DC5BB7" w:rsidRPr="00DC40F4">
              <w:rPr>
                <w:rStyle w:val="Hyperlink"/>
                <w:noProof/>
              </w:rPr>
              <w:t>Cellular assays</w:t>
            </w:r>
            <w:r w:rsidR="00DC5BB7">
              <w:rPr>
                <w:noProof/>
                <w:webHidden/>
              </w:rPr>
              <w:tab/>
            </w:r>
            <w:r w:rsidR="00DC5BB7">
              <w:rPr>
                <w:noProof/>
                <w:webHidden/>
              </w:rPr>
              <w:fldChar w:fldCharType="begin"/>
            </w:r>
            <w:r w:rsidR="00DC5BB7">
              <w:rPr>
                <w:noProof/>
                <w:webHidden/>
              </w:rPr>
              <w:instrText xml:space="preserve"> PAGEREF _Toc85744693 \h </w:instrText>
            </w:r>
            <w:r w:rsidR="00DC5BB7">
              <w:rPr>
                <w:noProof/>
                <w:webHidden/>
              </w:rPr>
            </w:r>
            <w:r w:rsidR="00DC5BB7">
              <w:rPr>
                <w:noProof/>
                <w:webHidden/>
              </w:rPr>
              <w:fldChar w:fldCharType="separate"/>
            </w:r>
            <w:r w:rsidR="0047083D">
              <w:rPr>
                <w:noProof/>
                <w:webHidden/>
              </w:rPr>
              <w:t>14</w:t>
            </w:r>
            <w:r w:rsidR="00DC5BB7">
              <w:rPr>
                <w:noProof/>
                <w:webHidden/>
              </w:rPr>
              <w:fldChar w:fldCharType="end"/>
            </w:r>
          </w:hyperlink>
        </w:p>
        <w:p w14:paraId="251A8336" w14:textId="1CA06D9B" w:rsidR="00DC5BB7" w:rsidRDefault="00F80144">
          <w:pPr>
            <w:pStyle w:val="Inhopg2"/>
            <w:tabs>
              <w:tab w:val="right" w:leader="dot" w:pos="9062"/>
            </w:tabs>
            <w:rPr>
              <w:rFonts w:eastAsiaTheme="minorEastAsia"/>
              <w:noProof/>
              <w:lang w:eastAsia="en-GB"/>
            </w:rPr>
          </w:pPr>
          <w:hyperlink w:anchor="_Toc85744694" w:history="1">
            <w:r w:rsidR="00DC5BB7" w:rsidRPr="00DC40F4">
              <w:rPr>
                <w:rStyle w:val="Hyperlink"/>
                <w:noProof/>
              </w:rPr>
              <w:t>Results</w:t>
            </w:r>
            <w:r w:rsidR="00DC5BB7">
              <w:rPr>
                <w:noProof/>
                <w:webHidden/>
              </w:rPr>
              <w:tab/>
            </w:r>
            <w:r w:rsidR="00DC5BB7">
              <w:rPr>
                <w:noProof/>
                <w:webHidden/>
              </w:rPr>
              <w:fldChar w:fldCharType="begin"/>
            </w:r>
            <w:r w:rsidR="00DC5BB7">
              <w:rPr>
                <w:noProof/>
                <w:webHidden/>
              </w:rPr>
              <w:instrText xml:space="preserve"> PAGEREF _Toc85744694 \h </w:instrText>
            </w:r>
            <w:r w:rsidR="00DC5BB7">
              <w:rPr>
                <w:noProof/>
                <w:webHidden/>
              </w:rPr>
            </w:r>
            <w:r w:rsidR="00DC5BB7">
              <w:rPr>
                <w:noProof/>
                <w:webHidden/>
              </w:rPr>
              <w:fldChar w:fldCharType="separate"/>
            </w:r>
            <w:r w:rsidR="0047083D">
              <w:rPr>
                <w:noProof/>
                <w:webHidden/>
              </w:rPr>
              <w:t>14</w:t>
            </w:r>
            <w:r w:rsidR="00DC5BB7">
              <w:rPr>
                <w:noProof/>
                <w:webHidden/>
              </w:rPr>
              <w:fldChar w:fldCharType="end"/>
            </w:r>
          </w:hyperlink>
        </w:p>
        <w:p w14:paraId="05288397" w14:textId="0B69EC76" w:rsidR="00DC5BB7" w:rsidRDefault="00F80144">
          <w:pPr>
            <w:pStyle w:val="Inhopg1"/>
            <w:tabs>
              <w:tab w:val="right" w:leader="dot" w:pos="9062"/>
            </w:tabs>
            <w:rPr>
              <w:rFonts w:eastAsiaTheme="minorEastAsia"/>
              <w:noProof/>
              <w:lang w:eastAsia="en-GB"/>
            </w:rPr>
          </w:pPr>
          <w:hyperlink w:anchor="_Toc85744695" w:history="1">
            <w:r w:rsidR="00DC5BB7" w:rsidRPr="00DC40F4">
              <w:rPr>
                <w:rStyle w:val="Hyperlink"/>
                <w:noProof/>
              </w:rPr>
              <w:t>Discussion</w:t>
            </w:r>
            <w:r w:rsidR="00DC5BB7">
              <w:rPr>
                <w:noProof/>
                <w:webHidden/>
              </w:rPr>
              <w:tab/>
            </w:r>
            <w:r w:rsidR="00DC5BB7">
              <w:rPr>
                <w:noProof/>
                <w:webHidden/>
              </w:rPr>
              <w:fldChar w:fldCharType="begin"/>
            </w:r>
            <w:r w:rsidR="00DC5BB7">
              <w:rPr>
                <w:noProof/>
                <w:webHidden/>
              </w:rPr>
              <w:instrText xml:space="preserve"> PAGEREF _Toc85744695 \h </w:instrText>
            </w:r>
            <w:r w:rsidR="00DC5BB7">
              <w:rPr>
                <w:noProof/>
                <w:webHidden/>
              </w:rPr>
            </w:r>
            <w:r w:rsidR="00DC5BB7">
              <w:rPr>
                <w:noProof/>
                <w:webHidden/>
              </w:rPr>
              <w:fldChar w:fldCharType="separate"/>
            </w:r>
            <w:r w:rsidR="0047083D">
              <w:rPr>
                <w:noProof/>
                <w:webHidden/>
              </w:rPr>
              <w:t>19</w:t>
            </w:r>
            <w:r w:rsidR="00DC5BB7">
              <w:rPr>
                <w:noProof/>
                <w:webHidden/>
              </w:rPr>
              <w:fldChar w:fldCharType="end"/>
            </w:r>
          </w:hyperlink>
        </w:p>
        <w:p w14:paraId="7E4CEA94" w14:textId="342D121E" w:rsidR="00DC5BB7" w:rsidRDefault="00F80144">
          <w:pPr>
            <w:pStyle w:val="Inhopg2"/>
            <w:tabs>
              <w:tab w:val="right" w:leader="dot" w:pos="9062"/>
            </w:tabs>
            <w:rPr>
              <w:rFonts w:eastAsiaTheme="minorEastAsia"/>
              <w:noProof/>
              <w:lang w:eastAsia="en-GB"/>
            </w:rPr>
          </w:pPr>
          <w:hyperlink w:anchor="_Toc85744696" w:history="1">
            <w:r w:rsidR="00DC5BB7" w:rsidRPr="00DC40F4">
              <w:rPr>
                <w:rStyle w:val="Hyperlink"/>
                <w:noProof/>
              </w:rPr>
              <w:t>Purification and electroporation</w:t>
            </w:r>
            <w:r w:rsidR="00DC5BB7">
              <w:rPr>
                <w:noProof/>
                <w:webHidden/>
              </w:rPr>
              <w:tab/>
            </w:r>
            <w:r w:rsidR="00DC5BB7">
              <w:rPr>
                <w:noProof/>
                <w:webHidden/>
              </w:rPr>
              <w:fldChar w:fldCharType="begin"/>
            </w:r>
            <w:r w:rsidR="00DC5BB7">
              <w:rPr>
                <w:noProof/>
                <w:webHidden/>
              </w:rPr>
              <w:instrText xml:space="preserve"> PAGEREF _Toc85744696 \h </w:instrText>
            </w:r>
            <w:r w:rsidR="00DC5BB7">
              <w:rPr>
                <w:noProof/>
                <w:webHidden/>
              </w:rPr>
            </w:r>
            <w:r w:rsidR="00DC5BB7">
              <w:rPr>
                <w:noProof/>
                <w:webHidden/>
              </w:rPr>
              <w:fldChar w:fldCharType="separate"/>
            </w:r>
            <w:r w:rsidR="0047083D">
              <w:rPr>
                <w:noProof/>
                <w:webHidden/>
              </w:rPr>
              <w:t>19</w:t>
            </w:r>
            <w:r w:rsidR="00DC5BB7">
              <w:rPr>
                <w:noProof/>
                <w:webHidden/>
              </w:rPr>
              <w:fldChar w:fldCharType="end"/>
            </w:r>
          </w:hyperlink>
        </w:p>
        <w:p w14:paraId="67D02ED8" w14:textId="2D6D12C4" w:rsidR="00DC5BB7" w:rsidRDefault="00F80144">
          <w:pPr>
            <w:pStyle w:val="Inhopg2"/>
            <w:tabs>
              <w:tab w:val="right" w:leader="dot" w:pos="9062"/>
            </w:tabs>
            <w:rPr>
              <w:rFonts w:eastAsiaTheme="minorEastAsia"/>
              <w:noProof/>
              <w:lang w:eastAsia="en-GB"/>
            </w:rPr>
          </w:pPr>
          <w:hyperlink w:anchor="_Toc85744697" w:history="1">
            <w:r w:rsidR="00DC5BB7" w:rsidRPr="00DC40F4">
              <w:rPr>
                <w:rStyle w:val="Hyperlink"/>
                <w:noProof/>
              </w:rPr>
              <w:t>Generation of non-canonical peptides</w:t>
            </w:r>
            <w:r w:rsidR="00DC5BB7">
              <w:rPr>
                <w:noProof/>
                <w:webHidden/>
              </w:rPr>
              <w:tab/>
            </w:r>
            <w:r w:rsidR="00DC5BB7">
              <w:rPr>
                <w:noProof/>
                <w:webHidden/>
              </w:rPr>
              <w:fldChar w:fldCharType="begin"/>
            </w:r>
            <w:r w:rsidR="00DC5BB7">
              <w:rPr>
                <w:noProof/>
                <w:webHidden/>
              </w:rPr>
              <w:instrText xml:space="preserve"> PAGEREF _Toc85744697 \h </w:instrText>
            </w:r>
            <w:r w:rsidR="00DC5BB7">
              <w:rPr>
                <w:noProof/>
                <w:webHidden/>
              </w:rPr>
            </w:r>
            <w:r w:rsidR="00DC5BB7">
              <w:rPr>
                <w:noProof/>
                <w:webHidden/>
              </w:rPr>
              <w:fldChar w:fldCharType="separate"/>
            </w:r>
            <w:r w:rsidR="0047083D">
              <w:rPr>
                <w:noProof/>
                <w:webHidden/>
              </w:rPr>
              <w:t>19</w:t>
            </w:r>
            <w:r w:rsidR="00DC5BB7">
              <w:rPr>
                <w:noProof/>
                <w:webHidden/>
              </w:rPr>
              <w:fldChar w:fldCharType="end"/>
            </w:r>
          </w:hyperlink>
        </w:p>
        <w:p w14:paraId="38A1F0B5" w14:textId="5C8ED141" w:rsidR="00DC5BB7" w:rsidRDefault="00F80144">
          <w:pPr>
            <w:pStyle w:val="Inhopg2"/>
            <w:tabs>
              <w:tab w:val="right" w:leader="dot" w:pos="9062"/>
            </w:tabs>
            <w:rPr>
              <w:rFonts w:eastAsiaTheme="minorEastAsia"/>
              <w:noProof/>
              <w:lang w:eastAsia="en-GB"/>
            </w:rPr>
          </w:pPr>
          <w:hyperlink w:anchor="_Toc85744698" w:history="1">
            <w:r w:rsidR="00DC5BB7" w:rsidRPr="00DC40F4">
              <w:rPr>
                <w:rStyle w:val="Hyperlink"/>
                <w:noProof/>
              </w:rPr>
              <w:t>Electroporation as a viable alternative to study the generation of non-canonical peptides in a cellular context</w:t>
            </w:r>
            <w:r w:rsidR="00DC5BB7">
              <w:rPr>
                <w:noProof/>
                <w:webHidden/>
              </w:rPr>
              <w:tab/>
            </w:r>
            <w:r w:rsidR="00DC5BB7">
              <w:rPr>
                <w:noProof/>
                <w:webHidden/>
              </w:rPr>
              <w:fldChar w:fldCharType="begin"/>
            </w:r>
            <w:r w:rsidR="00DC5BB7">
              <w:rPr>
                <w:noProof/>
                <w:webHidden/>
              </w:rPr>
              <w:instrText xml:space="preserve"> PAGEREF _Toc85744698 \h </w:instrText>
            </w:r>
            <w:r w:rsidR="00DC5BB7">
              <w:rPr>
                <w:noProof/>
                <w:webHidden/>
              </w:rPr>
            </w:r>
            <w:r w:rsidR="00DC5BB7">
              <w:rPr>
                <w:noProof/>
                <w:webHidden/>
              </w:rPr>
              <w:fldChar w:fldCharType="separate"/>
            </w:r>
            <w:r w:rsidR="0047083D">
              <w:rPr>
                <w:noProof/>
                <w:webHidden/>
              </w:rPr>
              <w:t>19</w:t>
            </w:r>
            <w:r w:rsidR="00DC5BB7">
              <w:rPr>
                <w:noProof/>
                <w:webHidden/>
              </w:rPr>
              <w:fldChar w:fldCharType="end"/>
            </w:r>
          </w:hyperlink>
        </w:p>
        <w:p w14:paraId="379C1A3C" w14:textId="58F55EC2" w:rsidR="00DC5BB7" w:rsidRDefault="00F80144">
          <w:pPr>
            <w:pStyle w:val="Inhopg1"/>
            <w:tabs>
              <w:tab w:val="right" w:leader="dot" w:pos="9062"/>
            </w:tabs>
            <w:rPr>
              <w:rFonts w:eastAsiaTheme="minorEastAsia"/>
              <w:noProof/>
              <w:lang w:eastAsia="en-GB"/>
            </w:rPr>
          </w:pPr>
          <w:hyperlink w:anchor="_Toc85744699" w:history="1">
            <w:r w:rsidR="00DC5BB7" w:rsidRPr="00DC40F4">
              <w:rPr>
                <w:rStyle w:val="Hyperlink"/>
                <w:noProof/>
                <w:lang w:val="en-US"/>
              </w:rPr>
              <w:t>Materials and methods</w:t>
            </w:r>
            <w:r w:rsidR="00DC5BB7">
              <w:rPr>
                <w:noProof/>
                <w:webHidden/>
              </w:rPr>
              <w:tab/>
            </w:r>
            <w:r w:rsidR="00DC5BB7">
              <w:rPr>
                <w:noProof/>
                <w:webHidden/>
              </w:rPr>
              <w:fldChar w:fldCharType="begin"/>
            </w:r>
            <w:r w:rsidR="00DC5BB7">
              <w:rPr>
                <w:noProof/>
                <w:webHidden/>
              </w:rPr>
              <w:instrText xml:space="preserve"> PAGEREF _Toc85744699 \h </w:instrText>
            </w:r>
            <w:r w:rsidR="00DC5BB7">
              <w:rPr>
                <w:noProof/>
                <w:webHidden/>
              </w:rPr>
            </w:r>
            <w:r w:rsidR="00DC5BB7">
              <w:rPr>
                <w:noProof/>
                <w:webHidden/>
              </w:rPr>
              <w:fldChar w:fldCharType="separate"/>
            </w:r>
            <w:r w:rsidR="0047083D">
              <w:rPr>
                <w:noProof/>
                <w:webHidden/>
              </w:rPr>
              <w:t>21</w:t>
            </w:r>
            <w:r w:rsidR="00DC5BB7">
              <w:rPr>
                <w:noProof/>
                <w:webHidden/>
              </w:rPr>
              <w:fldChar w:fldCharType="end"/>
            </w:r>
          </w:hyperlink>
        </w:p>
        <w:p w14:paraId="7AA73866" w14:textId="561A600F" w:rsidR="00DC5BB7" w:rsidRDefault="00F80144">
          <w:pPr>
            <w:pStyle w:val="Inhopg2"/>
            <w:tabs>
              <w:tab w:val="right" w:leader="dot" w:pos="9062"/>
            </w:tabs>
            <w:rPr>
              <w:rFonts w:eastAsiaTheme="minorEastAsia"/>
              <w:noProof/>
              <w:lang w:eastAsia="en-GB"/>
            </w:rPr>
          </w:pPr>
          <w:hyperlink w:anchor="_Toc85744700" w:history="1">
            <w:r w:rsidR="00DC5BB7" w:rsidRPr="00DC40F4">
              <w:rPr>
                <w:rStyle w:val="Hyperlink"/>
                <w:noProof/>
                <w:lang w:val="en-US"/>
              </w:rPr>
              <w:t>Plasmid generation</w:t>
            </w:r>
            <w:r w:rsidR="00DC5BB7">
              <w:rPr>
                <w:noProof/>
                <w:webHidden/>
              </w:rPr>
              <w:tab/>
            </w:r>
            <w:r w:rsidR="00DC5BB7">
              <w:rPr>
                <w:noProof/>
                <w:webHidden/>
              </w:rPr>
              <w:fldChar w:fldCharType="begin"/>
            </w:r>
            <w:r w:rsidR="00DC5BB7">
              <w:rPr>
                <w:noProof/>
                <w:webHidden/>
              </w:rPr>
              <w:instrText xml:space="preserve"> PAGEREF _Toc85744700 \h </w:instrText>
            </w:r>
            <w:r w:rsidR="00DC5BB7">
              <w:rPr>
                <w:noProof/>
                <w:webHidden/>
              </w:rPr>
            </w:r>
            <w:r w:rsidR="00DC5BB7">
              <w:rPr>
                <w:noProof/>
                <w:webHidden/>
              </w:rPr>
              <w:fldChar w:fldCharType="separate"/>
            </w:r>
            <w:r w:rsidR="0047083D">
              <w:rPr>
                <w:noProof/>
                <w:webHidden/>
              </w:rPr>
              <w:t>21</w:t>
            </w:r>
            <w:r w:rsidR="00DC5BB7">
              <w:rPr>
                <w:noProof/>
                <w:webHidden/>
              </w:rPr>
              <w:fldChar w:fldCharType="end"/>
            </w:r>
          </w:hyperlink>
        </w:p>
        <w:p w14:paraId="7C2BA1A1" w14:textId="62100FD8" w:rsidR="00DC5BB7" w:rsidRDefault="00F80144">
          <w:pPr>
            <w:pStyle w:val="Inhopg2"/>
            <w:tabs>
              <w:tab w:val="right" w:leader="dot" w:pos="9062"/>
            </w:tabs>
            <w:rPr>
              <w:rFonts w:eastAsiaTheme="minorEastAsia"/>
              <w:noProof/>
              <w:lang w:eastAsia="en-GB"/>
            </w:rPr>
          </w:pPr>
          <w:hyperlink w:anchor="_Toc85744701" w:history="1">
            <w:r w:rsidR="00DC5BB7" w:rsidRPr="00DC40F4">
              <w:rPr>
                <w:rStyle w:val="Hyperlink"/>
                <w:noProof/>
              </w:rPr>
              <w:t>Protein expression and purification</w:t>
            </w:r>
            <w:r w:rsidR="00DC5BB7">
              <w:rPr>
                <w:noProof/>
                <w:webHidden/>
              </w:rPr>
              <w:tab/>
            </w:r>
            <w:r w:rsidR="00DC5BB7">
              <w:rPr>
                <w:noProof/>
                <w:webHidden/>
              </w:rPr>
              <w:fldChar w:fldCharType="begin"/>
            </w:r>
            <w:r w:rsidR="00DC5BB7">
              <w:rPr>
                <w:noProof/>
                <w:webHidden/>
              </w:rPr>
              <w:instrText xml:space="preserve"> PAGEREF _Toc85744701 \h </w:instrText>
            </w:r>
            <w:r w:rsidR="00DC5BB7">
              <w:rPr>
                <w:noProof/>
                <w:webHidden/>
              </w:rPr>
            </w:r>
            <w:r w:rsidR="00DC5BB7">
              <w:rPr>
                <w:noProof/>
                <w:webHidden/>
              </w:rPr>
              <w:fldChar w:fldCharType="separate"/>
            </w:r>
            <w:r w:rsidR="0047083D">
              <w:rPr>
                <w:noProof/>
                <w:webHidden/>
              </w:rPr>
              <w:t>21</w:t>
            </w:r>
            <w:r w:rsidR="00DC5BB7">
              <w:rPr>
                <w:noProof/>
                <w:webHidden/>
              </w:rPr>
              <w:fldChar w:fldCharType="end"/>
            </w:r>
          </w:hyperlink>
        </w:p>
        <w:p w14:paraId="30E49201" w14:textId="3EFA1F8A" w:rsidR="00DC5BB7" w:rsidRDefault="00F80144">
          <w:pPr>
            <w:pStyle w:val="Inhopg2"/>
            <w:tabs>
              <w:tab w:val="right" w:leader="dot" w:pos="9062"/>
            </w:tabs>
            <w:rPr>
              <w:rFonts w:eastAsiaTheme="minorEastAsia"/>
              <w:noProof/>
              <w:lang w:eastAsia="en-GB"/>
            </w:rPr>
          </w:pPr>
          <w:hyperlink w:anchor="_Toc85744702" w:history="1">
            <w:r w:rsidR="00DC5BB7" w:rsidRPr="00DC40F4">
              <w:rPr>
                <w:rStyle w:val="Hyperlink"/>
                <w:noProof/>
              </w:rPr>
              <w:t>Cell culture and assays</w:t>
            </w:r>
            <w:r w:rsidR="00DC5BB7">
              <w:rPr>
                <w:noProof/>
                <w:webHidden/>
              </w:rPr>
              <w:tab/>
            </w:r>
            <w:r w:rsidR="00DC5BB7">
              <w:rPr>
                <w:noProof/>
                <w:webHidden/>
              </w:rPr>
              <w:fldChar w:fldCharType="begin"/>
            </w:r>
            <w:r w:rsidR="00DC5BB7">
              <w:rPr>
                <w:noProof/>
                <w:webHidden/>
              </w:rPr>
              <w:instrText xml:space="preserve"> PAGEREF _Toc85744702 \h </w:instrText>
            </w:r>
            <w:r w:rsidR="00DC5BB7">
              <w:rPr>
                <w:noProof/>
                <w:webHidden/>
              </w:rPr>
            </w:r>
            <w:r w:rsidR="00DC5BB7">
              <w:rPr>
                <w:noProof/>
                <w:webHidden/>
              </w:rPr>
              <w:fldChar w:fldCharType="separate"/>
            </w:r>
            <w:r w:rsidR="0047083D">
              <w:rPr>
                <w:noProof/>
                <w:webHidden/>
              </w:rPr>
              <w:t>23</w:t>
            </w:r>
            <w:r w:rsidR="00DC5BB7">
              <w:rPr>
                <w:noProof/>
                <w:webHidden/>
              </w:rPr>
              <w:fldChar w:fldCharType="end"/>
            </w:r>
          </w:hyperlink>
        </w:p>
        <w:p w14:paraId="4BC1F539" w14:textId="2C1FCA99" w:rsidR="00DC5BB7" w:rsidRDefault="00F80144">
          <w:pPr>
            <w:pStyle w:val="Inhopg1"/>
            <w:tabs>
              <w:tab w:val="right" w:leader="dot" w:pos="9062"/>
            </w:tabs>
            <w:rPr>
              <w:rFonts w:eastAsiaTheme="minorEastAsia"/>
              <w:noProof/>
              <w:lang w:eastAsia="en-GB"/>
            </w:rPr>
          </w:pPr>
          <w:hyperlink w:anchor="_Toc85744703" w:history="1">
            <w:r w:rsidR="00DC5BB7" w:rsidRPr="00DC40F4">
              <w:rPr>
                <w:rStyle w:val="Hyperlink"/>
                <w:noProof/>
              </w:rPr>
              <w:t>References</w:t>
            </w:r>
            <w:r w:rsidR="00DC5BB7">
              <w:rPr>
                <w:noProof/>
                <w:webHidden/>
              </w:rPr>
              <w:tab/>
            </w:r>
            <w:r w:rsidR="00DC5BB7">
              <w:rPr>
                <w:noProof/>
                <w:webHidden/>
              </w:rPr>
              <w:fldChar w:fldCharType="begin"/>
            </w:r>
            <w:r w:rsidR="00DC5BB7">
              <w:rPr>
                <w:noProof/>
                <w:webHidden/>
              </w:rPr>
              <w:instrText xml:space="preserve"> PAGEREF _Toc85744703 \h </w:instrText>
            </w:r>
            <w:r w:rsidR="00DC5BB7">
              <w:rPr>
                <w:noProof/>
                <w:webHidden/>
              </w:rPr>
            </w:r>
            <w:r w:rsidR="00DC5BB7">
              <w:rPr>
                <w:noProof/>
                <w:webHidden/>
              </w:rPr>
              <w:fldChar w:fldCharType="separate"/>
            </w:r>
            <w:r w:rsidR="0047083D">
              <w:rPr>
                <w:noProof/>
                <w:webHidden/>
              </w:rPr>
              <w:t>25</w:t>
            </w:r>
            <w:r w:rsidR="00DC5BB7">
              <w:rPr>
                <w:noProof/>
                <w:webHidden/>
              </w:rPr>
              <w:fldChar w:fldCharType="end"/>
            </w:r>
          </w:hyperlink>
        </w:p>
        <w:p w14:paraId="2448BAEC" w14:textId="6AE962C5" w:rsidR="008C3E43" w:rsidRPr="008208B6" w:rsidRDefault="008C3E43">
          <w:r w:rsidRPr="008208B6">
            <w:rPr>
              <w:b/>
              <w:bCs/>
            </w:rPr>
            <w:fldChar w:fldCharType="end"/>
          </w:r>
        </w:p>
      </w:sdtContent>
    </w:sdt>
    <w:p w14:paraId="16A85A59" w14:textId="77777777" w:rsidR="00C743B0" w:rsidRPr="008208B6" w:rsidRDefault="00C743B0"/>
    <w:p w14:paraId="50F735D5" w14:textId="77777777" w:rsidR="00C743B0" w:rsidRPr="008208B6" w:rsidRDefault="00C743B0">
      <w:r w:rsidRPr="008208B6">
        <w:br w:type="page"/>
      </w:r>
    </w:p>
    <w:p w14:paraId="0A1F4D8E" w14:textId="522F80D1" w:rsidR="00246AEE" w:rsidRDefault="00246AEE" w:rsidP="00246AEE">
      <w:pPr>
        <w:pStyle w:val="Kop1"/>
      </w:pPr>
      <w:bookmarkStart w:id="2" w:name="_Toc85744682"/>
      <w:r>
        <w:lastRenderedPageBreak/>
        <w:t>Acknowledgements</w:t>
      </w:r>
      <w:bookmarkEnd w:id="2"/>
    </w:p>
    <w:p w14:paraId="30EDA019" w14:textId="5DF482EA" w:rsidR="00246AEE" w:rsidRDefault="00246AEE" w:rsidP="00246AEE">
      <w:r>
        <w:t xml:space="preserve">This report is an overview of my obtained results during my major internship at the Sijts group in Utrecht. While I am extremely content with the results (both the data obtained and the report itself), I would not have been able to achieve this without some very important people. First off, I would like to thank my daily supervisor Magdalena </w:t>
      </w:r>
      <w:r w:rsidRPr="00246AEE">
        <w:t>Wawrzyniuk</w:t>
      </w:r>
      <w:r>
        <w:t xml:space="preserve"> for her invaluable supervision during my experiments and </w:t>
      </w:r>
      <w:r w:rsidR="00B243F2">
        <w:t xml:space="preserve">her </w:t>
      </w:r>
      <w:r>
        <w:t>push for me to become an independent</w:t>
      </w:r>
      <w:r w:rsidR="00B243F2">
        <w:t xml:space="preserve"> thinker and</w:t>
      </w:r>
      <w:r>
        <w:t xml:space="preserve"> scientist. Second, I am very grateful to Alice Sijts for her guidance during the weekly meetings and for giving me the opportunity to do this internship at her group. </w:t>
      </w:r>
      <w:r w:rsidR="00B243F2">
        <w:t xml:space="preserve">I would also like to thank both of them, along with Karin Strijbis, for taking the time to read this report and giving me </w:t>
      </w:r>
      <w:r w:rsidR="00282B98">
        <w:t xml:space="preserve">the </w:t>
      </w:r>
      <w:r w:rsidR="00B243F2">
        <w:t>feedback</w:t>
      </w:r>
      <w:r w:rsidR="003B13AA">
        <w:t>, allowing me</w:t>
      </w:r>
      <w:r w:rsidR="00282B98">
        <w:t xml:space="preserve"> to improve</w:t>
      </w:r>
      <w:r w:rsidR="003B13AA">
        <w:t xml:space="preserve"> to my maximum potential</w:t>
      </w:r>
      <w:r w:rsidR="00B243F2">
        <w:t>. Finally, I would like to thank everyone else at the Immunology department for making these some of the most fun and “</w:t>
      </w:r>
      <w:proofErr w:type="spellStart"/>
      <w:r w:rsidR="00B243F2">
        <w:t>gezellige</w:t>
      </w:r>
      <w:proofErr w:type="spellEnd"/>
      <w:r w:rsidR="00B243F2">
        <w:t xml:space="preserve">” months of my life, but in particular Anne Floor Holtrop for her teatime chats, Youssra Ahidar for all the VMT therapy sessions and Bart van </w:t>
      </w:r>
      <w:proofErr w:type="spellStart"/>
      <w:r w:rsidR="00B243F2">
        <w:t>Eshof</w:t>
      </w:r>
      <w:proofErr w:type="spellEnd"/>
      <w:r w:rsidR="00B243F2">
        <w:t>, Lobna Medfai</w:t>
      </w:r>
      <w:r w:rsidR="003B13AA">
        <w:t>,</w:t>
      </w:r>
      <w:r w:rsidR="00B243F2">
        <w:t xml:space="preserve"> Emanuele Nolfi</w:t>
      </w:r>
      <w:r w:rsidR="003B13AA">
        <w:t xml:space="preserve"> and </w:t>
      </w:r>
      <w:proofErr w:type="spellStart"/>
      <w:r w:rsidR="003B13AA">
        <w:t>Daniëlle</w:t>
      </w:r>
      <w:proofErr w:type="spellEnd"/>
      <w:r w:rsidR="003B13AA">
        <w:t xml:space="preserve"> </w:t>
      </w:r>
      <w:proofErr w:type="spellStart"/>
      <w:r w:rsidR="003B13AA">
        <w:t>ter</w:t>
      </w:r>
      <w:proofErr w:type="spellEnd"/>
      <w:r w:rsidR="003B13AA">
        <w:t xml:space="preserve"> </w:t>
      </w:r>
      <w:proofErr w:type="spellStart"/>
      <w:r w:rsidR="003B13AA">
        <w:t>Braake</w:t>
      </w:r>
      <w:proofErr w:type="spellEnd"/>
      <w:r w:rsidR="003B13AA">
        <w:t xml:space="preserve"> </w:t>
      </w:r>
      <w:r w:rsidR="00B243F2">
        <w:t>for their mental and physical support, without which I would not have been able to produce this report.</w:t>
      </w:r>
      <w:r>
        <w:br w:type="page"/>
      </w:r>
    </w:p>
    <w:p w14:paraId="1BF624F3" w14:textId="23FCB662" w:rsidR="00C743B0" w:rsidRPr="008208B6" w:rsidRDefault="00C743B0" w:rsidP="00C743B0">
      <w:pPr>
        <w:pStyle w:val="Kop1"/>
      </w:pPr>
      <w:bookmarkStart w:id="3" w:name="_Toc85744683"/>
      <w:r w:rsidRPr="008208B6">
        <w:lastRenderedPageBreak/>
        <w:t>Introduction</w:t>
      </w:r>
      <w:bookmarkEnd w:id="3"/>
    </w:p>
    <w:p w14:paraId="383EE1FE" w14:textId="372F6ED1" w:rsidR="00C743B0" w:rsidRPr="008208B6" w:rsidRDefault="005973F6" w:rsidP="00C743B0">
      <w:r>
        <w:t>Antigen processing is</w:t>
      </w:r>
      <w:r w:rsidR="000348EA" w:rsidRPr="008208B6">
        <w:t xml:space="preserve"> a process in which </w:t>
      </w:r>
      <w:r w:rsidR="00962E5A">
        <w:t>a</w:t>
      </w:r>
      <w:r w:rsidR="0046504A">
        <w:t>n antigen</w:t>
      </w:r>
      <w:r w:rsidR="000348EA" w:rsidRPr="008208B6">
        <w:t xml:space="preserve"> (</w:t>
      </w:r>
      <w:r w:rsidR="0046504A">
        <w:t xml:space="preserve">a molecule, </w:t>
      </w:r>
      <w:r w:rsidR="000348EA" w:rsidRPr="008208B6">
        <w:t>most often a protein) is broken up into pieces (</w:t>
      </w:r>
      <w:r w:rsidR="0046504A">
        <w:t>for example peptides</w:t>
      </w:r>
      <w:r w:rsidR="000348EA" w:rsidRPr="008208B6">
        <w:t>) and presented on the cell surface</w:t>
      </w:r>
      <w:r w:rsidR="0046504A">
        <w:t xml:space="preserve"> in the form of epitopes</w:t>
      </w:r>
      <w:r w:rsidR="000348EA" w:rsidRPr="008208B6">
        <w:t xml:space="preserve">. This presentation can then in turn activate a </w:t>
      </w:r>
      <w:r w:rsidR="006D7759">
        <w:t>myriad</w:t>
      </w:r>
      <w:r w:rsidR="000348EA" w:rsidRPr="008208B6">
        <w:t xml:space="preserve"> of responses, such as immune activation, antibody production and cell mediated killing.</w:t>
      </w:r>
      <w:r w:rsidR="00F077BA" w:rsidRPr="008208B6">
        <w:t xml:space="preserve"> By understanding how our body processes &amp; presents foreign and self-proteins and subsequently prepares its defence upon recognition, we can open up a slew of applications. </w:t>
      </w:r>
      <w:r w:rsidR="00127705" w:rsidRPr="008208B6">
        <w:t xml:space="preserve">Currently, antigen processing </w:t>
      </w:r>
      <w:r>
        <w:t>is mostly used in</w:t>
      </w:r>
      <w:r w:rsidR="00127705" w:rsidRPr="008208B6">
        <w:t xml:space="preserve"> the development of new vaccines (against pathogens and cancer alike </w:t>
      </w:r>
      <w:r w:rsidR="00127705" w:rsidRPr="008208B6">
        <w:fldChar w:fldCharType="begin" w:fldLock="1"/>
      </w:r>
      <w:r w:rsidR="00117604">
        <w:instrText>ADDIN CSL_CITATION {"citationItems":[{"id":"ITEM-1","itemData":{"DOI":"10.1016/S0264-410X(00)00372-8","ISSN":"0264410X","PMID":"11163653","abstract":"Cancer vaccines have been extensively tested in animal models, and in humans. Initial studies focused on first generation vaccines based on whole cell preparations or tumor lysates derived from autologous or allogeneic tumors. Clinical studies conducted with such candidate vaccines contributed to establish the feasibility of immunizing cancer patients against their own tumors. Significant clinical benefits were observed, both in terms of long term survival and recurrence rate, in some of these trials. More recently, however, cancer vaccines targeting well-characterized tumor-associated antigens, i.e. molecules selectively or preferentially expressed by cancer cells but not by normal cells, have been designed and tested in humans. Results obtained as of today with these second-generation vaccines suggest that they are safe and that they can elicit humoral and cellular responses against tumor-specific antigens, without inducing unacceptable clinical signs of autoimmunity. Advances in tumor biology and tumor immunity have helped to better understand the mechanisms displayed by a number of tumors to escape host immunity. This bulk of new knowledge will be used to design future cancer vaccines, which will likely target multiple TAAs, presented by different antigen presentation platforms, in association with synthetic adjuvants and/or immunostimulatory cytokines. Lastly, specific tools allowing to assess in a qualitative and quantitative manner immune responses are critically needed in order to establish correlates between clinical and immune responses in patients receiving experimental vaccines. © 2001 Elsevier Science Ltd.","author":[{"dropping-particle":"","family":"Moingeon","given":"P.","non-dropping-particle":"","parse-names":false,"suffix":""}],"container-title":"Vaccine","id":"ITEM-1","issue":"11-12","issued":{"date-parts":[["2001"]]},"page":"1305-1326","title":"Cancer vaccines","type":"article-journal","volume":"19"},"uris":["http://www.mendeley.com/documents/?uuid=1eb6f1eb-e147-47a5-aa58-031a3424fe2b"]}],"mendeley":{"formattedCitation":"(1)","plainTextFormattedCitation":"(1)","previouslyFormattedCitation":"(1)"},"properties":{"noteIndex":0},"schema":"https://github.com/citation-style-language/schema/raw/master/csl-citation.json"}</w:instrText>
      </w:r>
      <w:r w:rsidR="00127705" w:rsidRPr="008208B6">
        <w:fldChar w:fldCharType="separate"/>
      </w:r>
      <w:r w:rsidR="00117604" w:rsidRPr="00117604">
        <w:rPr>
          <w:noProof/>
        </w:rPr>
        <w:t>(1)</w:t>
      </w:r>
      <w:r w:rsidR="00127705" w:rsidRPr="008208B6">
        <w:fldChar w:fldCharType="end"/>
      </w:r>
      <w:r w:rsidR="00127705" w:rsidRPr="008208B6">
        <w:t xml:space="preserve">), but there is also a role to be played in the development of immune therapies against cancer </w:t>
      </w:r>
      <w:r w:rsidR="00127705" w:rsidRPr="008208B6">
        <w:fldChar w:fldCharType="begin" w:fldLock="1"/>
      </w:r>
      <w:r w:rsidR="00117604">
        <w:instrText>ADDIN CSL_CITATION {"citationItems":[{"id":"ITEM-1","itemData":{"DOI":"10.1084/jem.20031110","ISSN":"00221007","PMID":"15051765","abstract":"T cells directed against minor histocompatibility antigens (mHags) might be responsible for eradication of hematological malignancies after allogeneic stem cell transplantation. We investigated whether transfer of T cell receptors (TCRs) directed against mHags, exclusively expressed on hematopoietic cells, could redirect virus-specific T cells toward antileukemic reactivity, without the loss of their original specificity. Generation of T cells with dual specificity may lead to survival of these TCR-transferred T cells for prolonged periods of time in vivo due to transactivation of the endogenous TCR of the tumor-reactive T cells by the latent presence of viral antigens. Furthermore, TCR transfer into restricted T cell populations, which are nonself reactive, will minimize the risk of autoimmunity. We demonstrate that cytomegalovirus (CMV)-specific T cells can be efficiently reprogrammed into leukemia-reactive T cells by transfer of TCRs directed against the mHag HA-2. HA-2-TCR-transferred CMV-specific T cells derived from human histocompatibility leukocyte antigen (HLA)-A2+ or HLA-A2- individuals exerted potent anti-leukemic as well as CMV reactivity, without signs of anti-HLA-A2 alloreactivity. The dual specificity of these mHag-specific, TCR-redirected virus-specific T cells opens new possibilities for the treatment of hematological malignancies of HLA-A2+ HA-2-expressing patients transplanted with HLA-A2-matched or -mismatched donors.","author":[{"dropping-particle":"","family":"Heemskerk","given":"Mirjam H.M.","non-dropping-particle":"","parse-names":false,"suffix":""},{"dropping-particle":"","family":"Hoogeboom","given":"Manja","non-dropping-particle":"","parse-names":false,"suffix":""},{"dropping-particle":"","family":"Hagedoorn","given":"Renate","non-dropping-particle":"","parse-names":false,"suffix":""},{"dropping-particle":"","family":"Kester","given":"Michel G.D.","non-dropping-particle":"","parse-names":false,"suffix":""},{"dropping-particle":"","family":"Willemze","given":"Roel","non-dropping-particle":"","parse-names":false,"suffix":""},{"dropping-particle":"","family":"Falkenburg","given":"J. H.Frederik","non-dropping-particle":"","parse-names":false,"suffix":""}],"container-title":"Journal of Experimental Medicine","id":"ITEM-1","issue":"7","issued":{"date-parts":[["2004","4","5"]]},"page":"885-894","publisher":"The Rockefeller University Press","title":"Reprogramming of Virus-specific T Cells into Leukemia-reactive T Cells Using T Cell Receptor Gene Transfer","type":"article-journal","volume":"199"},"uris":["http://www.mendeley.com/documents/?uuid=2e1a1204-bd7c-39ce-8b30-3dca80e0222c"]}],"mendeley":{"formattedCitation":"(2)","plainTextFormattedCitation":"(2)","previouslyFormattedCitation":"(2)"},"properties":{"noteIndex":0},"schema":"https://github.com/citation-style-language/schema/raw/master/csl-citation.json"}</w:instrText>
      </w:r>
      <w:r w:rsidR="00127705" w:rsidRPr="008208B6">
        <w:fldChar w:fldCharType="separate"/>
      </w:r>
      <w:r w:rsidR="00117604" w:rsidRPr="00117604">
        <w:rPr>
          <w:noProof/>
        </w:rPr>
        <w:t>(2)</w:t>
      </w:r>
      <w:r w:rsidR="00127705" w:rsidRPr="008208B6">
        <w:fldChar w:fldCharType="end"/>
      </w:r>
      <w:r w:rsidR="00127705" w:rsidRPr="008208B6">
        <w:t xml:space="preserve">, autoimmune diseases </w:t>
      </w:r>
      <w:r w:rsidR="00127705" w:rsidRPr="008208B6">
        <w:fldChar w:fldCharType="begin" w:fldLock="1"/>
      </w:r>
      <w:r w:rsidR="00117604">
        <w:instrText>ADDIN CSL_CITATION {"citationItems":[{"id":"ITEM-1","itemData":{"DOI":"10.1111/imj.12716","ISSN":"14455994","PMID":"25827511","abstract":"The past decade has seen human leukocyte antigen (HLA) typing emerge as a remarkably popular test for the diagnostic work-up of coeliac disease with high patient acceptance. Although limited in its positive predictive value for coeliac disease, the strong disease association with specific HLA genes imparts exceptional negative predictive value to HLA typing, enabling a negative result to exclude coeliac disease confidently. In response to mounting evidence that the clinical use and interpretation of HLA typing often deviates from best practice, this article outlines an evidence-based approach to guide clinically appropriate use of HLA typing, and establishes a reporting template for pathology providers to improve communication of results.","author":[{"dropping-particle":"","family":"Tye-Din","given":"J. A.","non-dropping-particle":"","parse-names":false,"suffix":""},{"dropping-particle":"","family":"Cameron","given":"D. J.S.","non-dropping-particle":"","parse-names":false,"suffix":""},{"dropping-particle":"","family":"Daveson","given":"A. J.","non-dropping-particle":"","parse-names":false,"suffix":""},{"dropping-particle":"","family":"Day","given":"A. S.","non-dropping-particle":"","parse-names":false,"suffix":""},{"dropping-particle":"","family":"Dellsperger","given":"P.","non-dropping-particle":"","parse-names":false,"suffix":""},{"dropping-particle":"","family":"Hogan","given":"C.","non-dropping-particle":"","parse-names":false,"suffix":""},{"dropping-particle":"","family":"Newnham","given":"E. D.","non-dropping-particle":"","parse-names":false,"suffix":""},{"dropping-particle":"","family":"Shepherd","given":"S. J.","non-dropping-particle":"","parse-names":false,"suffix":""},{"dropping-particle":"","family":"Steele","given":"R. H.","non-dropping-particle":"","parse-names":false,"suffix":""},{"dropping-particle":"","family":"Wienholt","given":"L.","non-dropping-particle":"","parse-names":false,"suffix":""},{"dropping-particle":"","family":"Varney","given":"M. D.","non-dropping-particle":"","parse-names":false,"suffix":""}],"container-title":"Internal Medicine Journal","id":"ITEM-1","issue":"4","issued":{"date-parts":[["2015"]]},"page":"441-450","title":"Appropriate clinical use of human leukocyte antigen typing for coeliac disease: An Australasian perspective","type":"article-journal","volume":"45"},"uris":["http://www.mendeley.com/documents/?uuid=a9fbacae-f007-4502-ab27-7092cd953e6b"]}],"mendeley":{"formattedCitation":"(3)","plainTextFormattedCitation":"(3)","previouslyFormattedCitation":"(3)"},"properties":{"noteIndex":0},"schema":"https://github.com/citation-style-language/schema/raw/master/csl-citation.json"}</w:instrText>
      </w:r>
      <w:r w:rsidR="00127705" w:rsidRPr="008208B6">
        <w:fldChar w:fldCharType="separate"/>
      </w:r>
      <w:r w:rsidR="00117604" w:rsidRPr="00117604">
        <w:rPr>
          <w:noProof/>
        </w:rPr>
        <w:t>(3)</w:t>
      </w:r>
      <w:r w:rsidR="00127705" w:rsidRPr="008208B6">
        <w:fldChar w:fldCharType="end"/>
      </w:r>
      <w:r w:rsidR="00127705" w:rsidRPr="008208B6">
        <w:t xml:space="preserve"> and perhaps even food allergies</w:t>
      </w:r>
      <w:r w:rsidR="009B6D03" w:rsidRPr="008208B6">
        <w:t xml:space="preserve"> </w:t>
      </w:r>
      <w:r w:rsidR="009B6D03" w:rsidRPr="008208B6">
        <w:fldChar w:fldCharType="begin" w:fldLock="1"/>
      </w:r>
      <w:r w:rsidR="00117604">
        <w:instrText>ADDIN CSL_CITATION {"citationItems":[{"id":"ITEM-1","itemData":{"DOI":"10.1016/j.jaip.2016.12.004","ISSN":"22132198","PMID":"28283151","abstract":"Current clinical research focuses on food allergen-specific immunotherapy through oral (OIT), sublingual (SLIT), or epicutaneous (EPIT) routes. Immunotherapy relies on the delivery of gradually increasing doses of specific allergens to induce desensitization (defined as temporary antigen hyporesponsiveness that depends on regular food ingestion) and, ultimately, tolerance (defined as the ability to ingest food without symptoms despite prolonged periods of avoidance or irregular intake). Although the majority of the patients treated with OIT achieve desensitization, only a minority achieves tolerance. OIT involves higher maintenance doses of food protein (300 mg-4g) compared with SLIT (2.5-7.5 mg) and EPIT (250-500 mcg). OIT efficacy is higher compared with SLIT, but OIT is associated with higher rate of systemic adverse events compared with SLIT and EPIT. OIT is also associated with a minor risk of eosinophilic esophagitis. Combined treatment of OIT and anti-IgE monoclonal antibody has improved safety but not efficacy compared with OIT alone. Early initiation of peanut OIT in peanut-allergic infants and young children may afford superior efficacy and safety. In this review, we discuss the allergen-specific strategies currently explored for the treatment of food allergy, including immunotherapy with native and heat-modified food proteins. Additional research employs strategies to improve the safety and efficacy of allergen immunotherapy through modifications of allergen structure and addition of immunomodulatory adjuvants.","author":[{"dropping-particle":"","family":"Gernez","given":"Yael","non-dropping-particle":"","parse-names":false,"suffix":""},{"dropping-particle":"","family":"Nowak-Węgrzyn","given":"Anna","non-dropping-particle":"","parse-names":false,"suffix":""}],"container-title":"Journal of Allergy and Clinical Immunology: In Practice","id":"ITEM-1","issue":"2","issued":{"date-parts":[["2017","4","1"]]},"page":"250-272","publisher":"American Academy of Allergy, Asthma and Immunology","title":"Immunotherapy for Food Allergy: Are We There Yet?","type":"article-journal","volume":"5"},"uris":["http://www.mendeley.com/documents/?uuid=b1285133-0105-3d9f-abc5-51840689b204"]}],"mendeley":{"formattedCitation":"(4)","plainTextFormattedCitation":"(4)","previouslyFormattedCitation":"(4)"},"properties":{"noteIndex":0},"schema":"https://github.com/citation-style-language/schema/raw/master/csl-citation.json"}</w:instrText>
      </w:r>
      <w:r w:rsidR="009B6D03" w:rsidRPr="008208B6">
        <w:fldChar w:fldCharType="separate"/>
      </w:r>
      <w:r w:rsidR="00117604" w:rsidRPr="00117604">
        <w:rPr>
          <w:noProof/>
        </w:rPr>
        <w:t>(4)</w:t>
      </w:r>
      <w:r w:rsidR="009B6D03" w:rsidRPr="008208B6">
        <w:fldChar w:fldCharType="end"/>
      </w:r>
      <w:r w:rsidR="00127705" w:rsidRPr="008208B6">
        <w:t>.</w:t>
      </w:r>
    </w:p>
    <w:p w14:paraId="13E47109" w14:textId="4132ECC5" w:rsidR="001F1777" w:rsidRPr="008208B6" w:rsidRDefault="00E84F09" w:rsidP="001F1777">
      <w:pPr>
        <w:pStyle w:val="Kop2"/>
      </w:pPr>
      <w:bookmarkStart w:id="4" w:name="_Toc85744684"/>
      <w:r w:rsidRPr="008208B6">
        <w:t>Protein lifecycle</w:t>
      </w:r>
      <w:bookmarkEnd w:id="4"/>
    </w:p>
    <w:p w14:paraId="2CFBE062" w14:textId="34477F83" w:rsidR="001F1777" w:rsidRPr="008208B6" w:rsidRDefault="0046504A" w:rsidP="001F1777">
      <w:r>
        <w:t>Most epitopes</w:t>
      </w:r>
      <w:r w:rsidR="00D54A3A" w:rsidRPr="008208B6">
        <w:t xml:space="preserve"> are derived from the collection of proteins in a cell, also known as the proteome. </w:t>
      </w:r>
      <w:r w:rsidR="006D7759">
        <w:t xml:space="preserve">These proteins </w:t>
      </w:r>
      <w:r w:rsidR="005973F6">
        <w:t>perform</w:t>
      </w:r>
      <w:r w:rsidR="006D7759">
        <w:t xml:space="preserve"> a variety of roles to keep the cell functioning. </w:t>
      </w:r>
      <w:r w:rsidR="00D54A3A" w:rsidRPr="008208B6">
        <w:t>Replication of DNA, the uptake of necessary molecules and catalysation of important reactions are just some of the thousands of functions that these proteins perform in the mega factory that is a living cell.</w:t>
      </w:r>
    </w:p>
    <w:p w14:paraId="5F1EC58E" w14:textId="13D05BCF" w:rsidR="00D54A3A" w:rsidRPr="008208B6" w:rsidRDefault="00D54A3A" w:rsidP="001F1777">
      <w:r w:rsidRPr="008208B6">
        <w:t>As is the case in a factory, labourers in the cell also grow old and need to be replaced. As such, the proteome is in constant flux, depending on what the cell needs at that time. A protein starts it life cycle when its gene is</w:t>
      </w:r>
      <w:r w:rsidR="009B3A4F" w:rsidRPr="008208B6">
        <w:t xml:space="preserve"> transcribed from DNA. This produces an RNA strand, which in turn gets transported to a ribosome. Through </w:t>
      </w:r>
      <w:r w:rsidR="006A7588">
        <w:t>translation</w:t>
      </w:r>
      <w:r w:rsidR="009B3A4F" w:rsidRPr="008208B6">
        <w:t>, the RNA is used as a template for the amino acid sequence that make up the protein to be produced. After translation, some modifications are made, after which the protein is ready to perform its function.</w:t>
      </w:r>
    </w:p>
    <w:p w14:paraId="53128720" w14:textId="2918BF9A" w:rsidR="009B3A4F" w:rsidRPr="008208B6" w:rsidRDefault="009B3A4F" w:rsidP="001F1777">
      <w:r w:rsidRPr="008208B6">
        <w:t xml:space="preserve">The end of this cycle is </w:t>
      </w:r>
      <w:r w:rsidR="005973F6">
        <w:t xml:space="preserve">a process called </w:t>
      </w:r>
      <w:r w:rsidRPr="008208B6">
        <w:t>protein hydrolysis</w:t>
      </w:r>
      <w:r w:rsidR="00856DC5" w:rsidRPr="008208B6">
        <w:t xml:space="preserve"> or proteolysis</w:t>
      </w:r>
      <w:r w:rsidRPr="008208B6">
        <w:t xml:space="preserve">, where proteins are broken down into smaller amino acid sequences called peptides (which can later serve as </w:t>
      </w:r>
      <w:r w:rsidR="0046504A">
        <w:t>epitopes</w:t>
      </w:r>
      <w:r w:rsidRPr="008208B6">
        <w:t xml:space="preserve"> on the cell surface). This process is mediated by a modification to the protein called ubiquitination (or ubiquitylation), where a smaller protein named ubiquitin, serving as a tag, is added. This serves as a signal that this particular protein needs to be cleaned up and broken down, at which point it will enter the antigen processing pathway.</w:t>
      </w:r>
    </w:p>
    <w:p w14:paraId="0C721C73" w14:textId="19612F3F" w:rsidR="00A46FA8" w:rsidRPr="008208B6" w:rsidRDefault="00A46FA8" w:rsidP="00A46FA8">
      <w:pPr>
        <w:pStyle w:val="Kop2"/>
      </w:pPr>
      <w:bookmarkStart w:id="5" w:name="_Toc85744685"/>
      <w:r w:rsidRPr="008208B6">
        <w:t>Proteasome</w:t>
      </w:r>
      <w:bookmarkEnd w:id="5"/>
    </w:p>
    <w:p w14:paraId="405E3CC2" w14:textId="357C0D0E" w:rsidR="00A46FA8" w:rsidRPr="008208B6" w:rsidRDefault="00374E23" w:rsidP="00A46FA8">
      <w:pPr>
        <w:rPr>
          <w:rFonts w:cstheme="minorHAnsi"/>
        </w:rPr>
      </w:pPr>
      <w:r w:rsidRPr="008208B6">
        <w:t>The first step in the antigen processing</w:t>
      </w:r>
      <w:r w:rsidR="000B67BE" w:rsidRPr="008208B6">
        <w:t xml:space="preserve"> pathway is the proteasome</w:t>
      </w:r>
      <w:r w:rsidR="008B0C7E" w:rsidRPr="008208B6">
        <w:t xml:space="preserve">, a molecular scissor responsible for cutting proteins up into peptides. The proteasome is a </w:t>
      </w:r>
      <w:r w:rsidR="007109A5" w:rsidRPr="008208B6">
        <w:t xml:space="preserve">barrel-shaped </w:t>
      </w:r>
      <w:r w:rsidR="008B0C7E" w:rsidRPr="008208B6">
        <w:t>protein</w:t>
      </w:r>
      <w:r w:rsidR="00AB29AF">
        <w:t xml:space="preserve"> complex</w:t>
      </w:r>
      <w:r w:rsidR="008B0C7E" w:rsidRPr="008208B6">
        <w:t xml:space="preserve"> with a size of 2.5 megadalton </w:t>
      </w:r>
      <w:r w:rsidR="008B0C7E" w:rsidRPr="008208B6">
        <w:fldChar w:fldCharType="begin" w:fldLock="1"/>
      </w:r>
      <w:r w:rsidR="00117604">
        <w:instrText>ADDIN CSL_CITATION {"citationItems":[{"id":"ITEM-1","itemData":{"DOI":"10.1038/s41586-018-0736-4","ISSN":"14764687","PMID":"30479383","abstract":"The proteasome is an ATP-dependent, 2.5-megadalton molecular machine that is responsible for selective protein degradation in eukaryotic cells. Here we present cryo-electron microscopy structures of the substrate-engaged human proteasome in seven conformational states at 2.8–3.6 Å resolution, captured during breakdown of a polyubiquitylated protein. These structures illuminate a spatiotemporal continuum of dynamic substrate–proteasome interactions from ubiquitin recognition to substrate translocation, during which ATP hydrolysis sequentially navigates through all six ATPases. There are three principal modes of coordinated hydrolysis, featuring hydrolytic events in two oppositely positioned ATPases, in two adjacent ATPases and in one ATPase at a time. These hydrolytic modes regulate deubiquitylation, initiation of translocation and processive unfolding of substrates, respectively. Hydrolysis of ATP powers a hinge-like motion in each ATPase that regulates its substrate interaction. Synchronization of ATP binding, ADP release and ATP hydrolysis in three adjacent ATPases drives rigid-body rotations of substrate-bound ATPases that are propagated unidirectionally in the ATPase ring and unfold the substrate.","author":[{"dropping-particle":"","family":"Dong","given":"Yuanchen","non-dropping-particle":"","parse-names":false,"suffix":""},{"dropping-particle":"","family":"Zhang","given":"Shuwen","non-dropping-particle":"","parse-names":false,"suffix":""},{"dropping-particle":"","family":"Wu","given":"Zhaolong","non-dropping-particle":"","parse-names":false,"suffix":""},{"dropping-particle":"","family":"Li","given":"Xuemei","non-dropping-particle":"","parse-names":false,"suffix":""},{"dropping-particle":"","family":"Wang","given":"Wei Li","non-dropping-particle":"","parse-names":false,"suffix":""},{"dropping-particle":"","family":"Zhu","given":"Yanan","non-dropping-particle":"","parse-names":false,"suffix":""},{"dropping-particle":"","family":"Stoilova-McPhie","given":"Svetla","non-dropping-particle":"","parse-names":false,"suffix":""},{"dropping-particle":"","family":"Lu","given":"Ying","non-dropping-particle":"","parse-names":false,"suffix":""},{"dropping-particle":"","family":"Finley","given":"Daniel","non-dropping-particle":"","parse-names":false,"suffix":""},{"dropping-particle":"","family":"Mao","given":"Youdong","non-dropping-particle":"","parse-names":false,"suffix":""}],"container-title":"Nature","id":"ITEM-1","issue":"7737","issued":{"date-parts":[["2019","1","3"]]},"page":"49-55","publisher":"Nature Publishing Group","title":"Cryo-EM structures and dynamics of substrate-engaged human 26S proteasome","type":"article-journal","volume":"565"},"uris":["http://www.mendeley.com/documents/?uuid=1df3d45a-a2cd-3165-8687-6d8944d048ea"]}],"mendeley":{"formattedCitation":"(5)","plainTextFormattedCitation":"(5)","previouslyFormattedCitation":"(5)"},"properties":{"noteIndex":0},"schema":"https://github.com/citation-style-language/schema/raw/master/csl-citation.json"}</w:instrText>
      </w:r>
      <w:r w:rsidR="008B0C7E" w:rsidRPr="008208B6">
        <w:fldChar w:fldCharType="separate"/>
      </w:r>
      <w:r w:rsidR="00117604" w:rsidRPr="00117604">
        <w:rPr>
          <w:noProof/>
        </w:rPr>
        <w:t>(5)</w:t>
      </w:r>
      <w:r w:rsidR="008B0C7E" w:rsidRPr="008208B6">
        <w:fldChar w:fldCharType="end"/>
      </w:r>
      <w:r w:rsidR="008B0C7E" w:rsidRPr="008208B6">
        <w:t>, co</w:t>
      </w:r>
      <w:r w:rsidR="007109A5" w:rsidRPr="008208B6">
        <w:t xml:space="preserve">mprised of a </w:t>
      </w:r>
      <w:r w:rsidR="00AF6393" w:rsidRPr="008208B6">
        <w:t>catalytic core</w:t>
      </w:r>
      <w:r w:rsidR="007109A5" w:rsidRPr="008208B6">
        <w:rPr>
          <w:rFonts w:cstheme="minorHAnsi"/>
        </w:rPr>
        <w:t xml:space="preserve"> and two regulatory </w:t>
      </w:r>
      <w:r w:rsidR="00A46785">
        <w:rPr>
          <w:rFonts w:cstheme="minorHAnsi"/>
        </w:rPr>
        <w:t>caps</w:t>
      </w:r>
      <w:r w:rsidR="007109A5" w:rsidRPr="008208B6">
        <w:rPr>
          <w:rFonts w:cstheme="minorHAnsi"/>
        </w:rPr>
        <w:t xml:space="preserve"> </w:t>
      </w:r>
      <w:r w:rsidR="00A46785">
        <w:rPr>
          <w:rFonts w:cstheme="minorHAnsi"/>
        </w:rPr>
        <w:t>on</w:t>
      </w:r>
      <w:r w:rsidR="007109A5" w:rsidRPr="008208B6">
        <w:rPr>
          <w:rFonts w:cstheme="minorHAnsi"/>
        </w:rPr>
        <w:t xml:space="preserve"> the outside (see figure 1</w:t>
      </w:r>
      <w:r w:rsidR="00C7462B" w:rsidRPr="008208B6">
        <w:rPr>
          <w:rFonts w:cstheme="minorHAnsi"/>
        </w:rPr>
        <w:t>, schematic in figure 2</w:t>
      </w:r>
      <w:r w:rsidR="007109A5" w:rsidRPr="008208B6">
        <w:rPr>
          <w:rFonts w:cstheme="minorHAnsi"/>
        </w:rPr>
        <w:t>).</w:t>
      </w:r>
      <w:r w:rsidR="00AF6393" w:rsidRPr="008208B6">
        <w:rPr>
          <w:rFonts w:cstheme="minorHAnsi"/>
        </w:rPr>
        <w:t xml:space="preserve"> The cap</w:t>
      </w:r>
      <w:r w:rsidR="003906FA">
        <w:rPr>
          <w:rFonts w:cstheme="minorHAnsi"/>
        </w:rPr>
        <w:t>s</w:t>
      </w:r>
      <w:r w:rsidR="00AF6393" w:rsidRPr="008208B6">
        <w:rPr>
          <w:rFonts w:cstheme="minorHAnsi"/>
        </w:rPr>
        <w:t xml:space="preserve"> mediate binding of ubiquitylated proteins</w:t>
      </w:r>
      <w:r w:rsidR="009A23DE">
        <w:rPr>
          <w:rFonts w:cstheme="minorHAnsi"/>
        </w:rPr>
        <w:t>, also known as the substrate of the proteasome</w:t>
      </w:r>
      <w:r w:rsidR="00AF6393" w:rsidRPr="008208B6">
        <w:rPr>
          <w:rFonts w:cstheme="minorHAnsi"/>
        </w:rPr>
        <w:t xml:space="preserve">. After binding, the substrate will be unfolded and deubiquitylated (figure 1A) and translocated into the core, where it </w:t>
      </w:r>
      <w:r w:rsidR="005973F6">
        <w:rPr>
          <w:rFonts w:cstheme="minorHAnsi"/>
        </w:rPr>
        <w:t>will</w:t>
      </w:r>
      <w:r w:rsidR="00AF6393" w:rsidRPr="008208B6">
        <w:rPr>
          <w:rFonts w:cstheme="minorHAnsi"/>
        </w:rPr>
        <w:t xml:space="preserve"> be hydrolysed.</w:t>
      </w:r>
    </w:p>
    <w:p w14:paraId="2FF6FE22" w14:textId="77777777" w:rsidR="007109A5" w:rsidRPr="008208B6" w:rsidRDefault="007109A5" w:rsidP="007109A5">
      <w:pPr>
        <w:keepNext/>
      </w:pPr>
      <w:r w:rsidRPr="008208B6">
        <w:rPr>
          <w:noProof/>
        </w:rPr>
        <w:lastRenderedPageBreak/>
        <w:drawing>
          <wp:inline distT="0" distB="0" distL="0" distR="0" wp14:anchorId="49CC746A" wp14:editId="3FFA7A70">
            <wp:extent cx="5760720" cy="32689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32846"/>
                    <a:stretch/>
                  </pic:blipFill>
                  <pic:spPr bwMode="auto">
                    <a:xfrm>
                      <a:off x="0" y="0"/>
                      <a:ext cx="5760720" cy="3268980"/>
                    </a:xfrm>
                    <a:prstGeom prst="rect">
                      <a:avLst/>
                    </a:prstGeom>
                    <a:noFill/>
                    <a:ln>
                      <a:noFill/>
                    </a:ln>
                    <a:extLst>
                      <a:ext uri="{53640926-AAD7-44D8-BBD7-CCE9431645EC}">
                        <a14:shadowObscured xmlns:a14="http://schemas.microsoft.com/office/drawing/2010/main"/>
                      </a:ext>
                    </a:extLst>
                  </pic:spPr>
                </pic:pic>
              </a:graphicData>
            </a:graphic>
          </wp:inline>
        </w:drawing>
      </w:r>
    </w:p>
    <w:p w14:paraId="2EE00D89" w14:textId="40C8183B" w:rsidR="009B3A4F" w:rsidRPr="008208B6" w:rsidRDefault="007109A5" w:rsidP="00856DC5">
      <w:pPr>
        <w:pStyle w:val="Bijschrift"/>
      </w:pPr>
      <w:r w:rsidRPr="008208B6">
        <w:t xml:space="preserve">Figure </w:t>
      </w:r>
      <w:r w:rsidR="00F80144">
        <w:fldChar w:fldCharType="begin"/>
      </w:r>
      <w:r w:rsidR="00F80144">
        <w:instrText xml:space="preserve"> SEQ Figure \* ARABIC </w:instrText>
      </w:r>
      <w:r w:rsidR="00F80144">
        <w:fldChar w:fldCharType="separate"/>
      </w:r>
      <w:r w:rsidR="0047083D">
        <w:rPr>
          <w:noProof/>
        </w:rPr>
        <w:t>1</w:t>
      </w:r>
      <w:r w:rsidR="00F80144">
        <w:rPr>
          <w:noProof/>
        </w:rPr>
        <w:fldChar w:fldCharType="end"/>
      </w:r>
      <w:r w:rsidRPr="008208B6">
        <w:t>: Protein structure in its three known states (A, B and C)</w:t>
      </w:r>
      <w:r w:rsidR="00AF6393" w:rsidRPr="008208B6">
        <w:t xml:space="preserve">. Second regulatory unit not pictured. Regulatory cap on top is responsible for binding of the substrate, pushing it into the barrel, where it will be hydrolysed. Source: </w:t>
      </w:r>
      <w:r w:rsidR="00AF6393" w:rsidRPr="008208B6">
        <w:fldChar w:fldCharType="begin" w:fldLock="1"/>
      </w:r>
      <w:r w:rsidR="00117604">
        <w:instrText>ADDIN CSL_CITATION {"citationItems":[{"id":"ITEM-1","itemData":{"DOI":"10.1038/s41586-018-0736-4","ISSN":"14764687","PMID":"30479383","abstract":"The proteasome is an ATP-dependent, 2.5-megadalton molecular machine that is responsible for selective protein degradation in eukaryotic cells. Here we present cryo-electron microscopy structures of the substrate-engaged human proteasome in seven conformational states at 2.8–3.6 Å resolution, captured during breakdown of a polyubiquitylated protein. These structures illuminate a spatiotemporal continuum of dynamic substrate–proteasome interactions from ubiquitin recognition to substrate translocation, during which ATP hydrolysis sequentially navigates through all six ATPases. There are three principal modes of coordinated hydrolysis, featuring hydrolytic events in two oppositely positioned ATPases, in two adjacent ATPases and in one ATPase at a time. These hydrolytic modes regulate deubiquitylation, initiation of translocation and processive unfolding of substrates, respectively. Hydrolysis of ATP powers a hinge-like motion in each ATPase that regulates its substrate interaction. Synchronization of ATP binding, ADP release and ATP hydrolysis in three adjacent ATPases drives rigid-body rotations of substrate-bound ATPases that are propagated unidirectionally in the ATPase ring and unfold the substrate.","author":[{"dropping-particle":"","family":"Dong","given":"Yuanchen","non-dropping-particle":"","parse-names":false,"suffix":""},{"dropping-particle":"","family":"Zhang","given":"Shuwen","non-dropping-particle":"","parse-names":false,"suffix":""},{"dropping-particle":"","family":"Wu","given":"Zhaolong","non-dropping-particle":"","parse-names":false,"suffix":""},{"dropping-particle":"","family":"Li","given":"Xuemei","non-dropping-particle":"","parse-names":false,"suffix":""},{"dropping-particle":"","family":"Wang","given":"Wei Li","non-dropping-particle":"","parse-names":false,"suffix":""},{"dropping-particle":"","family":"Zhu","given":"Yanan","non-dropping-particle":"","parse-names":false,"suffix":""},{"dropping-particle":"","family":"Stoilova-McPhie","given":"Svetla","non-dropping-particle":"","parse-names":false,"suffix":""},{"dropping-particle":"","family":"Lu","given":"Ying","non-dropping-particle":"","parse-names":false,"suffix":""},{"dropping-particle":"","family":"Finley","given":"Daniel","non-dropping-particle":"","parse-names":false,"suffix":""},{"dropping-particle":"","family":"Mao","given":"Youdong","non-dropping-particle":"","parse-names":false,"suffix":""}],"container-title":"Nature","id":"ITEM-1","issue":"7737","issued":{"date-parts":[["2019","1","3"]]},"page":"49-55","publisher":"Nature Publishing Group","title":"Cryo-EM structures and dynamics of substrate-engaged human 26S proteasome","type":"article-journal","volume":"565"},"uris":["http://www.mendeley.com/documents/?uuid=1df3d45a-a2cd-3165-8687-6d8944d048ea"]}],"mendeley":{"formattedCitation":"(5)","plainTextFormattedCitation":"(5)","previouslyFormattedCitation":"(5)"},"properties":{"noteIndex":0},"schema":"https://github.com/citation-style-language/schema/raw/master/csl-citation.json"}</w:instrText>
      </w:r>
      <w:r w:rsidR="00AF6393" w:rsidRPr="008208B6">
        <w:fldChar w:fldCharType="separate"/>
      </w:r>
      <w:r w:rsidR="00117604" w:rsidRPr="00117604">
        <w:rPr>
          <w:i w:val="0"/>
          <w:noProof/>
        </w:rPr>
        <w:t>(5)</w:t>
      </w:r>
      <w:r w:rsidR="00AF6393" w:rsidRPr="008208B6">
        <w:fldChar w:fldCharType="end"/>
      </w:r>
    </w:p>
    <w:p w14:paraId="4981919A" w14:textId="6F638CF7" w:rsidR="00C7462B" w:rsidRPr="008208B6" w:rsidRDefault="003906FA" w:rsidP="00C7462B">
      <w:pPr>
        <w:keepNext/>
      </w:pPr>
      <w:r>
        <w:t xml:space="preserve">The catalytic core of the proteasome is formed by combining two </w:t>
      </w:r>
      <w:r>
        <w:rPr>
          <w:rFonts w:cstheme="minorHAnsi"/>
        </w:rPr>
        <w:t>α</w:t>
      </w:r>
      <w:r>
        <w:t xml:space="preserve">- and two </w:t>
      </w:r>
      <w:r>
        <w:rPr>
          <w:rFonts w:cstheme="minorHAnsi"/>
        </w:rPr>
        <w:t>β</w:t>
      </w:r>
      <w:r>
        <w:t xml:space="preserve">-rings in a barrel shape. </w:t>
      </w:r>
      <w:r w:rsidR="00601290">
        <w:t xml:space="preserve">The proteasome functions through threonine residues present in the </w:t>
      </w:r>
      <w:r w:rsidR="00601290" w:rsidRPr="008208B6">
        <w:rPr>
          <w:rFonts w:cstheme="minorHAnsi"/>
        </w:rPr>
        <w:t>β</w:t>
      </w:r>
      <w:r w:rsidR="00601290" w:rsidRPr="008208B6">
        <w:t xml:space="preserve">1, </w:t>
      </w:r>
      <w:r w:rsidR="00601290" w:rsidRPr="008208B6">
        <w:rPr>
          <w:rFonts w:cstheme="minorHAnsi"/>
        </w:rPr>
        <w:t>β</w:t>
      </w:r>
      <w:r w:rsidR="00601290" w:rsidRPr="008208B6">
        <w:t xml:space="preserve">2 and </w:t>
      </w:r>
      <w:r w:rsidR="00601290" w:rsidRPr="008208B6">
        <w:rPr>
          <w:rFonts w:cstheme="minorHAnsi"/>
        </w:rPr>
        <w:t>β5</w:t>
      </w:r>
      <w:r w:rsidR="00601290">
        <w:rPr>
          <w:rFonts w:cstheme="minorHAnsi"/>
        </w:rPr>
        <w:t xml:space="preserve"> subunits of its </w:t>
      </w:r>
      <w:r>
        <w:rPr>
          <w:rFonts w:cstheme="minorHAnsi"/>
        </w:rPr>
        <w:t>β-rings</w:t>
      </w:r>
      <w:r w:rsidR="00601290">
        <w:rPr>
          <w:rFonts w:cstheme="minorHAnsi"/>
        </w:rPr>
        <w:t xml:space="preserve">. </w:t>
      </w:r>
      <w:r w:rsidR="00C7462B" w:rsidRPr="008208B6">
        <w:t xml:space="preserve">As seen in figure 2, the threonine </w:t>
      </w:r>
      <w:r w:rsidR="00E774F5" w:rsidRPr="008208B6">
        <w:t>residue</w:t>
      </w:r>
      <w:r w:rsidR="00C7462B" w:rsidRPr="008208B6">
        <w:t xml:space="preserve"> perform</w:t>
      </w:r>
      <w:r w:rsidR="00E774F5" w:rsidRPr="008208B6">
        <w:t>s</w:t>
      </w:r>
      <w:r w:rsidR="00C7462B" w:rsidRPr="008208B6">
        <w:t xml:space="preserve"> a nucleophilic attack on the substrate to create an acyl-enzyme intermediate, which will release the rest of the protein (in figure 2 the amino acid with the R3 side group). Afterwards, water (depicted as OH- in figure 2) will hydrolyse the acyl-enzyme intermediate, which will release the rest of the protein &amp; return the proteasome to its original state. </w:t>
      </w:r>
      <w:r w:rsidR="00C7462B" w:rsidRPr="008208B6">
        <w:fldChar w:fldCharType="begin" w:fldLock="1"/>
      </w:r>
      <w:r w:rsidR="00117604">
        <w:instrText>ADDIN CSL_CITATION {"citationItems":[{"id":"ITEM-1","itemData":{"DOI":"10.17344/acsi.2017.3883","ISSN":"15803155","PMID":"29318298","abstract":"Using rescaffolding approach, we designed piperidine compounds decorated with an electrophilic oxathiazol-2-one moiety that is known to confer selectivity towards threonine proteases. Our efforts to prepare products according to the published procedures were not successful. Furthermore we identified major side products containing nitrile functional group, resulting from carboxamide dehydration. We systematically optimized reaction conditions towards our desired products to identify heating of carboxamides with chlorocarbonylsulfenyl chloride and sodium carbonate as base in dioxane at 100 °C. Our efforts culminated in the preparation of a small series of piperidin-3-yl-oxathiazol-2-ones that are suitable for further biological evaluation.","author":[{"dropping-particle":"","family":"Jukič","given":"Marko","non-dropping-particle":"","parse-names":false,"suffix":""},{"dropping-particle":"","family":"Grabrijan","given":"Katarina","non-dropping-particle":"","parse-names":false,"suffix":""},{"dropping-particle":"","family":"Kadić","given":"Selmir","non-dropping-particle":"","parse-names":false,"suffix":""},{"dropping-particle":"","family":"Lera Garrido","given":"Fernando Juan","non-dropping-particle":"De","parse-names":false,"suffix":""},{"dropping-particle":"","family":"Sosič","given":"Izidor","non-dropping-particle":"","parse-names":false,"suffix":""},{"dropping-particle":"","family":"Gobec","given":"Stanislav","non-dropping-particle":"","parse-names":false,"suffix":""},{"dropping-particle":"","family":"Obreza","given":"Aleš","non-dropping-particle":"","parse-names":false,"suffix":""}],"container-title":"Acta Chimica Slovenica","id":"ITEM-1","issue":"4","issued":{"date-parts":[["2017"]]},"page":"771-781","title":"Chlorocarbonylsulfenyl chloride cyclizations towards piperidin-3-yl-oxathiazol-2-ones as potential covalent inhibitors of threonine proteases","type":"article-journal","volume":"64"},"uris":["http://www.mendeley.com/documents/?uuid=0191ccc5-a491-4bb0-8248-9e49ec1fed45"]}],"mendeley":{"formattedCitation":"(6)","plainTextFormattedCitation":"(6)","previouslyFormattedCitation":"(6)"},"properties":{"noteIndex":0},"schema":"https://github.com/citation-style-language/schema/raw/master/csl-citation.json"}</w:instrText>
      </w:r>
      <w:r w:rsidR="00C7462B" w:rsidRPr="008208B6">
        <w:fldChar w:fldCharType="separate"/>
      </w:r>
      <w:r w:rsidR="00117604" w:rsidRPr="00117604">
        <w:rPr>
          <w:noProof/>
        </w:rPr>
        <w:t>(6)</w:t>
      </w:r>
      <w:r w:rsidR="00C7462B" w:rsidRPr="008208B6">
        <w:fldChar w:fldCharType="end"/>
      </w:r>
      <w:r w:rsidR="00856DC5" w:rsidRPr="008208B6">
        <w:rPr>
          <w:noProof/>
        </w:rPr>
        <w:drawing>
          <wp:inline distT="0" distB="0" distL="0" distR="0" wp14:anchorId="1F440A4E" wp14:editId="6B1956C6">
            <wp:extent cx="5760720" cy="29527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6698" cy="2960940"/>
                    </a:xfrm>
                    <a:prstGeom prst="rect">
                      <a:avLst/>
                    </a:prstGeom>
                  </pic:spPr>
                </pic:pic>
              </a:graphicData>
            </a:graphic>
          </wp:inline>
        </w:drawing>
      </w:r>
    </w:p>
    <w:p w14:paraId="368FD7E9" w14:textId="08DB69B6" w:rsidR="009B3A4F" w:rsidRPr="008208B6" w:rsidRDefault="00C7462B" w:rsidP="00C7462B">
      <w:pPr>
        <w:pStyle w:val="Bijschrift"/>
      </w:pPr>
      <w:r w:rsidRPr="008208B6">
        <w:t xml:space="preserve">Figure </w:t>
      </w:r>
      <w:r w:rsidR="00F80144">
        <w:fldChar w:fldCharType="begin"/>
      </w:r>
      <w:r w:rsidR="00F80144">
        <w:instrText xml:space="preserve"> SEQ Figure \* ARABIC </w:instrText>
      </w:r>
      <w:r w:rsidR="00F80144">
        <w:fldChar w:fldCharType="separate"/>
      </w:r>
      <w:r w:rsidR="0047083D">
        <w:rPr>
          <w:noProof/>
        </w:rPr>
        <w:t>2</w:t>
      </w:r>
      <w:r w:rsidR="00F80144">
        <w:rPr>
          <w:noProof/>
        </w:rPr>
        <w:fldChar w:fldCharType="end"/>
      </w:r>
      <w:r w:rsidRPr="008208B6">
        <w:t xml:space="preserve">: Mechanism of proteolysis in the proteasome. </w:t>
      </w:r>
      <w:r w:rsidR="00E774F5" w:rsidRPr="008208B6">
        <w:t xml:space="preserve">Threonine residues attack the substrate, releasing part of the protein. After hydrolysis by water (OH-), the leftover substrate will be released and the proteasome will return to its original state, ready to proteolyze again. Source: </w:t>
      </w:r>
      <w:r w:rsidR="00E774F5" w:rsidRPr="008208B6">
        <w:fldChar w:fldCharType="begin" w:fldLock="1"/>
      </w:r>
      <w:r w:rsidR="00117604">
        <w:instrText>ADDIN CSL_CITATION {"citationItems":[{"id":"ITEM-1","itemData":{"DOI":"10.17344/acsi.2017.3883","ISSN":"15803155","PMID":"29318298","abstract":"Using rescaffolding approach, we designed piperidine compounds decorated with an electrophilic oxathiazol-2-one moiety that is known to confer selectivity towards threonine proteases. Our efforts to prepare products according to the published procedures were not successful. Furthermore we identified major side products containing nitrile functional group, resulting from carboxamide dehydration. We systematically optimized reaction conditions towards our desired products to identify heating of carboxamides with chlorocarbonylsulfenyl chloride and sodium carbonate as base in dioxane at 100 °C. Our efforts culminated in the preparation of a small series of piperidin-3-yl-oxathiazol-2-ones that are suitable for further biological evaluation.","author":[{"dropping-particle":"","family":"Jukič","given":"Marko","non-dropping-particle":"","parse-names":false,"suffix":""},{"dropping-particle":"","family":"Grabrijan","given":"Katarina","non-dropping-particle":"","parse-names":false,"suffix":""},{"dropping-particle":"","family":"Kadić","given":"Selmir","non-dropping-particle":"","parse-names":false,"suffix":""},{"dropping-particle":"","family":"Lera Garrido","given":"Fernando Juan","non-dropping-particle":"De","parse-names":false,"suffix":""},{"dropping-particle":"","family":"Sosič","given":"Izidor","non-dropping-particle":"","parse-names":false,"suffix":""},{"dropping-particle":"","family":"Gobec","given":"Stanislav","non-dropping-particle":"","parse-names":false,"suffix":""},{"dropping-particle":"","family":"Obreza","given":"Aleš","non-dropping-particle":"","parse-names":false,"suffix":""}],"container-title":"Acta Chimica Slovenica","id":"ITEM-1","issue":"4","issued":{"date-parts":[["2017"]]},"page":"771-781","title":"Chlorocarbonylsulfenyl chloride cyclizations towards piperidin-3-yl-oxathiazol-2-ones as potential covalent inhibitors of threonine proteases","type":"article-journal","volume":"64"},"uris":["http://www.mendeley.com/documents/?uuid=0191ccc5-a491-4bb0-8248-9e49ec1fed45"]}],"mendeley":{"formattedCitation":"(6)","plainTextFormattedCitation":"(6)","previouslyFormattedCitation":"(6)"},"properties":{"noteIndex":0},"schema":"https://github.com/citation-style-language/schema/raw/master/csl-citation.json"}</w:instrText>
      </w:r>
      <w:r w:rsidR="00E774F5" w:rsidRPr="008208B6">
        <w:fldChar w:fldCharType="separate"/>
      </w:r>
      <w:r w:rsidR="00117604" w:rsidRPr="00117604">
        <w:rPr>
          <w:i w:val="0"/>
          <w:noProof/>
        </w:rPr>
        <w:t>(6)</w:t>
      </w:r>
      <w:r w:rsidR="00E774F5" w:rsidRPr="008208B6">
        <w:fldChar w:fldCharType="end"/>
      </w:r>
    </w:p>
    <w:p w14:paraId="4EEB8C46" w14:textId="2B47559A" w:rsidR="00AF6393" w:rsidRPr="008208B6" w:rsidRDefault="00280B1E" w:rsidP="00F123EA">
      <w:pPr>
        <w:keepNext/>
        <w:rPr>
          <w:b/>
          <w:bCs/>
        </w:rPr>
      </w:pPr>
      <w:r w:rsidRPr="008208B6">
        <w:rPr>
          <w:noProof/>
        </w:rPr>
        <w:lastRenderedPageBreak/>
        <mc:AlternateContent>
          <mc:Choice Requires="wps">
            <w:drawing>
              <wp:anchor distT="0" distB="0" distL="114300" distR="114300" simplePos="0" relativeHeight="251663360" behindDoc="0" locked="0" layoutInCell="1" allowOverlap="1" wp14:anchorId="6B68162A" wp14:editId="5B8DEDE3">
                <wp:simplePos x="0" y="0"/>
                <wp:positionH relativeFrom="column">
                  <wp:posOffset>2513965</wp:posOffset>
                </wp:positionH>
                <wp:positionV relativeFrom="paragraph">
                  <wp:posOffset>2542540</wp:posOffset>
                </wp:positionV>
                <wp:extent cx="3245485" cy="635"/>
                <wp:effectExtent l="0" t="0" r="0" b="6985"/>
                <wp:wrapSquare wrapText="bothSides"/>
                <wp:docPr id="6" name="Tekstvak 6"/>
                <wp:cNvGraphicFramePr/>
                <a:graphic xmlns:a="http://schemas.openxmlformats.org/drawingml/2006/main">
                  <a:graphicData uri="http://schemas.microsoft.com/office/word/2010/wordprocessingShape">
                    <wps:wsp>
                      <wps:cNvSpPr txBox="1"/>
                      <wps:spPr>
                        <a:xfrm>
                          <a:off x="0" y="0"/>
                          <a:ext cx="3245485" cy="635"/>
                        </a:xfrm>
                        <a:prstGeom prst="rect">
                          <a:avLst/>
                        </a:prstGeom>
                        <a:solidFill>
                          <a:prstClr val="white"/>
                        </a:solidFill>
                        <a:ln>
                          <a:noFill/>
                        </a:ln>
                      </wps:spPr>
                      <wps:txbx>
                        <w:txbxContent>
                          <w:p w14:paraId="040B3E87" w14:textId="50C411B2" w:rsidR="00F123EA" w:rsidRPr="00C876F0" w:rsidRDefault="00F123EA" w:rsidP="00F123EA">
                            <w:pPr>
                              <w:pStyle w:val="Bijschrift"/>
                            </w:pPr>
                            <w:r>
                              <w:t xml:space="preserve">Figure </w:t>
                            </w:r>
                            <w:r w:rsidR="00F80144">
                              <w:fldChar w:fldCharType="begin"/>
                            </w:r>
                            <w:r w:rsidR="00F80144">
                              <w:instrText xml:space="preserve"> SEQ Figure \* ARABIC </w:instrText>
                            </w:r>
                            <w:r w:rsidR="00F80144">
                              <w:fldChar w:fldCharType="separate"/>
                            </w:r>
                            <w:r w:rsidR="0047083D">
                              <w:rPr>
                                <w:noProof/>
                              </w:rPr>
                              <w:t>3</w:t>
                            </w:r>
                            <w:r w:rsidR="00F80144">
                              <w:rPr>
                                <w:noProof/>
                              </w:rPr>
                              <w:fldChar w:fldCharType="end"/>
                            </w:r>
                            <w:r>
                              <w:t xml:space="preserve">: Replacement of </w:t>
                            </w:r>
                            <w:r>
                              <w:rPr>
                                <w:rFonts w:cstheme="minorHAnsi"/>
                              </w:rPr>
                              <w:t>β</w:t>
                            </w:r>
                            <w:r>
                              <w:t>-subunits to create a immunoproteasome, under the influence of IFN-</w:t>
                            </w:r>
                            <w:r>
                              <w:sym w:font="Symbol" w:char="F067"/>
                            </w:r>
                            <w:r>
                              <w:t xml:space="preserve">. Adapted from </w:t>
                            </w:r>
                            <w:bookmarkStart w:id="6" w:name="_Hlk67046964"/>
                            <w:r>
                              <w:fldChar w:fldCharType="begin" w:fldLock="1"/>
                            </w:r>
                            <w:r w:rsidR="00117604">
                              <w:instrText>ADDIN CSL_CITATION {"citationItems":[{"id":"ITEM-1","itemData":{"DOI":"10.2183/pjab/85.12","abstract":"The proteasome is a highly sophisticated protease complex designed to carry out selective, efficient and processive hydrolysis of client proteins. It is known to collaborate with ubiquitin, which polymerizes to form a marker for regulated proteolysis in eukaryotic cells. The highly organized proteasome plays a prominent role in the control of a diverse array of basic cellular activities by rapidly and unidirectionally catalyzing biological reactions. Studies of the proteasome during the past quarter of a century have provided profound insights into its structure and functions, which has appreciably contributed to our understanding of cellular life. Many questions, however, remain to be elucidated.","author":[{"dropping-particle":"","family":"Tanaka","given":"Keiji","non-dropping-particle":"","parse-names":false,"suffix":""}],"id":"ITEM-1","issued":{"date-parts":[["0"]]},"title":"The proteasome: Overview of structure and functions","type":"article-journal"},"uris":["http://www.mendeley.com/documents/?uuid=0007cf08-1c5b-3349-9be6-4b64f23b7d21"]}],"mendeley":{"formattedCitation":"(7)","plainTextFormattedCitation":"(7)","previouslyFormattedCitation":"(7)"},"properties":{"noteIndex":0},"schema":"https://github.com/citation-style-language/schema/raw/master/csl-citation.json"}</w:instrText>
                            </w:r>
                            <w:r>
                              <w:fldChar w:fldCharType="separate"/>
                            </w:r>
                            <w:r w:rsidR="00117604" w:rsidRPr="00117604">
                              <w:rPr>
                                <w:i w:val="0"/>
                                <w:noProof/>
                              </w:rPr>
                              <w:t>(7)</w:t>
                            </w:r>
                            <w:r>
                              <w:fldChar w:fldCharType="end"/>
                            </w:r>
                            <w:bookmarkEnd w:id="6"/>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B68162A" id="_x0000_t202" coordsize="21600,21600" o:spt="202" path="m,l,21600r21600,l21600,xe">
                <v:stroke joinstyle="miter"/>
                <v:path gradientshapeok="t" o:connecttype="rect"/>
              </v:shapetype>
              <v:shape id="Tekstvak 6" o:spid="_x0000_s1030" type="#_x0000_t202" style="position:absolute;margin-left:197.95pt;margin-top:200.2pt;width:255.5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" stroked="f">
                <v:textbox style="mso-fit-shape-to-text:t" inset="0,0,0,0">
                  <w:txbxContent>
                    <w:p w14:paraId="040B3E87" w14:textId="50C411B2" w:rsidR="00F123EA" w:rsidRPr="00C876F0" w:rsidRDefault="00F123EA" w:rsidP="00F123EA">
                      <w:pPr>
                        <w:pStyle w:val="Bijschrift"/>
                      </w:pPr>
                      <w:r>
                        <w:t xml:space="preserve">Figure </w:t>
                      </w:r>
                      <w:fldSimple w:instr=" SEQ Figure \* ARABIC ">
                        <w:r w:rsidR="0047083D">
                          <w:rPr>
                            <w:noProof/>
                          </w:rPr>
                          <w:t>3</w:t>
                        </w:r>
                      </w:fldSimple>
                      <w:r>
                        <w:t xml:space="preserve">: Replacement of </w:t>
                      </w:r>
                      <w:r>
                        <w:rPr>
                          <w:rFonts w:cstheme="minorHAnsi"/>
                        </w:rPr>
                        <w:t>β</w:t>
                      </w:r>
                      <w:r>
                        <w:t>-subunits to create a immunoproteasome, under the influence of IFN-</w:t>
                      </w:r>
                      <w:r>
                        <w:sym w:font="Symbol" w:char="F067"/>
                      </w:r>
                      <w:r>
                        <w:t xml:space="preserve">. Adapted from </w:t>
                      </w:r>
                      <w:bookmarkStart w:id="7" w:name="_Hlk67046964"/>
                      <w:r>
                        <w:fldChar w:fldCharType="begin" w:fldLock="1"/>
                      </w:r>
                      <w:r w:rsidR="00117604">
                        <w:instrText>ADDIN CSL_CITATION {"citationItems":[{"id":"ITEM-1","itemData":{"DOI":"10.2183/pjab/85.12","abstract":"The proteasome is a highly sophisticated protease complex designed to carry out selective, efficient and processive hydrolysis of client proteins. It is known to collaborate with ubiquitin, which polymerizes to form a marker for regulated proteolysis in eukaryotic cells. The highly organized proteasome plays a prominent role in the control of a diverse array of basic cellular activities by rapidly and unidirectionally catalyzing biological reactions. Studies of the proteasome during the past quarter of a century have provided profound insights into its structure and functions, which has appreciably contributed to our understanding of cellular life. Many questions, however, remain to be elucidated.","author":[{"dropping-particle":"","family":"Tanaka","given":"Keiji","non-dropping-particle":"","parse-names":false,"suffix":""}],"id":"ITEM-1","issued":{"date-parts":[["0"]]},"title":"The proteasome: Overview of structure and functions","type":"article-journal"},"uris":["http://www.mendeley.com/documents/?uuid=0007cf08-1c5b-3349-9be6-4b64f23b7d21"]}],"mendeley":{"formattedCitation":"(7)","plainTextFormattedCitation":"(7)","previouslyFormattedCitation":"(7)"},"properties":{"noteIndex":0},"schema":"https://github.com/citation-style-language/schema/raw/master/csl-citation.json"}</w:instrText>
                      </w:r>
                      <w:r>
                        <w:fldChar w:fldCharType="separate"/>
                      </w:r>
                      <w:r w:rsidR="00117604" w:rsidRPr="00117604">
                        <w:rPr>
                          <w:i w:val="0"/>
                          <w:noProof/>
                        </w:rPr>
                        <w:t>(7)</w:t>
                      </w:r>
                      <w:r>
                        <w:fldChar w:fldCharType="end"/>
                      </w:r>
                      <w:bookmarkEnd w:id="7"/>
                      <w:r>
                        <w:t>.</w:t>
                      </w:r>
                    </w:p>
                  </w:txbxContent>
                </v:textbox>
                <w10:wrap type="square"/>
              </v:shape>
            </w:pict>
          </mc:Fallback>
        </mc:AlternateContent>
      </w:r>
      <w:r w:rsidR="00A467DF" w:rsidRPr="008208B6">
        <w:t xml:space="preserve">As seen in the schematic drawing of figure 2, the proteasome core consists of a variety of </w:t>
      </w:r>
      <w:r w:rsidR="00A467DF" w:rsidRPr="008208B6">
        <w:rPr>
          <w:rFonts w:cstheme="minorHAnsi"/>
        </w:rPr>
        <w:t>α</w:t>
      </w:r>
      <w:r w:rsidR="00A467DF" w:rsidRPr="008208B6">
        <w:t xml:space="preserve">- and </w:t>
      </w:r>
      <w:r w:rsidR="00A467DF" w:rsidRPr="008208B6">
        <w:rPr>
          <w:rFonts w:cstheme="minorHAnsi"/>
        </w:rPr>
        <w:t>β</w:t>
      </w:r>
      <w:r w:rsidR="00A467DF" w:rsidRPr="008208B6">
        <w:t>-subunits. Under the influence of Interferon gamma (IFN-</w:t>
      </w:r>
      <w:r w:rsidR="00A467DF" w:rsidRPr="008208B6">
        <w:sym w:font="Symbol" w:char="F067"/>
      </w:r>
      <w:r w:rsidR="00A467DF" w:rsidRPr="008208B6">
        <w:t xml:space="preserve">), a cytokine produced when the body is in </w:t>
      </w:r>
      <w:r w:rsidR="00465562" w:rsidRPr="008208B6">
        <w:rPr>
          <w:noProof/>
        </w:rPr>
        <w:drawing>
          <wp:anchor distT="0" distB="0" distL="114300" distR="114300" simplePos="0" relativeHeight="251664384" behindDoc="0" locked="0" layoutInCell="1" allowOverlap="1" wp14:anchorId="50D1FC3A" wp14:editId="56DC86A5">
            <wp:simplePos x="0" y="0"/>
            <wp:positionH relativeFrom="column">
              <wp:posOffset>2514600</wp:posOffset>
            </wp:positionH>
            <wp:positionV relativeFrom="paragraph">
              <wp:posOffset>635</wp:posOffset>
            </wp:positionV>
            <wp:extent cx="3253800" cy="2545080"/>
            <wp:effectExtent l="0" t="0" r="381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53800" cy="2545080"/>
                    </a:xfrm>
                    <a:prstGeom prst="rect">
                      <a:avLst/>
                    </a:prstGeom>
                  </pic:spPr>
                </pic:pic>
              </a:graphicData>
            </a:graphic>
            <wp14:sizeRelH relativeFrom="page">
              <wp14:pctWidth>0</wp14:pctWidth>
            </wp14:sizeRelH>
            <wp14:sizeRelV relativeFrom="page">
              <wp14:pctHeight>0</wp14:pctHeight>
            </wp14:sizeRelV>
          </wp:anchor>
        </w:drawing>
      </w:r>
      <w:r w:rsidR="00A467DF" w:rsidRPr="008208B6">
        <w:t>a state of infection, some of these subunits (</w:t>
      </w:r>
      <w:r w:rsidR="00A467DF" w:rsidRPr="008208B6">
        <w:rPr>
          <w:rFonts w:cstheme="minorHAnsi"/>
        </w:rPr>
        <w:t>β</w:t>
      </w:r>
      <w:r w:rsidR="00A467DF" w:rsidRPr="008208B6">
        <w:t xml:space="preserve">1, </w:t>
      </w:r>
      <w:r w:rsidR="00A467DF" w:rsidRPr="008208B6">
        <w:rPr>
          <w:rFonts w:cstheme="minorHAnsi"/>
        </w:rPr>
        <w:t>β</w:t>
      </w:r>
      <w:r w:rsidR="00A467DF" w:rsidRPr="008208B6">
        <w:t xml:space="preserve">2 and </w:t>
      </w:r>
      <w:r w:rsidR="00A467DF" w:rsidRPr="008208B6">
        <w:rPr>
          <w:rFonts w:cstheme="minorHAnsi"/>
        </w:rPr>
        <w:t>β5) are replaced by their immunoproteasome counterparts (β</w:t>
      </w:r>
      <w:r w:rsidR="00A467DF" w:rsidRPr="008208B6">
        <w:t xml:space="preserve">1i, </w:t>
      </w:r>
      <w:r w:rsidR="00A467DF" w:rsidRPr="008208B6">
        <w:rPr>
          <w:rFonts w:cstheme="minorHAnsi"/>
        </w:rPr>
        <w:t>β</w:t>
      </w:r>
      <w:r w:rsidR="00A467DF" w:rsidRPr="008208B6">
        <w:t xml:space="preserve">2i and </w:t>
      </w:r>
      <w:r w:rsidR="00A467DF" w:rsidRPr="008208B6">
        <w:rPr>
          <w:rFonts w:cstheme="minorHAnsi"/>
        </w:rPr>
        <w:t xml:space="preserve">β5i, respectively) (see figure 3). This in turn will create the immunoproteasome, a type of proteasome whose created peptides are </w:t>
      </w:r>
      <w:r w:rsidR="00691F96" w:rsidRPr="008208B6">
        <w:rPr>
          <w:rFonts w:cstheme="minorHAnsi"/>
        </w:rPr>
        <w:t xml:space="preserve">better at binding to MHC-I and are thus presented better at the cell surface. </w:t>
      </w:r>
      <w:r w:rsidR="00691F96" w:rsidRPr="008208B6">
        <w:rPr>
          <w:rFonts w:cstheme="minorHAnsi"/>
        </w:rPr>
        <w:fldChar w:fldCharType="begin" w:fldLock="1"/>
      </w:r>
      <w:r w:rsidR="00117604">
        <w:rPr>
          <w:rFonts w:cstheme="minorHAnsi"/>
        </w:rPr>
        <w:instrText>ADDIN CSL_CITATION {"citationItems":[{"id":"ITEM-1","itemData":{"DOI":"10.2183/pjab/85.12","abstract":"The proteasome is a highly sophisticated protease complex designed to carry out selective, efficient and processive hydrolysis of client proteins. It is known to collaborate with ubiquitin, which polymerizes to form a marker for regulated proteolysis in eukaryotic cells. The highly organized proteasome plays a prominent role in the control of a diverse array of basic cellular activities by rapidly and unidirectionally catalyzing biological reactions. Studies of the proteasome during the past quarter of a century have provided profound insights into its structure and functions, which has appreciably contributed to our understanding of cellular life. Many questions, however, remain to be elucidated.","author":[{"dropping-particle":"","family":"Tanaka","given":"Keiji","non-dropping-particle":"","parse-names":false,"suffix":""}],"id":"ITEM-1","issued":{"date-parts":[["0"]]},"title":"The proteasome: Overview of structure and functions","type":"article-journal"},"uris":["http://www.mendeley.com/documents/?uuid=0007cf08-1c5b-3349-9be6-4b64f23b7d21"]}],"mendeley":{"formattedCitation":"(7)","plainTextFormattedCitation":"(7)","previouslyFormattedCitation":"(7)"},"properties":{"noteIndex":0},"schema":"https://github.com/citation-style-language/schema/raw/master/csl-citation.json"}</w:instrText>
      </w:r>
      <w:r w:rsidR="00691F96" w:rsidRPr="008208B6">
        <w:rPr>
          <w:rFonts w:cstheme="minorHAnsi"/>
        </w:rPr>
        <w:fldChar w:fldCharType="separate"/>
      </w:r>
      <w:r w:rsidR="00117604" w:rsidRPr="00117604">
        <w:rPr>
          <w:rFonts w:cstheme="minorHAnsi"/>
          <w:noProof/>
        </w:rPr>
        <w:t>(7)</w:t>
      </w:r>
      <w:r w:rsidR="00691F96" w:rsidRPr="008208B6">
        <w:rPr>
          <w:rFonts w:cstheme="minorHAnsi"/>
        </w:rPr>
        <w:fldChar w:fldCharType="end"/>
      </w:r>
    </w:p>
    <w:p w14:paraId="11DE7606" w14:textId="277A3A1F" w:rsidR="00A46FA8" w:rsidRPr="008208B6" w:rsidRDefault="00352477" w:rsidP="00A46FA8">
      <w:pPr>
        <w:pStyle w:val="Kop2"/>
      </w:pPr>
      <w:bookmarkStart w:id="7" w:name="_Toc85744686"/>
      <w:r w:rsidRPr="008208B6">
        <w:t>Loading of peptides</w:t>
      </w:r>
      <w:bookmarkEnd w:id="7"/>
    </w:p>
    <w:p w14:paraId="0D6A65E8" w14:textId="2407528A" w:rsidR="008C3E43" w:rsidRPr="008208B6" w:rsidRDefault="00465562" w:rsidP="008C3E43">
      <w:r w:rsidRPr="008208B6">
        <w:rPr>
          <w:noProof/>
        </w:rPr>
        <w:drawing>
          <wp:anchor distT="0" distB="0" distL="114300" distR="114300" simplePos="0" relativeHeight="251658240" behindDoc="0" locked="0" layoutInCell="1" allowOverlap="1" wp14:anchorId="2A2540A5" wp14:editId="566E110E">
            <wp:simplePos x="0" y="0"/>
            <wp:positionH relativeFrom="column">
              <wp:posOffset>2458720</wp:posOffset>
            </wp:positionH>
            <wp:positionV relativeFrom="paragraph">
              <wp:posOffset>1683385</wp:posOffset>
            </wp:positionV>
            <wp:extent cx="3256280" cy="300926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7328" t="3598" r="21693" b="11230"/>
                    <a:stretch/>
                  </pic:blipFill>
                  <pic:spPr bwMode="auto">
                    <a:xfrm>
                      <a:off x="0" y="0"/>
                      <a:ext cx="3256280" cy="300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DCA" w:rsidRPr="008208B6">
        <w:t xml:space="preserve">Now that the cell has generated its peptides, it needs to be presented at the cell surface. This is done by the </w:t>
      </w:r>
      <w:r w:rsidR="00142686" w:rsidRPr="008208B6">
        <w:t>major histocompatibility complex I (MHC-I)</w:t>
      </w:r>
      <w:r w:rsidR="00281DCA" w:rsidRPr="008208B6">
        <w:t xml:space="preserve"> </w:t>
      </w:r>
      <w:r w:rsidR="00142686" w:rsidRPr="008208B6">
        <w:t>molecules</w:t>
      </w:r>
      <w:r w:rsidR="00281DCA" w:rsidRPr="008208B6">
        <w:t>, proteins on the cell surface that function as a silver platter to attach the peptides to, where it can be further recognized by the immune system. As a protein itself, the MHC</w:t>
      </w:r>
      <w:r w:rsidR="00142686" w:rsidRPr="008208B6">
        <w:t>-I</w:t>
      </w:r>
      <w:r w:rsidR="00281DCA" w:rsidRPr="008208B6">
        <w:t xml:space="preserve"> molecules are translated by the ribosome </w:t>
      </w:r>
      <w:r w:rsidR="00400F0F">
        <w:t>in</w:t>
      </w:r>
      <w:r w:rsidR="00281DCA" w:rsidRPr="008208B6">
        <w:t>to the</w:t>
      </w:r>
      <w:r w:rsidR="00142686" w:rsidRPr="008208B6">
        <w:t xml:space="preserve"> endoplasmic reticulum</w:t>
      </w:r>
      <w:r w:rsidR="00281DCA" w:rsidRPr="008208B6">
        <w:t xml:space="preserve"> </w:t>
      </w:r>
      <w:r w:rsidR="00142686" w:rsidRPr="008208B6">
        <w:t>(</w:t>
      </w:r>
      <w:r w:rsidR="00281DCA" w:rsidRPr="008208B6">
        <w:t>ER</w:t>
      </w:r>
      <w:r w:rsidR="00142686" w:rsidRPr="008208B6">
        <w:t>)</w:t>
      </w:r>
      <w:r w:rsidR="00281DCA" w:rsidRPr="008208B6">
        <w:t>, where they are stabilized by a variety of chaperones. Produced peptides will be transported to the ER by transporter associated with antigen processing (TAP)</w:t>
      </w:r>
      <w:r w:rsidR="00142686" w:rsidRPr="008208B6">
        <w:t>, where it will be loaded on the MHC-I molecule. This loading in turn increases the stability of MHC-I, nullifying the need for the previously mentioned chaperones, that will detach afterwards. The MHC-I molecule is then free to move to the cell surface, where it can be recognized.</w:t>
      </w:r>
      <w:r w:rsidR="009D30A3" w:rsidRPr="008208B6">
        <w:t xml:space="preserve"> </w:t>
      </w:r>
      <w:r w:rsidR="009D30A3" w:rsidRPr="008208B6">
        <w:fldChar w:fldCharType="begin" w:fldLock="1"/>
      </w:r>
      <w:r w:rsidR="00117604">
        <w:instrText>ADDIN CSL_CITATION {"citationItems":[{"id":"ITEM-1","itemData":{"DOI":"10.1016/j.coi.2007.12.005","ISSN":"09527915","PMID":"18243674","abstract":"The acquisition of an optimal peptide ligand by MHC class I molecules is crucial for the generation of immunity to viruses and tumors. This process is orchestrated by a molecular machine known as the peptide loading complex (PLC) that consists of specialized and general ER-resident molecules. These proteins collaborate to ensure the loading of an optimal peptide ligand into the antigen binding cleft of class I molecules. The surprising diversity of peptides bound to MHC class I molecules and recapitulation of class I assembly in vitro have provided new insights into the molecular machinations of peptide loading. Coupled with the extraordinary polymorphism of class I molecules and their differential dependence on various components of the PLC for cell surface expression, a picture of peptide loading at the molecular level has recently emerged and will be discussed herein. © 2008 Elsevier Ltd. All rights reserved.","author":[{"dropping-particle":"","family":"Purcell","given":"Anthony W.","non-dropping-particle":"","parse-names":false,"suffix":""},{"dropping-particle":"","family":"Elliott","given":"Tim","non-dropping-particle":"","parse-names":false,"suffix":""}],"container-title":"Current Opinion in Immunology","id":"ITEM-1","issue":"1","issued":{"date-parts":[["2008","2","1"]]},"page":"75-81","publisher":"Elsevier Current Trends","title":"Molecular machinations of the MHC-I peptide loading complex","type":"article","volume":"20"},"uris":["http://www.mendeley.com/documents/?uuid=c0c3d040-ad59-3abe-98be-b7d0b0babd27"]}],"mendeley":{"formattedCitation":"(8)","plainTextFormattedCitation":"(8)","previouslyFormattedCitation":"(8)"},"properties":{"noteIndex":0},"schema":"https://github.com/citation-style-language/schema/raw/master/csl-citation.json"}</w:instrText>
      </w:r>
      <w:r w:rsidR="009D30A3" w:rsidRPr="008208B6">
        <w:fldChar w:fldCharType="separate"/>
      </w:r>
      <w:r w:rsidR="00117604" w:rsidRPr="00117604">
        <w:rPr>
          <w:noProof/>
        </w:rPr>
        <w:t>(8)</w:t>
      </w:r>
      <w:r w:rsidR="009D30A3" w:rsidRPr="008208B6">
        <w:fldChar w:fldCharType="end"/>
      </w:r>
    </w:p>
    <w:p w14:paraId="35393462" w14:textId="2FF10DA8" w:rsidR="00556E02" w:rsidRPr="008208B6" w:rsidRDefault="00F123EA" w:rsidP="008C3E43">
      <w:r w:rsidRPr="008208B6">
        <w:rPr>
          <w:noProof/>
        </w:rPr>
        <mc:AlternateContent>
          <mc:Choice Requires="wps">
            <w:drawing>
              <wp:anchor distT="0" distB="0" distL="114300" distR="114300" simplePos="0" relativeHeight="251660288" behindDoc="0" locked="0" layoutInCell="1" allowOverlap="1" wp14:anchorId="00D2E10D" wp14:editId="08DF9EFC">
                <wp:simplePos x="0" y="0"/>
                <wp:positionH relativeFrom="column">
                  <wp:posOffset>2400300</wp:posOffset>
                </wp:positionH>
                <wp:positionV relativeFrom="paragraph">
                  <wp:posOffset>2846070</wp:posOffset>
                </wp:positionV>
                <wp:extent cx="3328670" cy="635"/>
                <wp:effectExtent l="0" t="0" r="5080" b="6985"/>
                <wp:wrapSquare wrapText="bothSides"/>
                <wp:docPr id="5" name="Tekstvak 5"/>
                <wp:cNvGraphicFramePr/>
                <a:graphic xmlns:a="http://schemas.openxmlformats.org/drawingml/2006/main">
                  <a:graphicData uri="http://schemas.microsoft.com/office/word/2010/wordprocessingShape">
                    <wps:wsp>
                      <wps:cNvSpPr txBox="1"/>
                      <wps:spPr>
                        <a:xfrm>
                          <a:off x="0" y="0"/>
                          <a:ext cx="3328670" cy="635"/>
                        </a:xfrm>
                        <a:prstGeom prst="rect">
                          <a:avLst/>
                        </a:prstGeom>
                        <a:solidFill>
                          <a:prstClr val="white"/>
                        </a:solidFill>
                        <a:ln>
                          <a:noFill/>
                        </a:ln>
                      </wps:spPr>
                      <wps:txbx>
                        <w:txbxContent>
                          <w:p w14:paraId="695719FB" w14:textId="50E93016" w:rsidR="00912574" w:rsidRDefault="00912574" w:rsidP="00912574">
                            <w:pPr>
                              <w:pStyle w:val="Bijschrift"/>
                              <w:rPr>
                                <w:noProof/>
                              </w:rPr>
                            </w:pPr>
                            <w:r>
                              <w:t xml:space="preserve">Figure </w:t>
                            </w:r>
                            <w:r w:rsidR="00F80144">
                              <w:fldChar w:fldCharType="begin"/>
                            </w:r>
                            <w:r w:rsidR="00F80144">
                              <w:instrText xml:space="preserve"> SEQ Figure \* ARABIC </w:instrText>
                            </w:r>
                            <w:r w:rsidR="00F80144">
                              <w:fldChar w:fldCharType="separate"/>
                            </w:r>
                            <w:r w:rsidR="0047083D">
                              <w:rPr>
                                <w:noProof/>
                              </w:rPr>
                              <w:t>4</w:t>
                            </w:r>
                            <w:r w:rsidR="00F80144">
                              <w:rPr>
                                <w:noProof/>
                              </w:rPr>
                              <w:fldChar w:fldCharType="end"/>
                            </w:r>
                            <w:r>
                              <w:t>: SIINFEKL peptide loaded on the MHC-I molecule (type H</w:t>
                            </w:r>
                            <w:r w:rsidR="00C252E8">
                              <w:t>-</w:t>
                            </w:r>
                            <w:r>
                              <w:t>2Kb). The anchor residues are coloured in orange.</w:t>
                            </w:r>
                            <w:r w:rsidR="00400F0F">
                              <w:t xml:space="preserve"> Figure created by M. </w:t>
                            </w:r>
                            <w:r w:rsidR="00400F0F" w:rsidRPr="00400F0F">
                              <w:t>Wawrzyniuk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D2E10D" id="Tekstvak 5" o:spid="_x0000_s1031" type="#_x0000_t202" style="position:absolute;margin-left:189pt;margin-top:224.1pt;width:262.1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" stroked="f">
                <v:textbox style="mso-fit-shape-to-text:t" inset="0,0,0,0">
                  <w:txbxContent>
                    <w:p w14:paraId="695719FB" w14:textId="50E93016" w:rsidR="00912574" w:rsidRDefault="00912574" w:rsidP="00912574">
                      <w:pPr>
                        <w:pStyle w:val="Bijschrift"/>
                        <w:rPr>
                          <w:noProof/>
                        </w:rPr>
                      </w:pPr>
                      <w:r>
                        <w:t xml:space="preserve">Figure </w:t>
                      </w:r>
                      <w:fldSimple w:instr=" SEQ Figure \* ARABIC ">
                        <w:r w:rsidR="0047083D">
                          <w:rPr>
                            <w:noProof/>
                          </w:rPr>
                          <w:t>4</w:t>
                        </w:r>
                      </w:fldSimple>
                      <w:r>
                        <w:t>: SIINFEKL peptide loaded on the MHC-I molecule (type H</w:t>
                      </w:r>
                      <w:r w:rsidR="00C252E8">
                        <w:t>-</w:t>
                      </w:r>
                      <w:r>
                        <w:t>2Kb). The anchor residues are coloured in orange.</w:t>
                      </w:r>
                      <w:r w:rsidR="00400F0F">
                        <w:t xml:space="preserve"> Figure created by M. </w:t>
                      </w:r>
                      <w:r w:rsidR="00400F0F" w:rsidRPr="00400F0F">
                        <w:t>Wawrzyniuk</w:t>
                      </w:r>
                    </w:p>
                  </w:txbxContent>
                </v:textbox>
                <w10:wrap type="square"/>
              </v:shape>
            </w:pict>
          </mc:Fallback>
        </mc:AlternateContent>
      </w:r>
      <w:r w:rsidR="00912574" w:rsidRPr="008208B6">
        <w:t xml:space="preserve">The peptide is able to attach to the MHC-I molecule using its so called anchor residues. These residues are of vital importance to the binding to the MHC-I molecule (see figure 4) and vary depending on the type of MHC-I. For example, the </w:t>
      </w:r>
      <w:r w:rsidR="009427DD" w:rsidRPr="008208B6">
        <w:t>H</w:t>
      </w:r>
      <w:r w:rsidR="00C252E8">
        <w:t>-</w:t>
      </w:r>
      <w:r w:rsidR="009427DD" w:rsidRPr="008208B6">
        <w:t>2Kb subtype of MHC-I seems to either prefer a peptide with a tyrosine</w:t>
      </w:r>
      <w:r w:rsidR="009D30A3" w:rsidRPr="008208B6">
        <w:t xml:space="preserve"> (Y)</w:t>
      </w:r>
      <w:r w:rsidR="009427DD" w:rsidRPr="008208B6">
        <w:t xml:space="preserve"> on its </w:t>
      </w:r>
      <w:r w:rsidR="009D30A3" w:rsidRPr="008208B6">
        <w:t>fifth</w:t>
      </w:r>
      <w:r w:rsidR="009427DD" w:rsidRPr="008208B6">
        <w:t xml:space="preserve"> position and a small residue at its </w:t>
      </w:r>
      <w:r w:rsidR="009D30A3" w:rsidRPr="008208B6">
        <w:t>second</w:t>
      </w:r>
      <w:r w:rsidR="009427DD" w:rsidRPr="008208B6">
        <w:t xml:space="preserve"> position or a peptide with phenylalanine (F) at its </w:t>
      </w:r>
      <w:r w:rsidR="009D30A3" w:rsidRPr="008208B6">
        <w:t>fifth</w:t>
      </w:r>
      <w:r w:rsidR="009427DD" w:rsidRPr="008208B6">
        <w:t xml:space="preserve"> position and a hydrophobic residue at its second position.</w:t>
      </w:r>
      <w:r w:rsidR="009D30A3" w:rsidRPr="008208B6">
        <w:t xml:space="preserve"> In order to accurately predict potential epitopes, these anchor residues need to be well documented.</w:t>
      </w:r>
      <w:r w:rsidR="009427DD" w:rsidRPr="008208B6">
        <w:t xml:space="preserve"> </w:t>
      </w:r>
      <w:r w:rsidR="009427DD" w:rsidRPr="008208B6">
        <w:fldChar w:fldCharType="begin" w:fldLock="1"/>
      </w:r>
      <w:r w:rsidR="00117604">
        <w:instrText>ADDIN CSL_CITATION {"citationItems":[{"id":"ITEM-1","itemData":{"abstract":"Sequence analysis of peptides naturally presented by major histocompatibility complex (MHC) class I molecules has revealed allele-specific motifs in which the peptide length and the residues observed at certain positions are restricted. Nevertheless, peptides containing the standard motif often fail to bind with high affinity or form physiologically stable complexes. Here we present the crystal structure of a well-characterized antigenic peptide from ovalbumin [OVA-8, ovalbumin-(257-264), SIINFEKLJ in complex with the murine MHC class I H-2Kb molecule at 2.5-A resolution. Hydrophobic peptide residues Ile-P2 and Phe-P5 are packed closely together into binding pockets B and C, suggesting that the interplay of peptide anchor (P5) and secondary anchor (P2) residues can couple the preferred sequences at these positions. Comparison with the crystal structures of H-2Kb in complex with peptides VSV-8 (RGYVYQGL) and SEV-9 (FAPGNYPAL), where a Tyr residue is used as the C pocket anchor, reveals that the conserved water molecule that binds into the B pocket and mediates hydrogen bonding from the buried anchor hydroxyl group could not be likewise positioned if the P2 side chain were of significant size. Based on this structural evidence, H-2Kb has at least two submotifs: one with Tyr at P5 (or P6 for nonamer peptides) and a small residue at P2 (i.e., Ala or Gly) and another with Phe at P5 and a medium-sized hydrophobic residue at P2 (i.e., Ile). Deciphering of these secondary submotifs from both crystallographic and immunological studies of MHC peptide binding should increase the accuracy of T-cell epitope prediction. Class I major histocompatibility complex (MHC) molecules bind short peptide fragments of intracellularly processed proteins and display them for surveillance by cytotoxic T cells (1). Peptides presented by class I molecules are characterized by allele-specific motifs (2), in that pooled sequencing studies of naturally presented peptides have shown them to be of restricted length (typically 8 or 9 amino acids) and to contain specific anchor residues. X-ray crystal structures of single peptide complexes of MHC class I molecules (3-7) indicate that the anchor residues bind in the deep pockets of the binding groove that are formed by polymorphic residues. Although these anchor residues are usually necessary for high-affinity binding and stabilization of individual MHC molecules, the anchor motif defined by pooled sequencing is not a sufficient prerequisit…","author":[{"dropping-particle":"","family":"Fremont","given":"Daved H","non-dropping-particle":"","parse-names":false,"suffix":""},{"dropping-particle":"","family":"Stura","given":"Enrico A","non-dropping-particle":"","parse-names":false,"suffix":""},{"dropping-particle":"","family":"§p","given":"Matsumura","non-dropping-particle":"","parse-names":false,"suffix":""},{"dropping-particle":"","family":"§ii","given":"Per A Peterson","non-dropping-particle":"","parse-names":false,"suffix":""},{"dropping-particle":"","family":"Wilson","given":"Ian A","non-dropping-particle":"","parse-names":false,"suffix":""},{"dropping-particle":"","family":"Kappler","given":"John W","non-dropping-particle":"","parse-names":false,"suffix":""},{"dropping-particle":"","family":"Johnson","given":"W","non-dropping-particle":"","parse-names":false,"suffix":""}],"container-title":"Immunology","id":"ITEM-1","issued":{"date-parts":[["1995"]]},"number-of-pages":"2479-2483","title":"Crystal structure of an H-2Kb-ovalbumin peptide complex reveals the interplay of primary and secondary anchor positions in the major histocompatibility complex binding groove (murine major histocompatibility complex class I/allele-specific motifs/x-ray crystallography) \"Present address: R ttThe atomic coordinates have been deposited in the Protein Data","type":"report","volume":"92"},"uris":["http://www.mendeley.com/documents/?uuid=79379aea-06b4-3f79-8795-26d4fbc42f96"]}],"mendeley":{"formattedCitation":"(9)","plainTextFormattedCitation":"(9)","previouslyFormattedCitation":"(9)"},"properties":{"noteIndex":0},"schema":"https://github.com/citation-style-language/schema/raw/master/csl-citation.json"}</w:instrText>
      </w:r>
      <w:r w:rsidR="009427DD" w:rsidRPr="008208B6">
        <w:fldChar w:fldCharType="separate"/>
      </w:r>
      <w:r w:rsidR="00117604" w:rsidRPr="00117604">
        <w:rPr>
          <w:noProof/>
        </w:rPr>
        <w:t>(9)</w:t>
      </w:r>
      <w:r w:rsidR="009427DD" w:rsidRPr="008208B6">
        <w:fldChar w:fldCharType="end"/>
      </w:r>
    </w:p>
    <w:p w14:paraId="3D316387" w14:textId="27B67C7F" w:rsidR="00CA6241" w:rsidRPr="008D069D" w:rsidRDefault="00A46FA8" w:rsidP="00A46FA8">
      <w:pPr>
        <w:pStyle w:val="Kop2"/>
        <w:rPr>
          <w:lang w:val="en-US"/>
        </w:rPr>
      </w:pPr>
      <w:bookmarkStart w:id="8" w:name="_Toc85744687"/>
      <w:r w:rsidRPr="008D069D">
        <w:rPr>
          <w:lang w:val="en-US"/>
        </w:rPr>
        <w:t xml:space="preserve">Listeriolysin O </w:t>
      </w:r>
      <w:proofErr w:type="spellStart"/>
      <w:r w:rsidR="00556E02">
        <w:rPr>
          <w:lang w:val="en-US"/>
        </w:rPr>
        <w:t>peptidomics</w:t>
      </w:r>
      <w:bookmarkEnd w:id="8"/>
      <w:proofErr w:type="spellEnd"/>
    </w:p>
    <w:p w14:paraId="3871F18A" w14:textId="7BB758F4" w:rsidR="00F123EA" w:rsidRDefault="009D30A3">
      <w:r w:rsidRPr="008208B6">
        <w:t xml:space="preserve">In this research, we use </w:t>
      </w:r>
      <w:r w:rsidR="00F123EA" w:rsidRPr="008208B6">
        <w:t>Listeriolysin</w:t>
      </w:r>
      <w:r w:rsidRPr="008208B6">
        <w:t xml:space="preserve"> O protein (LLO) as a model protein. This protein is derived from </w:t>
      </w:r>
      <w:r w:rsidRPr="008208B6">
        <w:rPr>
          <w:i/>
          <w:iCs/>
        </w:rPr>
        <w:t>Listeria monocytogenes</w:t>
      </w:r>
      <w:r w:rsidRPr="008208B6">
        <w:t xml:space="preserve">, a bacterium most known for its danger to pregnant woman </w:t>
      </w:r>
      <w:r w:rsidRPr="008208B6">
        <w:fldChar w:fldCharType="begin" w:fldLock="1"/>
      </w:r>
      <w:r w:rsidR="00117604">
        <w:instrText>ADDIN CSL_CITATION {"citationItems":[{"id":"ITEM-1","itemData":{"author":[{"dropping-particle":"","family":"Gray1","given":"Mitchell L","non-dropping-particle":"","parse-names":false,"suffix":""},{"dropping-particle":"","family":"Killinger","given":"Arden H","non-dropping-particle":"","parse-names":false,"suffix":""}],"container-title":"BACTERIOLOGICAL REVIEWS","id":"ITEM-1","issue":"2","issued":{"date-parts":[["1966"]]},"title":"Listeria monocytogenes and Listeric Infections","type":"report","volume":"30"},"uris":["http://www.mendeley.com/documents/?uuid=c0f40a8a-ca37-353f-b857-65e21b424aad"]}],"mendeley":{"formattedCitation":"(10)","plainTextFormattedCitation":"(10)","previouslyFormattedCitation":"(10)"},"properties":{"noteIndex":0},"schema":"https://github.com/citation-style-language/schema/raw/master/csl-citation.json"}</w:instrText>
      </w:r>
      <w:r w:rsidRPr="008208B6">
        <w:fldChar w:fldCharType="separate"/>
      </w:r>
      <w:r w:rsidR="00117604" w:rsidRPr="00117604">
        <w:rPr>
          <w:noProof/>
        </w:rPr>
        <w:t>(10)</w:t>
      </w:r>
      <w:r w:rsidRPr="008208B6">
        <w:fldChar w:fldCharType="end"/>
      </w:r>
      <w:r w:rsidR="00400F0F">
        <w:t xml:space="preserve"> and its ability to cause food poisoning </w:t>
      </w:r>
      <w:r w:rsidR="00400F0F">
        <w:fldChar w:fldCharType="begin" w:fldLock="1"/>
      </w:r>
      <w:r w:rsidR="00117604">
        <w:instrText>ADDIN CSL_CITATION {"citationItems":[{"id":"ITEM-1","itemData":{"URL":"https://www.cdc.gov/listeria/symptoms.html","accessed":{"date-parts":[["2021","9","26"]]},"id":"ITEM-1","issued":{"date-parts":[["0"]]},"title":"Symptoms | Listeria | CDC","type":"webpage"},"uris":["http://www.mendeley.com/documents/?uuid=4a560437-03ba-374c-82cf-d5edb3bc63f1"]}],"mendeley":{"formattedCitation":"(11)","plainTextFormattedCitation":"(11)","previouslyFormattedCitation":"(11)"},"properties":{"noteIndex":0},"schema":"https://github.com/citation-style-language/schema/raw/master/csl-citation.json"}</w:instrText>
      </w:r>
      <w:r w:rsidR="00400F0F">
        <w:fldChar w:fldCharType="separate"/>
      </w:r>
      <w:r w:rsidR="00117604" w:rsidRPr="00117604">
        <w:rPr>
          <w:noProof/>
        </w:rPr>
        <w:t>(11)</w:t>
      </w:r>
      <w:r w:rsidR="00400F0F">
        <w:fldChar w:fldCharType="end"/>
      </w:r>
      <w:r w:rsidRPr="008208B6">
        <w:t xml:space="preserve">. </w:t>
      </w:r>
      <w:r w:rsidR="00F123EA" w:rsidRPr="008208B6">
        <w:t xml:space="preserve">The bacteria are capable of infection intracellularly by breaking down the lysosomes in which it is </w:t>
      </w:r>
      <w:r w:rsidR="00F123EA" w:rsidRPr="008208B6">
        <w:lastRenderedPageBreak/>
        <w:t xml:space="preserve">captured with LLO </w:t>
      </w:r>
      <w:r w:rsidR="00F123EA" w:rsidRPr="008208B6">
        <w:fldChar w:fldCharType="begin" w:fldLock="1"/>
      </w:r>
      <w:r w:rsidR="00117604">
        <w:instrText>ADDIN CSL_CITATION {"citationItems":[{"id":"ITEM-1","itemData":{"abstract":"Listeria monocytogenes was used as a model intracellular parasite to study stages in the entry , growth, movement, and spread of bacteria in a macrophage cell line. The first step in infection is phagocytosis of the Listeria, followed by the dissolution of the membrane surrounding the phagosome presumably mediated by hemolysin secreted by Listeria as nonhemolytic mutants remain in intact vacuoles. Within 2 h after infection, each now cytoplasmic Listeria becomes encapsulated by actin filaments, identified as such by decoration of the actin filaments with subfragment 1 of myosin. These filaments are very short. The Listeria grow and divide and the actin filaments rearrange to form a long tail (often 5/~m in length) extending from only one end of the bacterium, a \"comet's tail,\" in which the actin filaments appear randomly oriented. The ~'steria \"comet\" moves to the cell surface with its tail oriented towards the cell center and becomes encorporated into a cell extension with the Listeria at the tip of the process and its tail trailing into the cytoplasm behind it. This extension contacts a neighboring macrophage that phagocytoses the extension of the first macrophage. Thus, within the cyto-plasm of the second macrophage is a Listeria with its actin tail surrounded by a membrane that in turn is surrounded by the phagosome membrane of the new host. Both these membranes are then solubilized by the Listeria and the cycle is repeated. Thus, once inside a host cell, the infecting Listeria and their progeny can spread from cell to cell by remaining intracel-lular and thus bypass the humoral immune system of the organism. To establish if actin filaments are essential for the spread of Listeria from cell to cell, we treated infected macrophages with cytochalasin D. The Listeria not only failed to spread, but most were found deep within the cytoplasm, rather than near the periphery of the cell. Thin sections revealed that the net of actin filaments is not formed nor is a \"comet\" tail produced.","author":[{"dropping-particle":"","family":"T'dney","given":"Lewis G","non-dropping-particle":"","parse-names":false,"suffix":""},{"dropping-particle":"","family":"Portnoy","given":"Daniel A","non-dropping-particle":"","parse-names":false,"suffix":""}],"id":"ITEM-1","issued":{"date-parts":[["0"]]},"title":"Actin Filaments and the Growth, Movement, and Spread of the Intracellular Bacterial Parasite, Listeria monocytogenes","type":"report"},"uris":["http://www.mendeley.com/documents/?uuid=2d113fd2-765f-3af8-ac07-1c45926a7a80"]}],"mendeley":{"formattedCitation":"(12)","plainTextFormattedCitation":"(12)","previouslyFormattedCitation":"(12)"},"properties":{"noteIndex":0},"schema":"https://github.com/citation-style-language/schema/raw/master/csl-citation.json"}</w:instrText>
      </w:r>
      <w:r w:rsidR="00F123EA" w:rsidRPr="008208B6">
        <w:fldChar w:fldCharType="separate"/>
      </w:r>
      <w:r w:rsidR="00117604" w:rsidRPr="00117604">
        <w:rPr>
          <w:noProof/>
        </w:rPr>
        <w:t>(12)</w:t>
      </w:r>
      <w:r w:rsidR="00F123EA" w:rsidRPr="008208B6">
        <w:fldChar w:fldCharType="end"/>
      </w:r>
      <w:r w:rsidR="00F123EA" w:rsidRPr="008208B6">
        <w:t xml:space="preserve">. As such, the protein is present in the cytoplasm during infection by </w:t>
      </w:r>
      <w:r w:rsidR="00F123EA" w:rsidRPr="008208B6">
        <w:rPr>
          <w:i/>
          <w:iCs/>
        </w:rPr>
        <w:t>L. monocytogenes</w:t>
      </w:r>
      <w:r w:rsidR="00F123EA" w:rsidRPr="008208B6">
        <w:t>, enabling it to come into contact with the proteasome and allowing for it to be presented on the cell surface.</w:t>
      </w:r>
      <w:r w:rsidR="00D434E5">
        <w:t xml:space="preserve"> Through recent techniques like mass spectrometry, it has been possible to more accurately investigate these presented peptides or even peptides digested </w:t>
      </w:r>
      <w:r w:rsidR="00D434E5">
        <w:rPr>
          <w:i/>
          <w:iCs/>
        </w:rPr>
        <w:t>in vitro</w:t>
      </w:r>
      <w:r w:rsidR="00D434E5">
        <w:t xml:space="preserve"> by purified proteasomes </w:t>
      </w:r>
      <w:r w:rsidR="00D434E5">
        <w:fldChar w:fldCharType="begin" w:fldLock="1"/>
      </w:r>
      <w:r w:rsidR="00117604">
        <w:instrText>ADDIN CSL_CITATION {"citationItems":[{"id":"ITEM-1","itemData":{"DOI":"10.1371/journal.pcbi.1000830","ISSN":"1553-7358","abstract":"The identification of proteasome-generated spliced peptides (PSP) revealed a new unpredicted activity of the major cellular protease. However, so far characterization of PSP was entirely dependent on the availability of patient-derived cytotoxic CD8+ T lymphocytes (CTL) thus preventing a systematic investigation of proteasome-catalyzed peptide splicing (PCPS). For an unrestricted PSP identification we here developed SpliceMet, combining the computer-based algorithm ProteaJ with in vitro proteasomal degradation assays and mass spectrometry. By applying SpliceMet for the analysis of proteasomal processing products of four different substrate polypeptides, derived from human tumor as well as viral antigens, we identified fifteen new spliced peptides generated by PCPS either by cis or from two separate substrate molecules, i.e., by trans splicing. Our data suggest that 20S proteasomes represent a molecular machine that, due to its catalytic and structural properties, facilitates the generation of spliced peptides, thereby providing a pool of qualitatively new peptides from which functionally relevant products may be selected. © 2010 Liepe et al.","author":[{"dropping-particle":"","family":"Liepe","given":"Juliane","non-dropping-particle":"","parse-names":false,"suffix":""},{"dropping-particle":"","family":"Mishto","given":"Michele","non-dropping-particle":"","parse-names":false,"suffix":""},{"dropping-particle":"","family":"Textoris-Taube","given":"Kathrin","non-dropping-particle":"","parse-names":false,"suffix":""},{"dropping-particle":"","family":"Janek","given":"Katharina","non-dropping-particle":"","parse-names":false,"suffix":""},{"dropping-particle":"","family":"Keller","given":"Christin","non-dropping-particle":"","parse-names":false,"suffix":""},{"dropping-particle":"","family":"Henklein","given":"Petra","non-dropping-particle":"","parse-names":false,"suffix":""},{"dropping-particle":"","family":"Kloetzel","given":"Peter Michael","non-dropping-particle":"","parse-names":false,"suffix":""},{"dropping-particle":"","family":"Zaikin","given":"Alexey","non-dropping-particle":"","parse-names":false,"suffix":""}],"container-title":"PLoS Computational Biology","editor":[{"dropping-particle":"","family":"Boer","given":"Rob J.","non-dropping-particle":"De","parse-names":false,"suffix":""}],"id":"ITEM-1","issue":"6","issued":{"date-parts":[["2010","6","24"]]},"page":"e1000830","publisher":"Public Library of Science","title":"The 20S Proteasome Splicing Activity Discovered by SpliceMet","type":"article-journal","volume":"6"},"uris":["http://www.mendeley.com/documents/?uuid=994672dd-7fee-3ce1-bae7-2b0240136cd2"]}],"mendeley":{"formattedCitation":"(13)","plainTextFormattedCitation":"(13)","previouslyFormattedCitation":"(13)"},"properties":{"noteIndex":0},"schema":"https://github.com/citation-style-language/schema/raw/master/csl-citation.json"}</w:instrText>
      </w:r>
      <w:r w:rsidR="00D434E5">
        <w:fldChar w:fldCharType="separate"/>
      </w:r>
      <w:r w:rsidR="00117604" w:rsidRPr="00117604">
        <w:rPr>
          <w:noProof/>
        </w:rPr>
        <w:t>(13)</w:t>
      </w:r>
      <w:r w:rsidR="00D434E5">
        <w:fldChar w:fldCharType="end"/>
      </w:r>
      <w:r w:rsidR="00D434E5">
        <w:t>. Through this method, it was found that LLO peptides</w:t>
      </w:r>
      <w:r w:rsidR="00AB08EC">
        <w:t xml:space="preserve"> can be produced</w:t>
      </w:r>
      <w:r w:rsidR="00D434E5">
        <w:t xml:space="preserve"> that should not be possible, based on the linear amino acid sequence of the protein. These so-called non-canonical peptides have no corresponding sequence that can be found in the original, non-processed parent protein</w:t>
      </w:r>
      <w:r w:rsidR="000C2556">
        <w:t xml:space="preserve"> or host genome </w:t>
      </w:r>
      <w:r w:rsidR="000C2556">
        <w:fldChar w:fldCharType="begin" w:fldLock="1"/>
      </w:r>
      <w:r w:rsidR="00117604">
        <w:instrText>ADDIN CSL_CITATION {"citationItems":[{"id":"ITEM-1","itemData":{"DOI":"10.1002/eji.201545989","ISSN":"00142980","abstract":"CD8+ T cells responding to infection recognize pathogen-derived epitopes presented by MHC class-I molecules. While most of such epitopes are generated by proteasome-mediated antigen cleavage, analysis of tumor antigen processing has revealed that epitopes may also derive from proteasome-catalyzed peptide splicing (PCPS). To determine whether PCPS contributes to epitope processing during infection, we analyzed the fragments produced by purified proteasomes from a Listeria monocytogenes polypeptide. Mass spectrometry identified a known H-2Kb-presented linear epitope (LLO296-304) in the digests, as well as four spliced peptides that were trimmed by ERAP into peptides with in silico predicted H-2Kb binding affinity. These spliced peptides, which displayed sequence similarity with LLO296-304, bound to H-2Kb molecules in cellular assays and one of the peptides was recognized by CD8+ T cells of infected mice. This spliced epitope differed by one amino acid from LLO296-304 and double staining with LLO296-304- and spliced peptide-folded MHC multimers showed that LLO296-304 and its spliced variant were recognized by the same CD8+ T cells. Thus, PCPS multiplies the variety of peptides that is processed from an antigen and leads to the production of epitope variants that can be recognized by cross-reacting pathogen-specific CD8+ T cells. Such mechanism may reduce the chances for pathogen immune evasion.","author":[{"dropping-particle":"","family":"Platteel","given":"Anouk C. M.","non-dropping-particle":"","parse-names":false,"suffix":""},{"dropping-particle":"","family":"Mishto","given":"Michele","non-dropping-particle":"","parse-names":false,"suffix":""},{"dropping-particle":"","family":"Textoris-Taube","given":"Kathrin","non-dropping-particle":"","parse-names":false,"suffix":""},{"dropping-particle":"","family":"Keller","given":"Christin","non-dropping-particle":"","parse-names":false,"suffix":""},{"dropping-particle":"","family":"Liepe","given":"Juliane","non-dropping-particle":"","parse-names":false,"suffix":""},{"dropping-particle":"","family":"Busch","given":"Dirk H.","non-dropping-particle":"","parse-names":false,"suffix":""},{"dropping-particle":"","family":"Kloetzel","given":"Peter M.","non-dropping-particle":"","parse-names":false,"suffix":""},{"dropping-particle":"","family":"Sijts","given":"Alice J. A. M.","non-dropping-particle":"","parse-names":false,"suffix":""}],"container-title":"European Journal of Immunology","id":"ITEM-1","issue":"5","issued":{"date-parts":[["2016","5","1"]]},"page":"1109-1118","publisher":"Wiley-VCH Verlag","title":"CD8 &lt;sup&gt;+&lt;/sup&gt; T cells of &lt;i&gt;Listeria monocytogenes-&lt;/i&gt; infected mice recognize both linear and spliced proteasome products","type":"article-journal","volume":"46"},"uris":["http://www.mendeley.com/documents/?uuid=6f9db1d8-1886-3de7-a840-fb6410ffaff6"]}],"mendeley":{"formattedCitation":"(14)","plainTextFormattedCitation":"(14)","previouslyFormattedCitation":"(14)"},"properties":{"noteIndex":0},"schema":"https://github.com/citation-style-language/schema/raw/master/csl-citation.json"}</w:instrText>
      </w:r>
      <w:r w:rsidR="000C2556">
        <w:fldChar w:fldCharType="separate"/>
      </w:r>
      <w:r w:rsidR="00117604" w:rsidRPr="00117604">
        <w:rPr>
          <w:noProof/>
        </w:rPr>
        <w:t>(14)</w:t>
      </w:r>
      <w:r w:rsidR="000C2556">
        <w:fldChar w:fldCharType="end"/>
      </w:r>
      <w:r w:rsidR="00D434E5">
        <w:t>.</w:t>
      </w:r>
      <w:r w:rsidR="000C2556">
        <w:t xml:space="preserve"> Thus far, there is still debate on how these peptides arise and what factors the process is influenced by.</w:t>
      </w:r>
    </w:p>
    <w:p w14:paraId="1D73F096" w14:textId="089ACCEA" w:rsidR="007E788A" w:rsidRPr="008208B6" w:rsidRDefault="000C2556">
      <w:r>
        <w:rPr>
          <w:lang w:val="en-US"/>
        </w:rPr>
        <w:t xml:space="preserve">One suggested theory is that these non-canonical peptides could be products of post-transcriptional RNA editing </w:t>
      </w:r>
      <w:r>
        <w:rPr>
          <w:lang w:val="en-US"/>
        </w:rPr>
        <w:fldChar w:fldCharType="begin" w:fldLock="1"/>
      </w:r>
      <w:r w:rsidR="00117604">
        <w:rPr>
          <w:lang w:val="en-US"/>
        </w:rPr>
        <w:instrText>ADDIN CSL_CITATION {"citationItems":[{"id":"ITEM-1","itemData":{"DOI":"10.1038/s41467-018-06405-9","ISSN":"20411723","PMID":"30254248","abstract":"In addition to genomic mutations, RNA editing is another major mechanism creating sequence variations in proteins by introducing nucleotide changes in mRNA sequences. Deregulated RNA editing contributes to different types of human diseases, including cancers. Here we report that peptides generated as a consequence of RNA editing are indeed naturally presented by human leukocyte antigen (HLA) molecules. We provide evidence that effector CD8+ T cells specific for edited peptides derived from cyclin I are present in human tumours and attack tumour cells that are presenting these epitopes. We show that subpopulations of cancer patients have increased peptide levels and that levels of edited RNA correlate with peptide copy numbers. These findings demonstrate that RNA editing extends the classes of HLA presented self-antigens and that these antigens can be recognised by the immune system.","author":[{"dropping-particle":"","family":"Zhang","given":"Minying","non-dropping-particle":"","parse-names":false,"suffix":""},{"dropping-particle":"","family":"Fritsche","given":"Jens","non-dropping-particle":"","parse-names":false,"suffix":""},{"dropping-particle":"","family":"Roszik","given":"Jason","non-dropping-particle":"","parse-names":false,"suffix":""},{"dropping-particle":"","family":"Williams","given":"Leila J.","non-dropping-particle":"","parse-names":false,"suffix":""},{"dropping-particle":"","family":"Peng","given":"Xinxin","non-dropping-particle":"","parse-names":false,"suffix":""},{"dropping-particle":"","family":"Chiu","given":"Yulun","non-dropping-particle":"","parse-names":false,"suffix":""},{"dropping-particle":"","family":"Tsou","given":"Chih Chiang","non-dropping-particle":"","parse-names":false,"suffix":""},{"dropping-particle":"","family":"Hoffgaard","given":"Franziska","non-dropping-particle":"","parse-names":false,"suffix":""},{"dropping-particle":"","family":"Goldfinger","given":"Valentina","non-dropping-particle":"","parse-names":false,"suffix":""},{"dropping-particle":"","family":"Schoor","given":"Oliver","non-dropping-particle":"","parse-names":false,"suffix":""},{"dropping-particle":"","family":"Talukder","given":"Amjad","non-dropping-particle":"","parse-names":false,"suffix":""},{"dropping-particle":"","family":"Forget","given":"Marie A.","non-dropping-particle":"","parse-names":false,"suffix":""},{"dropping-particle":"","family":"Haymaker","given":"Cara","non-dropping-particle":"","parse-names":false,"suffix":""},{"dropping-particle":"","family":"Bernatchez","given":"Chantale","non-dropping-particle":"","parse-names":false,"suffix":""},{"dropping-particle":"","family":"Han","given":"Leng","non-dropping-particle":"","parse-names":false,"suffix":""},{"dropping-particle":"","family":"Tsang","given":"Yiu Huen","non-dropping-particle":"","parse-names":false,"suffix":""},{"dropping-particle":"","family":"Kong","given":"Kathleen","non-dropping-particle":"","parse-names":false,"suffix":""},{"dropping-particle":"","family":"Xu","given":"Xiaoyan","non-dropping-particle":"","parse-names":false,"suffix":""},{"dropping-particle":"","family":"Scott","given":"Kenneth L.","non-dropping-particle":"","parse-names":false,"suffix":""},{"dropping-particle":"","family":"Singh-Jasuja","given":"Harpreet","non-dropping-particle":"","parse-names":false,"suffix":""},{"dropping-particle":"","family":"Lizee","given":"Greg","non-dropping-particle":"","parse-names":false,"suffix":""},{"dropping-particle":"","family":"Liang","given":"Han","non-dropping-particle":"","parse-names":false,"suffix":""},{"dropping-particle":"","family":"Weinschenk","given":"Toni","non-dropping-particle":"","parse-names":false,"suffix":""},{"dropping-particle":"","family":"Mills","given":"Gordon B.","non-dropping-particle":"","parse-names":false,"suffix":""},{"dropping-particle":"","family":"Hwu","given":"Patrick","non-dropping-particle":"","parse-names":false,"suffix":""}],"container-title":"Nature Communications","id":"ITEM-1","issue":"1","issued":{"date-parts":[["2018","12","1"]]},"page":"1-10","publisher":"Nature Publishing Group","title":"RNA editing derived epitopes function as cancer antigens to elicit immune responses","type":"article-journal","volume":"9"},"uris":["http://www.mendeley.com/documents/?uuid=708333b8-ad54-3967-a0d7-1290f5716113"]}],"mendeley":{"formattedCitation":"(15)","plainTextFormattedCitation":"(15)","previouslyFormattedCitation":"(15)"},"properties":{"noteIndex":0},"schema":"https://github.com/citation-style-language/schema/raw/master/csl-citation.json"}</w:instrText>
      </w:r>
      <w:r>
        <w:rPr>
          <w:lang w:val="en-US"/>
        </w:rPr>
        <w:fldChar w:fldCharType="separate"/>
      </w:r>
      <w:r w:rsidR="00117604" w:rsidRPr="00117604">
        <w:rPr>
          <w:noProof/>
          <w:lang w:val="en-US"/>
        </w:rPr>
        <w:t>(15)</w:t>
      </w:r>
      <w:r>
        <w:rPr>
          <w:lang w:val="en-US"/>
        </w:rPr>
        <w:fldChar w:fldCharType="end"/>
      </w:r>
      <w:r>
        <w:rPr>
          <w:lang w:val="en-US"/>
        </w:rPr>
        <w:t xml:space="preserve">. Additionally, previously presumed non-translating regions of the genome can also produce (faulty) translation products, which are then quickly broken down and also contribute to the cellular peptidome </w:t>
      </w:r>
      <w:r>
        <w:rPr>
          <w:lang w:val="en-US"/>
        </w:rPr>
        <w:fldChar w:fldCharType="begin" w:fldLock="1"/>
      </w:r>
      <w:r w:rsidR="00117604">
        <w:rPr>
          <w:lang w:val="en-US"/>
        </w:rPr>
        <w:instrText>ADDIN CSL_CITATION {"citationItems":[{"id":"ITEM-1","itemData":{"DOI":"10.1038/s41467-020-14968-9","ISSN":"20411723","PMID":"32157095","abstract":"Efforts to precisely identify tumor human leukocyte antigen (HLA) bound peptides capable of mediating T cell-based tumor rejection still face important challenges. Recent studies suggest that non-canonical tumor-specific HLA peptides derived from annotated non-coding regions could elicit anti-tumor immune responses. However, sensitive and accurate mass spectrometry (MS)-based proteogenomics approaches are required to robustly identify these non-canonical peptides. We present an MS-based analytical approach that characterizes the non-canonical tumor HLA peptide repertoire, by incorporating whole exome sequencing, bulk and single-cell transcriptomics, ribosome profiling, and two MS/MS search tools in combination. This approach results in the accurate identification of hundreds of shared and tumor-specific non-canonical HLA peptides, including an immunogenic peptide derived from an open reading frame downstream of the melanoma stem cell marker gene ABCB5. These findings hold great promise for the discovery of previously unknown tumor antigens for cancer immunotherapy.","author":[{"dropping-particle":"","family":"Chong","given":"Chloe","non-dropping-particle":"","parse-names":false,"suffix":""},{"dropping-particle":"","family":"Müller","given":"Markus","non-dropping-particle":"","parse-names":false,"suffix":""},{"dropping-particle":"","family":"Pak","given":"Hui Song","non-dropping-particle":"","parse-names":false,"suffix":""},{"dropping-particle":"","family":"Harnett","given":"Dermot","non-dropping-particle":"","parse-names":false,"suffix":""},{"dropping-particle":"","family":"Huber","given":"Florian","non-dropping-particle":"","parse-names":false,"suffix":""},{"dropping-particle":"","family":"Grun","given":"Delphine","non-dropping-particle":"","parse-names":false,"suffix":""},{"dropping-particle":"","family":"Leleu","given":"Marion","non-dropping-particle":"","parse-names":false,"suffix":""},{"dropping-particle":"","family":"Auger","given":"Aymeric","non-dropping-particle":"","parse-names":false,"suffix":""},{"dropping-particle":"","family":"Arnaud","given":"Marion","non-dropping-particle":"","parse-names":false,"suffix":""},{"dropping-particle":"","family":"Stevenson","given":"Brian J.","non-dropping-particle":"","parse-names":false,"suffix":""},{"dropping-particle":"","family":"Michaux","given":"Justine","non-dropping-particle":"","parse-names":false,"suffix":""},{"dropping-particle":"","family":"Bilic","given":"Ilija","non-dropping-particle":"","parse-names":false,"suffix":""},{"dropping-particle":"","family":"Hirsekorn","given":"Antje","non-dropping-particle":"","parse-names":false,"suffix":""},{"dropping-particle":"","family":"Calviello","given":"Lorenzo","non-dropping-particle":"","parse-names":false,"suffix":""},{"dropping-particle":"","family":"Simó-Riudalbas","given":"Laia","non-dropping-particle":"","parse-names":false,"suffix":""},{"dropping-particle":"","family":"Planet","given":"Evarist","non-dropping-particle":"","parse-names":false,"suffix":""},{"dropping-particle":"","family":"Lubiński","given":"Jan","non-dropping-particle":"","parse-names":false,"suffix":""},{"dropping-particle":"","family":"Bryśkiewicz","given":"Marta","non-dropping-particle":"","parse-names":false,"suffix":""},{"dropping-particle":"","family":"Wiznerowicz","given":"Maciej","non-dropping-particle":"","parse-names":false,"suffix":""},{"dropping-particle":"","family":"Xenarios","given":"Ioannis","non-dropping-particle":"","parse-names":false,"suffix":""},{"dropping-particle":"","family":"Zhang","given":"Lin","non-dropping-particle":"","parse-names":false,"suffix":""},{"dropping-particle":"","family":"Trono","given":"Didier","non-dropping-particle":"","parse-names":false,"suffix":""},{"dropping-particle":"","family":"Harari","given":"Alexandre","non-dropping-particle":"","parse-names":false,"suffix":""},{"dropping-particle":"","family":"Ohler","given":"Uwe","non-dropping-particle":"","parse-names":false,"suffix":""},{"dropping-particle":"","family":"Coukos","given":"George","non-dropping-particle":"","parse-names":false,"suffix":""},{"dropping-particle":"","family":"Bassani-Sternberg","given":"Michal","non-dropping-particle":"","parse-names":false,"suffix":""}],"container-title":"Nature Communications","id":"ITEM-1","issue":"1","issued":{"date-parts":[["2020"]]},"title":"Integrated proteogenomic deep sequencing and analytics accurately identify non-canonical peptides in tumor immunopeptidomes","type":"article-journal","volume":"11"},"uris":["http://www.mendeley.com/documents/?uuid=75b2b31c-5447-43b0-a9a2-b2627110b065"]}],"mendeley":{"formattedCitation":"(16)","plainTextFormattedCitation":"(16)","previouslyFormattedCitation":"(16)"},"properties":{"noteIndex":0},"schema":"https://github.com/citation-style-language/schema/raw/master/csl-citation.json"}</w:instrText>
      </w:r>
      <w:r>
        <w:rPr>
          <w:lang w:val="en-US"/>
        </w:rPr>
        <w:fldChar w:fldCharType="separate"/>
      </w:r>
      <w:r w:rsidR="00117604" w:rsidRPr="00117604">
        <w:rPr>
          <w:noProof/>
          <w:lang w:val="en-US"/>
        </w:rPr>
        <w:t>(16)</w:t>
      </w:r>
      <w:r>
        <w:rPr>
          <w:lang w:val="en-US"/>
        </w:rPr>
        <w:fldChar w:fldCharType="end"/>
      </w:r>
      <w:r>
        <w:rPr>
          <w:lang w:val="en-US"/>
        </w:rPr>
        <w:t xml:space="preserve">. </w:t>
      </w:r>
    </w:p>
    <w:p w14:paraId="6DC41B7B" w14:textId="163482C5" w:rsidR="00DF0F35" w:rsidRDefault="000C2556" w:rsidP="000C2556">
      <w:r>
        <w:t>An alternative non-canonical peptide origin is attributed</w:t>
      </w:r>
      <w:r w:rsidR="008D069D">
        <w:t xml:space="preserve"> to a rarely described process known as Proteasome Catalysed Peptide Splicing (PCPS). In this process, the proteasome will paste distant peptides together, instead of just cutting and releasing its substrate as is normally the case.</w:t>
      </w:r>
      <w:r w:rsidR="00465DA7">
        <w:t xml:space="preserve"> When a substrate is hydrolysed by the proteasome, the acyl-enzyme intermediate will normally be attacked by a water molecule, which will release the substrate. In</w:t>
      </w:r>
      <w:r w:rsidR="0029136E">
        <w:t xml:space="preserve"> the case of PCPS</w:t>
      </w:r>
      <w:r w:rsidR="00465DA7">
        <w:t xml:space="preserve">, </w:t>
      </w:r>
      <w:r w:rsidR="0029136E">
        <w:t>the C-terminal part of the substrate can attack the N-terminal part in place of water, fusing the parts together and creating a novel peptide</w:t>
      </w:r>
      <w:r w:rsidR="00CB2D23">
        <w:t xml:space="preserve"> </w:t>
      </w:r>
      <w:r w:rsidR="00CB2D23">
        <w:fldChar w:fldCharType="begin" w:fldLock="1"/>
      </w:r>
      <w:r w:rsidR="00BD5A59">
        <w:instrText>ADDIN CSL_CITATION {"citationItems":[{"id":"ITEM-1","itemData":{"author":[{"dropping-particle":"","family":"Vigneron","given":"Nathalie","non-dropping-particle":"","parse-names":false,"suffix":""},{"dropping-particle":"","family":"Stroobant","given":"Vincent","non-dropping-particle":"","parse-names":false,"suffix":""},{"dropping-particle":"","family":"Chapiro","given":"Jacques","non-dropping-particle":"","parse-names":false,"suffix":""},{"dropping-particle":"","family":"Ooms","given":"Annie","non-dropping-particle":"","parse-names":false,"suffix":""},{"dropping-particle":"","family":"Morel","given":"Sandra","non-dropping-particle":"","parse-names":false,"suffix":""},{"dropping-particle":"Van Der","family":"Bruggen","given":"Pierre","non-dropping-particle":"","parse-names":false,"suffix":""},{"dropping-particle":"","family":"Boon","given":"Thierry","non-dropping-particle":"","parse-names":false,"suffix":""},{"dropping-particle":"Van","family":"Den","given":"Benoît J","non-dropping-particle":"","parse-names":false,"suffix":""},{"dropping-particle":"","family":"Vigneron","given":"Nathalie","non-dropping-particle":"","parse-names":false,"suffix":""},{"dropping-particle":"","family":"Stroobant","given":"Vincent","non-dropping-particle":"","parse-names":false,"suffix":""},{"dropping-particle":"","family":"Chapiro","given":"Jacques","non-dropping-particle":"","parse-names":false,"suffix":""}],"id":"ITEM-1","issue":"5670","issued":{"date-parts":[["2016"]]},"page":"587-590","title":"An Antigenic Peptide Produced by Peptide Splicing in the Proteasome Published by : American Association for the Advancement of Science Stable URL : http://www.jstor.org/stable/3836724 Your use of the JSTOR archive indicates your acceptance of the Terms &amp; ","type":"article-journal","volume":"304"},"uris":["http://www.mendeley.com/documents/?uuid=bc341161-cae4-4a06-8fe7-d84fbd15c7d6"]}],"mendeley":{"formattedCitation":"(17)","plainTextFormattedCitation":"(17)","previouslyFormattedCitation":"(17)"},"properties":{"noteIndex":0},"schema":"https://github.com/citation-style-language/schema/raw/master/csl-citation.json"}</w:instrText>
      </w:r>
      <w:r w:rsidR="00CB2D23">
        <w:fldChar w:fldCharType="separate"/>
      </w:r>
      <w:r w:rsidR="00CB2D23" w:rsidRPr="00CB2D23">
        <w:rPr>
          <w:noProof/>
        </w:rPr>
        <w:t>(17)</w:t>
      </w:r>
      <w:r w:rsidR="00CB2D23">
        <w:fldChar w:fldCharType="end"/>
      </w:r>
      <w:r w:rsidR="0029136E">
        <w:t>.</w:t>
      </w:r>
      <w:r w:rsidR="008D069D">
        <w:t xml:space="preserve"> This newly created spliced peptide (SP)</w:t>
      </w:r>
      <w:r>
        <w:t xml:space="preserve"> </w:t>
      </w:r>
      <w:r w:rsidR="008D069D">
        <w:t>will then function as normal through binding to MHC-I and being presented on the surface. The LLO SP is known to be targeted by CD8+ T cells, suggesting that it can also activate the host’s adaptive immunity</w:t>
      </w:r>
      <w:r>
        <w:t xml:space="preserve"> </w:t>
      </w:r>
      <w:r w:rsidR="00B45688">
        <w:fldChar w:fldCharType="begin" w:fldLock="1"/>
      </w:r>
      <w:r w:rsidR="00BD5A59">
        <w:instrText>ADDIN CSL_CITATION {"citationItems":[{"id":"ITEM-1","itemData":{"DOI":"10.3389/fimmu.2017.01441","ISSN":"1664-3224","abstract":"Efficient and safe induction of CD8+ T cell responses is a desired characteristic of vaccines against intracellular pathogens. To achieve this, a new generation of safe vaccines is being developed accommodating single, dominant antigens of pathogens of interest. In particular, the selection of such antigens is challenging, since due to HLA polymorphism the ligand specificities and immunodominance hierarchies of pathogen-specific CD8+ T cell responses differ throughout the human population. A recently discovered mechanism of proteasome-mediated CD8+ T cell epitope generation, i.e., by proteasome-catalyzed peptide splicing (PCPS), expands the pool of peptides and antigens, presented by MHC class I HLA molecules. On the cell surface, one-third of the presented self-peptides are generated by PCPS, which coincides with one-fourth in terms of abundance. Spliced epitopes are targeted by CD8+ T cell responses during infection and, like non-spliced epitopes, can be identified within antigen sequences using a novel in silico strategy. The existence of spliced epitopes, by enlarging the pool of peptides available for presentation by different HLA variants, opens new opportunities for immunotherapies and vaccine design.","author":[{"dropping-particle":"","family":"Platteel","given":"Anouk C. M.","non-dropping-particle":"","parse-names":false,"suffix":""},{"dropping-particle":"","family":"Liepe","given":"Juliane","non-dropping-particle":"","parse-names":false,"suffix":""},{"dropping-particle":"","family":"Eden","given":"Willem","non-dropping-particle":"van","parse-names":false,"suffix":""},{"dropping-particle":"","family":"Mishto","given":"Michele","non-dropping-particle":"","parse-names":false,"suffix":""},{"dropping-particle":"","family":"Sijts","given":"Alice J. A. M.","non-dropping-particle":"","parse-names":false,"suffix":""}],"container-title":"Frontiers in Immunology","id":"ITEM-1","issue":"NOV","issued":{"date-parts":[["2017","11","3"]]},"page":"1441","publisher":"Frontiers Media S.A.","title":"An Unexpected Major Role for Proteasome-Catalyzed Peptide Splicing in Generation of T Cell Epitopes: Is There Relevance for Vaccine Development?","type":"article-journal","volume":"8"},"uris":["http://www.mendeley.com/documents/?uuid=6ae2f768-8173-3d14-8579-e42ff4b5306f"]}],"mendeley":{"formattedCitation":"(18)","plainTextFormattedCitation":"(18)","previouslyFormattedCitation":"(18)"},"properties":{"noteIndex":0},"schema":"https://github.com/citation-style-language/schema/raw/master/csl-citation.json"}</w:instrText>
      </w:r>
      <w:r w:rsidR="00B45688">
        <w:fldChar w:fldCharType="separate"/>
      </w:r>
      <w:r w:rsidR="00CB2D23" w:rsidRPr="00CB2D23">
        <w:rPr>
          <w:noProof/>
        </w:rPr>
        <w:t>(18)</w:t>
      </w:r>
      <w:r w:rsidR="00B45688">
        <w:fldChar w:fldCharType="end"/>
      </w:r>
      <w:r>
        <w:t xml:space="preserve">. </w:t>
      </w:r>
      <w:r w:rsidR="008D069D">
        <w:t xml:space="preserve">There are currently thought to be three different versions of PCPS (see figure 5): normal </w:t>
      </w:r>
      <w:r w:rsidR="008D069D">
        <w:rPr>
          <w:i/>
          <w:iCs/>
        </w:rPr>
        <w:t xml:space="preserve">cis </w:t>
      </w:r>
      <w:r w:rsidR="008D069D">
        <w:t xml:space="preserve">PCPS, reverse </w:t>
      </w:r>
      <w:r w:rsidR="008D069D">
        <w:rPr>
          <w:i/>
          <w:iCs/>
        </w:rPr>
        <w:t>cis</w:t>
      </w:r>
      <w:r w:rsidR="008D069D">
        <w:t xml:space="preserve"> PCPS and </w:t>
      </w:r>
      <w:r w:rsidR="008D069D">
        <w:rPr>
          <w:i/>
          <w:iCs/>
        </w:rPr>
        <w:t xml:space="preserve">trans </w:t>
      </w:r>
      <w:r w:rsidR="008D069D">
        <w:t>PCPS</w:t>
      </w:r>
      <w:r w:rsidR="00DF0F35">
        <w:t xml:space="preserve">. For the purposes of this report, the main focus will be put on normal </w:t>
      </w:r>
      <w:r w:rsidR="00DF0F35">
        <w:rPr>
          <w:i/>
          <w:iCs/>
        </w:rPr>
        <w:t>cis</w:t>
      </w:r>
      <w:r w:rsidR="00DF0F35">
        <w:t xml:space="preserve"> PCPS, assumed to be the main way through which the LLO SP arises.</w:t>
      </w:r>
      <w:r w:rsidR="00DF0F35" w:rsidRPr="00DF0F35">
        <w:rPr>
          <w:noProof/>
        </w:rPr>
        <w:t xml:space="preserve"> </w:t>
      </w:r>
      <w:r w:rsidR="00A85596">
        <w:rPr>
          <w:noProof/>
        </w:rPr>
        <w:drawing>
          <wp:inline distT="0" distB="0" distL="0" distR="0" wp14:anchorId="24C224DE" wp14:editId="25F99A6F">
            <wp:extent cx="5576570" cy="2306955"/>
            <wp:effectExtent l="0" t="0" r="508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6570" cy="2306955"/>
                    </a:xfrm>
                    <a:prstGeom prst="rect">
                      <a:avLst/>
                    </a:prstGeom>
                    <a:noFill/>
                    <a:ln>
                      <a:noFill/>
                    </a:ln>
                  </pic:spPr>
                </pic:pic>
              </a:graphicData>
            </a:graphic>
          </wp:inline>
        </w:drawing>
      </w:r>
    </w:p>
    <w:p w14:paraId="61631F01" w14:textId="312E65B7" w:rsidR="008D069D" w:rsidRDefault="00DF0F35" w:rsidP="00DF0F35">
      <w:pPr>
        <w:pStyle w:val="Bijschrift"/>
        <w:rPr>
          <w:lang w:val="en-US"/>
        </w:rPr>
      </w:pPr>
      <w:r>
        <w:t xml:space="preserve">Figure </w:t>
      </w:r>
      <w:r w:rsidR="00F80144">
        <w:fldChar w:fldCharType="begin"/>
      </w:r>
      <w:r w:rsidR="00F80144">
        <w:instrText xml:space="preserve"> SEQ Figure \* ARABIC </w:instrText>
      </w:r>
      <w:r w:rsidR="00F80144">
        <w:fldChar w:fldCharType="separate"/>
      </w:r>
      <w:r w:rsidR="0047083D">
        <w:rPr>
          <w:noProof/>
        </w:rPr>
        <w:t>5</w:t>
      </w:r>
      <w:r w:rsidR="00F80144">
        <w:rPr>
          <w:noProof/>
        </w:rPr>
        <w:fldChar w:fldCharType="end"/>
      </w:r>
      <w:r>
        <w:t xml:space="preserve">: </w:t>
      </w:r>
      <w:r>
        <w:rPr>
          <w:lang w:val="en-US"/>
        </w:rPr>
        <w:t>Overview of different types of splicing. During cis splicing, the intervening sequence between two distant peptides is removed and the peptides are combined into one. In reverse cis splicing, the process is similar, but instead of linear attachment, the peptides are added together in reverse order. In trans splicing, two peptides of two separate proteins are added together.</w:t>
      </w:r>
      <w:r w:rsidR="00A85596">
        <w:rPr>
          <w:lang w:val="en-US"/>
        </w:rPr>
        <w:t xml:space="preserve"> Figure created by M</w:t>
      </w:r>
      <w:r w:rsidR="00400F0F">
        <w:rPr>
          <w:lang w:val="en-US"/>
        </w:rPr>
        <w:t>.</w:t>
      </w:r>
      <w:r w:rsidR="00A85596">
        <w:rPr>
          <w:lang w:val="en-US"/>
        </w:rPr>
        <w:t xml:space="preserve"> </w:t>
      </w:r>
      <w:r w:rsidR="00A85596">
        <w:t>Wawrzyniuk.</w:t>
      </w:r>
    </w:p>
    <w:p w14:paraId="3679DAEA" w14:textId="2076162C" w:rsidR="00157C16" w:rsidRDefault="000C2556" w:rsidP="00DF0F35">
      <w:pPr>
        <w:rPr>
          <w:lang w:val="en-US"/>
        </w:rPr>
      </w:pPr>
      <w:r>
        <w:rPr>
          <w:lang w:val="en-US"/>
        </w:rPr>
        <w:t xml:space="preserve">In order to investigate the generation of non-canonical peptides </w:t>
      </w:r>
      <w:r>
        <w:rPr>
          <w:i/>
          <w:iCs/>
          <w:lang w:val="en-US"/>
        </w:rPr>
        <w:t>in vivo</w:t>
      </w:r>
      <w:r w:rsidRPr="000C2556">
        <w:rPr>
          <w:lang w:val="en-US"/>
        </w:rPr>
        <w:t xml:space="preserve">, </w:t>
      </w:r>
      <w:r>
        <w:rPr>
          <w:lang w:val="en-US"/>
        </w:rPr>
        <w:t xml:space="preserve">it is important to find a way to introduce the protein into a cell. </w:t>
      </w:r>
      <w:r w:rsidR="001D25DA" w:rsidRPr="000C2556">
        <w:rPr>
          <w:lang w:val="en-US"/>
        </w:rPr>
        <w:t>Currently</w:t>
      </w:r>
      <w:r w:rsidR="001D25DA">
        <w:rPr>
          <w:lang w:val="en-US"/>
        </w:rPr>
        <w:t>, the most used method to study (exogenous) proteins</w:t>
      </w:r>
      <w:r w:rsidR="00B45688">
        <w:rPr>
          <w:lang w:val="en-US"/>
        </w:rPr>
        <w:t xml:space="preserve"> is to either electroporate </w:t>
      </w:r>
      <w:r w:rsidR="00CB2D23">
        <w:rPr>
          <w:lang w:val="en-US"/>
        </w:rPr>
        <w:t>or otherwise introduce</w:t>
      </w:r>
      <w:r w:rsidR="00B45688">
        <w:rPr>
          <w:lang w:val="en-US"/>
        </w:rPr>
        <w:t xml:space="preserve"> a plasmid</w:t>
      </w:r>
      <w:r w:rsidR="00CB2D23">
        <w:rPr>
          <w:lang w:val="en-US"/>
        </w:rPr>
        <w:t xml:space="preserve"> into cells,</w:t>
      </w:r>
      <w:r w:rsidR="00B45688">
        <w:rPr>
          <w:lang w:val="en-US"/>
        </w:rPr>
        <w:t xml:space="preserve"> from which the protein can be transcribed. However, none of these options eliminate the RNA component to the protein </w:t>
      </w:r>
      <w:r w:rsidR="00B45688">
        <w:rPr>
          <w:lang w:val="en-US"/>
        </w:rPr>
        <w:lastRenderedPageBreak/>
        <w:t xml:space="preserve">production. </w:t>
      </w:r>
      <w:r>
        <w:rPr>
          <w:lang w:val="en-US"/>
        </w:rPr>
        <w:t xml:space="preserve">In order to be able to conclude that non-canonical peptides arise </w:t>
      </w:r>
      <w:r w:rsidR="00ED4562">
        <w:rPr>
          <w:lang w:val="en-US"/>
        </w:rPr>
        <w:t>through PCPS, it is important to take RNA out of the equation.</w:t>
      </w:r>
    </w:p>
    <w:p w14:paraId="2893967B" w14:textId="6381EDB8" w:rsidR="00223BC7" w:rsidRDefault="00B45688" w:rsidP="00DF0F35">
      <w:pPr>
        <w:rPr>
          <w:lang w:val="en-US"/>
        </w:rPr>
      </w:pPr>
      <w:r>
        <w:rPr>
          <w:lang w:val="en-US"/>
        </w:rPr>
        <w:t xml:space="preserve">Here, </w:t>
      </w:r>
      <w:r w:rsidR="00157C16">
        <w:rPr>
          <w:lang w:val="en-US"/>
        </w:rPr>
        <w:t xml:space="preserve">a solution is described to </w:t>
      </w:r>
      <w:r w:rsidR="00D21A46">
        <w:rPr>
          <w:lang w:val="en-US"/>
        </w:rPr>
        <w:t xml:space="preserve">further explore the origin of non-canonical peptides, without the use of protein </w:t>
      </w:r>
      <w:r w:rsidR="00B2487A">
        <w:rPr>
          <w:lang w:val="en-US"/>
        </w:rPr>
        <w:t>generation involving RNA steps</w:t>
      </w:r>
      <w:r w:rsidR="00157C16">
        <w:rPr>
          <w:lang w:val="en-US"/>
        </w:rPr>
        <w:t xml:space="preserve">. By producing LLO in </w:t>
      </w:r>
      <w:r w:rsidR="00157C16">
        <w:rPr>
          <w:i/>
          <w:iCs/>
          <w:lang w:val="en-US"/>
        </w:rPr>
        <w:t>Escherichia coli</w:t>
      </w:r>
      <w:r w:rsidR="00157C16">
        <w:rPr>
          <w:lang w:val="en-US"/>
        </w:rPr>
        <w:t xml:space="preserve">, passing it through multiple purification steps to remove any impurities and then electroporating the protein into mammalian cells, the antigen presentation can be studied </w:t>
      </w:r>
      <w:r w:rsidR="000502AA">
        <w:rPr>
          <w:lang w:val="en-US"/>
        </w:rPr>
        <w:t>in cells</w:t>
      </w:r>
      <w:r w:rsidR="00157C16">
        <w:rPr>
          <w:lang w:val="en-US"/>
        </w:rPr>
        <w:t>. Additionally, the LLO SP sequence has been replaced by SIINFEKL to allow easier recognition of the presentation through a variety of assays. This SIINFEKL can then also be split and modified, in an attempt to further elucidate the factors that can influence PCPS.</w:t>
      </w:r>
      <w:r w:rsidR="005D1407">
        <w:rPr>
          <w:lang w:val="en-US"/>
        </w:rPr>
        <w:t xml:space="preserve"> Through these methods, we hope to reduce the uncertainty around the generation of non-canonical peptides and show that Proteasome Catalyzed Peptide Splicing is a viable explanation for this process.</w:t>
      </w:r>
      <w:r w:rsidR="009148B9">
        <w:rPr>
          <w:lang w:val="en-US"/>
        </w:rPr>
        <w:t xml:space="preserve"> Because of the nature of this project, which incorporates both recombinant protein generation and purification with cellular assays, the results are divided over two chapters, in order to be able to equally give weight to both parts.</w:t>
      </w:r>
    </w:p>
    <w:p w14:paraId="20764118" w14:textId="77777777" w:rsidR="00223BC7" w:rsidRDefault="00223BC7">
      <w:pPr>
        <w:rPr>
          <w:lang w:val="en-US"/>
        </w:rPr>
      </w:pPr>
      <w:r>
        <w:rPr>
          <w:lang w:val="en-US"/>
        </w:rPr>
        <w:br w:type="page"/>
      </w:r>
    </w:p>
    <w:p w14:paraId="278926FC" w14:textId="72137725" w:rsidR="001D25DA" w:rsidRDefault="00245D0E" w:rsidP="00982D0F">
      <w:pPr>
        <w:pStyle w:val="Kop1"/>
        <w:rPr>
          <w:lang w:val="en-US"/>
        </w:rPr>
      </w:pPr>
      <w:bookmarkStart w:id="9" w:name="_Toc85744688"/>
      <w:r>
        <w:rPr>
          <w:lang w:val="en-US"/>
        </w:rPr>
        <w:lastRenderedPageBreak/>
        <w:t>Purity is everything: how to make a clean protein</w:t>
      </w:r>
      <w:bookmarkEnd w:id="9"/>
    </w:p>
    <w:p w14:paraId="6FCEC4C5" w14:textId="6FF74EED" w:rsidR="00245D0E" w:rsidRDefault="00245D0E" w:rsidP="00245D0E">
      <w:pPr>
        <w:rPr>
          <w:lang w:val="en-US"/>
        </w:rPr>
      </w:pPr>
      <w:r>
        <w:rPr>
          <w:lang w:val="en-US"/>
        </w:rPr>
        <w:t xml:space="preserve">There are two major components to producing an electroporatable protein. The first step is expressing the protein in </w:t>
      </w:r>
      <w:r>
        <w:rPr>
          <w:i/>
          <w:iCs/>
          <w:lang w:val="en-US"/>
        </w:rPr>
        <w:t>E. coli</w:t>
      </w:r>
      <w:r>
        <w:rPr>
          <w:lang w:val="en-US"/>
        </w:rPr>
        <w:t xml:space="preserve"> from a plasmid (see figure 6). After upscaling the cultures, expression of the protein is induced by adding the substance i</w:t>
      </w:r>
      <w:r w:rsidRPr="00245D0E">
        <w:rPr>
          <w:lang w:val="en-US"/>
        </w:rPr>
        <w:t>sopropyl β-D-1-thiogalactopyranoside</w:t>
      </w:r>
      <w:r>
        <w:rPr>
          <w:lang w:val="en-US"/>
        </w:rPr>
        <w:t xml:space="preserve"> (IPTG), which binds to the LacZ promotor present in the plasmid. The day after, the cultures can be harvested, lysed and their proteins can be purified</w:t>
      </w:r>
    </w:p>
    <w:p w14:paraId="739D204C" w14:textId="72FBF47F" w:rsidR="00245D0E" w:rsidRDefault="00F058D0" w:rsidP="00245D0E">
      <w:pPr>
        <w:keepNext/>
      </w:pPr>
      <w:r w:rsidRPr="00F058D0">
        <w:rPr>
          <w:noProof/>
        </w:rPr>
        <w:drawing>
          <wp:inline distT="0" distB="0" distL="0" distR="0" wp14:anchorId="0F2325C7" wp14:editId="3AAD3DB9">
            <wp:extent cx="5760720" cy="4034790"/>
            <wp:effectExtent l="0" t="0" r="0" b="3810"/>
            <wp:docPr id="12" name="Tijdelijke aanduiding voor afbeelding 17">
              <a:extLst xmlns:a="http://schemas.openxmlformats.org/drawingml/2006/main">
                <a:ext uri="{FF2B5EF4-FFF2-40B4-BE49-F238E27FC236}">
                  <a16:creationId xmlns:a16="http://schemas.microsoft.com/office/drawing/2014/main" id="{810DC281-A948-4AC0-8965-9E037462C07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Tijdelijke aanduiding voor afbeelding 17">
                      <a:extLst>
                        <a:ext uri="{FF2B5EF4-FFF2-40B4-BE49-F238E27FC236}">
                          <a16:creationId xmlns:a16="http://schemas.microsoft.com/office/drawing/2014/main" id="{810DC281-A948-4AC0-8965-9E037462C07F}"/>
                        </a:ext>
                      </a:extLst>
                    </pic:cNvPr>
                    <pic:cNvPicPr>
                      <a:picLocks noGrp="1" noChangeAspect="1"/>
                    </pic:cNvPicPr>
                  </pic:nvPicPr>
                  <pic:blipFill>
                    <a:blip r:embed="rId14"/>
                    <a:srcRect l="24" r="24"/>
                    <a:stretch>
                      <a:fillRect/>
                    </a:stretch>
                  </pic:blipFill>
                  <pic:spPr>
                    <a:xfrm>
                      <a:off x="0" y="0"/>
                      <a:ext cx="5760720" cy="4034790"/>
                    </a:xfrm>
                    <a:prstGeom prst="rect">
                      <a:avLst/>
                    </a:prstGeom>
                    <a:noFill/>
                    <a:ln>
                      <a:noFill/>
                    </a:ln>
                  </pic:spPr>
                </pic:pic>
              </a:graphicData>
            </a:graphic>
          </wp:inline>
        </w:drawing>
      </w:r>
    </w:p>
    <w:p w14:paraId="416F3939" w14:textId="3D9FC306" w:rsidR="00245D0E" w:rsidRDefault="00245D0E" w:rsidP="00245D0E">
      <w:pPr>
        <w:pStyle w:val="Bijschrift"/>
      </w:pPr>
      <w:r>
        <w:t xml:space="preserve">Figure </w:t>
      </w:r>
      <w:r w:rsidR="00F80144">
        <w:fldChar w:fldCharType="begin"/>
      </w:r>
      <w:r w:rsidR="00F80144">
        <w:instrText xml:space="preserve"> SEQ Figure \* ARABIC </w:instrText>
      </w:r>
      <w:r w:rsidR="00F80144">
        <w:fldChar w:fldCharType="separate"/>
      </w:r>
      <w:r w:rsidR="0047083D">
        <w:rPr>
          <w:noProof/>
        </w:rPr>
        <w:t>6</w:t>
      </w:r>
      <w:r w:rsidR="00F80144">
        <w:rPr>
          <w:noProof/>
        </w:rPr>
        <w:fldChar w:fldCharType="end"/>
      </w:r>
      <w:r>
        <w:t xml:space="preserve">: </w:t>
      </w:r>
      <w:r w:rsidRPr="00245D0E">
        <w:t xml:space="preserve">Workflow used for protein production. After successful plasmid generation (verified with sequencing), the plasmid was introduced into the E. coli Rosetta strain. The full plate was used to grow a culture, which was scaled up afterwards. Induction of protein production was accomplished by adding IPTG and letting the culture produce protein overnight. Afterwards, bacteria were lysed and the lysate was run on a variety of columns (nickel, monoQ, </w:t>
      </w:r>
      <w:proofErr w:type="spellStart"/>
      <w:r w:rsidRPr="00245D0E">
        <w:t>monoS</w:t>
      </w:r>
      <w:proofErr w:type="spellEnd"/>
      <w:r w:rsidRPr="00245D0E">
        <w:t xml:space="preserve"> &amp; gel filtration).</w:t>
      </w:r>
      <w:r w:rsidR="002120C2">
        <w:t xml:space="preserve"> Figure created with </w:t>
      </w:r>
      <w:proofErr w:type="spellStart"/>
      <w:r w:rsidR="002120C2">
        <w:t>BioRender</w:t>
      </w:r>
      <w:proofErr w:type="spellEnd"/>
      <w:r w:rsidR="002120C2">
        <w:t>.</w:t>
      </w:r>
    </w:p>
    <w:p w14:paraId="5AFC53B9" w14:textId="0D8D5E74" w:rsidR="00245D0E" w:rsidRPr="007A4EE8" w:rsidRDefault="00245D0E" w:rsidP="00245D0E">
      <w:pPr>
        <w:rPr>
          <w:lang w:val="en-US"/>
        </w:rPr>
      </w:pPr>
      <w:r>
        <w:rPr>
          <w:lang w:val="en-US"/>
        </w:rPr>
        <w:t xml:space="preserve">For the purification, </w:t>
      </w:r>
      <w:r w:rsidR="004830EE">
        <w:rPr>
          <w:lang w:val="en-US"/>
        </w:rPr>
        <w:t>fast</w:t>
      </w:r>
      <w:r>
        <w:rPr>
          <w:lang w:val="en-US"/>
        </w:rPr>
        <w:t xml:space="preserve"> pr</w:t>
      </w:r>
      <w:r w:rsidR="004830EE">
        <w:rPr>
          <w:lang w:val="en-US"/>
        </w:rPr>
        <w:t>otein</w:t>
      </w:r>
      <w:r>
        <w:rPr>
          <w:lang w:val="en-US"/>
        </w:rPr>
        <w:t xml:space="preserve"> liquid chromatography (</w:t>
      </w:r>
      <w:r w:rsidR="004830EE">
        <w:rPr>
          <w:lang w:val="en-US"/>
        </w:rPr>
        <w:t>F</w:t>
      </w:r>
      <w:r>
        <w:rPr>
          <w:lang w:val="en-US"/>
        </w:rPr>
        <w:t xml:space="preserve">PLC) was used. </w:t>
      </w:r>
      <w:r w:rsidR="007A4EE8">
        <w:rPr>
          <w:lang w:val="en-US"/>
        </w:rPr>
        <w:t xml:space="preserve">The machine, also known as ÄKTA, can separate proteins based on size and charge. However, due to the fact that </w:t>
      </w:r>
      <w:r w:rsidR="007A4EE8">
        <w:rPr>
          <w:i/>
          <w:iCs/>
          <w:lang w:val="en-US"/>
        </w:rPr>
        <w:t>E. coli</w:t>
      </w:r>
      <w:r w:rsidR="007A4EE8">
        <w:rPr>
          <w:lang w:val="en-US"/>
        </w:rPr>
        <w:t xml:space="preserve"> lysate contains a high amount of LPS, a endotoxin highly toxic to mammalian cells, it is vital to first run the lysate through a nickel column. The His-tag attached to the protein can bind to the nickel present, while other proteins will flush through. Both of these techniques combined produce a highly pure protein sample, which can then be electroporated into mammalian cells.</w:t>
      </w:r>
    </w:p>
    <w:p w14:paraId="563C8DCA" w14:textId="39CA96AB" w:rsidR="008D069D" w:rsidRDefault="00407848" w:rsidP="00407848">
      <w:pPr>
        <w:pStyle w:val="Kop2"/>
        <w:rPr>
          <w:lang w:val="en-US"/>
        </w:rPr>
      </w:pPr>
      <w:bookmarkStart w:id="10" w:name="_Toc85744689"/>
      <w:r>
        <w:rPr>
          <w:lang w:val="en-US"/>
        </w:rPr>
        <w:t>Plasmid generation</w:t>
      </w:r>
      <w:bookmarkEnd w:id="10"/>
    </w:p>
    <w:p w14:paraId="2C02F0D8" w14:textId="1AC5B76D" w:rsidR="00407848" w:rsidRDefault="00407848" w:rsidP="00407848">
      <w:pPr>
        <w:rPr>
          <w:lang w:val="en-US"/>
        </w:rPr>
      </w:pPr>
      <w:r>
        <w:rPr>
          <w:lang w:val="en-US"/>
        </w:rPr>
        <w:t xml:space="preserve">In order to produce the desired protein, </w:t>
      </w:r>
      <w:r>
        <w:rPr>
          <w:i/>
          <w:iCs/>
          <w:lang w:val="en-US"/>
        </w:rPr>
        <w:t>E. coli</w:t>
      </w:r>
      <w:r>
        <w:rPr>
          <w:lang w:val="en-US"/>
        </w:rPr>
        <w:t xml:space="preserve"> require a template of the required protein in the form of a plasmid. In this research, three different kinds of plasmids were used, being </w:t>
      </w:r>
      <w:r w:rsidR="00361CB6">
        <w:rPr>
          <w:lang w:val="en-US"/>
        </w:rPr>
        <w:t>pDONR-221</w:t>
      </w:r>
      <w:r>
        <w:rPr>
          <w:lang w:val="en-US"/>
        </w:rPr>
        <w:t xml:space="preserve">, a small plasmid with kanamycin resistance, and </w:t>
      </w:r>
      <w:r w:rsidR="00361CB6">
        <w:rPr>
          <w:lang w:val="en-US"/>
        </w:rPr>
        <w:t>pET160-DEST</w:t>
      </w:r>
      <w:r>
        <w:rPr>
          <w:lang w:val="en-US"/>
        </w:rPr>
        <w:t xml:space="preserve"> and </w:t>
      </w:r>
      <w:r w:rsidR="00361CB6">
        <w:rPr>
          <w:lang w:val="en-US"/>
        </w:rPr>
        <w:t>pDEST-eGFP-N1</w:t>
      </w:r>
      <w:r w:rsidR="00651BB9">
        <w:rPr>
          <w:lang w:val="en-US"/>
        </w:rPr>
        <w:t>-DEST</w:t>
      </w:r>
      <w:r>
        <w:rPr>
          <w:lang w:val="en-US"/>
        </w:rPr>
        <w:t xml:space="preserve">, a plasmid with ampicillin resistance for bacterial expression and a plasmid with kanamycin resistance for mammalian expression, respectively. The starting plasmid used for the creation of the used mutants </w:t>
      </w:r>
      <w:r>
        <w:rPr>
          <w:lang w:val="en-US"/>
        </w:rPr>
        <w:lastRenderedPageBreak/>
        <w:t xml:space="preserve">was </w:t>
      </w:r>
      <w:r w:rsidR="00361CB6">
        <w:rPr>
          <w:lang w:val="en-US"/>
        </w:rPr>
        <w:t>pDONR-221</w:t>
      </w:r>
      <w:r>
        <w:rPr>
          <w:lang w:val="en-US"/>
        </w:rPr>
        <w:t xml:space="preserve">-LLOwt, a </w:t>
      </w:r>
      <w:r w:rsidR="00E31896">
        <w:rPr>
          <w:noProof/>
        </w:rPr>
        <mc:AlternateContent>
          <mc:Choice Requires="wps">
            <w:drawing>
              <wp:anchor distT="0" distB="0" distL="114300" distR="114300" simplePos="0" relativeHeight="251667456" behindDoc="0" locked="0" layoutInCell="1" allowOverlap="1" wp14:anchorId="27C2551E" wp14:editId="4A6686AB">
                <wp:simplePos x="0" y="0"/>
                <wp:positionH relativeFrom="column">
                  <wp:posOffset>1988185</wp:posOffset>
                </wp:positionH>
                <wp:positionV relativeFrom="paragraph">
                  <wp:posOffset>3143885</wp:posOffset>
                </wp:positionV>
                <wp:extent cx="3786505" cy="635"/>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3786505" cy="635"/>
                        </a:xfrm>
                        <a:prstGeom prst="rect">
                          <a:avLst/>
                        </a:prstGeom>
                        <a:solidFill>
                          <a:prstClr val="white"/>
                        </a:solidFill>
                        <a:ln>
                          <a:noFill/>
                        </a:ln>
                      </wps:spPr>
                      <wps:txbx>
                        <w:txbxContent>
                          <w:p w14:paraId="406F142E" w14:textId="51FB8CC3" w:rsidR="00E31896" w:rsidRPr="001401C9" w:rsidRDefault="00E31896" w:rsidP="00E31896">
                            <w:pPr>
                              <w:pStyle w:val="Bijschrift"/>
                              <w:rPr>
                                <w:lang w:val="en-US"/>
                              </w:rPr>
                            </w:pPr>
                            <w:r>
                              <w:t xml:space="preserve">Figure </w:t>
                            </w:r>
                            <w:r w:rsidR="00F80144">
                              <w:fldChar w:fldCharType="begin"/>
                            </w:r>
                            <w:r w:rsidR="00F80144">
                              <w:instrText xml:space="preserve"> SEQ Figure \* ARABIC </w:instrText>
                            </w:r>
                            <w:r w:rsidR="00F80144">
                              <w:fldChar w:fldCharType="separate"/>
                            </w:r>
                            <w:r w:rsidR="0047083D">
                              <w:rPr>
                                <w:noProof/>
                              </w:rPr>
                              <w:t>7</w:t>
                            </w:r>
                            <w:r w:rsidR="00F80144">
                              <w:rPr>
                                <w:noProof/>
                              </w:rPr>
                              <w:fldChar w:fldCharType="end"/>
                            </w:r>
                            <w:r>
                              <w:t xml:space="preserve">: </w:t>
                            </w:r>
                            <w:r w:rsidRPr="00E31896">
                              <w:t>Schematic representation of the replacement of the LLO spliced peptide with SIINFEKL. A primer was constructed with consensus to the flanking sequence of the LLO spliced peptide. The DNA sequence for SIINFEKL was attached as a tail. After one elongation, there will be a SIINFEKL on one end of the strand and the original spliced peptide on the other. Next round, this last spliced peptide sequence will also be replaced, allowing full linearization of the plasmid.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C2551E" id="Tekstvak 10" o:spid="_x0000_s1032" type="#_x0000_t202" style="position:absolute;margin-left:156.55pt;margin-top:247.55pt;width:298.1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" stroked="f">
                <v:textbox style="mso-fit-shape-to-text:t" inset="0,0,0,0">
                  <w:txbxContent>
                    <w:p w14:paraId="406F142E" w14:textId="51FB8CC3" w:rsidR="00E31896" w:rsidRPr="001401C9" w:rsidRDefault="00E31896" w:rsidP="00E31896">
                      <w:pPr>
                        <w:pStyle w:val="Bijschrift"/>
                        <w:rPr>
                          <w:lang w:val="en-US"/>
                        </w:rPr>
                      </w:pPr>
                      <w:r>
                        <w:t xml:space="preserve">Figure </w:t>
                      </w:r>
                      <w:fldSimple w:instr=" SEQ Figure \* ARABIC ">
                        <w:r w:rsidR="0047083D">
                          <w:rPr>
                            <w:noProof/>
                          </w:rPr>
                          <w:t>7</w:t>
                        </w:r>
                      </w:fldSimple>
                      <w:r>
                        <w:t xml:space="preserve">: </w:t>
                      </w:r>
                      <w:r w:rsidRPr="00E31896">
                        <w:t>Schematic representation of the replacement of the LLO spliced peptide with SIINFEKL. A primer was constructed with consensus to the flanking sequence of the LLO spliced peptide. The DNA sequence for SIINFEKL was attached as a tail. After one elongation, there will be a SIINFEKL on one end of the strand and the original spliced peptide on the other. Next round, this last spliced peptide sequence will also be replaced, allowing full linearization of the plasmid.</w:t>
                      </w:r>
                    </w:p>
                  </w:txbxContent>
                </v:textbox>
                <w10:wrap type="square"/>
              </v:shape>
            </w:pict>
          </mc:Fallback>
        </mc:AlternateContent>
      </w:r>
      <w:r w:rsidR="00E31896">
        <w:rPr>
          <w:noProof/>
        </w:rPr>
        <w:drawing>
          <wp:anchor distT="0" distB="0" distL="114300" distR="114300" simplePos="0" relativeHeight="251665408" behindDoc="0" locked="0" layoutInCell="1" allowOverlap="1" wp14:anchorId="25D25063" wp14:editId="3815CB54">
            <wp:simplePos x="0" y="0"/>
            <wp:positionH relativeFrom="column">
              <wp:posOffset>1988185</wp:posOffset>
            </wp:positionH>
            <wp:positionV relativeFrom="paragraph">
              <wp:posOffset>0</wp:posOffset>
            </wp:positionV>
            <wp:extent cx="3786505" cy="3086735"/>
            <wp:effectExtent l="0" t="0" r="444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6505" cy="308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CB6">
        <w:rPr>
          <w:lang w:val="en-US"/>
        </w:rPr>
        <w:t>pDONR-221</w:t>
      </w:r>
      <w:r>
        <w:rPr>
          <w:lang w:val="en-US"/>
        </w:rPr>
        <w:t xml:space="preserve"> plasmid with a truncated version of wild type LLO inserted.</w:t>
      </w:r>
      <w:r w:rsidR="00CB2D23">
        <w:rPr>
          <w:lang w:val="en-US"/>
        </w:rPr>
        <w:t xml:space="preserve"> By truncating LLO in this matter, it will lose its toxic properties.</w:t>
      </w:r>
      <w:r w:rsidR="00E31896">
        <w:rPr>
          <w:lang w:val="en-US"/>
        </w:rPr>
        <w:t xml:space="preserve"> Additionally, a </w:t>
      </w:r>
      <w:r w:rsidR="00361CB6">
        <w:rPr>
          <w:lang w:val="en-US"/>
        </w:rPr>
        <w:t>pET160-DEST</w:t>
      </w:r>
      <w:r w:rsidR="00E31896">
        <w:rPr>
          <w:lang w:val="en-US"/>
        </w:rPr>
        <w:t xml:space="preserve">-eGFP and a </w:t>
      </w:r>
      <w:r w:rsidR="00361CB6">
        <w:rPr>
          <w:lang w:val="en-US"/>
        </w:rPr>
        <w:t>pET160-DEST</w:t>
      </w:r>
      <w:r w:rsidR="00E31896">
        <w:rPr>
          <w:lang w:val="en-US"/>
        </w:rPr>
        <w:t>-LLO-SIINFEKL (SIINFEKL inserted after the LLO SP) were provided</w:t>
      </w:r>
      <w:r w:rsidR="001C6614">
        <w:rPr>
          <w:lang w:val="en-US"/>
        </w:rPr>
        <w:t xml:space="preserve"> (all sequences provided in the Supplementary Data)</w:t>
      </w:r>
      <w:r w:rsidR="00E31896">
        <w:rPr>
          <w:lang w:val="en-US"/>
        </w:rPr>
        <w:t xml:space="preserve">. </w:t>
      </w:r>
    </w:p>
    <w:p w14:paraId="04FB6A0A" w14:textId="1968B001" w:rsidR="00053B30" w:rsidRDefault="00407848" w:rsidP="00407848">
      <w:pPr>
        <w:rPr>
          <w:lang w:val="en-US"/>
        </w:rPr>
      </w:pPr>
      <w:r>
        <w:rPr>
          <w:lang w:val="en-US"/>
        </w:rPr>
        <w:t xml:space="preserve">Through a </w:t>
      </w:r>
      <w:r w:rsidR="00E31896">
        <w:rPr>
          <w:lang w:val="en-US"/>
        </w:rPr>
        <w:t xml:space="preserve">DNA </w:t>
      </w:r>
      <w:r>
        <w:rPr>
          <w:lang w:val="en-US"/>
        </w:rPr>
        <w:t>replacement technique</w:t>
      </w:r>
      <w:r w:rsidR="00E31896">
        <w:rPr>
          <w:lang w:val="en-US"/>
        </w:rPr>
        <w:t xml:space="preserve"> (see figure 7), the LLO SP was replaced by the sequence of choice (SIINFEKL shown). To achieve this, primers were designed with a SIINFEKL</w:t>
      </w:r>
      <w:r w:rsidR="001C6614">
        <w:rPr>
          <w:lang w:val="en-US"/>
        </w:rPr>
        <w:t xml:space="preserve"> (or equivalent)</w:t>
      </w:r>
      <w:r w:rsidR="00E31896">
        <w:rPr>
          <w:lang w:val="en-US"/>
        </w:rPr>
        <w:t xml:space="preserve"> tail and a complementary sequence to the flanking parts of the LLO SP. After two rounds of elongation using these primers, the LLO SP will no longer be present. More elongation steps will result in a higher amount of replaced SP and complementary strands will circularize. </w:t>
      </w:r>
    </w:p>
    <w:p w14:paraId="49E3336C" w14:textId="3C58877E" w:rsidR="006E5D08" w:rsidRDefault="006E5D08" w:rsidP="00483440">
      <w:pPr>
        <w:pStyle w:val="Kop3"/>
        <w:rPr>
          <w:lang w:val="en-US"/>
        </w:rPr>
      </w:pPr>
      <w:bookmarkStart w:id="11" w:name="_Toc85744690"/>
      <w:r>
        <w:rPr>
          <w:lang w:val="en-US"/>
        </w:rPr>
        <w:t>Results</w:t>
      </w:r>
      <w:bookmarkEnd w:id="11"/>
    </w:p>
    <w:p w14:paraId="2B52B4EE" w14:textId="74BA85BB" w:rsidR="0093457C" w:rsidRDefault="0093545C" w:rsidP="0093457C">
      <w:pPr>
        <w:rPr>
          <w:lang w:val="en-US"/>
        </w:rPr>
      </w:pPr>
      <w:r>
        <w:rPr>
          <w:lang w:val="en-US"/>
        </w:rPr>
        <w:t xml:space="preserve">We were successful in the production of SP replaced LLO (rLLO) </w:t>
      </w:r>
      <w:r w:rsidR="00361CB6">
        <w:rPr>
          <w:lang w:val="en-US"/>
        </w:rPr>
        <w:t>pDONR-221</w:t>
      </w:r>
      <w:r>
        <w:rPr>
          <w:lang w:val="en-US"/>
        </w:rPr>
        <w:t xml:space="preserve"> plasmids</w:t>
      </w:r>
      <w:r w:rsidR="00361CB6">
        <w:rPr>
          <w:lang w:val="en-US"/>
        </w:rPr>
        <w:t xml:space="preserve"> (sequences can be found in the </w:t>
      </w:r>
      <w:r w:rsidR="000502AA">
        <w:rPr>
          <w:lang w:val="en-US"/>
        </w:rPr>
        <w:t>S</w:t>
      </w:r>
      <w:r w:rsidR="00361CB6">
        <w:rPr>
          <w:lang w:val="en-US"/>
        </w:rPr>
        <w:t>upplementary</w:t>
      </w:r>
      <w:r w:rsidR="000502AA">
        <w:rPr>
          <w:lang w:val="en-US"/>
        </w:rPr>
        <w:t xml:space="preserve"> Data</w:t>
      </w:r>
      <w:r w:rsidR="007F7E21">
        <w:rPr>
          <w:lang w:val="en-US"/>
        </w:rPr>
        <w:t>, for short amino acid sequence see figure 8A</w:t>
      </w:r>
      <w:r w:rsidR="00361CB6">
        <w:rPr>
          <w:lang w:val="en-US"/>
        </w:rPr>
        <w:t>)</w:t>
      </w:r>
      <w:r>
        <w:rPr>
          <w:lang w:val="en-US"/>
        </w:rPr>
        <w:t xml:space="preserve">. The LR reactions to </w:t>
      </w:r>
      <w:r w:rsidR="00361CB6">
        <w:rPr>
          <w:lang w:val="en-US"/>
        </w:rPr>
        <w:t>pET160-DEST</w:t>
      </w:r>
      <w:r>
        <w:rPr>
          <w:lang w:val="en-US"/>
        </w:rPr>
        <w:t xml:space="preserve"> were also largely successful. Regrettably, rLLO-SIINFEKL seems to have lost a part of its sequence downstream of the replaced SP. Additionally, because of the low efficiency of the LR reaction into </w:t>
      </w:r>
      <w:r w:rsidR="00361CB6">
        <w:rPr>
          <w:lang w:val="en-US"/>
        </w:rPr>
        <w:t>pDEST-eGFP-N1</w:t>
      </w:r>
      <w:r>
        <w:rPr>
          <w:lang w:val="en-US"/>
        </w:rPr>
        <w:t>-DEST due to similar antibiotic resistance genes on both the donor and destination plasmid, these plasmids were only created for 3L and 3A. In figure 8</w:t>
      </w:r>
      <w:r w:rsidR="007F7E21">
        <w:rPr>
          <w:lang w:val="en-US"/>
        </w:rPr>
        <w:t>B</w:t>
      </w:r>
      <w:r w:rsidR="00361CB6">
        <w:rPr>
          <w:lang w:val="en-US"/>
        </w:rPr>
        <w:t xml:space="preserve">, a result of the LR success check (LR from pDONR-221 into pDEST-eGFP-N1) is shown. On the left, four different colonies of the 3A mutant were loaded. In the following four rows, four different colonies of the 3L mutant were loaded. In the last well, a rLLO-SIINFEKL </w:t>
      </w:r>
      <w:proofErr w:type="spellStart"/>
      <w:r w:rsidR="00361CB6">
        <w:rPr>
          <w:lang w:val="en-US"/>
        </w:rPr>
        <w:t>midiprep</w:t>
      </w:r>
      <w:proofErr w:type="spellEnd"/>
      <w:r w:rsidR="00361CB6">
        <w:rPr>
          <w:lang w:val="en-US"/>
        </w:rPr>
        <w:t xml:space="preserve"> was verified. All four 3A plasmids have run further in the gel than the 3L colonies and their size corresponds to the size of the pDONR-221 plasmid</w:t>
      </w:r>
      <w:r w:rsidR="00F03D40">
        <w:rPr>
          <w:lang w:val="en-US"/>
        </w:rPr>
        <w:t xml:space="preserve"> (4761 bp). All 3L colonies have run less far in the gel and their size corresponds to the pDEST-eGFP-N1 plasmid (7437 bp).</w:t>
      </w:r>
    </w:p>
    <w:p w14:paraId="4D269D98" w14:textId="77777777" w:rsidR="00CB2D23" w:rsidRDefault="00CB2D23" w:rsidP="0093457C">
      <w:pPr>
        <w:rPr>
          <w:lang w:val="en-US"/>
        </w:rPr>
      </w:pPr>
    </w:p>
    <w:p w14:paraId="0AC7C181" w14:textId="77777777" w:rsidR="00EA517B" w:rsidRPr="0093457C" w:rsidRDefault="00EA517B" w:rsidP="0093457C">
      <w:pPr>
        <w:rPr>
          <w:lang w:val="en-US"/>
        </w:rPr>
      </w:pPr>
    </w:p>
    <w:p w14:paraId="6D8B3F51" w14:textId="3D95ACD0" w:rsidR="0093545C" w:rsidRDefault="00CB2D23" w:rsidP="0093545C">
      <w:pPr>
        <w:keepNext/>
      </w:pPr>
      <w:r>
        <w:rPr>
          <w:noProof/>
        </w:rPr>
        <w:lastRenderedPageBreak/>
        <mc:AlternateContent>
          <mc:Choice Requires="wps">
            <w:drawing>
              <wp:anchor distT="0" distB="0" distL="114300" distR="114300" simplePos="0" relativeHeight="251686912" behindDoc="0" locked="0" layoutInCell="1" allowOverlap="1" wp14:anchorId="32136C0C" wp14:editId="0503DC0F">
                <wp:simplePos x="0" y="0"/>
                <wp:positionH relativeFrom="column">
                  <wp:posOffset>-635</wp:posOffset>
                </wp:positionH>
                <wp:positionV relativeFrom="paragraph">
                  <wp:posOffset>2841625</wp:posOffset>
                </wp:positionV>
                <wp:extent cx="342900" cy="487680"/>
                <wp:effectExtent l="0" t="0" r="0" b="7620"/>
                <wp:wrapNone/>
                <wp:docPr id="22" name="Tekstvak 22"/>
                <wp:cNvGraphicFramePr/>
                <a:graphic xmlns:a="http://schemas.openxmlformats.org/drawingml/2006/main">
                  <a:graphicData uri="http://schemas.microsoft.com/office/word/2010/wordprocessingShape">
                    <wps:wsp>
                      <wps:cNvSpPr txBox="1"/>
                      <wps:spPr>
                        <a:xfrm>
                          <a:off x="0" y="0"/>
                          <a:ext cx="342900" cy="4876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8B8264" w14:textId="0A71E6C6" w:rsidR="00CB2D23" w:rsidRPr="00CB2D23" w:rsidRDefault="00CB2D23" w:rsidP="00CB2D23">
                            <w:pPr>
                              <w:rPr>
                                <w:color w:val="FFFFFF" w:themeColor="background1"/>
                                <w:sz w:val="48"/>
                                <w:szCs w:val="48"/>
                                <w:lang w:val="nl-NL"/>
                              </w:rPr>
                            </w:pPr>
                            <w:r w:rsidRPr="00CB2D23">
                              <w:rPr>
                                <w:color w:val="FFFFFF" w:themeColor="background1"/>
                                <w:sz w:val="48"/>
                                <w:szCs w:val="48"/>
                                <w:lang w:val="nl-N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36C0C" id="Tekstvak 22" o:spid="_x0000_s1033" type="#_x0000_t202" style="position:absolute;margin-left:-.05pt;margin-top:223.75pt;width:27pt;height:3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" filled="f" stroked="f">
                <v:textbox>
                  <w:txbxContent>
                    <w:p w14:paraId="7F8B8264" w14:textId="0A71E6C6" w:rsidR="00CB2D23" w:rsidRPr="00CB2D23" w:rsidRDefault="00CB2D23" w:rsidP="00CB2D23">
                      <w:pPr>
                        <w:rPr>
                          <w:color w:val="FFFFFF" w:themeColor="background1"/>
                          <w:sz w:val="48"/>
                          <w:szCs w:val="48"/>
                          <w:lang w:val="nl-NL"/>
                        </w:rPr>
                      </w:pPr>
                      <w:r w:rsidRPr="00CB2D23">
                        <w:rPr>
                          <w:color w:val="FFFFFF" w:themeColor="background1"/>
                          <w:sz w:val="48"/>
                          <w:szCs w:val="48"/>
                          <w:lang w:val="nl-NL"/>
                        </w:rPr>
                        <w:t>B</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10F59D39" wp14:editId="3924D728">
                <wp:simplePos x="0" y="0"/>
                <wp:positionH relativeFrom="column">
                  <wp:posOffset>-635</wp:posOffset>
                </wp:positionH>
                <wp:positionV relativeFrom="paragraph">
                  <wp:posOffset>-38735</wp:posOffset>
                </wp:positionV>
                <wp:extent cx="342900" cy="487680"/>
                <wp:effectExtent l="0" t="0" r="0" b="7620"/>
                <wp:wrapNone/>
                <wp:docPr id="13" name="Tekstvak 13"/>
                <wp:cNvGraphicFramePr/>
                <a:graphic xmlns:a="http://schemas.openxmlformats.org/drawingml/2006/main">
                  <a:graphicData uri="http://schemas.microsoft.com/office/word/2010/wordprocessingShape">
                    <wps:wsp>
                      <wps:cNvSpPr txBox="1"/>
                      <wps:spPr>
                        <a:xfrm>
                          <a:off x="0" y="0"/>
                          <a:ext cx="342900" cy="4876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28E871" w14:textId="0A2596E4" w:rsidR="00CB2D23" w:rsidRPr="00CB2D23" w:rsidRDefault="00CB2D23">
                            <w:pPr>
                              <w:rPr>
                                <w:sz w:val="48"/>
                                <w:szCs w:val="48"/>
                                <w:lang w:val="nl-NL"/>
                              </w:rPr>
                            </w:pPr>
                            <w:r w:rsidRPr="00CB2D23">
                              <w:rPr>
                                <w:sz w:val="48"/>
                                <w:szCs w:val="48"/>
                                <w:lang w:val="nl-N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59D39" id="Tekstvak 13" o:spid="_x0000_s1034" type="#_x0000_t202" style="position:absolute;margin-left:-.05pt;margin-top:-3.05pt;width:27pt;height:3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" filled="f" stroked="f">
                <v:textbox>
                  <w:txbxContent>
                    <w:p w14:paraId="7028E871" w14:textId="0A2596E4" w:rsidR="00CB2D23" w:rsidRPr="00CB2D23" w:rsidRDefault="00CB2D23">
                      <w:pPr>
                        <w:rPr>
                          <w:sz w:val="48"/>
                          <w:szCs w:val="48"/>
                          <w:lang w:val="nl-NL"/>
                        </w:rPr>
                      </w:pPr>
                      <w:r w:rsidRPr="00CB2D23">
                        <w:rPr>
                          <w:sz w:val="48"/>
                          <w:szCs w:val="48"/>
                          <w:lang w:val="nl-NL"/>
                        </w:rPr>
                        <w:t>A</w:t>
                      </w:r>
                    </w:p>
                  </w:txbxContent>
                </v:textbox>
              </v:shape>
            </w:pict>
          </mc:Fallback>
        </mc:AlternateContent>
      </w:r>
      <w:r>
        <w:rPr>
          <w:noProof/>
        </w:rPr>
        <w:drawing>
          <wp:inline distT="0" distB="0" distL="0" distR="0" wp14:anchorId="1B6983C4" wp14:editId="1F610BB8">
            <wp:extent cx="5760720" cy="2840217"/>
            <wp:effectExtent l="0" t="0" r="0" b="0"/>
            <wp:docPr id="8" name="Afbeelding 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afel&#10;&#10;Automatisch gegenereerde beschrijving"/>
                    <pic:cNvPicPr/>
                  </pic:nvPicPr>
                  <pic:blipFill rotWithShape="1">
                    <a:blip r:embed="rId16"/>
                    <a:srcRect l="46506" t="38029" r="8345" b="22398"/>
                    <a:stretch/>
                  </pic:blipFill>
                  <pic:spPr bwMode="auto">
                    <a:xfrm>
                      <a:off x="0" y="0"/>
                      <a:ext cx="5799836" cy="2859502"/>
                    </a:xfrm>
                    <a:prstGeom prst="rect">
                      <a:avLst/>
                    </a:prstGeom>
                    <a:ln>
                      <a:noFill/>
                    </a:ln>
                    <a:extLst>
                      <a:ext uri="{53640926-AAD7-44D8-BBD7-CCE9431645EC}">
                        <a14:shadowObscured xmlns:a14="http://schemas.microsoft.com/office/drawing/2010/main"/>
                      </a:ext>
                    </a:extLst>
                  </pic:spPr>
                </pic:pic>
              </a:graphicData>
            </a:graphic>
          </wp:inline>
        </w:drawing>
      </w:r>
      <w:r w:rsidR="0093457C">
        <w:rPr>
          <w:noProof/>
        </w:rPr>
        <w:drawing>
          <wp:inline distT="0" distB="0" distL="0" distR="0" wp14:anchorId="6DAFF723" wp14:editId="426C03A3">
            <wp:extent cx="5760720" cy="14020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088" b="57345"/>
                    <a:stretch/>
                  </pic:blipFill>
                  <pic:spPr bwMode="auto">
                    <a:xfrm>
                      <a:off x="0" y="0"/>
                      <a:ext cx="5760720" cy="1402080"/>
                    </a:xfrm>
                    <a:prstGeom prst="rect">
                      <a:avLst/>
                    </a:prstGeom>
                    <a:noFill/>
                    <a:ln>
                      <a:noFill/>
                    </a:ln>
                    <a:extLst>
                      <a:ext uri="{53640926-AAD7-44D8-BBD7-CCE9431645EC}">
                        <a14:shadowObscured xmlns:a14="http://schemas.microsoft.com/office/drawing/2010/main"/>
                      </a:ext>
                    </a:extLst>
                  </pic:spPr>
                </pic:pic>
              </a:graphicData>
            </a:graphic>
          </wp:inline>
        </w:drawing>
      </w:r>
    </w:p>
    <w:p w14:paraId="7C8D8BAC" w14:textId="23FA5735" w:rsidR="00CB2D23" w:rsidRDefault="00CB2D23" w:rsidP="0093545C">
      <w:pPr>
        <w:keepNext/>
      </w:pPr>
    </w:p>
    <w:p w14:paraId="665DC34C" w14:textId="6E5BDD21" w:rsidR="006E5D08" w:rsidRPr="006E5D08" w:rsidRDefault="0093545C" w:rsidP="0093545C">
      <w:pPr>
        <w:pStyle w:val="Bijschrift"/>
        <w:rPr>
          <w:lang w:val="en-US"/>
        </w:rPr>
      </w:pPr>
      <w:r>
        <w:t xml:space="preserve">Figure </w:t>
      </w:r>
      <w:r w:rsidR="00F80144">
        <w:fldChar w:fldCharType="begin"/>
      </w:r>
      <w:r w:rsidR="00F80144">
        <w:instrText xml:space="preserve"> SEQ Figure \* ARABIC </w:instrText>
      </w:r>
      <w:r w:rsidR="00F80144">
        <w:fldChar w:fldCharType="separate"/>
      </w:r>
      <w:r w:rsidR="0047083D">
        <w:rPr>
          <w:noProof/>
        </w:rPr>
        <w:t>8</w:t>
      </w:r>
      <w:r w:rsidR="00F80144">
        <w:rPr>
          <w:noProof/>
        </w:rPr>
        <w:fldChar w:fldCharType="end"/>
      </w:r>
      <w:r>
        <w:t xml:space="preserve">: </w:t>
      </w:r>
      <w:r w:rsidR="00CB2D23">
        <w:t xml:space="preserve">(A) Table showing amino acid sequence of different created mutants. Of these, only rLLO-SPLIT3A and rLLO-SPLIT3L were used in the final </w:t>
      </w:r>
      <w:r w:rsidR="007F7E21">
        <w:t xml:space="preserve">experiment. Original amino acid sequence of LLO shown above, with original SP in yellow. </w:t>
      </w:r>
      <w:r w:rsidR="00CB2D23">
        <w:t xml:space="preserve">(B) </w:t>
      </w:r>
      <w:r w:rsidR="00F03D40">
        <w:t xml:space="preserve">Electrophoresis gel after enzymatic reaction with </w:t>
      </w:r>
      <w:proofErr w:type="spellStart"/>
      <w:r w:rsidR="00F03D40">
        <w:t>NruI</w:t>
      </w:r>
      <w:proofErr w:type="spellEnd"/>
      <w:r w:rsidR="00F03D40">
        <w:t xml:space="preserve"> and </w:t>
      </w:r>
      <w:proofErr w:type="spellStart"/>
      <w:r w:rsidR="00F03D40">
        <w:t>NotI</w:t>
      </w:r>
      <w:proofErr w:type="spellEnd"/>
      <w:r w:rsidR="00F03D40">
        <w:t xml:space="preserve">. On the left, four colonies with 3A mutant are shown. Next, four colonies of 3L mutant can be seen. Finally, one well with a </w:t>
      </w:r>
      <w:proofErr w:type="spellStart"/>
      <w:r w:rsidR="00F03D40">
        <w:t>midiprepped</w:t>
      </w:r>
      <w:proofErr w:type="spellEnd"/>
      <w:r w:rsidR="00F03D40">
        <w:t xml:space="preserve"> rLLO-SIINFEKL plasmid. The 3A plasmids seem to correspond to the size of </w:t>
      </w:r>
      <w:r w:rsidR="00F03D40" w:rsidRPr="00F03D40">
        <w:t>the pDONR-221 plasmid (4761 bp)</w:t>
      </w:r>
      <w:r w:rsidR="00F03D40">
        <w:t xml:space="preserve">. The 3L plasmids seems to correspond to the size of </w:t>
      </w:r>
      <w:r w:rsidR="00F03D40" w:rsidRPr="00F03D40">
        <w:t>the pDEST-eGFP-N1 plasmid (7437 bp).</w:t>
      </w:r>
      <w:r w:rsidR="004762A7">
        <w:t xml:space="preserve"> </w:t>
      </w:r>
    </w:p>
    <w:p w14:paraId="0BA762CB" w14:textId="258EB678" w:rsidR="00651BB9" w:rsidRDefault="00483440" w:rsidP="00483440">
      <w:pPr>
        <w:pStyle w:val="Kop2"/>
        <w:rPr>
          <w:lang w:val="en-US"/>
        </w:rPr>
      </w:pPr>
      <w:bookmarkStart w:id="12" w:name="_Toc85744691"/>
      <w:r>
        <w:rPr>
          <w:lang w:val="en-US"/>
        </w:rPr>
        <w:t>Protein expression and purification</w:t>
      </w:r>
      <w:bookmarkEnd w:id="12"/>
    </w:p>
    <w:p w14:paraId="19DFABC8" w14:textId="738D9507" w:rsidR="00483440" w:rsidRPr="00483440" w:rsidRDefault="00483440" w:rsidP="00483440">
      <w:pPr>
        <w:rPr>
          <w:lang w:val="en-US"/>
        </w:rPr>
      </w:pPr>
      <w:r>
        <w:rPr>
          <w:lang w:val="en-US"/>
        </w:rPr>
        <w:t xml:space="preserve">After successful production of bacterial plasmids, we proceeded to the expression and purification steps of the project. For expression, a Rosetta strain of </w:t>
      </w:r>
      <w:r>
        <w:rPr>
          <w:i/>
          <w:iCs/>
          <w:lang w:val="en-US"/>
        </w:rPr>
        <w:t>E. coli</w:t>
      </w:r>
      <w:r>
        <w:rPr>
          <w:lang w:val="en-US"/>
        </w:rPr>
        <w:t xml:space="preserve"> was used, which contains a plasmid encoding different mammalian tRNAs normally not present in bacteria. This eliminates the need for codon optimization in the expression plasmids.</w:t>
      </w:r>
    </w:p>
    <w:p w14:paraId="6CE366B3" w14:textId="48AF8029" w:rsidR="00263CC1" w:rsidRDefault="00263CC1" w:rsidP="00263CC1">
      <w:pPr>
        <w:pStyle w:val="Kop3"/>
      </w:pPr>
      <w:bookmarkStart w:id="13" w:name="_Toc85744692"/>
      <w:r>
        <w:t>Results</w:t>
      </w:r>
      <w:bookmarkEnd w:id="13"/>
    </w:p>
    <w:p w14:paraId="03498CA0" w14:textId="2B979651" w:rsidR="00EA517B" w:rsidRDefault="004C3469" w:rsidP="00C86A75">
      <w:r>
        <w:t xml:space="preserve">To eliminate LPS from the protein samples, </w:t>
      </w:r>
      <w:r w:rsidR="00C12CF9">
        <w:t>we</w:t>
      </w:r>
      <w:r>
        <w:t xml:space="preserve"> loaded </w:t>
      </w:r>
      <w:r w:rsidR="00C12CF9">
        <w:t xml:space="preserve">the lysate </w:t>
      </w:r>
      <w:r>
        <w:t xml:space="preserve">on a Ni-NTA column and a monoQ column on the same day. </w:t>
      </w:r>
      <w:r w:rsidR="003C4560">
        <w:t>During the monoQ purification steps, a couple of distinct peaks were visible on the chromatograms (see figure 9</w:t>
      </w:r>
      <w:r w:rsidR="008E4E70">
        <w:t>A</w:t>
      </w:r>
      <w:r w:rsidR="00C12CF9">
        <w:t xml:space="preserve"> for an example</w:t>
      </w:r>
      <w:r w:rsidR="00C86A75">
        <w:t>, others can be found in the Supplementary Data</w:t>
      </w:r>
      <w:r w:rsidR="003C4560">
        <w:t>).</w:t>
      </w:r>
      <w:r w:rsidR="00C86A75">
        <w:t xml:space="preserve"> These peaks correspond to proteins that did not attach to the column (not shown in figure), followed by proteins that detach by various salt concentrations, ending with the proteins requiring a large and sudden increase in salt concentration. Along with the proteins, nucleotides and LPS can also attach to the column, usually detaching last due to their high negative charge. These molecules can usually be found in the last peak of the chromatogram.</w:t>
      </w:r>
      <w:r w:rsidR="00C12CF9">
        <w:t xml:space="preserve"> The amount of peaks in the chromatograms suggest that the protein of interest is numerous, but that the </w:t>
      </w:r>
      <w:r w:rsidR="007D6803">
        <w:t xml:space="preserve">injected </w:t>
      </w:r>
      <w:r w:rsidR="00C12CF9">
        <w:t xml:space="preserve">sample </w:t>
      </w:r>
      <w:r w:rsidR="007D6803">
        <w:t>was</w:t>
      </w:r>
      <w:r w:rsidR="00C12CF9">
        <w:t xml:space="preserve"> still </w:t>
      </w:r>
      <w:proofErr w:type="spellStart"/>
      <w:r w:rsidR="00C12CF9">
        <w:t>unpure</w:t>
      </w:r>
      <w:proofErr w:type="spellEnd"/>
      <w:r w:rsidR="00C12CF9">
        <w:t xml:space="preserve">. </w:t>
      </w:r>
      <w:r w:rsidR="007D6803">
        <w:t xml:space="preserve">Because of the overlap of the peaks, we can also assume that there is still some </w:t>
      </w:r>
      <w:proofErr w:type="spellStart"/>
      <w:r w:rsidR="007D6803">
        <w:t>unpurity</w:t>
      </w:r>
      <w:proofErr w:type="spellEnd"/>
      <w:r w:rsidR="007D6803">
        <w:t xml:space="preserve"> </w:t>
      </w:r>
      <w:r w:rsidR="00AA29BA">
        <w:rPr>
          <w:noProof/>
        </w:rPr>
        <w:lastRenderedPageBreak/>
        <w:drawing>
          <wp:anchor distT="0" distB="0" distL="114300" distR="114300" simplePos="0" relativeHeight="251674624" behindDoc="0" locked="0" layoutInCell="1" allowOverlap="1" wp14:anchorId="6488FE8C" wp14:editId="64637BD7">
            <wp:simplePos x="0" y="0"/>
            <wp:positionH relativeFrom="margin">
              <wp:posOffset>1873885</wp:posOffset>
            </wp:positionH>
            <wp:positionV relativeFrom="paragraph">
              <wp:posOffset>0</wp:posOffset>
            </wp:positionV>
            <wp:extent cx="3919855" cy="5932170"/>
            <wp:effectExtent l="0" t="0" r="4445" b="0"/>
            <wp:wrapSquare wrapText="bothSides"/>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2510"/>
                    <a:stretch/>
                  </pic:blipFill>
                  <pic:spPr bwMode="auto">
                    <a:xfrm>
                      <a:off x="0" y="0"/>
                      <a:ext cx="3919855" cy="5932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803">
        <w:t xml:space="preserve">is present after this step. </w:t>
      </w:r>
      <w:r w:rsidR="00C12CF9">
        <w:t>However, due to the negative charge of LPS, we can assume that the sample is now free of LPS and usable for cell assays.</w:t>
      </w:r>
    </w:p>
    <w:p w14:paraId="794AB590" w14:textId="4C265AA4" w:rsidR="003C4560" w:rsidRDefault="004C3469" w:rsidP="00C86A75">
      <w:r>
        <w:t>To increase protein purity,</w:t>
      </w:r>
      <w:r w:rsidR="00C12CF9">
        <w:t xml:space="preserve"> we loaded</w:t>
      </w:r>
      <w:r>
        <w:t xml:space="preserve"> </w:t>
      </w:r>
      <w:r w:rsidR="00C12CF9">
        <w:t xml:space="preserve">the protein onto a </w:t>
      </w:r>
      <w:proofErr w:type="spellStart"/>
      <w:r w:rsidR="00C12CF9">
        <w:t>monoS</w:t>
      </w:r>
      <w:proofErr w:type="spellEnd"/>
      <w:r w:rsidR="00C12CF9">
        <w:t xml:space="preserve"> column. A</w:t>
      </w:r>
      <w:r w:rsidR="002912EB">
        <w:t xml:space="preserve">fter running the fractions of interest on the </w:t>
      </w:r>
      <w:proofErr w:type="spellStart"/>
      <w:r w:rsidR="00BE3BE3">
        <w:t>m</w:t>
      </w:r>
      <w:r w:rsidR="002912EB">
        <w:t>onoS</w:t>
      </w:r>
      <w:proofErr w:type="spellEnd"/>
      <w:r w:rsidR="002912EB">
        <w:t xml:space="preserve"> column, a cleaner chromatogram appears, with a lower amount of peaks (see figure </w:t>
      </w:r>
      <w:r w:rsidR="00E3749F">
        <w:t>9B</w:t>
      </w:r>
      <w:r w:rsidR="00C12CF9">
        <w:t xml:space="preserve"> for an example, others can be found in Supplementary Data</w:t>
      </w:r>
      <w:r w:rsidR="002912EB">
        <w:t>). The first peak seen on the chromatogram again corresponds with the proteins that did not attach to the column, with the second showing the protein of interest.</w:t>
      </w:r>
      <w:r w:rsidR="00C12CF9">
        <w:t xml:space="preserve"> </w:t>
      </w:r>
      <w:r w:rsidR="00BE3BE3">
        <w:t>However, the peak is not fully symmetrical yet, suggesting that there are still impurities in the solution.</w:t>
      </w:r>
    </w:p>
    <w:p w14:paraId="71F5996F" w14:textId="0617CC69" w:rsidR="00C12CF9" w:rsidRDefault="00AA29BA" w:rsidP="00C86A75">
      <w:r>
        <w:rPr>
          <w:noProof/>
        </w:rPr>
        <mc:AlternateContent>
          <mc:Choice Requires="wps">
            <w:drawing>
              <wp:anchor distT="0" distB="0" distL="114300" distR="114300" simplePos="0" relativeHeight="251676672" behindDoc="0" locked="0" layoutInCell="1" allowOverlap="1" wp14:anchorId="7E063087" wp14:editId="20A7F8BD">
                <wp:simplePos x="0" y="0"/>
                <wp:positionH relativeFrom="margin">
                  <wp:posOffset>1873885</wp:posOffset>
                </wp:positionH>
                <wp:positionV relativeFrom="paragraph">
                  <wp:posOffset>1129030</wp:posOffset>
                </wp:positionV>
                <wp:extent cx="3919855" cy="2638425"/>
                <wp:effectExtent l="0" t="0" r="4445" b="9525"/>
                <wp:wrapSquare wrapText="bothSides"/>
                <wp:docPr id="21" name="Tekstvak 21"/>
                <wp:cNvGraphicFramePr/>
                <a:graphic xmlns:a="http://schemas.openxmlformats.org/drawingml/2006/main">
                  <a:graphicData uri="http://schemas.microsoft.com/office/word/2010/wordprocessingShape">
                    <wps:wsp>
                      <wps:cNvSpPr txBox="1"/>
                      <wps:spPr>
                        <a:xfrm>
                          <a:off x="0" y="0"/>
                          <a:ext cx="3919855" cy="2638425"/>
                        </a:xfrm>
                        <a:prstGeom prst="rect">
                          <a:avLst/>
                        </a:prstGeom>
                        <a:solidFill>
                          <a:prstClr val="white"/>
                        </a:solidFill>
                        <a:ln>
                          <a:noFill/>
                        </a:ln>
                      </wps:spPr>
                      <wps:txbx>
                        <w:txbxContent>
                          <w:p w14:paraId="5E9006E0" w14:textId="08E0C732" w:rsidR="008E4E70" w:rsidRPr="00E3749F" w:rsidRDefault="008E4E70" w:rsidP="008E4E70">
                            <w:pPr>
                              <w:pStyle w:val="Bijschrift"/>
                            </w:pPr>
                            <w:r>
                              <w:t xml:space="preserve">Figure </w:t>
                            </w:r>
                            <w:r w:rsidR="00F80144">
                              <w:fldChar w:fldCharType="begin"/>
                            </w:r>
                            <w:r w:rsidR="00F80144">
                              <w:instrText xml:space="preserve"> SEQ Figure \* ARABIC </w:instrText>
                            </w:r>
                            <w:r w:rsidR="00F80144">
                              <w:fldChar w:fldCharType="separate"/>
                            </w:r>
                            <w:r w:rsidR="0047083D">
                              <w:rPr>
                                <w:noProof/>
                              </w:rPr>
                              <w:t>9</w:t>
                            </w:r>
                            <w:r w:rsidR="00F80144">
                              <w:rPr>
                                <w:noProof/>
                              </w:rPr>
                              <w:fldChar w:fldCharType="end"/>
                            </w:r>
                            <w:r>
                              <w:t xml:space="preserve">: Results of purification steps with Coomassie </w:t>
                            </w:r>
                            <w:proofErr w:type="spellStart"/>
                            <w:r>
                              <w:t>stainings</w:t>
                            </w:r>
                            <w:proofErr w:type="spellEnd"/>
                            <w:r>
                              <w:t xml:space="preserve"> to show increase in purity. </w:t>
                            </w:r>
                            <w:r w:rsidRPr="00E3749F">
                              <w:rPr>
                                <w:b/>
                                <w:bCs/>
                              </w:rPr>
                              <w:t>(A)</w:t>
                            </w:r>
                            <w:r>
                              <w:t xml:space="preserve"> MonoQ chromatogram of rLLO-SPLIT3A</w:t>
                            </w:r>
                            <w:r w:rsidR="00D719FE">
                              <w:t>. From left to right, different peaks represent the flowthrough of the column [Fractions X1-X2], proteins with a more positive charge than rLLO-SPLIT3A</w:t>
                            </w:r>
                            <w:r w:rsidR="00E3749F">
                              <w:t xml:space="preserve"> [Fraction B2]</w:t>
                            </w:r>
                            <w:r w:rsidR="00D719FE">
                              <w:t xml:space="preserve">, peak representing rLLO-SPLIT3A </w:t>
                            </w:r>
                            <w:r w:rsidR="00E3749F">
                              <w:t xml:space="preserve"> [Fractions B11 and C5] </w:t>
                            </w:r>
                            <w:r w:rsidR="00D719FE">
                              <w:t>and two peaks representing leftover protein with a higher negative charge and negatively charged molecules</w:t>
                            </w:r>
                            <w:r w:rsidR="00E3749F">
                              <w:t xml:space="preserve"> [Fraction C10]</w:t>
                            </w:r>
                            <w:r w:rsidR="00D719FE">
                              <w:t xml:space="preserve">. </w:t>
                            </w:r>
                            <w:r w:rsidR="00D719FE" w:rsidRPr="00E3749F">
                              <w:rPr>
                                <w:b/>
                                <w:bCs/>
                              </w:rPr>
                              <w:t>(B)</w:t>
                            </w:r>
                            <w:r w:rsidR="00D719FE">
                              <w:t xml:space="preserve"> </w:t>
                            </w:r>
                            <w:proofErr w:type="spellStart"/>
                            <w:r w:rsidR="00D719FE">
                              <w:t>MonoS</w:t>
                            </w:r>
                            <w:proofErr w:type="spellEnd"/>
                            <w:r w:rsidR="00D719FE">
                              <w:t xml:space="preserve"> chromatogram of rLLO-SPLIT3L, showing the difference in purity compared to monoQ. In this chromatogram, only a peak for flowthrough and the protein of interest are visible. Peak for protein of interest is still asymmetrical, suggesting that there still is some impurity </w:t>
                            </w:r>
                            <w:r w:rsidR="00D719FE" w:rsidRPr="00E3749F">
                              <w:rPr>
                                <w:b/>
                                <w:bCs/>
                              </w:rPr>
                              <w:t>(C)</w:t>
                            </w:r>
                            <w:r w:rsidR="00D719FE">
                              <w:t xml:space="preserve"> Gel filtration chromatogram for rLLO-SPLIT3L showing a symmetrical peak with only a small asymmetrical bump. By only taking fractions of the big peak, maximum purity is reached. </w:t>
                            </w:r>
                            <w:r w:rsidR="00D719FE" w:rsidRPr="00E3749F">
                              <w:rPr>
                                <w:b/>
                                <w:bCs/>
                              </w:rPr>
                              <w:t>(D)</w:t>
                            </w:r>
                            <w:r w:rsidR="00D719FE">
                              <w:t xml:space="preserve"> Coomassie stain for fractions from first chromatogram shown</w:t>
                            </w:r>
                            <w:r w:rsidR="00E3749F">
                              <w:t xml:space="preserve"> (last peak not shown), with LLO mutants showing up between 20-25 </w:t>
                            </w:r>
                            <w:proofErr w:type="spellStart"/>
                            <w:r w:rsidR="00E3749F">
                              <w:t>kDa</w:t>
                            </w:r>
                            <w:proofErr w:type="spellEnd"/>
                            <w:r w:rsidR="00E3749F">
                              <w:t xml:space="preserve">. Fractions B2 and C10 do not show protein of interest, while B11 and C5 do, along with more impurities. </w:t>
                            </w:r>
                            <w:r w:rsidR="00E3749F" w:rsidRPr="00E3749F">
                              <w:rPr>
                                <w:b/>
                                <w:bCs/>
                              </w:rPr>
                              <w:t>(E)</w:t>
                            </w:r>
                            <w:r w:rsidR="00E3749F">
                              <w:t xml:space="preserve"> Coomassie stain of fractions obtained in (B) showing higher purity in fractions B1 to B4. </w:t>
                            </w:r>
                            <w:r w:rsidR="00E3749F">
                              <w:rPr>
                                <w:b/>
                                <w:bCs/>
                              </w:rPr>
                              <w:t>(F)</w:t>
                            </w:r>
                            <w:r w:rsidR="00E3749F">
                              <w:t xml:space="preserve"> Coomassie stain of proteins after gel filtration. rLLO-SIIN, rLLO-3L and rLLO-3A show high purity, but LLO WT has impurities and does not seem to have protein of interest.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063087" id="_x0000_t202" coordsize="21600,21600" o:spt="202" path="m,l,21600r21600,l21600,xe">
                <v:stroke joinstyle="miter"/>
                <v:path gradientshapeok="t" o:connecttype="rect"/>
              </v:shapetype>
              <v:shape id="Tekstvak 21" o:spid="_x0000_s1035" type="#_x0000_t202" style="position:absolute;margin-left:147.55pt;margin-top:88.9pt;width:308.65pt;height:207.7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" stroked="f">
                <v:textbox style="mso-fit-shape-to-text:t" inset="0,0,0,0">
                  <w:txbxContent>
                    <w:p w14:paraId="5E9006E0" w14:textId="08E0C732" w:rsidR="008E4E70" w:rsidRPr="00E3749F" w:rsidRDefault="008E4E70" w:rsidP="008E4E70">
                      <w:pPr>
                        <w:pStyle w:val="Bijschrift"/>
                      </w:pPr>
                      <w:r>
                        <w:t xml:space="preserve">Figure </w:t>
                      </w:r>
                      <w:r w:rsidR="00F80144">
                        <w:fldChar w:fldCharType="begin"/>
                      </w:r>
                      <w:r w:rsidR="00F80144">
                        <w:instrText xml:space="preserve"> SEQ Figure \* ARABIC </w:instrText>
                      </w:r>
                      <w:r w:rsidR="00F80144">
                        <w:fldChar w:fldCharType="separate"/>
                      </w:r>
                      <w:r w:rsidR="0047083D">
                        <w:rPr>
                          <w:noProof/>
                        </w:rPr>
                        <w:t>9</w:t>
                      </w:r>
                      <w:r w:rsidR="00F80144">
                        <w:rPr>
                          <w:noProof/>
                        </w:rPr>
                        <w:fldChar w:fldCharType="end"/>
                      </w:r>
                      <w:r>
                        <w:t xml:space="preserve">: Results of purification steps with Coomassie </w:t>
                      </w:r>
                      <w:proofErr w:type="spellStart"/>
                      <w:r>
                        <w:t>stainings</w:t>
                      </w:r>
                      <w:proofErr w:type="spellEnd"/>
                      <w:r>
                        <w:t xml:space="preserve"> to show increase in purity. </w:t>
                      </w:r>
                      <w:r w:rsidRPr="00E3749F">
                        <w:rPr>
                          <w:b/>
                          <w:bCs/>
                        </w:rPr>
                        <w:t>(A)</w:t>
                      </w:r>
                      <w:r>
                        <w:t xml:space="preserve"> MonoQ chromatogram of rLLO-SPLIT3A</w:t>
                      </w:r>
                      <w:r w:rsidR="00D719FE">
                        <w:t>. From left to right, different peaks represent the flowthrough of the column [Fractions X1-X2], proteins with a more positive charge than rLLO-SPLIT3A</w:t>
                      </w:r>
                      <w:r w:rsidR="00E3749F">
                        <w:t xml:space="preserve"> [Fraction B2]</w:t>
                      </w:r>
                      <w:r w:rsidR="00D719FE">
                        <w:t xml:space="preserve">, peak representing rLLO-SPLIT3A </w:t>
                      </w:r>
                      <w:r w:rsidR="00E3749F">
                        <w:t xml:space="preserve"> [Fractions B11 and C5] </w:t>
                      </w:r>
                      <w:r w:rsidR="00D719FE">
                        <w:t>and two peaks representing leftover protein with a higher negative charge and negatively charged molecules</w:t>
                      </w:r>
                      <w:r w:rsidR="00E3749F">
                        <w:t xml:space="preserve"> [Fraction C10]</w:t>
                      </w:r>
                      <w:r w:rsidR="00D719FE">
                        <w:t xml:space="preserve">. </w:t>
                      </w:r>
                      <w:r w:rsidR="00D719FE" w:rsidRPr="00E3749F">
                        <w:rPr>
                          <w:b/>
                          <w:bCs/>
                        </w:rPr>
                        <w:t>(B)</w:t>
                      </w:r>
                      <w:r w:rsidR="00D719FE">
                        <w:t xml:space="preserve"> </w:t>
                      </w:r>
                      <w:proofErr w:type="spellStart"/>
                      <w:r w:rsidR="00D719FE">
                        <w:t>MonoS</w:t>
                      </w:r>
                      <w:proofErr w:type="spellEnd"/>
                      <w:r w:rsidR="00D719FE">
                        <w:t xml:space="preserve"> chromatogram of rLLO-SPLIT3L, showing the difference in purity compared to monoQ. In this chromatogram, only a peak for flowthrough and the protein of interest are visible. Peak for protein of interest is still asymmetrical, suggesting that there still is some impurity </w:t>
                      </w:r>
                      <w:r w:rsidR="00D719FE" w:rsidRPr="00E3749F">
                        <w:rPr>
                          <w:b/>
                          <w:bCs/>
                        </w:rPr>
                        <w:t>(C)</w:t>
                      </w:r>
                      <w:r w:rsidR="00D719FE">
                        <w:t xml:space="preserve"> Gel filtration chromatogram for rLLO-SPLIT3L showing a symmetrical peak with only a small asymmetrical bump. By only taking fractions of the big peak, maximum purity is reached. </w:t>
                      </w:r>
                      <w:r w:rsidR="00D719FE" w:rsidRPr="00E3749F">
                        <w:rPr>
                          <w:b/>
                          <w:bCs/>
                        </w:rPr>
                        <w:t>(D)</w:t>
                      </w:r>
                      <w:r w:rsidR="00D719FE">
                        <w:t xml:space="preserve"> Coomassie stain for fractions from first chromatogram shown</w:t>
                      </w:r>
                      <w:r w:rsidR="00E3749F">
                        <w:t xml:space="preserve"> (last peak not shown), with LLO mutants showing up between 20-25 </w:t>
                      </w:r>
                      <w:proofErr w:type="spellStart"/>
                      <w:r w:rsidR="00E3749F">
                        <w:t>kDa</w:t>
                      </w:r>
                      <w:proofErr w:type="spellEnd"/>
                      <w:r w:rsidR="00E3749F">
                        <w:t xml:space="preserve">. Fractions B2 and C10 do not show protein of interest, while B11 and C5 do, along with more impurities. </w:t>
                      </w:r>
                      <w:r w:rsidR="00E3749F" w:rsidRPr="00E3749F">
                        <w:rPr>
                          <w:b/>
                          <w:bCs/>
                        </w:rPr>
                        <w:t>(E)</w:t>
                      </w:r>
                      <w:r w:rsidR="00E3749F">
                        <w:t xml:space="preserve"> Coomassie stain of fractions obtained in (B) showing higher purity in fractions B1 to B4. </w:t>
                      </w:r>
                      <w:r w:rsidR="00E3749F">
                        <w:rPr>
                          <w:b/>
                          <w:bCs/>
                        </w:rPr>
                        <w:t>(F)</w:t>
                      </w:r>
                      <w:r w:rsidR="00E3749F">
                        <w:t xml:space="preserve"> Coomassie stain of proteins after gel filtration. rLLO-SIIN, rLLO-3L and rLLO-3A show high purity, but LLO WT has impurities and does not seem to have protein of interest.</w:t>
                      </w:r>
                    </w:p>
                  </w:txbxContent>
                </v:textbox>
                <w10:wrap type="square" anchorx="margin"/>
              </v:shape>
            </w:pict>
          </mc:Fallback>
        </mc:AlternateContent>
      </w:r>
      <w:r w:rsidR="00C12CF9">
        <w:t>In order to have a maximally pure protein, we ran the protein samples on a gel filtration column. The chromatogram for this process (Figure 9C) is</w:t>
      </w:r>
      <w:r w:rsidR="00BE3BE3">
        <w:t xml:space="preserve"> cleaner compared to monoQ and </w:t>
      </w:r>
      <w:proofErr w:type="spellStart"/>
      <w:r w:rsidR="00BE3BE3">
        <w:t>monoS</w:t>
      </w:r>
      <w:proofErr w:type="spellEnd"/>
      <w:r w:rsidR="00BE3BE3">
        <w:t xml:space="preserve"> and shows a more symmetrical peak. In order to get the most purity, only fractions of the symmetrical part of the peak are taken.</w:t>
      </w:r>
    </w:p>
    <w:p w14:paraId="7CB8BAFC" w14:textId="72FD9A5D" w:rsidR="002912EB" w:rsidRPr="00E3749F" w:rsidRDefault="00C12CF9" w:rsidP="002912EB">
      <w:r>
        <w:t>To check the purity of the fractions, we performed a gel electrophoresis and a Coomassie stain (Figure 9D, E, F)</w:t>
      </w:r>
      <w:r w:rsidR="00BE3BE3">
        <w:t xml:space="preserve">. The Coomassie shows less impurities after every purification step, however some samples still show small amount of impurities. Combining this with the fact that we ran the samples on all possible columns, </w:t>
      </w:r>
      <w:r w:rsidR="00BE3BE3">
        <w:lastRenderedPageBreak/>
        <w:t>we conclude that the samples are now as pure as possible and are able to be used for the cellular assays.</w:t>
      </w:r>
    </w:p>
    <w:p w14:paraId="474DF258" w14:textId="50850A9C" w:rsidR="001641F7" w:rsidRDefault="001641F7">
      <w:pPr>
        <w:rPr>
          <w:rFonts w:asciiTheme="majorHAnsi" w:eastAsiaTheme="majorEastAsia" w:hAnsiTheme="majorHAnsi" w:cstheme="majorBidi"/>
          <w:color w:val="2F5496" w:themeColor="accent1" w:themeShade="BF"/>
          <w:sz w:val="32"/>
          <w:szCs w:val="32"/>
        </w:rPr>
      </w:pPr>
      <w:r>
        <w:br w:type="page"/>
      </w:r>
    </w:p>
    <w:p w14:paraId="76E98546" w14:textId="60AAC6F0" w:rsidR="00C12454" w:rsidRDefault="00C12454" w:rsidP="00C12454">
      <w:pPr>
        <w:pStyle w:val="Kop1"/>
      </w:pPr>
      <w:bookmarkStart w:id="14" w:name="_Toc85744693"/>
      <w:r>
        <w:lastRenderedPageBreak/>
        <w:t>Cellular assays</w:t>
      </w:r>
      <w:bookmarkEnd w:id="14"/>
    </w:p>
    <w:p w14:paraId="1B21A78F" w14:textId="31142B66" w:rsidR="00094E72" w:rsidRDefault="00917CC1" w:rsidP="00094E72">
      <w:r>
        <w:t>To explore PCPS in a cellular context, two</w:t>
      </w:r>
      <w:r w:rsidR="00C252E8">
        <w:t xml:space="preserve"> different</w:t>
      </w:r>
      <w:r>
        <w:t xml:space="preserve"> </w:t>
      </w:r>
      <w:r w:rsidR="00C252E8">
        <w:t>cell lines</w:t>
      </w:r>
      <w:r>
        <w:t xml:space="preserve"> </w:t>
      </w:r>
      <w:r w:rsidR="00C252E8">
        <w:t>were used</w:t>
      </w:r>
      <w:r>
        <w:t>. The proteins of interest need to be delivered inside the antigen presenting cells (APCs) and be given time to be digested</w:t>
      </w:r>
      <w:r w:rsidR="007F7E21">
        <w:t>, after which our peptide of interest should become presented on the cell surface</w:t>
      </w:r>
      <w:r w:rsidR="00C252E8">
        <w:t>. Since delivery of proteins is done through electroporation, preliminary experiments were done on the murine melanoma cell line B16, a cell line that can be efficiently electroporated and is relatively resistant against the damage of the electric shocks</w:t>
      </w:r>
      <w:r w:rsidR="006523E5">
        <w:t xml:space="preserve">, as </w:t>
      </w:r>
      <w:r w:rsidR="00992860">
        <w:t>evidenced by</w:t>
      </w:r>
      <w:r w:rsidR="006523E5">
        <w:t xml:space="preserve"> experiments shown below</w:t>
      </w:r>
      <w:r w:rsidR="00C252E8">
        <w:t>. In later experiments, the murine macrophage cell line Ana1 was used</w:t>
      </w:r>
      <w:r w:rsidR="006523E5">
        <w:t xml:space="preserve">, after it was found to have </w:t>
      </w:r>
      <w:r w:rsidR="00C252E8">
        <w:t>superior expression of H-2Kb on its surface</w:t>
      </w:r>
      <w:r w:rsidR="006523E5">
        <w:t>, evidenced by FACS staining experiments</w:t>
      </w:r>
      <w:r w:rsidR="00C252E8">
        <w:t>.</w:t>
      </w:r>
    </w:p>
    <w:p w14:paraId="101FAFE9" w14:textId="4B2887FF" w:rsidR="00C252E8" w:rsidRPr="00094E72" w:rsidRDefault="00C252E8" w:rsidP="00094E72">
      <w:r>
        <w:t xml:space="preserve">To quantify the amount of PCPS derived SIINFEKL expression on the cell surface, two different techniques are available. A FACS staining using antibody </w:t>
      </w:r>
      <w:r w:rsidRPr="00C252E8">
        <w:t>25-D1.16</w:t>
      </w:r>
      <w:r>
        <w:t>, reacting with SIINFEKL bound to H-2Kb</w:t>
      </w:r>
      <w:r w:rsidR="00D1518F">
        <w:t xml:space="preserve">, or assays using the reporter cell line B3Z can be performed. The B3Z cell line, created by fusing the </w:t>
      </w:r>
      <w:r w:rsidR="00D1518F" w:rsidRPr="00D1518F">
        <w:t>NFAT-lacZ</w:t>
      </w:r>
      <w:r w:rsidR="00D1518F">
        <w:t xml:space="preserve"> </w:t>
      </w:r>
      <w:r w:rsidR="001546EE">
        <w:t xml:space="preserve">reporter construct </w:t>
      </w:r>
      <w:r w:rsidR="00D1518F">
        <w:t xml:space="preserve">expressing Z.8 cell line with the B3 T cell line expressing a receptor for </w:t>
      </w:r>
      <w:r w:rsidR="001546EE">
        <w:t xml:space="preserve">SIINFEKL </w:t>
      </w:r>
      <w:r w:rsidR="001546EE">
        <w:fldChar w:fldCharType="begin" w:fldLock="1"/>
      </w:r>
      <w:r w:rsidR="00BD5A59">
        <w:instrText>ADDIN CSL_CITATION {"citationItems":[{"id":"ITEM-1","itemData":{"abstract":"The a/fl T-cell receptor recognies a complex ligand formed by the association ofantigenic peptides with molecules ofthe major histocompatibility complex (MHC). The inherent limitations of the conventional T-cell activation assays used to detect these peptide/MHC ligands have, until now, hampered the development of expression cloning systems for T-cell antigens. To overcome these limitations, we have recently introduced a method for detecting ligand-induced activation of individual T cells. This assay, which makes use of a lacZ reporter construct, differs from conventional ligad-induced activation assays in that it allows the detection of single, activated T cells in large pools of resting cells. We applied the IacZ assay to the problem of screening expression libraries, which requires the ability to detect ligand-bearing antigen-presenting cells when they are present at very low frequency. We show here that ligand-expressing antigen-presenting cells can be detected at frequencies of 1:103-104, a level of sensitivity compatible with the screening of cDNA libraries. Furthermore, by using as antigen-presenting cells COS-7 cells stably transfected with the murine Kb class I MHC molecule, we demonstrate that transiently expressed ovalbu-min is efficiently processed and presented to an ovalbumin/Kb_ specific T-cell hybridoma. IacZ expression is induced in a detectable number of cocultured T cells, even when the oval-bumin cDNA consists of only 1:104 of the total DNA used to transfect the COS cells. These results suggest that unknown T-cell antigens may be identified by screening cDNA libraries in MHC-expressing COS cells using lacZ-inducible T cells as indicators of peptide antigen expression. The a/X3 T-cell receptor (TCR) recognizes small antigenic peptides bound to major histocompatibility complex (MHC) molecules on the surface of antigen-presenting cells (APCs). For T cells of unknown specificity, especially those that cause tissue destruction in autoimmune diseases (1), identifying the antigenic peptides remains a difficult undertaking. The primary reason for this difficulty lies in the inherent lack of sensitivity of the bulk T-cell activation assays used to detect peptide/MHC-expressing APCs. Because these assays measure only the average state of activation within a T-cell population, they cannot be used to detect activated T cells when these constitute only a small percentage of the T cells being assayed. To overcome this obstacle, we have recently de…","author":[{"dropping-particle":"","family":"Karttunen","given":"Jaana","non-dropping-particle":"","parse-names":false,"suffix":""},{"dropping-particle":"","family":"Sanderson","given":"Sarah","non-dropping-particle":"","parse-names":false,"suffix":""},{"dropping-particle":"","family":"Shastri","given":"Nilabh","non-dropping-particle":"","parse-names":false,"suffix":""}],"id":"ITEM-1","issued":{"date-parts":[["1992"]]},"number-of-pages":"6020-6024","title":"Detection of rare antigen-presenting cells by the lacZ T-cell activation assay suggests an expression cloning strategy for T-cell antigens","type":"report","volume":"89"},"uris":["http://www.mendeley.com/documents/?uuid=a27fa7e2-a57f-3936-8fc2-0919cbde73c5"]}],"mendeley":{"formattedCitation":"(19)","plainTextFormattedCitation":"(19)","previouslyFormattedCitation":"(19)"},"properties":{"noteIndex":0},"schema":"https://github.com/citation-style-language/schema/raw/master/csl-citation.json"}</w:instrText>
      </w:r>
      <w:r w:rsidR="001546EE">
        <w:fldChar w:fldCharType="separate"/>
      </w:r>
      <w:r w:rsidR="00CB2D23" w:rsidRPr="00CB2D23">
        <w:rPr>
          <w:noProof/>
        </w:rPr>
        <w:t>(19)</w:t>
      </w:r>
      <w:r w:rsidR="001546EE">
        <w:fldChar w:fldCharType="end"/>
      </w:r>
      <w:r w:rsidR="001546EE">
        <w:t xml:space="preserve">, is a very sensitive reporter of SIINFEKL bound to H-2Kb. Upon recognition of the peptide, B3Z will produce the LacZ enzyme, which can transform the dye CPRG into </w:t>
      </w:r>
      <w:proofErr w:type="spellStart"/>
      <w:r w:rsidR="001546EE">
        <w:t>CpR</w:t>
      </w:r>
      <w:proofErr w:type="spellEnd"/>
      <w:r w:rsidR="001546EE">
        <w:t>, after lysis of the cells. This transformation causes a colour shift, which can be measured by exciting the mixture at 595 nm</w:t>
      </w:r>
      <w:r w:rsidR="00E3749F">
        <w:t xml:space="preserve"> (Figure 10)</w:t>
      </w:r>
      <w:r w:rsidR="001546EE">
        <w:t>.</w:t>
      </w:r>
    </w:p>
    <w:p w14:paraId="49C0F64E" w14:textId="77777777" w:rsidR="00094E72" w:rsidRDefault="00094E72" w:rsidP="00094E72">
      <w:pPr>
        <w:keepNext/>
      </w:pPr>
      <w:r>
        <w:rPr>
          <w:noProof/>
        </w:rPr>
        <w:drawing>
          <wp:inline distT="0" distB="0" distL="0" distR="0" wp14:anchorId="657D18AA" wp14:editId="30990FAF">
            <wp:extent cx="5760720" cy="2510790"/>
            <wp:effectExtent l="0" t="0" r="0" b="3810"/>
            <wp:docPr id="15" name="Afbeelding 15" descr="Afbeelding met tekst, c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cd&#10;&#10;Automatisch gegenereerde beschrijving"/>
                    <pic:cNvPicPr>
                      <a:picLocks noChangeAspect="1" noChangeArrowheads="1"/>
                    </pic:cNvPicPr>
                  </pic:nvPicPr>
                  <pic:blipFill rotWithShape="1">
                    <a:blip r:embed="rId19">
                      <a:extLst>
                        <a:ext uri="{28A0092B-C50C-407E-A947-70E740481C1C}">
                          <a14:useLocalDpi xmlns:a14="http://schemas.microsoft.com/office/drawing/2010/main" val="0"/>
                        </a:ext>
                      </a:extLst>
                    </a:blip>
                    <a:srcRect t="2659"/>
                    <a:stretch/>
                  </pic:blipFill>
                  <pic:spPr bwMode="auto">
                    <a:xfrm>
                      <a:off x="0" y="0"/>
                      <a:ext cx="5760720" cy="2510790"/>
                    </a:xfrm>
                    <a:prstGeom prst="rect">
                      <a:avLst/>
                    </a:prstGeom>
                    <a:noFill/>
                    <a:ln>
                      <a:noFill/>
                    </a:ln>
                    <a:extLst>
                      <a:ext uri="{53640926-AAD7-44D8-BBD7-CCE9431645EC}">
                        <a14:shadowObscured xmlns:a14="http://schemas.microsoft.com/office/drawing/2010/main"/>
                      </a:ext>
                    </a:extLst>
                  </pic:spPr>
                </pic:pic>
              </a:graphicData>
            </a:graphic>
          </wp:inline>
        </w:drawing>
      </w:r>
    </w:p>
    <w:p w14:paraId="0AB5F19F" w14:textId="39D37683" w:rsidR="00094E72" w:rsidRDefault="00094E72" w:rsidP="00094E72">
      <w:pPr>
        <w:pStyle w:val="Bijschrift"/>
      </w:pPr>
      <w:r>
        <w:t xml:space="preserve">Figure </w:t>
      </w:r>
      <w:r w:rsidR="00F80144">
        <w:fldChar w:fldCharType="begin"/>
      </w:r>
      <w:r w:rsidR="00F80144">
        <w:instrText xml:space="preserve"> SEQ Figure \* ARABIC </w:instrText>
      </w:r>
      <w:r w:rsidR="00F80144">
        <w:fldChar w:fldCharType="separate"/>
      </w:r>
      <w:r w:rsidR="0047083D">
        <w:rPr>
          <w:noProof/>
        </w:rPr>
        <w:t>10</w:t>
      </w:r>
      <w:r w:rsidR="00F80144">
        <w:rPr>
          <w:noProof/>
        </w:rPr>
        <w:fldChar w:fldCharType="end"/>
      </w:r>
      <w:r>
        <w:t xml:space="preserve">: </w:t>
      </w:r>
      <w:r w:rsidRPr="0001763F">
        <w:rPr>
          <w:lang w:val="en-US"/>
        </w:rPr>
        <w:t>In th</w:t>
      </w:r>
      <w:r>
        <w:rPr>
          <w:lang w:val="en-US"/>
        </w:rPr>
        <w:t xml:space="preserve">is figure, the working mechanism of B3Z is shown. Upon recognition of the SIINFEKL antigen, the B3Z will produce an enzyme that will interact with the dye CPRG. If incubated for 4 to 5 hours at 37C, a change of absorbance can be shown in a plate reader. Figure made by </w:t>
      </w:r>
      <w:r w:rsidR="00246AEE">
        <w:rPr>
          <w:lang w:val="en-US"/>
        </w:rPr>
        <w:t>A.F.</w:t>
      </w:r>
      <w:r>
        <w:rPr>
          <w:lang w:val="en-US"/>
        </w:rPr>
        <w:t xml:space="preserve"> Holtrop using </w:t>
      </w:r>
      <w:proofErr w:type="spellStart"/>
      <w:r>
        <w:rPr>
          <w:lang w:val="en-US"/>
        </w:rPr>
        <w:t>BioRender</w:t>
      </w:r>
      <w:proofErr w:type="spellEnd"/>
      <w:r>
        <w:rPr>
          <w:lang w:val="en-US"/>
        </w:rPr>
        <w:t>.</w:t>
      </w:r>
    </w:p>
    <w:p w14:paraId="670395FB" w14:textId="154EDBA6" w:rsidR="00793E8D" w:rsidRDefault="00793E8D" w:rsidP="00793E8D">
      <w:pPr>
        <w:pStyle w:val="Kop2"/>
      </w:pPr>
      <w:bookmarkStart w:id="15" w:name="_Toc85744694"/>
      <w:r>
        <w:t>Results</w:t>
      </w:r>
      <w:bookmarkEnd w:id="15"/>
    </w:p>
    <w:p w14:paraId="2BD94029" w14:textId="1344E1C3" w:rsidR="00841B70" w:rsidRDefault="0089004C" w:rsidP="004C496B">
      <w:r>
        <w:t xml:space="preserve">In order to judge if antibody staining is a viable method to quantify SIINFEKL presented on the surface, </w:t>
      </w:r>
      <w:r w:rsidR="00CB434C">
        <w:t xml:space="preserve">we stained B16 WT and B16OVA using the 1:50 PE-conjugated </w:t>
      </w:r>
      <w:r w:rsidR="007F7E21" w:rsidRPr="00C252E8">
        <w:t>25-D1.16</w:t>
      </w:r>
      <w:r w:rsidR="007F7E21">
        <w:t xml:space="preserve"> </w:t>
      </w:r>
      <w:r w:rsidR="00CB434C">
        <w:t>antibody (Figure 1</w:t>
      </w:r>
      <w:r w:rsidR="00E3749F">
        <w:t>1</w:t>
      </w:r>
      <w:r w:rsidR="00CB434C">
        <w:t>A)</w:t>
      </w:r>
      <w:r>
        <w:t>.</w:t>
      </w:r>
      <w:r w:rsidR="00E302A7">
        <w:t xml:space="preserve"> </w:t>
      </w:r>
      <w:r w:rsidR="00CB434C">
        <w:t xml:space="preserve">In the case of B16 OVA, there is a very minimal small shift visible on the PE spectrum. </w:t>
      </w:r>
      <w:r w:rsidR="00841B70">
        <w:t xml:space="preserve">Solely based on these results, we concluded that </w:t>
      </w:r>
      <w:r w:rsidR="005963FC">
        <w:t>FACS is not an effective method for quantifying SIINFEKL expressed on the cell surface.</w:t>
      </w:r>
    </w:p>
    <w:p w14:paraId="26D49DC3" w14:textId="5422BEA7" w:rsidR="00E302A7" w:rsidRDefault="00EA517B" w:rsidP="004C496B">
      <w:r>
        <w:rPr>
          <w:noProof/>
        </w:rPr>
        <w:lastRenderedPageBreak/>
        <mc:AlternateContent>
          <mc:Choice Requires="wps">
            <w:drawing>
              <wp:anchor distT="0" distB="0" distL="114300" distR="114300" simplePos="0" relativeHeight="251670528" behindDoc="0" locked="0" layoutInCell="1" allowOverlap="1" wp14:anchorId="2A4970E5" wp14:editId="328F5A2F">
                <wp:simplePos x="0" y="0"/>
                <wp:positionH relativeFrom="margin">
                  <wp:posOffset>2018665</wp:posOffset>
                </wp:positionH>
                <wp:positionV relativeFrom="paragraph">
                  <wp:posOffset>5089525</wp:posOffset>
                </wp:positionV>
                <wp:extent cx="3740150" cy="824865"/>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3740150" cy="824865"/>
                        </a:xfrm>
                        <a:prstGeom prst="rect">
                          <a:avLst/>
                        </a:prstGeom>
                        <a:solidFill>
                          <a:prstClr val="white"/>
                        </a:solidFill>
                        <a:ln>
                          <a:noFill/>
                        </a:ln>
                      </wps:spPr>
                      <wps:txbx>
                        <w:txbxContent>
                          <w:p w14:paraId="3E6A409F" w14:textId="247A27FC" w:rsidR="00CB434C" w:rsidRPr="00FE00F7" w:rsidRDefault="00CB434C" w:rsidP="00CB434C">
                            <w:pPr>
                              <w:pStyle w:val="Bijschrift"/>
                              <w:rPr>
                                <w:noProof/>
                              </w:rPr>
                            </w:pPr>
                            <w:r>
                              <w:t xml:space="preserve">Figure </w:t>
                            </w:r>
                            <w:r w:rsidR="00F80144">
                              <w:fldChar w:fldCharType="begin"/>
                            </w:r>
                            <w:r w:rsidR="00F80144">
                              <w:instrText xml:space="preserve"> SEQ Figure \* ARABIC </w:instrText>
                            </w:r>
                            <w:r w:rsidR="00F80144">
                              <w:fldChar w:fldCharType="separate"/>
                            </w:r>
                            <w:r w:rsidR="0047083D">
                              <w:rPr>
                                <w:noProof/>
                              </w:rPr>
                              <w:t>11</w:t>
                            </w:r>
                            <w:r w:rsidR="00F80144">
                              <w:rPr>
                                <w:noProof/>
                              </w:rPr>
                              <w:fldChar w:fldCharType="end"/>
                            </w:r>
                            <w:r w:rsidR="00C70FB9">
                              <w:t xml:space="preserve">: FACS results using the SIINFEKL in H-2KB antibody. (A) Staining done on B16 WT (B16o) and B16OVA. A small shift is visible on the PE spectrum when B16OVA is stained compared to the controls. (B) Staining done on cells loaded with SIINFEKL peptide. A large shift is visible when cells were loaded 1 </w:t>
                            </w:r>
                            <w:r w:rsidR="00C70FB9">
                              <w:rPr>
                                <w:rFonts w:cstheme="minorHAnsi"/>
                              </w:rPr>
                              <w:t>µM and 1 nM peptide in the medium.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4970E5" id="Tekstvak 17" o:spid="_x0000_s1036" type="#_x0000_t202" style="position:absolute;margin-left:158.95pt;margin-top:400.75pt;width:294.5pt;height:64.9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" stroked="f">
                <v:textbox style="mso-fit-shape-to-text:t" inset="0,0,0,0">
                  <w:txbxContent>
                    <w:p w14:paraId="3E6A409F" w14:textId="247A27FC" w:rsidR="00CB434C" w:rsidRPr="00FE00F7" w:rsidRDefault="00CB434C" w:rsidP="00CB434C">
                      <w:pPr>
                        <w:pStyle w:val="Bijschrift"/>
                        <w:rPr>
                          <w:noProof/>
                        </w:rPr>
                      </w:pPr>
                      <w:r>
                        <w:t xml:space="preserve">Figure </w:t>
                      </w:r>
                      <w:fldSimple w:instr=" SEQ Figure \* ARABIC ">
                        <w:r w:rsidR="0047083D">
                          <w:rPr>
                            <w:noProof/>
                          </w:rPr>
                          <w:t>11</w:t>
                        </w:r>
                      </w:fldSimple>
                      <w:r w:rsidR="00C70FB9">
                        <w:t xml:space="preserve">: FACS results using the SIINFEKL in H-2KB antibody. (A) Staining done on B16 WT (B16o) and B16OVA. A small shift is visible on the PE spectrum when B16OVA is stained compared to the controls. (B) Staining done on cells loaded with SIINFEKL peptide. A large shift is visible when cells were loaded 1 </w:t>
                      </w:r>
                      <w:r w:rsidR="00C70FB9">
                        <w:rPr>
                          <w:rFonts w:cstheme="minorHAnsi"/>
                        </w:rPr>
                        <w:t>µM and 1 nM peptide in the medium.</w:t>
                      </w:r>
                    </w:p>
                  </w:txbxContent>
                </v:textbox>
                <w10:wrap type="square" anchorx="margin"/>
              </v:shape>
            </w:pict>
          </mc:Fallback>
        </mc:AlternateContent>
      </w:r>
      <w:r>
        <w:rPr>
          <w:noProof/>
        </w:rPr>
        <w:drawing>
          <wp:anchor distT="0" distB="0" distL="114300" distR="114300" simplePos="0" relativeHeight="251668480" behindDoc="0" locked="0" layoutInCell="1" allowOverlap="1" wp14:anchorId="6EE038C4" wp14:editId="7F390239">
            <wp:simplePos x="0" y="0"/>
            <wp:positionH relativeFrom="margin">
              <wp:align>right</wp:align>
            </wp:positionH>
            <wp:positionV relativeFrom="paragraph">
              <wp:posOffset>0</wp:posOffset>
            </wp:positionV>
            <wp:extent cx="3781425" cy="5097780"/>
            <wp:effectExtent l="0" t="0" r="9525" b="762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3781425" cy="5097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B70">
        <w:t xml:space="preserve">Additionally, in order to optimize peptide loading steps in later experiments, we performed a peptide loading FACS staining using the same antibody concentrations (Figure 11B). </w:t>
      </w:r>
      <w:r w:rsidR="00CB434C">
        <w:t xml:space="preserve">A slightly bigger shift is visible </w:t>
      </w:r>
      <w:r w:rsidR="00841B70">
        <w:t>compared to the B16OVA experiment,</w:t>
      </w:r>
      <w:r w:rsidR="00CB434C">
        <w:t xml:space="preserve"> peaking around a peptide concentration of 1 </w:t>
      </w:r>
      <w:r w:rsidR="00CB434C">
        <w:rPr>
          <w:rFonts w:cstheme="minorHAnsi"/>
        </w:rPr>
        <w:t xml:space="preserve">µM and 1 nM. From this, we concluded that the antibody staining is effective, but only when high concentrations of SIINFEKL are presented on the cell surface. Additionally, </w:t>
      </w:r>
      <w:r w:rsidR="00C70FB9">
        <w:rPr>
          <w:rFonts w:cstheme="minorHAnsi"/>
        </w:rPr>
        <w:t xml:space="preserve">a peptide concentration of around </w:t>
      </w:r>
      <w:r w:rsidR="00CB434C">
        <w:rPr>
          <w:rFonts w:cstheme="minorHAnsi"/>
        </w:rPr>
        <w:t>1</w:t>
      </w:r>
      <w:r w:rsidR="00C70FB9">
        <w:rPr>
          <w:rFonts w:cstheme="minorHAnsi"/>
        </w:rPr>
        <w:t xml:space="preserve"> µM to 1 nM seem</w:t>
      </w:r>
      <w:r w:rsidR="00D327B9">
        <w:rPr>
          <w:rFonts w:cstheme="minorHAnsi"/>
        </w:rPr>
        <w:t>ed</w:t>
      </w:r>
      <w:r w:rsidR="00C70FB9">
        <w:rPr>
          <w:rFonts w:cstheme="minorHAnsi"/>
        </w:rPr>
        <w:t xml:space="preserve"> to be optimal and was henceforth used as the positive control for further experiments.</w:t>
      </w:r>
    </w:p>
    <w:p w14:paraId="21302816" w14:textId="0A5BE6D3" w:rsidR="00394AFF" w:rsidRDefault="00394AFF" w:rsidP="004C496B">
      <w:r>
        <w:t>To optimize protein concentrations in later electroporation experiments, we performed a pilot experiment using monoQ-purified eGFP. In this experiment, we electroporated cells with different concentrations of eGFP (20, 10, 4, 2 and 0 µM), performed several washing steps to remove outside eGFP and ran the samples on FACS to see shifts in the eGFP channel (figure 1</w:t>
      </w:r>
      <w:r w:rsidR="00E3749F">
        <w:t>2</w:t>
      </w:r>
      <w:r>
        <w:t xml:space="preserve">A). While all the samples shifted upwards, 20 and 10 µM of eGFP seemed to give the best results. Since the shift is similar in both samples, </w:t>
      </w:r>
      <w:r w:rsidR="00FC4AA5">
        <w:t xml:space="preserve">this suggested peak saturation, so </w:t>
      </w:r>
      <w:r>
        <w:t xml:space="preserve">10 µM concentration was used for further experiments from this point on. </w:t>
      </w:r>
    </w:p>
    <w:p w14:paraId="5077DBED" w14:textId="137BC8E3" w:rsidR="00FC1C44" w:rsidRDefault="00394AFF" w:rsidP="004C496B">
      <w:r>
        <w:t xml:space="preserve">Additionally, </w:t>
      </w:r>
      <w:r w:rsidR="00FC4AA5">
        <w:t>we took pictures using the fluorescent microscope in a later experiment, using the previously established 10 µM optimal concentration to electroporate both B16 (Figure 1</w:t>
      </w:r>
      <w:r w:rsidR="00E3749F">
        <w:t>2</w:t>
      </w:r>
      <w:r w:rsidR="00FC4AA5">
        <w:t>B) and Ana1 (Figure 1</w:t>
      </w:r>
      <w:r w:rsidR="00E3749F">
        <w:t>2</w:t>
      </w:r>
      <w:r w:rsidR="00FC4AA5">
        <w:t>C).</w:t>
      </w:r>
      <w:r w:rsidR="006A4FDF">
        <w:t xml:space="preserve"> Based on these pictures, we concluded that most of the eGFP located intracellularly, with small clumps of eGFP still present extracellularly.</w:t>
      </w:r>
    </w:p>
    <w:p w14:paraId="59A48232" w14:textId="6AB982CB" w:rsidR="005963FC" w:rsidRDefault="00EA517B" w:rsidP="004C496B">
      <w:r>
        <w:rPr>
          <w:noProof/>
        </w:rPr>
        <w:lastRenderedPageBreak/>
        <mc:AlternateContent>
          <mc:Choice Requires="wps">
            <w:drawing>
              <wp:anchor distT="0" distB="0" distL="114300" distR="114300" simplePos="0" relativeHeight="251673600" behindDoc="0" locked="0" layoutInCell="1" allowOverlap="1" wp14:anchorId="2F9DA2C5" wp14:editId="47D987BC">
                <wp:simplePos x="0" y="0"/>
                <wp:positionH relativeFrom="margin">
                  <wp:align>right</wp:align>
                </wp:positionH>
                <wp:positionV relativeFrom="paragraph">
                  <wp:posOffset>4044315</wp:posOffset>
                </wp:positionV>
                <wp:extent cx="4239895" cy="635"/>
                <wp:effectExtent l="0" t="0" r="8255" b="0"/>
                <wp:wrapSquare wrapText="bothSides"/>
                <wp:docPr id="20" name="Tekstvak 20"/>
                <wp:cNvGraphicFramePr/>
                <a:graphic xmlns:a="http://schemas.openxmlformats.org/drawingml/2006/main">
                  <a:graphicData uri="http://schemas.microsoft.com/office/word/2010/wordprocessingShape">
                    <wps:wsp>
                      <wps:cNvSpPr txBox="1"/>
                      <wps:spPr>
                        <a:xfrm>
                          <a:off x="0" y="0"/>
                          <a:ext cx="4239895" cy="635"/>
                        </a:xfrm>
                        <a:prstGeom prst="rect">
                          <a:avLst/>
                        </a:prstGeom>
                        <a:solidFill>
                          <a:prstClr val="white"/>
                        </a:solidFill>
                        <a:ln>
                          <a:noFill/>
                        </a:ln>
                      </wps:spPr>
                      <wps:txbx>
                        <w:txbxContent>
                          <w:p w14:paraId="76241EEC" w14:textId="5F2CCABB" w:rsidR="00394AFF" w:rsidRPr="00AE0F35" w:rsidRDefault="00394AFF" w:rsidP="00394AFF">
                            <w:pPr>
                              <w:pStyle w:val="Bijschrift"/>
                            </w:pPr>
                            <w:r>
                              <w:t xml:space="preserve">Figure </w:t>
                            </w:r>
                            <w:r w:rsidR="00F80144">
                              <w:fldChar w:fldCharType="begin"/>
                            </w:r>
                            <w:r w:rsidR="00F80144">
                              <w:instrText xml:space="preserve"> SEQ Figure \* ARABIC </w:instrText>
                            </w:r>
                            <w:r w:rsidR="00F80144">
                              <w:fldChar w:fldCharType="separate"/>
                            </w:r>
                            <w:r w:rsidR="0047083D">
                              <w:rPr>
                                <w:noProof/>
                              </w:rPr>
                              <w:t>12</w:t>
                            </w:r>
                            <w:r w:rsidR="00F80144">
                              <w:rPr>
                                <w:noProof/>
                              </w:rPr>
                              <w:fldChar w:fldCharType="end"/>
                            </w:r>
                            <w:r>
                              <w:t xml:space="preserve">: Results of eGFP electroporation experiments. </w:t>
                            </w:r>
                            <w:r w:rsidR="00FC4AA5">
                              <w:t>(A) FACS results of electroporation with concentrations of 20, 10, 4, 2 and 0 µM. 20 and 10 µM eGFP gave an increased shift compared to 4 and 2 µM. The shift in the 20 and 10 µM was comparable, suggesting peak saturation of the protein concentration. (B) Fluorescent picture of B16 electroporated with 10 µM eGFP. (C) Fluorescent picture of Ana1 electroporated with 10 µM eGFP.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9DA2C5" id="Tekstvak 20" o:spid="_x0000_s1037" type="#_x0000_t202" style="position:absolute;margin-left:282.65pt;margin-top:318.45pt;width:333.85pt;height:.05pt;z-index:2516736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" stroked="f">
                <v:textbox style="mso-fit-shape-to-text:t" inset="0,0,0,0">
                  <w:txbxContent>
                    <w:p w14:paraId="76241EEC" w14:textId="5F2CCABB" w:rsidR="00394AFF" w:rsidRPr="00AE0F35" w:rsidRDefault="00394AFF" w:rsidP="00394AFF">
                      <w:pPr>
                        <w:pStyle w:val="Bijschrift"/>
                      </w:pPr>
                      <w:r>
                        <w:t xml:space="preserve">Figure </w:t>
                      </w:r>
                      <w:fldSimple w:instr=" SEQ Figure \* ARABIC ">
                        <w:r w:rsidR="0047083D">
                          <w:rPr>
                            <w:noProof/>
                          </w:rPr>
                          <w:t>12</w:t>
                        </w:r>
                      </w:fldSimple>
                      <w:r>
                        <w:t xml:space="preserve">: Results of eGFP electroporation experiments. </w:t>
                      </w:r>
                      <w:r w:rsidR="00FC4AA5">
                        <w:t>(A) FACS results of electroporation with concentrations of 20, 10, 4, 2 and 0 µM. 20 and 10 µM eGFP gave an increased shift compared to 4 and 2 µM. The shift in the 20 and 10 µM was comparable, suggesting peak saturation of the protein concentration. (B) Fluorescent picture of B16 electroporated with 10 µM eGFP. (C) Fluorescent picture of Ana1 electroporated with 10 µM eGFP.</w:t>
                      </w:r>
                    </w:p>
                  </w:txbxContent>
                </v:textbox>
                <w10:wrap type="square" anchorx="margin"/>
              </v:shape>
            </w:pict>
          </mc:Fallback>
        </mc:AlternateContent>
      </w:r>
      <w:r w:rsidRPr="00394AFF">
        <w:rPr>
          <w:i/>
          <w:iCs/>
          <w:noProof/>
        </w:rPr>
        <w:drawing>
          <wp:anchor distT="0" distB="0" distL="114300" distR="114300" simplePos="0" relativeHeight="251671552" behindDoc="0" locked="0" layoutInCell="1" allowOverlap="1" wp14:anchorId="51D35BE0" wp14:editId="4A876925">
            <wp:simplePos x="0" y="0"/>
            <wp:positionH relativeFrom="margin">
              <wp:align>right</wp:align>
            </wp:positionH>
            <wp:positionV relativeFrom="paragraph">
              <wp:posOffset>124460</wp:posOffset>
            </wp:positionV>
            <wp:extent cx="4239895" cy="3921125"/>
            <wp:effectExtent l="0" t="0" r="8255" b="317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39895" cy="3921125"/>
                    </a:xfrm>
                    <a:prstGeom prst="rect">
                      <a:avLst/>
                    </a:prstGeom>
                  </pic:spPr>
                </pic:pic>
              </a:graphicData>
            </a:graphic>
            <wp14:sizeRelH relativeFrom="page">
              <wp14:pctWidth>0</wp14:pctWidth>
            </wp14:sizeRelH>
            <wp14:sizeRelV relativeFrom="page">
              <wp14:pctHeight>0</wp14:pctHeight>
            </wp14:sizeRelV>
          </wp:anchor>
        </w:drawing>
      </w:r>
      <w:r w:rsidR="008B2E93">
        <w:t>To obtain optimal cell concentrations of APCs</w:t>
      </w:r>
      <w:r w:rsidR="00E37A72">
        <w:t xml:space="preserve"> (B16 or Ana1)</w:t>
      </w:r>
      <w:r w:rsidR="008B2E93">
        <w:t xml:space="preserve">, B3Zs and medium conditions, we performed a variety of assay optimization experiments. As a basis for the experiment, we referred to the protocol used </w:t>
      </w:r>
      <w:r w:rsidR="00B27FF1">
        <w:t xml:space="preserve">by </w:t>
      </w:r>
      <w:proofErr w:type="spellStart"/>
      <w:r w:rsidR="00B27FF1">
        <w:t>Karttunen</w:t>
      </w:r>
      <w:proofErr w:type="spellEnd"/>
      <w:r w:rsidR="00B27FF1">
        <w:t xml:space="preserve"> et al. </w:t>
      </w:r>
      <w:r w:rsidR="00B27FF1">
        <w:fldChar w:fldCharType="begin" w:fldLock="1"/>
      </w:r>
      <w:r w:rsidR="00BD5A59">
        <w:instrText>ADDIN CSL_CITATION {"citationItems":[{"id":"ITEM-1","itemData":{"abstract":"The a/fl T-cell receptor recognies a complex ligand formed by the association ofantigenic peptides with molecules ofthe major histocompatibility complex (MHC). The inherent limitations of the conventional T-cell activation assays used to detect these peptide/MHC ligands have, until now, hampered the development of expression cloning systems for T-cell antigens. To overcome these limitations, we have recently introduced a method for detecting ligand-induced activation of individual T cells. This assay, which makes use of a lacZ reporter construct, differs from conventional ligad-induced activation assays in that it allows the detection of single, activated T cells in large pools of resting cells. We applied the IacZ assay to the problem of screening expression libraries, which requires the ability to detect ligand-bearing antigen-presenting cells when they are present at very low frequency. We show here that ligand-expressing antigen-presenting cells can be detected at frequencies of 1:103-104, a level of sensitivity compatible with the screening of cDNA libraries. Furthermore, by using as antigen-presenting cells COS-7 cells stably transfected with the murine Kb class I MHC molecule, we demonstrate that transiently expressed ovalbu-min is efficiently processed and presented to an ovalbumin/Kb_ specific T-cell hybridoma. IacZ expression is induced in a detectable number of cocultured T cells, even when the oval-bumin cDNA consists of only 1:104 of the total DNA used to transfect the COS cells. These results suggest that unknown T-cell antigens may be identified by screening cDNA libraries in MHC-expressing COS cells using lacZ-inducible T cells as indicators of peptide antigen expression. The a/X3 T-cell receptor (TCR) recognizes small antigenic peptides bound to major histocompatibility complex (MHC) molecules on the surface of antigen-presenting cells (APCs). For T cells of unknown specificity, especially those that cause tissue destruction in autoimmune diseases (1), identifying the antigenic peptides remains a difficult undertaking. The primary reason for this difficulty lies in the inherent lack of sensitivity of the bulk T-cell activation assays used to detect peptide/MHC-expressing APCs. Because these assays measure only the average state of activation within a T-cell population, they cannot be used to detect activated T cells when these constitute only a small percentage of the T cells being assayed. To overcome this obstacle, we have recently de…","author":[{"dropping-particle":"","family":"Karttunen","given":"Jaana","non-dropping-particle":"","parse-names":false,"suffix":""},{"dropping-particle":"","family":"Sanderson","given":"Sarah","non-dropping-particle":"","parse-names":false,"suffix":""},{"dropping-particle":"","family":"Shastri","given":"Nilabh","non-dropping-particle":"","parse-names":false,"suffix":""}],"id":"ITEM-1","issued":{"date-parts":[["1992"]]},"number-of-pages":"6020-6024","title":"Detection of rare antigen-presenting cells by the lacZ T-cell activation assay suggests an expression cloning strategy for T-cell antigens","type":"report","volume":"89"},"uris":["http://www.mendeley.com/documents/?uuid=a27fa7e2-a57f-3936-8fc2-0919cbde73c5"]}],"mendeley":{"formattedCitation":"(19)","plainTextFormattedCitation":"(19)","previouslyFormattedCitation":"(19)"},"properties":{"noteIndex":0},"schema":"https://github.com/citation-style-language/schema/raw/master/csl-citation.json"}</w:instrText>
      </w:r>
      <w:r w:rsidR="00B27FF1">
        <w:fldChar w:fldCharType="separate"/>
      </w:r>
      <w:r w:rsidR="00CB2D23" w:rsidRPr="00CB2D23">
        <w:rPr>
          <w:noProof/>
        </w:rPr>
        <w:t>(19)</w:t>
      </w:r>
      <w:r w:rsidR="00B27FF1">
        <w:fldChar w:fldCharType="end"/>
      </w:r>
      <w:r w:rsidR="00B27FF1">
        <w:t xml:space="preserve">. </w:t>
      </w:r>
      <w:r w:rsidR="008B2E93">
        <w:t>In the first of these experiments, we varied the amount of B3Z per well added (Figure 1</w:t>
      </w:r>
      <w:r w:rsidR="00E3749F">
        <w:t>3</w:t>
      </w:r>
      <w:r w:rsidR="008B2E93">
        <w:t xml:space="preserve">A), </w:t>
      </w:r>
      <w:r w:rsidR="00B27FF1">
        <w:t>following the established protocol for the rest of the variables</w:t>
      </w:r>
      <w:r w:rsidR="009A5D69">
        <w:t xml:space="preserve"> (1 x 10</w:t>
      </w:r>
      <w:r w:rsidR="009A5D69">
        <w:rPr>
          <w:vertAlign w:val="superscript"/>
        </w:rPr>
        <w:t>4</w:t>
      </w:r>
      <w:r w:rsidR="009A5D69">
        <w:t xml:space="preserve"> </w:t>
      </w:r>
      <w:r w:rsidR="00E37A72">
        <w:t>B16</w:t>
      </w:r>
      <w:r w:rsidR="009A5D69">
        <w:t xml:space="preserve">s per well, 200 </w:t>
      </w:r>
      <w:r w:rsidR="009A5D69">
        <w:rPr>
          <w:rFonts w:cstheme="minorHAnsi"/>
        </w:rPr>
        <w:t>µ</w:t>
      </w:r>
      <w:r w:rsidR="009A5D69">
        <w:t xml:space="preserve">L volume, IMDM with </w:t>
      </w:r>
      <w:r w:rsidR="009A5D69" w:rsidRPr="00992860">
        <w:t xml:space="preserve">10% heat inactivated foetal </w:t>
      </w:r>
      <w:r w:rsidR="009A5D69">
        <w:t>calf</w:t>
      </w:r>
      <w:r w:rsidR="009A5D69" w:rsidRPr="00992860">
        <w:t xml:space="preserve"> serum</w:t>
      </w:r>
      <w:r w:rsidR="009A5D69">
        <w:t xml:space="preserve">, </w:t>
      </w:r>
      <w:r w:rsidR="009A5D69" w:rsidRPr="00992860">
        <w:t>1% penicillin/streptomycin and 0,1% βME</w:t>
      </w:r>
      <w:r w:rsidR="009A5D69">
        <w:t>)</w:t>
      </w:r>
      <w:r w:rsidR="00B27FF1">
        <w:t xml:space="preserve">. </w:t>
      </w:r>
      <w:r w:rsidR="005963FC">
        <w:t>1 x 10</w:t>
      </w:r>
      <w:r w:rsidR="005963FC">
        <w:rPr>
          <w:vertAlign w:val="superscript"/>
        </w:rPr>
        <w:t>4</w:t>
      </w:r>
      <w:r w:rsidR="005963FC">
        <w:t xml:space="preserve"> B3Z cells per well gave a 1,2 fold change in absorbance compared to the negative control. 2 x 10</w:t>
      </w:r>
      <w:r w:rsidR="005963FC">
        <w:rPr>
          <w:vertAlign w:val="superscript"/>
        </w:rPr>
        <w:t>4</w:t>
      </w:r>
      <w:r w:rsidR="005963FC">
        <w:t xml:space="preserve"> B3Z cells per well fared slightly better, giving a 1,4 fold change in absorbance compared to the negative control. 3 x 10</w:t>
      </w:r>
      <w:r w:rsidR="005963FC">
        <w:rPr>
          <w:vertAlign w:val="superscript"/>
        </w:rPr>
        <w:t>4</w:t>
      </w:r>
      <w:r w:rsidR="005963FC">
        <w:t xml:space="preserve"> cells per well and 7,5 x 10</w:t>
      </w:r>
      <w:r w:rsidR="005963FC">
        <w:rPr>
          <w:vertAlign w:val="superscript"/>
        </w:rPr>
        <w:t>4</w:t>
      </w:r>
      <w:r w:rsidR="005963FC">
        <w:t xml:space="preserve"> cells per well gave the biggest fold change, being 1,8 and 1,6 respectively. Based on these results</w:t>
      </w:r>
      <w:r w:rsidR="00B27FF1">
        <w:t>, we established that the optimal B3Z density seemed to be around 3 x 10</w:t>
      </w:r>
      <w:r w:rsidR="00B27FF1">
        <w:rPr>
          <w:vertAlign w:val="superscript"/>
        </w:rPr>
        <w:t>4</w:t>
      </w:r>
      <w:r w:rsidR="00B27FF1">
        <w:t xml:space="preserve"> cells per well. </w:t>
      </w:r>
    </w:p>
    <w:p w14:paraId="564140D9" w14:textId="462DC1D7" w:rsidR="005963FC" w:rsidRDefault="005963FC" w:rsidP="004C496B">
      <w:r>
        <w:t>To explore optimal APC densities</w:t>
      </w:r>
      <w:r w:rsidR="00B27FF1">
        <w:t xml:space="preserve">, we serial diluted </w:t>
      </w:r>
      <w:r>
        <w:t xml:space="preserve">the </w:t>
      </w:r>
      <w:r w:rsidR="00E37A72">
        <w:t>B16/B16OVA</w:t>
      </w:r>
      <w:r>
        <w:t>s used in the assay</w:t>
      </w:r>
      <w:r w:rsidR="00B27FF1">
        <w:t>, starting at the 1 x 10</w:t>
      </w:r>
      <w:r w:rsidR="00B27FF1">
        <w:rPr>
          <w:vertAlign w:val="superscript"/>
        </w:rPr>
        <w:t>4</w:t>
      </w:r>
      <w:r w:rsidR="00B27FF1">
        <w:t xml:space="preserve"> cells per well established in </w:t>
      </w:r>
      <w:proofErr w:type="spellStart"/>
      <w:r w:rsidR="00B27FF1">
        <w:t>Karttunen</w:t>
      </w:r>
      <w:proofErr w:type="spellEnd"/>
      <w:r w:rsidR="00B27FF1">
        <w:t xml:space="preserve"> et al.</w:t>
      </w:r>
      <w:r>
        <w:t xml:space="preserve"> Additionally, in this experiment we also tried to optimize B3Z concentrations </w:t>
      </w:r>
      <w:r w:rsidR="00307863">
        <w:t>further</w:t>
      </w:r>
      <w:r>
        <w:t>, seeding 3 x 10</w:t>
      </w:r>
      <w:r>
        <w:rPr>
          <w:vertAlign w:val="superscript"/>
        </w:rPr>
        <w:t>4</w:t>
      </w:r>
      <w:r>
        <w:t xml:space="preserve"> B3Z cells per well and 5 x 10</w:t>
      </w:r>
      <w:r>
        <w:rPr>
          <w:vertAlign w:val="superscript"/>
        </w:rPr>
        <w:t>4</w:t>
      </w:r>
      <w:r>
        <w:t xml:space="preserve"> B3Z cells per well.</w:t>
      </w:r>
    </w:p>
    <w:p w14:paraId="68047A37" w14:textId="601871EF" w:rsidR="005963FC" w:rsidRDefault="005963FC" w:rsidP="004C496B">
      <w:r>
        <w:t>While 1 x 10</w:t>
      </w:r>
      <w:r>
        <w:rPr>
          <w:vertAlign w:val="superscript"/>
        </w:rPr>
        <w:t>4</w:t>
      </w:r>
      <w:r>
        <w:t xml:space="preserve"> </w:t>
      </w:r>
      <w:r w:rsidR="00E37A72">
        <w:t xml:space="preserve">B16 </w:t>
      </w:r>
      <w:r>
        <w:t>cells per well gave a 2-fold change, 1 x 10</w:t>
      </w:r>
      <w:r>
        <w:rPr>
          <w:vertAlign w:val="superscript"/>
        </w:rPr>
        <w:t>3</w:t>
      </w:r>
      <w:r>
        <w:t xml:space="preserve"> cells per well produced a 2,5 fold change compared to the negative control. As such, we concluded that </w:t>
      </w:r>
      <w:r w:rsidR="00B27FF1">
        <w:t>both 1 x 10</w:t>
      </w:r>
      <w:r w:rsidR="00B27FF1">
        <w:rPr>
          <w:vertAlign w:val="superscript"/>
        </w:rPr>
        <w:t>4</w:t>
      </w:r>
      <w:r w:rsidR="00B27FF1">
        <w:t xml:space="preserve"> and 1 x 10</w:t>
      </w:r>
      <w:r w:rsidR="00B27FF1">
        <w:rPr>
          <w:vertAlign w:val="superscript"/>
        </w:rPr>
        <w:t>3</w:t>
      </w:r>
      <w:r w:rsidR="00B27FF1">
        <w:t xml:space="preserve"> </w:t>
      </w:r>
      <w:r w:rsidR="00EC6E54">
        <w:t xml:space="preserve">cells per well </w:t>
      </w:r>
      <w:r w:rsidR="00B27FF1">
        <w:t xml:space="preserve">were usable </w:t>
      </w:r>
      <w:r w:rsidR="00EC6E54">
        <w:t>densities</w:t>
      </w:r>
      <w:r w:rsidR="00B27FF1">
        <w:t xml:space="preserve">. </w:t>
      </w:r>
      <w:r>
        <w:t>Additionally, fold change was similar for both B3Z densities, so we concluded that both 3 x 10</w:t>
      </w:r>
      <w:r>
        <w:rPr>
          <w:vertAlign w:val="superscript"/>
        </w:rPr>
        <w:t>4</w:t>
      </w:r>
      <w:r>
        <w:t xml:space="preserve"> B3Z cells per well and 5 x 10</w:t>
      </w:r>
      <w:r>
        <w:rPr>
          <w:vertAlign w:val="superscript"/>
        </w:rPr>
        <w:t>4</w:t>
      </w:r>
      <w:r>
        <w:t xml:space="preserve"> B3Z cells per well were usable (Figure 13B).</w:t>
      </w:r>
    </w:p>
    <w:p w14:paraId="2EA0823E" w14:textId="676F5847" w:rsidR="008B2E93" w:rsidRPr="00B27FF1" w:rsidRDefault="00B27FF1" w:rsidP="004C496B">
      <w:r>
        <w:t xml:space="preserve">In the final optimization experiment, we </w:t>
      </w:r>
      <w:r w:rsidR="005963FC">
        <w:t xml:space="preserve">wanted to </w:t>
      </w:r>
      <w:r>
        <w:t xml:space="preserve">re-test the APC optimization conclusions along with </w:t>
      </w:r>
      <w:r w:rsidR="005963FC">
        <w:t xml:space="preserve">exploring the effect of </w:t>
      </w:r>
      <w:r>
        <w:t>different concentrations of IFN-</w:t>
      </w:r>
      <w:r>
        <w:sym w:font="Symbol" w:char="F067"/>
      </w:r>
      <w:r>
        <w:t xml:space="preserve"> (25, 50, 75 and 100 ng/mL)</w:t>
      </w:r>
      <w:r w:rsidR="005963FC">
        <w:t xml:space="preserve"> on the assay</w:t>
      </w:r>
      <w:r>
        <w:t xml:space="preserve">. </w:t>
      </w:r>
      <w:r w:rsidR="005963FC">
        <w:t>In this experiment, 1 x 10</w:t>
      </w:r>
      <w:r w:rsidR="005963FC">
        <w:rPr>
          <w:vertAlign w:val="superscript"/>
        </w:rPr>
        <w:t>3</w:t>
      </w:r>
      <w:r w:rsidR="005963FC">
        <w:t xml:space="preserve"> cells per well seemed to give a lower fold change</w:t>
      </w:r>
      <w:r w:rsidR="00B67AC4">
        <w:t xml:space="preserve"> overall compared to 1 x 10</w:t>
      </w:r>
      <w:r w:rsidR="00B67AC4">
        <w:rPr>
          <w:vertAlign w:val="superscript"/>
        </w:rPr>
        <w:t>4</w:t>
      </w:r>
      <w:r w:rsidR="00B67AC4">
        <w:t xml:space="preserve"> cells per well. On top of this, </w:t>
      </w:r>
      <w:r>
        <w:t>adding IFN-</w:t>
      </w:r>
      <w:r>
        <w:sym w:font="Symbol" w:char="F067"/>
      </w:r>
      <w:r>
        <w:t xml:space="preserve"> did not seem to show drastic effects on the presentation of SIINFEKL on the cell surface</w:t>
      </w:r>
      <w:r w:rsidR="00B67AC4">
        <w:t>, showing similar fold change for all concentrations</w:t>
      </w:r>
      <w:r>
        <w:t>.</w:t>
      </w:r>
      <w:r w:rsidR="00B67AC4">
        <w:t xml:space="preserve"> Based on these results, we established that 1 x 10</w:t>
      </w:r>
      <w:r w:rsidR="00B67AC4">
        <w:rPr>
          <w:vertAlign w:val="superscript"/>
        </w:rPr>
        <w:t>4</w:t>
      </w:r>
      <w:r w:rsidR="00B67AC4">
        <w:t xml:space="preserve"> </w:t>
      </w:r>
      <w:r w:rsidR="00E37A72">
        <w:t>B16</w:t>
      </w:r>
      <w:r w:rsidR="00B67AC4">
        <w:t xml:space="preserve"> cells per well is an optimal density and that adding different concentrations of IFN-</w:t>
      </w:r>
      <w:r w:rsidR="00B67AC4">
        <w:sym w:font="Symbol" w:char="F067"/>
      </w:r>
      <w:r w:rsidR="00B67AC4">
        <w:t xml:space="preserve"> did not have a significant effect.</w:t>
      </w:r>
    </w:p>
    <w:p w14:paraId="4E7A02DB" w14:textId="77777777" w:rsidR="008B2E93" w:rsidRDefault="008B2E93" w:rsidP="008B2E93">
      <w:pPr>
        <w:keepNext/>
      </w:pPr>
      <w:r w:rsidRPr="008B2E93">
        <w:rPr>
          <w:noProof/>
        </w:rPr>
        <w:lastRenderedPageBreak/>
        <w:drawing>
          <wp:inline distT="0" distB="0" distL="0" distR="0" wp14:anchorId="1E3E1E4A" wp14:editId="0E8B8D8D">
            <wp:extent cx="5760720" cy="431292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312920"/>
                    </a:xfrm>
                    <a:prstGeom prst="rect">
                      <a:avLst/>
                    </a:prstGeom>
                  </pic:spPr>
                </pic:pic>
              </a:graphicData>
            </a:graphic>
          </wp:inline>
        </w:drawing>
      </w:r>
    </w:p>
    <w:p w14:paraId="57C986C9" w14:textId="6C1A928B" w:rsidR="009E511C" w:rsidRPr="00EC6E54" w:rsidRDefault="008B2E93" w:rsidP="008B2E93">
      <w:pPr>
        <w:pStyle w:val="Bijschrift"/>
      </w:pPr>
      <w:r>
        <w:t xml:space="preserve">Figure </w:t>
      </w:r>
      <w:r w:rsidR="00F80144">
        <w:fldChar w:fldCharType="begin"/>
      </w:r>
      <w:r w:rsidR="00F80144">
        <w:instrText xml:space="preserve"> SEQ Figure \* ARABIC </w:instrText>
      </w:r>
      <w:r w:rsidR="00F80144">
        <w:fldChar w:fldCharType="separate"/>
      </w:r>
      <w:r w:rsidR="0047083D">
        <w:rPr>
          <w:noProof/>
        </w:rPr>
        <w:t>13</w:t>
      </w:r>
      <w:r w:rsidR="00F80144">
        <w:rPr>
          <w:noProof/>
        </w:rPr>
        <w:fldChar w:fldCharType="end"/>
      </w:r>
      <w:r w:rsidR="00B27FF1">
        <w:t xml:space="preserve">: </w:t>
      </w:r>
      <w:r w:rsidR="00EC6E54">
        <w:t xml:space="preserve">Optimization results of B3Z assays. </w:t>
      </w:r>
      <w:r w:rsidR="007215E4">
        <w:t>All data is normalised to the average of the negative control</w:t>
      </w:r>
      <w:r w:rsidR="0036163A">
        <w:t xml:space="preserve"> </w:t>
      </w:r>
      <w:r w:rsidR="00196E7A">
        <w:t xml:space="preserve">(B16, not shown) </w:t>
      </w:r>
      <w:r w:rsidR="0036163A">
        <w:t>and averaged per condition</w:t>
      </w:r>
      <w:r w:rsidR="007215E4">
        <w:t>. Error bar shows the standard deviation.</w:t>
      </w:r>
      <w:r w:rsidR="00196E7A">
        <w:t xml:space="preserve"> In all these experiments, B16OVA was used.</w:t>
      </w:r>
      <w:r w:rsidR="007215E4">
        <w:t xml:space="preserve"> </w:t>
      </w:r>
      <w:r w:rsidR="00EC6E54">
        <w:t>(A) Absorbance shown for different cell densities of B3Z (1 x 10</w:t>
      </w:r>
      <w:r w:rsidR="00EC6E54">
        <w:rPr>
          <w:vertAlign w:val="superscript"/>
        </w:rPr>
        <w:t>4</w:t>
      </w:r>
      <w:r w:rsidR="00EC6E54">
        <w:t>, 2 x 10</w:t>
      </w:r>
      <w:r w:rsidR="00EC6E54">
        <w:rPr>
          <w:vertAlign w:val="superscript"/>
        </w:rPr>
        <w:t>4</w:t>
      </w:r>
      <w:r w:rsidR="00EC6E54">
        <w:t>, 3 x 10</w:t>
      </w:r>
      <w:r w:rsidR="00EC6E54">
        <w:rPr>
          <w:vertAlign w:val="superscript"/>
        </w:rPr>
        <w:t>4</w:t>
      </w:r>
      <w:r w:rsidR="00EC6E54">
        <w:t xml:space="preserve"> and 7,5 x 10</w:t>
      </w:r>
      <w:r w:rsidR="00EC6E54">
        <w:rPr>
          <w:vertAlign w:val="superscript"/>
        </w:rPr>
        <w:t>4</w:t>
      </w:r>
      <w:r w:rsidR="00EC6E54">
        <w:t xml:space="preserve"> B3Z cells per well, rounded off.) Densities between 3 x 10</w:t>
      </w:r>
      <w:r w:rsidR="00EC6E54">
        <w:rPr>
          <w:vertAlign w:val="superscript"/>
        </w:rPr>
        <w:t>4</w:t>
      </w:r>
      <w:r w:rsidR="00EC6E54">
        <w:t xml:space="preserve"> and 7,5 x 10</w:t>
      </w:r>
      <w:r w:rsidR="00EC6E54">
        <w:rPr>
          <w:vertAlign w:val="superscript"/>
        </w:rPr>
        <w:t>4</w:t>
      </w:r>
      <w:r w:rsidR="00EC6E54">
        <w:t xml:space="preserve"> B3Z cells per well seemed optimal. (B) Optimization to test assay strength with decreasing amount of APCs, using a 1:10 serial dilution, starting at 1 x 10</w:t>
      </w:r>
      <w:r w:rsidR="00EC6E54">
        <w:rPr>
          <w:vertAlign w:val="superscript"/>
        </w:rPr>
        <w:t>4</w:t>
      </w:r>
      <w:r w:rsidR="00EC6E54">
        <w:t xml:space="preserve"> cells per well. Optimal amount of APC density seemed to be around 1 x 10</w:t>
      </w:r>
      <w:r w:rsidR="00EC6E54">
        <w:rPr>
          <w:vertAlign w:val="superscript"/>
        </w:rPr>
        <w:t>4</w:t>
      </w:r>
      <w:r w:rsidR="00EC6E54">
        <w:t xml:space="preserve"> and 1 x 10</w:t>
      </w:r>
      <w:r w:rsidR="00EC6E54">
        <w:rPr>
          <w:vertAlign w:val="superscript"/>
        </w:rPr>
        <w:t>3</w:t>
      </w:r>
      <w:r w:rsidR="00EC6E54">
        <w:t xml:space="preserve"> cells per well. Additionally, previous result of optimal B3Z amounts was corroborated, showing similar results for 3 x 10</w:t>
      </w:r>
      <w:r w:rsidR="00EC6E54">
        <w:rPr>
          <w:vertAlign w:val="superscript"/>
        </w:rPr>
        <w:t>4</w:t>
      </w:r>
      <w:r w:rsidR="00EC6E54">
        <w:t xml:space="preserve"> and 5 x 10</w:t>
      </w:r>
      <w:r w:rsidR="00EC6E54">
        <w:rPr>
          <w:vertAlign w:val="superscript"/>
        </w:rPr>
        <w:t>4</w:t>
      </w:r>
      <w:r w:rsidR="00EC6E54">
        <w:t xml:space="preserve"> B3Z cells per well. (C) Optimisation to show effect of 25, 50, 75 or 100 ng/mL IFN-</w:t>
      </w:r>
      <w:r w:rsidR="00EC6E54">
        <w:sym w:font="Symbol" w:char="F067"/>
      </w:r>
      <w:r w:rsidR="00EC6E54">
        <w:t xml:space="preserve">  on B3Z assay, with minimal differences between each concentration.</w:t>
      </w:r>
    </w:p>
    <w:p w14:paraId="40F04D52" w14:textId="13D3DD37" w:rsidR="007215E4" w:rsidRDefault="007215E4" w:rsidP="004C496B">
      <w:r>
        <w:t xml:space="preserve">By combining all the previously established results and optimisations, we have achieved an optimal assay for showing potential PCPS-derived SIINFEKL expressed on the cell surface. </w:t>
      </w:r>
      <w:r w:rsidR="00E37A72">
        <w:t>For the final assay, we electroporated Ana1 with four different proteins, being eGFP, rLLO-SPLIT3A, rLLO-SPLIT3L and LLO-SIINFEKL.</w:t>
      </w:r>
      <w:r w:rsidR="002A46FC">
        <w:t xml:space="preserve"> In this context, eGFP serves as a negative control with no SIINFEKL expression. rLLO-SPLIT3A and -3L are the proteins which do not have SIINFEKL in its contiguous form and which can only show SIINFEKL on the cells surface if PCPS happens. LLO-SIINFEKL serves as a positive control for the electroporation, since it should always give a signal if electroporation worked. Finally, cells electroporated with eGFP were seeded in a final column of wells and loaded with 1 </w:t>
      </w:r>
      <w:r w:rsidR="002A46FC">
        <w:rPr>
          <w:rFonts w:cstheme="minorHAnsi"/>
        </w:rPr>
        <w:t>µM peptide, to serve as a positive control for the B3Z functionality.</w:t>
      </w:r>
      <w:r w:rsidR="00E37A72">
        <w:t xml:space="preserve"> </w:t>
      </w:r>
      <w:r>
        <w:t xml:space="preserve">In the results of this assay (Figure 14), an increase can be seen in all different conditions. The peptide loaded wells (strongest positive control to ensure B3Z activity) show the highest fold change, being around 4,25. The APCs electroporated with LLO-SIINFEKL also give a high fold change, being around 2,15. </w:t>
      </w:r>
      <w:r w:rsidR="00C2687A">
        <w:t>Both 3A and 3L seem to show a fold change, being around 1,25 and 1,5 respectively. Based on these results, we can conclude that SIINFEKL seems to be present in all conditions except the negative control, albeit more numerous in the positive controls.</w:t>
      </w:r>
    </w:p>
    <w:p w14:paraId="05D5BC65" w14:textId="39F9D12A" w:rsidR="007215E4" w:rsidRDefault="00644BB7" w:rsidP="007215E4">
      <w:pPr>
        <w:keepNext/>
      </w:pPr>
      <w:r>
        <w:rPr>
          <w:noProof/>
        </w:rPr>
        <w:lastRenderedPageBreak/>
        <w:drawing>
          <wp:inline distT="0" distB="0" distL="0" distR="0" wp14:anchorId="1930573D" wp14:editId="6E8F7DB9">
            <wp:extent cx="5760720" cy="34099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409950"/>
                    </a:xfrm>
                    <a:prstGeom prst="rect">
                      <a:avLst/>
                    </a:prstGeom>
                  </pic:spPr>
                </pic:pic>
              </a:graphicData>
            </a:graphic>
          </wp:inline>
        </w:drawing>
      </w:r>
      <w:r w:rsidRPr="007215E4">
        <w:rPr>
          <w:noProof/>
        </w:rPr>
        <w:t xml:space="preserve"> </w:t>
      </w:r>
    </w:p>
    <w:p w14:paraId="73A9156D" w14:textId="31B5113D" w:rsidR="007215E4" w:rsidRDefault="007215E4" w:rsidP="007215E4">
      <w:pPr>
        <w:pStyle w:val="Bijschrift"/>
      </w:pPr>
      <w:r>
        <w:t xml:space="preserve">Figure </w:t>
      </w:r>
      <w:r w:rsidR="00F80144">
        <w:fldChar w:fldCharType="begin"/>
      </w:r>
      <w:r w:rsidR="00F80144">
        <w:instrText xml:space="preserve"> SEQ Figure \* ARABIC </w:instrText>
      </w:r>
      <w:r w:rsidR="00F80144">
        <w:fldChar w:fldCharType="separate"/>
      </w:r>
      <w:r w:rsidR="0047083D">
        <w:rPr>
          <w:noProof/>
        </w:rPr>
        <w:t>14</w:t>
      </w:r>
      <w:r w:rsidR="00F80144">
        <w:rPr>
          <w:noProof/>
        </w:rPr>
        <w:fldChar w:fldCharType="end"/>
      </w:r>
      <w:r w:rsidR="0036163A">
        <w:t>: Results of the B3Z electro-assay using the rLLO-SPLIT mutants. rLLO-SPLIT3A and 3L both seem to show a small increase compared to the negative control. Peptide loading was used as a control for the functionality of the assay, LLO SIIN was used as a control for the electroporation. All samples averaged and normalised to negative control. Error bars show standard deviation.</w:t>
      </w:r>
    </w:p>
    <w:p w14:paraId="7AAF1888" w14:textId="77777777" w:rsidR="00794E78" w:rsidRDefault="00794E78">
      <w:pPr>
        <w:rPr>
          <w:rFonts w:asciiTheme="majorHAnsi" w:eastAsiaTheme="majorEastAsia" w:hAnsiTheme="majorHAnsi" w:cstheme="majorBidi"/>
          <w:color w:val="2F5496" w:themeColor="accent1" w:themeShade="BF"/>
          <w:sz w:val="32"/>
          <w:szCs w:val="32"/>
        </w:rPr>
      </w:pPr>
      <w:r>
        <w:br w:type="page"/>
      </w:r>
    </w:p>
    <w:p w14:paraId="121FC261" w14:textId="6CCC0762" w:rsidR="00245FB0" w:rsidRDefault="00794E78" w:rsidP="00794E78">
      <w:pPr>
        <w:pStyle w:val="Kop1"/>
      </w:pPr>
      <w:bookmarkStart w:id="16" w:name="_Toc85744695"/>
      <w:r>
        <w:lastRenderedPageBreak/>
        <w:t>Discussion</w:t>
      </w:r>
      <w:bookmarkEnd w:id="16"/>
    </w:p>
    <w:p w14:paraId="6A443CC0" w14:textId="489E17FA" w:rsidR="000A6147" w:rsidRPr="000A6147" w:rsidRDefault="000A6147" w:rsidP="000A6147">
      <w:pPr>
        <w:pStyle w:val="Kop2"/>
      </w:pPr>
      <w:bookmarkStart w:id="17" w:name="_Toc85744696"/>
      <w:r>
        <w:t>Purification and electroporation</w:t>
      </w:r>
      <w:bookmarkEnd w:id="17"/>
    </w:p>
    <w:p w14:paraId="652AEDFF" w14:textId="3ED70E30" w:rsidR="00111828" w:rsidRDefault="00111828" w:rsidP="0056157E">
      <w:r>
        <w:t xml:space="preserve">Currently, electroporation of proteins is not widely used. It mostly enters the spotlight when DNA/mRNA electroporation is not sufficient, such as in the case when the protein of interest needs to be expressed before any transcription/translation could have taken place. This can be seen in the case of embryonic CRISPR-Cas9 experiments, where Cas9 introduced in DNA or mRNA form will only be expressed after some rounds of DNA replication have already taken place, causing genetic mosaicism </w:t>
      </w:r>
      <w:r>
        <w:fldChar w:fldCharType="begin" w:fldLock="1"/>
      </w:r>
      <w:r w:rsidR="00BD5A59">
        <w:instrText>ADDIN CSL_CITATION {"citationItems":[{"id":"ITEM-1","itemData":{"DOI":"10.1016/j.ydbio.2016.07.017","ISSN":"1095564X","PMID":"27474397","abstract":"The CRISPR/Cas9 system is a powerful tool for elucidating the roles of genes in a wide variety of organisms including mice. To obtain genetically modified embryos or mice by this method, Cas9 mRNA and sgRNA are usually introduced into zygotes by microinjection or electroporation. However, most mutants generated with this method are genetically mosaic, composed of several types of cells carrying different mutations, which complicates phenotype analysis in founder embryos or mice. To simplify the analysis and to elucidate the roles of genes involved in developmental processes, a method for producing non-mosaic mutants is needed. Here, we established a method for generating non-mosaic mouse mutant embryos. We introduced Cas9 protein and sgRNA into in vitro fertilized (IVF) zygotes by electroporation, which enabled the genome editing to occur before the first replication of the mouse genome. As a result, all of the cells in the mutant carried the same set of mutations. This method solves the problem of mosaicism/allele complexity in founder mutant embryos or mice generated by the CRIPSR/Cas9 system.","author":[{"dropping-particle":"","family":"Hashimoto","given":"Masakazu","non-dropping-particle":"","parse-names":false,"suffix":""},{"dropping-particle":"","family":"Yamashita","given":"Yukiko","non-dropping-particle":"","parse-names":false,"suffix":""},{"dropping-particle":"","family":"Takemoto","given":"Tatsuya","non-dropping-particle":"","parse-names":false,"suffix":""}],"container-title":"Developmental Biology","id":"ITEM-1","issue":"1","issued":{"date-parts":[["2016","10","1"]]},"page":"1-9","publisher":"Academic Press Inc.","title":"Electroporation of Cas9 protein/sgRNA into early pronuclear zygotes generates non-mosaic mutants in the mouse","type":"article-journal","volume":"418"},"uris":["http://www.mendeley.com/documents/?uuid=f580276a-a9f3-3197-8aa8-6906e41983e5"]}],"mendeley":{"formattedCitation":"(20)","plainTextFormattedCitation":"(20)","previouslyFormattedCitation":"(20)"},"properties":{"noteIndex":0},"schema":"https://github.com/citation-style-language/schema/raw/master/csl-citation.json"}</w:instrText>
      </w:r>
      <w:r>
        <w:fldChar w:fldCharType="separate"/>
      </w:r>
      <w:r w:rsidR="00CB2D23" w:rsidRPr="00CB2D23">
        <w:rPr>
          <w:noProof/>
        </w:rPr>
        <w:t>(20)</w:t>
      </w:r>
      <w:r>
        <w:fldChar w:fldCharType="end"/>
      </w:r>
      <w:r>
        <w:t xml:space="preserve">. Additionally, expression of proteins from plasmids can possibly yield too low of a signal for readout, especially in the case with low cell amounts </w:t>
      </w:r>
      <w:r>
        <w:fldChar w:fldCharType="begin" w:fldLock="1"/>
      </w:r>
      <w:r w:rsidR="00BD5A59">
        <w:instrText xml:space="preserve">ADDIN CSL_CITATION {"citationItems":[{"id":"ITEM-1","itemData":{"DOI":"10.1039/c4cc04730c","ISSN":"1364548X","PMID":"25133322","abstract":"Fluorescent protein biosensors are typically implemented via genetic encoding which makes the examination of scarce cell samples impractical. By directly delivering the protein form of the biosensor into cells using electroporation, we detected intracellular molecular activity with the sample size down to </w:instrText>
      </w:r>
      <w:r w:rsidR="00BD5A59">
        <w:rPr>
          <w:rFonts w:ascii="Cambria Math" w:hAnsi="Cambria Math" w:cs="Cambria Math"/>
        </w:rPr>
        <w:instrText>∼</w:instrText>
      </w:r>
      <w:r w:rsidR="00BD5A59">
        <w:instrText xml:space="preserve">100 cells with high spatiotemporal resolution. </w:instrText>
      </w:r>
      <w:r w:rsidR="00BD5A59">
        <w:rPr>
          <w:rFonts w:ascii="Calibri" w:hAnsi="Calibri" w:cs="Calibri"/>
        </w:rPr>
        <w:instrText>©</w:instrText>
      </w:r>
      <w:r w:rsidR="00BD5A59">
        <w:instrText xml:space="preserve"> Partner Organisations 2014.","author":[{"dropping-particle":"","family":"Sun","given":"Chen","non-dropping-particle":"","parse-names":false,"suffix":""},{"dropping-particle":"","family":"Ouyang","given":"Mingxing","non-dropping-particle":"","parse-names":false,"suffix":""},{"dropping-particle":"","family":"Cao","given":"Zhenning","non-dropping-particle":"","parse-names":false,"suffix":""},{"dropping-particle":"","family":"Ma","given":"Sai","non-dropping-particle":"","parse-names":false,"suffix":""},{"dropping-particle":"","family":"Alqublan","given":"Hamzeh","non-dropping-particle":"","parse-names":false,"suffix":""},{"dropping-particle":"","family":"Sriranganathan","given":"Nammalwar","non-dropping-particle":"","parse-names":false,"suffix":""},{"dropping-particle":"","family":"Wang","given":"Yingxiao","non-dropping-particle":"","parse-names":false,"suffix":""},{"dropping-particle":"","family":"Lu","given":"Chang","non-dropping-particle":"","parse-names":false,"suffix":""}],"container-title":"Chemical Communications","id":"ITEM-1","issue":"78","issued":{"date-parts":[["2014"]]},"page":"11536-11539","publisher":"Royal Society of Chemistry","title":"Electroporation-delivered fluorescent protein biosensors for probing molecular activities in cells without genetic encoding","type":"article-journal","volume":"50"},"uris":["http://www.mendeley.com/documents/?uuid=088303b5-70b4-4a84-bf50-139aabec7709"]}],"mendeley":{"formattedCitation":"(21)","plainTextFormattedCitation":"(21)","previouslyFormattedCitation":"(21)"},"properties":{"noteIndex":0},"schema":"https://github.com/citation-style-language/schema/raw/master/csl-citation.json"}</w:instrText>
      </w:r>
      <w:r>
        <w:fldChar w:fldCharType="separate"/>
      </w:r>
      <w:r w:rsidR="00CB2D23" w:rsidRPr="00CB2D23">
        <w:rPr>
          <w:noProof/>
        </w:rPr>
        <w:t>(21)</w:t>
      </w:r>
      <w:r>
        <w:fldChar w:fldCharType="end"/>
      </w:r>
      <w:r>
        <w:t xml:space="preserve">. </w:t>
      </w:r>
    </w:p>
    <w:p w14:paraId="5A7C7540" w14:textId="286CBD13" w:rsidR="0056157E" w:rsidRDefault="002A6B78" w:rsidP="0056157E">
      <w:r>
        <w:t xml:space="preserve">Protein production and purification is not a “one size fits all” process. </w:t>
      </w:r>
      <w:r w:rsidR="00111828">
        <w:t xml:space="preserve">Most proteins used for electroporation are either commercially ordered </w:t>
      </w:r>
      <w:r w:rsidR="00111828">
        <w:fldChar w:fldCharType="begin" w:fldLock="1"/>
      </w:r>
      <w:r w:rsidR="00BD5A59">
        <w:instrText>ADDIN CSL_CITATION {"citationItems":[{"id":"ITEM-1","itemData":{"DOI":"10.1016/j.ydbio.2016.07.017","ISSN":"1095564X","PMID":"27474397","abstract":"The CRISPR/Cas9 system is a powerful tool for elucidating the roles of genes in a wide variety of organisms including mice. To obtain genetically modified embryos or mice by this method, Cas9 mRNA and sgRNA are usually introduced into zygotes by microinjection or electroporation. However, most mutants generated with this method are genetically mosaic, composed of several types of cells carrying different mutations, which complicates phenotype analysis in founder embryos or mice. To simplify the analysis and to elucidate the roles of genes involved in developmental processes, a method for producing non-mosaic mutants is needed. Here, we established a method for generating non-mosaic mouse mutant embryos. We introduced Cas9 protein and sgRNA into in vitro fertilized (IVF) zygotes by electroporation, which enabled the genome editing to occur before the first replication of the mouse genome. As a result, all of the cells in the mutant carried the same set of mutations. This method solves the problem of mosaicism/allele complexity in founder mutant embryos or mice generated by the CRIPSR/Cas9 system.","author":[{"dropping-particle":"","family":"Hashimoto","given":"Masakazu","non-dropping-particle":"","parse-names":false,"suffix":""},{"dropping-particle":"","family":"Yamashita","given":"Yukiko","non-dropping-particle":"","parse-names":false,"suffix":""},{"dropping-particle":"","family":"Takemoto","given":"Tatsuya","non-dropping-particle":"","parse-names":false,"suffix":""}],"container-title":"Developmental Biology","id":"ITEM-1","issue":"1","issued":{"date-parts":[["2016","10","1"]]},"page":"1-9","publisher":"Academic Press Inc.","title":"Electroporation of Cas9 protein/sgRNA into early pronuclear zygotes generates non-mosaic mutants in the mouse","type":"article-journal","volume":"418"},"uris":["http://www.mendeley.com/documents/?uuid=f580276a-a9f3-3197-8aa8-6906e41983e5"]}],"mendeley":{"formattedCitation":"(20)","plainTextFormattedCitation":"(20)","previouslyFormattedCitation":"(20)"},"properties":{"noteIndex":0},"schema":"https://github.com/citation-style-language/schema/raw/master/csl-citation.json"}</w:instrText>
      </w:r>
      <w:r w:rsidR="00111828">
        <w:fldChar w:fldCharType="separate"/>
      </w:r>
      <w:r w:rsidR="00CB2D23" w:rsidRPr="00CB2D23">
        <w:rPr>
          <w:noProof/>
        </w:rPr>
        <w:t>(20)</w:t>
      </w:r>
      <w:r w:rsidR="00111828">
        <w:fldChar w:fldCharType="end"/>
      </w:r>
      <w:r w:rsidR="00111828">
        <w:t xml:space="preserve"> or only purified by</w:t>
      </w:r>
      <w:r w:rsidR="000A6147">
        <w:t xml:space="preserve"> using</w:t>
      </w:r>
      <w:r w:rsidR="00111828">
        <w:t xml:space="preserve"> Ni-NTA columns and extensive washing to remove leftover LPS </w:t>
      </w:r>
      <w:r w:rsidR="00111828">
        <w:fldChar w:fldCharType="begin" w:fldLock="1"/>
      </w:r>
      <w:r w:rsidR="00BD5A59">
        <w:instrText xml:space="preserve">ADDIN CSL_CITATION {"citationItems":[{"id":"ITEM-1","itemData":{"DOI":"10.1039/c4cc04730c","ISSN":"1364548X","PMID":"25133322","abstract":"Fluorescent protein biosensors are typically implemented via genetic encoding which makes the examination of scarce cell samples impractical. By directly delivering the protein form of the biosensor into cells using electroporation, we detected intracellular molecular activity with the sample size down to </w:instrText>
      </w:r>
      <w:r w:rsidR="00BD5A59">
        <w:rPr>
          <w:rFonts w:ascii="Cambria Math" w:hAnsi="Cambria Math" w:cs="Cambria Math"/>
        </w:rPr>
        <w:instrText>∼</w:instrText>
      </w:r>
      <w:r w:rsidR="00BD5A59">
        <w:instrText>100 cells with high spatiotemporal resolution. © Partner Organisations 2014.","author":[{"dropping-particle":"","family":"Sun","given":"Chen","non-dropping-particle":"","parse-names":false,"suffix":""},{"dropping-particle":"","family":"Ouyang","given":"Mingxing","non-dropping-particle":"","parse-names":false,"suffix":""},{"dropping-particle":"","family":"Cao","given":"Zhenning","non-dropping-particle":"","parse-names":false,"suffix":""},{"dropping-particle":"","family":"Ma","given":"Sai","non-dropping-particle":"","parse-names":false,"suffix":""},{"dropping-particle":"","family":"Alqublan","given":"Hamzeh","non-dropping-particle":"","parse-names":false,"suffix":""},{"dropping-particle":"","family":"Sriranganathan","given":"Nammalwar","non-dropping-particle":"","parse-names":false,"suffix":""},{"dropping-particle":"","family":"Wang","given":"Yingxiao","non-dropping-particle":"","parse-names":false,"suffix":""},{"dropping-particle":"","family":"Lu","given":"Chang","non-dropping-particle":"","parse-names":false,"suffix":""}],"container-title":"Chemical Communications","id":"ITEM-1","issue":"78","issued":{"date-parts":[["2014"]]},"page":"11536-11539","publisher":"Royal Society of Chemistry","title":"Electroporation-delivered fluorescent protein biosensors for probing molecular activities in cells without genetic encoding","type":"article-journal","volume":"50"},"uris":["http://www.mendeley.com/documents/?uuid=088303b5-70b4-4a84-bf50-139aabec7709"]}],"mendeley":{"formattedCitation":"(21)","plainTextFormattedCitation":"(21)","previouslyFormattedCitation":"(21)"},"properties":{"noteIndex":0},"schema":"https://github.com/citation-style-language/schema/raw/master/csl-citation.json"}</w:instrText>
      </w:r>
      <w:r w:rsidR="00111828">
        <w:fldChar w:fldCharType="separate"/>
      </w:r>
      <w:r w:rsidR="00CB2D23" w:rsidRPr="00CB2D23">
        <w:rPr>
          <w:noProof/>
        </w:rPr>
        <w:t>(21)</w:t>
      </w:r>
      <w:r w:rsidR="00111828">
        <w:fldChar w:fldCharType="end"/>
      </w:r>
      <w:r w:rsidR="00111828">
        <w:t>.</w:t>
      </w:r>
      <w:r>
        <w:t xml:space="preserve"> However, in the case where the protein is not commercially </w:t>
      </w:r>
      <w:r w:rsidR="000A6147">
        <w:t>available</w:t>
      </w:r>
      <w:r>
        <w:t xml:space="preserve"> or a higher purity is needed, a low-affinity column such as Ni-NTA is not sufficient. As such, it is essential to incorporate FPLC into the purification methods, to obtain a higher protein purity</w:t>
      </w:r>
      <w:r w:rsidR="000A6147">
        <w:t xml:space="preserve"> </w:t>
      </w:r>
      <w:r>
        <w:fldChar w:fldCharType="begin" w:fldLock="1"/>
      </w:r>
      <w:r w:rsidR="00BD5A59">
        <w:instrText>ADDIN CSL_CITATION {"citationItems":[{"id":"ITEM-1","itemData":{"DOI":"10.1038/nmeth.f.202","author":[{"dropping-particle":"","family":"Gräslund","given":"Susanne","non-dropping-particle":"","parse-names":false,"suffix":""},{"dropping-particle":"","family":"Nordlund","given":"Pär","non-dropping-particle":"","parse-names":false,"suffix":""},{"dropping-particle":"","family":"Weigelt","given":"Johan","non-dropping-particle":"","parse-names":false,"suffix":""},{"dropping-particle":"","family":"Martin Hallberg","given":"B","non-dropping-particle":"","parse-names":false,"suffix":""},{"dropping-particle":"","family":"Bray","given":"James","non-dropping-particle":"","parse-names":false,"suffix":""},{"dropping-particle":"","family":"Gileadi","given":"Opher","non-dropping-particle":"","parse-names":false,"suffix":""},{"dropping-particle":"","family":"Knapp","given":"Stefan","non-dropping-particle":"","parse-names":false,"suffix":""},{"dropping-particle":"","family":"Oppermann","given":"Udo","non-dropping-particle":"","parse-names":false,"suffix":""},{"dropping-particle":"","family":"Arrowsmith","given":"Cheryl","non-dropping-particle":"","parse-names":false,"suffix":""},{"dropping-particle":"","family":"Hui","given":"Raymond","non-dropping-particle":"","parse-names":false,"suffix":""},{"dropping-particle":"","family":"Ming","given":"Jinrong","non-dropping-particle":"","parse-names":false,"suffix":""},{"dropping-particle":"","family":"dhe-Paganon","given":"Sirano","non-dropping-particle":"","parse-names":false,"suffix":""},{"dropping-particle":"","family":"Park","given":"Hee-won","non-dropping-particle":"","parse-names":false,"suffix":""},{"dropping-particle":"","family":"Savchenko","given":"Alexei","non-dropping-particle":"","parse-names":false,"suffix":""},{"dropping-particle":"","family":"Yee","given":"Adelinda","non-dropping-particle":"","parse-names":false,"suffix":""},{"dropping-particle":"","family":"Edwards","given":"Aled","non-dropping-particle":"","parse-names":false,"suffix":""},{"dropping-particle":"","family":"Vincentelli","given":"Renaud","non-dropping-particle":"","parse-names":false,"suffix":""},{"dropping-particle":"","family":"Cambillau","given":"Christian","non-dropping-particle":"","parse-names":false,"suffix":""},{"dropping-particle":"","family":"Kim","given":"Rosalind","non-dropping-particle":"","parse-names":false,"suffix":""},{"dropping-particle":"","family":"Kim","given":"Sung-Hou","non-dropping-particle":"","parse-names":false,"suffix":""},{"dropping-particle":"","family":"Rao","given":"Zihe","non-dropping-particle":"","parse-names":false,"suffix":""},{"dropping-particle":"","family":"Shi","given":"Yunyu","non-dropping-particle":"","parse-names":false,"suffix":""},{"dropping-particle":"","family":"Terwilliger","given":"Thomas C","non-dropping-particle":"","parse-names":false,"suffix":""},{"dropping-particle":"","family":"Kim","given":"Chang-Yub","non-dropping-particle":"","parse-names":false,"suffix":""},{"dropping-particle":"","family":"Hung","given":"Li-Wei","non-dropping-particle":"","parse-names":false,"suffix":""},{"dropping-particle":"","family":"Waldo","given":"Geoffrey S","non-dropping-particle":"","parse-names":false,"suffix":""},{"dropping-particle":"","family":"Peleg","given":"Yoav","non-dropping-particle":"","parse-names":false,"suffix":""},{"dropping-particle":"","family":"Albeck","given":"Shira","non-dropping-particle":"","parse-names":false,"suffix":""},{"dropping-particle":"","family":"Unger","given":"Tamar","non-dropping-particle":"","parse-names":false,"suffix":""},{"dropping-particle":"","family":"Zhou","given":"Min","non-dropping-particle":"","parse-names":false,"suffix":""},{"dropping-particle":"","family":"Burley","given":"Stephen K","non-dropping-particle":"","parse-names":false,"suffix":""},{"dropping-particle":"","family":"Spencer Emtage","given":"J","non-dropping-particle":"","parse-names":false,"suffix":""},{"dropping-particle":"","family":"Michael Sauder","given":"J","non-dropping-particle":"","parse-names":false,"suffix":""},{"dropping-particle":"","family":"Thompson","given":"Devon","non-dropping-particle":"","parse-names":false,"suffix":""},{"dropping-particle":"","family":"Bain","given":"Kevin","non-dropping-particle":"","parse-names":false,"suffix":""},{"dropping-particle":"","family":"Luz","given":"John","non-dropping-particle":"","parse-names":false,"suffix":""},{"dropping-particle":"","family":"Gheyi","given":"Tarun","non-dropping-particle":"","parse-names":false,"suffix":""},{"dropping-particle":"","family":"Zhang","given":"Fred","non-dropping-particle":"","parse-names":false,"suffix":""},{"dropping-particle":"","family":"Atwell","given":"Shane","non-dropping-particle":"","parse-names":false,"suffix":""},{"dropping-particle":"","family":"Almo","given":"Steven C","non-dropping-particle":"","parse-names":false,"suffix":""}],"container-title":"Shigeyuki Yokoyama","id":"ITEM-1","issue":"2","issued":{"date-parts":[["2008"]]},"page":"135-146","title":"Protein production and purification","type":"article-journal","volume":"18"},"uris":["http://www.mendeley.com/documents/?uuid=7fd4fed0-2842-3ddd-b42f-63599ef6288d"]}],"mendeley":{"formattedCitation":"(22)","plainTextFormattedCitation":"(22)","previouslyFormattedCitation":"(22)"},"properties":{"noteIndex":0},"schema":"https://github.com/citation-style-language/schema/raw/master/csl-citation.json"}</w:instrText>
      </w:r>
      <w:r>
        <w:fldChar w:fldCharType="separate"/>
      </w:r>
      <w:r w:rsidR="00CB2D23" w:rsidRPr="00CB2D23">
        <w:rPr>
          <w:noProof/>
        </w:rPr>
        <w:t>(22)</w:t>
      </w:r>
      <w:r>
        <w:fldChar w:fldCharType="end"/>
      </w:r>
      <w:r w:rsidR="000A6147">
        <w:t xml:space="preserve">. In our experiments, we have shown that by using FPLC, we can obtain a high </w:t>
      </w:r>
      <w:r w:rsidR="002C67F1">
        <w:t>purity</w:t>
      </w:r>
      <w:r w:rsidR="000A6147">
        <w:t xml:space="preserve"> protein which can be electroporated into cells</w:t>
      </w:r>
      <w:r w:rsidR="002C67F1">
        <w:t xml:space="preserve">. </w:t>
      </w:r>
    </w:p>
    <w:p w14:paraId="21B353F7" w14:textId="44C26266" w:rsidR="000A6147" w:rsidRDefault="000A6147" w:rsidP="000A6147">
      <w:pPr>
        <w:pStyle w:val="Kop2"/>
      </w:pPr>
      <w:bookmarkStart w:id="18" w:name="_Toc85744697"/>
      <w:r>
        <w:t>Generation of non-canonical peptides</w:t>
      </w:r>
      <w:bookmarkEnd w:id="18"/>
    </w:p>
    <w:p w14:paraId="7045AF1B" w14:textId="04EA2C9B" w:rsidR="000A6147" w:rsidRPr="00540387" w:rsidRDefault="001641F7" w:rsidP="000A6147">
      <w:r>
        <w:t xml:space="preserve">Previously, it was already established that non-canonical peptides </w:t>
      </w:r>
      <w:r w:rsidR="00540387">
        <w:t xml:space="preserve">and the LLO SP </w:t>
      </w:r>
      <w:r>
        <w:t xml:space="preserve">could be generated </w:t>
      </w:r>
      <w:r>
        <w:rPr>
          <w:i/>
          <w:iCs/>
        </w:rPr>
        <w:t>in vitro</w:t>
      </w:r>
      <w:r>
        <w:t xml:space="preserve"> using </w:t>
      </w:r>
      <w:r w:rsidR="00540387">
        <w:t xml:space="preserve">LLO-derived </w:t>
      </w:r>
      <w:r>
        <w:t xml:space="preserve">polypeptide substrates and purified proteasomes </w:t>
      </w:r>
      <w:r w:rsidR="00540387">
        <w:fldChar w:fldCharType="begin" w:fldLock="1"/>
      </w:r>
      <w:r w:rsidR="00117604">
        <w:instrText>ADDIN CSL_CITATION {"citationItems":[{"id":"ITEM-1","itemData":{"DOI":"10.1002/eji.201545989","ISSN":"00142980","abstract":"CD8+ T cells responding to infection recognize pathogen-derived epitopes presented by MHC class-I molecules. While most of such epitopes are generated by proteasome-mediated antigen cleavage, analysis of tumor antigen processing has revealed that epitopes may also derive from proteasome-catalyzed peptide splicing (PCPS). To determine whether PCPS contributes to epitope processing during infection, we analyzed the fragments produced by purified proteasomes from a Listeria monocytogenes polypeptide. Mass spectrometry identified a known H-2Kb-presented linear epitope (LLO296-304) in the digests, as well as four spliced peptides that were trimmed by ERAP into peptides with in silico predicted H-2Kb binding affinity. These spliced peptides, which displayed sequence similarity with LLO296-304, bound to H-2Kb molecules in cellular assays and one of the peptides was recognized by CD8+ T cells of infected mice. This spliced epitope differed by one amino acid from LLO296-304 and double staining with LLO296-304- and spliced peptide-folded MHC multimers showed that LLO296-304 and its spliced variant were recognized by the same CD8+ T cells. Thus, PCPS multiplies the variety of peptides that is processed from an antigen and leads to the production of epitope variants that can be recognized by cross-reacting pathogen-specific CD8+ T cells. Such mechanism may reduce the chances for pathogen immune evasion.","author":[{"dropping-particle":"","family":"Platteel","given":"Anouk C. M.","non-dropping-particle":"","parse-names":false,"suffix":""},{"dropping-particle":"","family":"Mishto","given":"Michele","non-dropping-particle":"","parse-names":false,"suffix":""},{"dropping-particle":"","family":"Textoris-Taube","given":"Kathrin","non-dropping-particle":"","parse-names":false,"suffix":""},{"dropping-particle":"","family":"Keller","given":"Christin","non-dropping-particle":"","parse-names":false,"suffix":""},{"dropping-particle":"","family":"Liepe","given":"Juliane","non-dropping-particle":"","parse-names":false,"suffix":""},{"dropping-particle":"","family":"Busch","given":"Dirk H.","non-dropping-particle":"","parse-names":false,"suffix":""},{"dropping-particle":"","family":"Kloetzel","given":"Peter M.","non-dropping-particle":"","parse-names":false,"suffix":""},{"dropping-particle":"","family":"Sijts","given":"Alice J. A. M.","non-dropping-particle":"","parse-names":false,"suffix":""}],"container-title":"European Journal of Immunology","id":"ITEM-1","issue":"5","issued":{"date-parts":[["2016","5","1"]]},"page":"1109-1118","publisher":"Wiley-VCH Verlag","title":"CD8 &lt;sup&gt;+&lt;/sup&gt; T cells of &lt;i&gt;Listeria monocytogenes-&lt;/i&gt; infected mice recognize both linear and spliced proteasome products","type":"article-journal","volume":"46"},"uris":["http://www.mendeley.com/documents/?uuid=6f9db1d8-1886-3de7-a840-fb6410ffaff6"]}],"mendeley":{"formattedCitation":"(14)","plainTextFormattedCitation":"(14)","previouslyFormattedCitation":"(14)"},"properties":{"noteIndex":0},"schema":"https://github.com/citation-style-language/schema/raw/master/csl-citation.json"}</w:instrText>
      </w:r>
      <w:r w:rsidR="00540387">
        <w:fldChar w:fldCharType="separate"/>
      </w:r>
      <w:r w:rsidR="00117604" w:rsidRPr="00117604">
        <w:rPr>
          <w:noProof/>
        </w:rPr>
        <w:t>(14)</w:t>
      </w:r>
      <w:r w:rsidR="00540387">
        <w:fldChar w:fldCharType="end"/>
      </w:r>
      <w:r w:rsidR="00540387">
        <w:t xml:space="preserve">. </w:t>
      </w:r>
      <w:r w:rsidR="00117604">
        <w:t xml:space="preserve">Relevance in an immunological context was also shown by the identification of reactivity to spliced epitopes by CD8+ T cells, after infection with </w:t>
      </w:r>
      <w:r w:rsidR="00117604" w:rsidRPr="00117604">
        <w:rPr>
          <w:i/>
          <w:iCs/>
        </w:rPr>
        <w:t>L. monocytogenes</w:t>
      </w:r>
      <w:r w:rsidR="00117604">
        <w:rPr>
          <w:i/>
          <w:iCs/>
        </w:rPr>
        <w:t xml:space="preserve"> </w:t>
      </w:r>
      <w:r w:rsidR="00117604">
        <w:rPr>
          <w:i/>
          <w:iCs/>
        </w:rPr>
        <w:fldChar w:fldCharType="begin" w:fldLock="1"/>
      </w:r>
      <w:r w:rsidR="00BD5A59">
        <w:rPr>
          <w:i/>
          <w:iCs/>
        </w:rPr>
        <w:instrText>ADDIN CSL_CITATION {"citationItems":[{"id":"ITEM-1","itemData":{"DOI":"10.1016/j.celrep.2017.07.026","ISSN":"22111247","PMID":"28768206","abstract":"Proteasome-catalyzed peptide splicing (PCPS) generates peptides that are presented by MHC class I molecules, but because their identification is challenging, the immunological relevance of spliced peptides remains unclear. Here, we developed a reverse immunology-based multi-level approach to identify proteasome-generated spliced epitopes. Applying this strategy to a murine Listeria monocytogenes infection model, we identified two spliced epitopes within the secreted bacterial phospholipase PlcB that primed antigen-specific CD8+ T cells in L. monocytogenes-infected mice. While reacting to the spliced epitopes, these CD8+ T cells failed to recognize the non-spliced peptide parts in the context of their natural flanking sequences. Thus, we here show that PCPS expands the CD8+ T cell response against L. monocytogenes by exposing spliced epitopes on the cell surface. Moreover, our multi-level strategy opens up opportunities to systematically investigate proteins for spliced epitope candidates and thus strategies for immunotherapies or vaccine design.","author":[{"dropping-particle":"","family":"Platteel","given":"Anouk C.M.","non-dropping-particle":"","parse-names":false,"suffix":""},{"dropping-particle":"","family":"Liepe","given":"Juliane","non-dropping-particle":"","parse-names":false,"suffix":""},{"dropping-particle":"","family":"Textoris-Taube","given":"Kathrin","non-dropping-particle":"","parse-names":false,"suffix":""},{"dropping-particle":"","family":"Keller","given":"Christin","non-dropping-particle":"","parse-names":false,"suffix":""},{"dropping-particle":"","family":"Henklein","given":"Petra","non-dropping-particle":"","parse-names":false,"suffix":""},{"dropping-particle":"","family":"Schalkwijk","given":"Hanna H.","non-dropping-particle":"","parse-names":false,"suffix":""},{"dropping-particle":"","family":"Cardoso","given":"Rebeca","non-dropping-particle":"","parse-names":false,"suffix":""},{"dropping-particle":"","family":"Kloetzel","given":"Peter M.","non-dropping-particle":"","parse-names":false,"suffix":""},{"dropping-particle":"","family":"Mishto","given":"Michele","non-dropping-particle":"","parse-names":false,"suffix":""},{"dropping-particle":"","family":"Sijts","given":"Alice J.A.M.","non-dropping-particle":"","parse-names":false,"suffix":""}],"container-title":"Cell Reports","id":"ITEM-1","issue":"5","issued":{"date-parts":[["2017"]]},"page":"1242-1253","publisher":"ElsevierCompany.","title":"Multi-level Strategy for Identifying Proteasome-Catalyzed Spliced Epitopes Targeted by CD8+ T Cells during Bacterial Infection","type":"article-journal","volume":"20"},"uris":["http://www.mendeley.com/documents/?uuid=045d5c4d-a284-4714-af58-dd22849b80d6"]}],"mendeley":{"formattedCitation":"(23)","plainTextFormattedCitation":"(23)","previouslyFormattedCitation":"(23)"},"properties":{"noteIndex":0},"schema":"https://github.com/citation-style-language/schema/raw/master/csl-citation.json"}</w:instrText>
      </w:r>
      <w:r w:rsidR="00117604">
        <w:rPr>
          <w:i/>
          <w:iCs/>
        </w:rPr>
        <w:fldChar w:fldCharType="separate"/>
      </w:r>
      <w:r w:rsidR="00CB2D23" w:rsidRPr="00CB2D23">
        <w:rPr>
          <w:iCs/>
          <w:noProof/>
        </w:rPr>
        <w:t>(23)</w:t>
      </w:r>
      <w:r w:rsidR="00117604">
        <w:rPr>
          <w:i/>
          <w:iCs/>
        </w:rPr>
        <w:fldChar w:fldCharType="end"/>
      </w:r>
      <w:r w:rsidR="00117604">
        <w:t xml:space="preserve">. </w:t>
      </w:r>
      <w:r w:rsidR="00540387" w:rsidRPr="00117604">
        <w:t>By</w:t>
      </w:r>
      <w:r w:rsidR="00540387">
        <w:t xml:space="preserve"> combining the electroporation techniques with the B3Z assay, we have established that this process is also able to take place intracellularly. Due to the absence of DNA/RNA in the protein samples, we are also able to conclude that the non-canonical peptides were not generated as a consequence of RNA editing </w:t>
      </w:r>
      <w:r w:rsidR="00540387">
        <w:fldChar w:fldCharType="begin" w:fldLock="1"/>
      </w:r>
      <w:r w:rsidR="00117604">
        <w:instrText>ADDIN CSL_CITATION {"citationItems":[{"id":"ITEM-1","itemData":{"DOI":"10.1038/s41467-018-06405-9","ISSN":"20411723","PMID":"30254248","abstract":"In addition to genomic mutations, RNA editing is another major mechanism creating sequence variations in proteins by introducing nucleotide changes in mRNA sequences. Deregulated RNA editing contributes to different types of human diseases, including cancers. Here we report that peptides generated as a consequence of RNA editing are indeed naturally presented by human leukocyte antigen (HLA) molecules. We provide evidence that effector CD8+ T cells specific for edited peptides derived from cyclin I are present in human tumours and attack tumour cells that are presenting these epitopes. We show that subpopulations of cancer patients have increased peptide levels and that levels of edited RNA correlate with peptide copy numbers. These findings demonstrate that RNA editing extends the classes of HLA presented self-antigens and that these antigens can be recognised by the immune system.","author":[{"dropping-particle":"","family":"Zhang","given":"Minying","non-dropping-particle":"","parse-names":false,"suffix":""},{"dropping-particle":"","family":"Fritsche","given":"Jens","non-dropping-particle":"","parse-names":false,"suffix":""},{"dropping-particle":"","family":"Roszik","given":"Jason","non-dropping-particle":"","parse-names":false,"suffix":""},{"dropping-particle":"","family":"Williams","given":"Leila J.","non-dropping-particle":"","parse-names":false,"suffix":""},{"dropping-particle":"","family":"Peng","given":"Xinxin","non-dropping-particle":"","parse-names":false,"suffix":""},{"dropping-particle":"","family":"Chiu","given":"Yulun","non-dropping-particle":"","parse-names":false,"suffix":""},{"dropping-particle":"","family":"Tsou","given":"Chih Chiang","non-dropping-particle":"","parse-names":false,"suffix":""},{"dropping-particle":"","family":"Hoffgaard","given":"Franziska","non-dropping-particle":"","parse-names":false,"suffix":""},{"dropping-particle":"","family":"Goldfinger","given":"Valentina","non-dropping-particle":"","parse-names":false,"suffix":""},{"dropping-particle":"","family":"Schoor","given":"Oliver","non-dropping-particle":"","parse-names":false,"suffix":""},{"dropping-particle":"","family":"Talukder","given":"Amjad","non-dropping-particle":"","parse-names":false,"suffix":""},{"dropping-particle":"","family":"Forget","given":"Marie A.","non-dropping-particle":"","parse-names":false,"suffix":""},{"dropping-particle":"","family":"Haymaker","given":"Cara","non-dropping-particle":"","parse-names":false,"suffix":""},{"dropping-particle":"","family":"Bernatchez","given":"Chantale","non-dropping-particle":"","parse-names":false,"suffix":""},{"dropping-particle":"","family":"Han","given":"Leng","non-dropping-particle":"","parse-names":false,"suffix":""},{"dropping-particle":"","family":"Tsang","given":"Yiu Huen","non-dropping-particle":"","parse-names":false,"suffix":""},{"dropping-particle":"","family":"Kong","given":"Kathleen","non-dropping-particle":"","parse-names":false,"suffix":""},{"dropping-particle":"","family":"Xu","given":"Xiaoyan","non-dropping-particle":"","parse-names":false,"suffix":""},{"dropping-particle":"","family":"Scott","given":"Kenneth L.","non-dropping-particle":"","parse-names":false,"suffix":""},{"dropping-particle":"","family":"Singh-Jasuja","given":"Harpreet","non-dropping-particle":"","parse-names":false,"suffix":""},{"dropping-particle":"","family":"Lizee","given":"Greg","non-dropping-particle":"","parse-names":false,"suffix":""},{"dropping-particle":"","family":"Liang","given":"Han","non-dropping-particle":"","parse-names":false,"suffix":""},{"dropping-particle":"","family":"Weinschenk","given":"Toni","non-dropping-particle":"","parse-names":false,"suffix":""},{"dropping-particle":"","family":"Mills","given":"Gordon B.","non-dropping-particle":"","parse-names":false,"suffix":""},{"dropping-particle":"","family":"Hwu","given":"Patrick","non-dropping-particle":"","parse-names":false,"suffix":""}],"container-title":"Nature Communications","id":"ITEM-1","issue":"1","issued":{"date-parts":[["2018","12","1"]]},"page":"1-10","publisher":"Nature Publishing Group","title":"RNA editing derived epitopes function as cancer antigens to elicit immune responses","type":"article-journal","volume":"9"},"uris":["http://www.mendeley.com/documents/?uuid=708333b8-ad54-3967-a0d7-1290f5716113"]}],"mendeley":{"formattedCitation":"(15)","plainTextFormattedCitation":"(15)","previouslyFormattedCitation":"(15)"},"properties":{"noteIndex":0},"schema":"https://github.com/citation-style-language/schema/raw/master/csl-citation.json"}</w:instrText>
      </w:r>
      <w:r w:rsidR="00540387">
        <w:fldChar w:fldCharType="separate"/>
      </w:r>
      <w:r w:rsidR="00117604" w:rsidRPr="00117604">
        <w:rPr>
          <w:noProof/>
        </w:rPr>
        <w:t>(15)</w:t>
      </w:r>
      <w:r w:rsidR="00540387">
        <w:fldChar w:fldCharType="end"/>
      </w:r>
      <w:r w:rsidR="00540387">
        <w:t xml:space="preserve"> or derived from noncoding regions in the genome </w:t>
      </w:r>
      <w:r w:rsidR="00540387">
        <w:fldChar w:fldCharType="begin" w:fldLock="1"/>
      </w:r>
      <w:r w:rsidR="00117604">
        <w:instrText>ADDIN CSL_CITATION {"citationItems":[{"id":"ITEM-1","itemData":{"DOI":"10.1038/s41467-020-14968-9","ISSN":"20411723","PMID":"32157095","abstract":"Efforts to precisely identify tumor human leukocyte antigen (HLA) bound peptides capable of mediating T cell-based tumor rejection still face important challenges. Recent studies suggest that non-canonical tumor-specific HLA peptides derived from annotated non-coding regions could elicit anti-tumor immune responses. However, sensitive and accurate mass spectrometry (MS)-based proteogenomics approaches are required to robustly identify these non-canonical peptides. We present an MS-based analytical approach that characterizes the non-canonical tumor HLA peptide repertoire, by incorporating whole exome sequencing, bulk and single-cell transcriptomics, ribosome profiling, and two MS/MS search tools in combination. This approach results in the accurate identification of hundreds of shared and tumor-specific non-canonical HLA peptides, including an immunogenic peptide derived from an open reading frame downstream of the melanoma stem cell marker gene ABCB5. These findings hold great promise for the discovery of previously unknown tumor antigens for cancer immunotherapy.","author":[{"dropping-particle":"","family":"Chong","given":"Chloe","non-dropping-particle":"","parse-names":false,"suffix":""},{"dropping-particle":"","family":"Müller","given":"Markus","non-dropping-particle":"","parse-names":false,"suffix":""},{"dropping-particle":"","family":"Pak","given":"Hui Song","non-dropping-particle":"","parse-names":false,"suffix":""},{"dropping-particle":"","family":"Harnett","given":"Dermot","non-dropping-particle":"","parse-names":false,"suffix":""},{"dropping-particle":"","family":"Huber","given":"Florian","non-dropping-particle":"","parse-names":false,"suffix":""},{"dropping-particle":"","family":"Grun","given":"Delphine","non-dropping-particle":"","parse-names":false,"suffix":""},{"dropping-particle":"","family":"Leleu","given":"Marion","non-dropping-particle":"","parse-names":false,"suffix":""},{"dropping-particle":"","family":"Auger","given":"Aymeric","non-dropping-particle":"","parse-names":false,"suffix":""},{"dropping-particle":"","family":"Arnaud","given":"Marion","non-dropping-particle":"","parse-names":false,"suffix":""},{"dropping-particle":"","family":"Stevenson","given":"Brian J.","non-dropping-particle":"","parse-names":false,"suffix":""},{"dropping-particle":"","family":"Michaux","given":"Justine","non-dropping-particle":"","parse-names":false,"suffix":""},{"dropping-particle":"","family":"Bilic","given":"Ilija","non-dropping-particle":"","parse-names":false,"suffix":""},{"dropping-particle":"","family":"Hirsekorn","given":"Antje","non-dropping-particle":"","parse-names":false,"suffix":""},{"dropping-particle":"","family":"Calviello","given":"Lorenzo","non-dropping-particle":"","parse-names":false,"suffix":""},{"dropping-particle":"","family":"Simó-Riudalbas","given":"Laia","non-dropping-particle":"","parse-names":false,"suffix":""},{"dropping-particle":"","family":"Planet","given":"Evarist","non-dropping-particle":"","parse-names":false,"suffix":""},{"dropping-particle":"","family":"Lubiński","given":"Jan","non-dropping-particle":"","parse-names":false,"suffix":""},{"dropping-particle":"","family":"Bryśkiewicz","given":"Marta","non-dropping-particle":"","parse-names":false,"suffix":""},{"dropping-particle":"","family":"Wiznerowicz","given":"Maciej","non-dropping-particle":"","parse-names":false,"suffix":""},{"dropping-particle":"","family":"Xenarios","given":"Ioannis","non-dropping-particle":"","parse-names":false,"suffix":""},{"dropping-particle":"","family":"Zhang","given":"Lin","non-dropping-particle":"","parse-names":false,"suffix":""},{"dropping-particle":"","family":"Trono","given":"Didier","non-dropping-particle":"","parse-names":false,"suffix":""},{"dropping-particle":"","family":"Harari","given":"Alexandre","non-dropping-particle":"","parse-names":false,"suffix":""},{"dropping-particle":"","family":"Ohler","given":"Uwe","non-dropping-particle":"","parse-names":false,"suffix":""},{"dropping-particle":"","family":"Coukos","given":"George","non-dropping-particle":"","parse-names":false,"suffix":""},{"dropping-particle":"","family":"Bassani-Sternberg","given":"Michal","non-dropping-particle":"","parse-names":false,"suffix":""}],"container-title":"Nature Communications","id":"ITEM-1","issue":"1","issued":{"date-parts":[["2020"]]},"title":"Integrated proteogenomic deep sequencing and analytics accurately identify non-canonical peptides in tumor immunopeptidomes","type":"article-journal","volume":"11"},"uris":["http://www.mendeley.com/documents/?uuid=75b2b31c-5447-43b0-a9a2-b2627110b065"]}],"mendeley":{"formattedCitation":"(16)","plainTextFormattedCitation":"(16)","previouslyFormattedCitation":"(16)"},"properties":{"noteIndex":0},"schema":"https://github.com/citation-style-language/schema/raw/master/csl-citation.json"}</w:instrText>
      </w:r>
      <w:r w:rsidR="00540387">
        <w:fldChar w:fldCharType="separate"/>
      </w:r>
      <w:r w:rsidR="00117604" w:rsidRPr="00117604">
        <w:rPr>
          <w:noProof/>
        </w:rPr>
        <w:t>(16)</w:t>
      </w:r>
      <w:r w:rsidR="00540387">
        <w:fldChar w:fldCharType="end"/>
      </w:r>
      <w:r w:rsidR="00540387">
        <w:t>. Taken together, this implicates that Proteasome Catalysed Peptide Splicing can be a source of non-canonical peptide splicing in the cell</w:t>
      </w:r>
      <w:r w:rsidR="00D10686">
        <w:t>, independent of the transcription-translation process</w:t>
      </w:r>
      <w:r w:rsidR="00540387">
        <w:t>.</w:t>
      </w:r>
    </w:p>
    <w:p w14:paraId="1E49D1F2" w14:textId="2DC8F27C" w:rsidR="000A6147" w:rsidRPr="000A6147" w:rsidRDefault="000A6147" w:rsidP="000A6147">
      <w:pPr>
        <w:pStyle w:val="Kop2"/>
      </w:pPr>
      <w:bookmarkStart w:id="19" w:name="_Toc85744698"/>
      <w:r>
        <w:t xml:space="preserve">Electroporation as a viable alternative to study the generation of non-canonical peptides </w:t>
      </w:r>
      <w:r w:rsidR="00540387">
        <w:t>in a cellular context</w:t>
      </w:r>
      <w:bookmarkEnd w:id="19"/>
    </w:p>
    <w:p w14:paraId="414738CA" w14:textId="73AD3066" w:rsidR="000F5F4C" w:rsidRDefault="00245FB0" w:rsidP="00245FB0">
      <w:r>
        <w:t xml:space="preserve">In this report, we have shown that electroporation of proteins is an effective and viable alternative to DNA electroporation and viral vectors to get proteins inside a cell. We have shown that cells electroporated with protein are still able to process this protein using its proteasome and express peptides derived from the electroporated protein on the cell surface. </w:t>
      </w:r>
      <w:r w:rsidR="000F5F4C">
        <w:t xml:space="preserve">Subsequent antigen recognition by specialised cells is also present, as was also seen in the research done by </w:t>
      </w:r>
      <w:r w:rsidR="00552730">
        <w:t xml:space="preserve">Chen et al. </w:t>
      </w:r>
      <w:r w:rsidR="00552730">
        <w:fldChar w:fldCharType="begin" w:fldLock="1"/>
      </w:r>
      <w:r w:rsidR="00BD5A59">
        <w:instrText>ADDIN CSL_CITATION {"citationItems":[{"id":"ITEM-1","itemData":{"DOI":"10.1016/0022-1759(93)90007-T","ISSN":"00221759","PMID":"7680698","abstract":"Class I major histocompatibility complex (MHC)-restricted cytotoxic T lymphocyte responses to ovalbumin (OVA) were evaluated following delivery of soluble antigen mixed with commercial liposomes or by electroporation of soluble protein into target cells. Splenic antigen presenting cells (APC) and transfected L cell lines were sensitised for recognition by OVA-specific, class I-restricted T hybridomas when antigen was introduced by either method into live cells. Delivery of soluble OVA by both electroporation and commercial liposomes proved more efficient than osmotic loading in sensitising for class I presentation. OVA-specific cytotoxic T lymphocytes (CTL) were effectively primed in naive mice following reinjection of spleen cells pulsed with soluble OVA encapsulated by liposomes or electroporated in vitro. These CTL recognised the well defined OVA257-264 determinant in association with H-2Kb and were derived under conditions where CTL activity obtained from cross priming by soluble OVA alone was undetectable. In addition, using electroporation and commercial liposomes, the loading of APC for OVA recognition required intact MHC-linked antigen presentation genes deleted in the T2-Kb cell line. Antigen delivery to APC by electroporation and commercial liposomes provides a simple and efficient way of studying class I-restricted T cell recognition of soluble protein antigens. © 1993.","author":[{"dropping-particle":"","family":"Chen","given":"Weisan","non-dropping-particle":"","parse-names":false,"suffix":""},{"dropping-particle":"","family":"Carbone","given":"Francis R.","non-dropping-particle":"","parse-names":false,"suffix":""},{"dropping-particle":"","family":"McCluskey","given":"James","non-dropping-particle":"","parse-names":false,"suffix":""}],"container-title":"Journal of Immunological Methods","id":"ITEM-1","issue":"1","issued":{"date-parts":[["1993","1","1"]]},"page":"49-57","publisher":"Elsevier","title":"Electroporation and commercial liposomes efficiently deliver soluble protein into the MHC class I presentation pathway. Priming in vitro and in vivo for class I-restricted recognition of soluble antigen","type":"article-journal","volume":"160"},"uris":["http://www.mendeley.com/documents/?uuid=7ac2a434-2792-3719-9145-80049e3be47d"]}],"mendeley":{"formattedCitation":"(24)","plainTextFormattedCitation":"(24)","previouslyFormattedCitation":"(24)"},"properties":{"noteIndex":0},"schema":"https://github.com/citation-style-language/schema/raw/master/csl-citation.json"}</w:instrText>
      </w:r>
      <w:r w:rsidR="00552730">
        <w:fldChar w:fldCharType="separate"/>
      </w:r>
      <w:r w:rsidR="00CB2D23" w:rsidRPr="00CB2D23">
        <w:rPr>
          <w:noProof/>
        </w:rPr>
        <w:t>(24)</w:t>
      </w:r>
      <w:r w:rsidR="00552730">
        <w:fldChar w:fldCharType="end"/>
      </w:r>
    </w:p>
    <w:p w14:paraId="64C716FC" w14:textId="296AA51C" w:rsidR="001C51E1" w:rsidRDefault="00245FB0" w:rsidP="00245FB0">
      <w:r>
        <w:t xml:space="preserve">Additionally, we have indication that splicing can happen </w:t>
      </w:r>
      <w:r>
        <w:rPr>
          <w:i/>
          <w:iCs/>
        </w:rPr>
        <w:t>in vitro</w:t>
      </w:r>
      <w:r>
        <w:t xml:space="preserve"> with a </w:t>
      </w:r>
      <w:r w:rsidR="001C51E1">
        <w:t xml:space="preserve">peptide that was not originally present in the protein. </w:t>
      </w:r>
      <w:r w:rsidR="00073D57">
        <w:t xml:space="preserve">Papers studying factors involved in splicing focus on the internal amino acid sequences of the spliced peptide and try to extrapolate from that </w:t>
      </w:r>
      <w:r w:rsidR="00BD5A59">
        <w:t xml:space="preserve">if there are optimal amino acids at optimal positions </w:t>
      </w:r>
      <w:r w:rsidR="00BD5A59">
        <w:fldChar w:fldCharType="begin" w:fldLock="1"/>
      </w:r>
      <w:r w:rsidR="00BD5A59">
        <w:instrText>ADDIN CSL_CITATION {"citationItems":[{"id":"ITEM-1","itemData":{"DOI":"10.4049/jimmunol.1402455","abstract":"2015; 195:4085-4095; Prepublished online 23 J Immunol Material Supplementary 5.DCSupplemental http://www.jimmunol.org/content/suppl/2015/09/23/jimmunol.140245 References http://www.jimmunol.org/content/195/9/4085.full#ref-list-1 , 15 of which you can access for free at: cites 34 articles This article average * 4 weeks from acceptance to publication Fast Publication! • Every submission reviewed by practicing scientists No Triage! • from submission to initial decision Rapid Reviews! 30 days* • Submit online. ? The JI Why Subscription http://jimmunol.org/subscription is online at: The Journal of Immunology Information about subscribing to Permissions http://www.","author":[{"dropping-particle":"","family":"Ovaa Janssen","given":"Huib","non-dropping-particle":"","parse-names":false,"suffix":""},{"dropping-particle":"","family":"Neefjes","given":"Jacques J","non-dropping-particle":"","parse-names":false,"suffix":""},{"dropping-particle":"","family":"M Schumacher","given":"Ton N","non-dropping-particle":"","parse-names":false,"suffix":""},{"dropping-particle":"","family":"Schuurman","given":"Boris","non-dropping-particle":"","parse-names":false,"suffix":""},{"dropping-particle":"","family":"Linnemann","given":"Carsten","non-dropping-particle":"","parse-names":false,"suffix":""},{"dropping-particle":"","family":"Meiring","given":"Hugo D","non-dropping-particle":"","parse-names":false,"suffix":""},{"dropping-particle":"","family":"Celia Berkers","given":"Lennert R","non-dropping-particle":"","parse-names":false,"suffix":""},{"dropping-particle":"","family":"Jong","given":"Annemieke","non-dropping-particle":"de","parse-names":false,"suffix":""}],"id":"ITEM-1","issued":{"date-parts":[["2021"]]},"page":"2021","title":"Presentation by MHC Class I Molecules Rules for High-Efficiency Spliced Peptide Definition of Proteasomal Peptide Splicing Downloaded from","type":"article-journal","volume":"27"},"uris":["http://www.mendeley.com/documents/?uuid=08b8f0c9-a367-391d-bf5a-ddf9da103c81"]}],"mendeley":{"formattedCitation":"(25)","plainTextFormattedCitation":"(25)"},"properties":{"noteIndex":0},"schema":"https://github.com/citation-style-language/schema/raw/master/csl-citation.json"}</w:instrText>
      </w:r>
      <w:r w:rsidR="00BD5A59">
        <w:fldChar w:fldCharType="separate"/>
      </w:r>
      <w:r w:rsidR="00BD5A59" w:rsidRPr="00BD5A59">
        <w:rPr>
          <w:noProof/>
        </w:rPr>
        <w:t>(25)</w:t>
      </w:r>
      <w:r w:rsidR="00BD5A59">
        <w:fldChar w:fldCharType="end"/>
      </w:r>
      <w:r w:rsidR="001C51E1">
        <w:t xml:space="preserve">. </w:t>
      </w:r>
      <w:r w:rsidR="00BD5A59">
        <w:t xml:space="preserve">However, by removing and replacing the internal sequence of the original LLO SP, we can focus more if the flanking sequences around the peptide are important. As we have seen that splicing is still present without the same internal sequence, it would seem that the internal amino acid sequence is not solely responsible for the splicing process. </w:t>
      </w:r>
      <w:r w:rsidR="001C51E1">
        <w:t xml:space="preserve">Instead, the flanking sequences present in LLO seem to be </w:t>
      </w:r>
      <w:r w:rsidR="00BD5A59">
        <w:t xml:space="preserve">(in part) </w:t>
      </w:r>
      <w:r w:rsidR="001C51E1">
        <w:t>responsible for allowing the proteasome to create non-canonical peptides.</w:t>
      </w:r>
    </w:p>
    <w:p w14:paraId="1BDF1735" w14:textId="5CE20CB6" w:rsidR="00D10686" w:rsidRDefault="00D10686" w:rsidP="00245FB0">
      <w:r>
        <w:lastRenderedPageBreak/>
        <w:t>Through the generation of rLLO-SPLIT mutants, we have created a model protein that can be used in future research into PCPS. By making minor changes to the protein, it is possible to study the factors involved in PCPS in more detail. New mutants could contain mutations to the</w:t>
      </w:r>
      <w:r w:rsidR="00027918">
        <w:t xml:space="preserve"> internal or</w:t>
      </w:r>
      <w:r>
        <w:t xml:space="preserve"> flanking regions </w:t>
      </w:r>
      <w:r w:rsidR="00027918">
        <w:t xml:space="preserve">of the SP </w:t>
      </w:r>
      <w:r>
        <w:t>or a relocation of SPLIT-SIINFEKL to different positions in the protein. Additionally, since the rLLO-SPLIT3L mutant showed a higher fold change compared to the rLLO-SPLIT3A mutant, mutations in the linker sequence can also prove to be an avenue for better understanding of the mechanism behind PCPS.</w:t>
      </w:r>
      <w:r w:rsidR="00027918">
        <w:t xml:space="preserve"> Taking inspiration from studies identifying common splicing factors </w:t>
      </w:r>
      <w:r w:rsidR="00027918">
        <w:fldChar w:fldCharType="begin" w:fldLock="1"/>
      </w:r>
      <w:r w:rsidR="00BD5A59">
        <w:instrText>ADDIN CSL_CITATION {"citationItems":[{"id":"ITEM-1","itemData":{"DOI":"10.3389/fimmu.2020.563800","ISSN":"1664-3224","abstract":"&lt;p&gt; Proteasomes catalyze the degradation of endogenous proteins into oligopeptides, but can concurrently create spliced oligopeptides through ligation of previously non-contiguous peptide fragments. Recent studies have uncovered a formerly unappreciated role for proteasome-catalyzed peptide splicing (PCPS) in the generation of non-genomically templated human leukocyte antigen class I (HLA-I)-bound &lt;italic&gt;cis-&lt;/italic&gt; spliced peptides that can be targeted by CD8 &lt;sup&gt;+&lt;/sup&gt; T cells in cancer and infection. However, the mechanisms defining PCPS reactions are poorly understood. Here, we experimentally define the biochemical constraints of proteasome-catalyzed &lt;italic&gt;cis&lt;/italic&gt; -splicing reactions by examination of &lt;italic&gt;in vitro&lt;/italic&gt; proteasomal digests of a panel of viral- and self-derived polypeptide substrates using a tailored mass-spectrometry-based &lt;italic&gt;de novo&lt;/italic&gt; sequencing workflow. We show that forward and reverse PCPS reactions display unique splicing signatures, defined by preferential fusion of distinct amino acid residues with stringent peptide length distributions, suggesting sequence- and size-dependent accessibility of splice reactants for proteasomal substrate binding pockets. Our data provide the basis for a more informed mechanistic understanding of PCPS that will facilitate future prediction of spliced peptides from protein sequences. &lt;/p&gt;","author":[{"dropping-particle":"","family":"Paes","given":"Wayne","non-dropping-particle":"","parse-names":false,"suffix":""},{"dropping-particle":"","family":"Leonov","given":"German","non-dropping-particle":"","parse-names":false,"suffix":""},{"dropping-particle":"","family":"Partridge","given":"Thomas","non-dropping-particle":"","parse-names":false,"suffix":""},{"dropping-particle":"","family":"Nicastri","given":"Annalisa","non-dropping-particle":"","parse-names":false,"suffix":""},{"dropping-particle":"","family":"Ternette","given":"Nicola","non-dropping-particle":"","parse-names":false,"suffix":""},{"dropping-particle":"","family":"Borrow","given":"Persephone","non-dropping-particle":"","parse-names":false,"suffix":""}],"container-title":"Frontiers in Immunology","id":"ITEM-1","issued":{"date-parts":[["2020","9","24"]]},"page":"2355","publisher":"Frontiers Media S.A.","title":"Elucidation of the Signatures of Proteasome-Catalyzed Peptide Splicing","type":"article-journal","volume":"11"},"uris":["http://www.mendeley.com/documents/?uuid=1dfa6ddd-6607-363e-8830-d79bbd9a0276"]}],"mendeley":{"formattedCitation":"(26)","plainTextFormattedCitation":"(26)","previouslyFormattedCitation":"(25)"},"properties":{"noteIndex":0},"schema":"https://github.com/citation-style-language/schema/raw/master/csl-citation.json"}</w:instrText>
      </w:r>
      <w:r w:rsidR="00027918">
        <w:fldChar w:fldCharType="separate"/>
      </w:r>
      <w:r w:rsidR="00BD5A59" w:rsidRPr="00BD5A59">
        <w:rPr>
          <w:noProof/>
        </w:rPr>
        <w:t>(26)</w:t>
      </w:r>
      <w:r w:rsidR="00027918">
        <w:fldChar w:fldCharType="end"/>
      </w:r>
      <w:r w:rsidR="00027918">
        <w:t xml:space="preserve">, an increase or decrease in the amount of linker amino acids could also be a modification worth looking at. Finally, by swapping around the order of the SP, opportunities to study </w:t>
      </w:r>
      <w:r w:rsidR="00027918" w:rsidRPr="00027918">
        <w:rPr>
          <w:i/>
          <w:iCs/>
        </w:rPr>
        <w:t>reverse cis</w:t>
      </w:r>
      <w:r w:rsidR="00027918">
        <w:t xml:space="preserve"> or even </w:t>
      </w:r>
      <w:r w:rsidR="00027918" w:rsidRPr="00027918">
        <w:rPr>
          <w:i/>
          <w:iCs/>
        </w:rPr>
        <w:t>trans</w:t>
      </w:r>
      <w:r w:rsidR="00027918">
        <w:t xml:space="preserve"> splicing could open up.</w:t>
      </w:r>
    </w:p>
    <w:p w14:paraId="398CB206" w14:textId="131CA220" w:rsidR="00EA517B" w:rsidRDefault="00D10686" w:rsidP="00245FB0">
      <w:r>
        <w:t xml:space="preserve">Additionally, we hope that the results on the electroporation of proteins </w:t>
      </w:r>
      <w:r w:rsidR="00BA24CA">
        <w:t>will entail a change in the current thinking around protein delivery to cells. A fully produced and purified protein can prove itself to be extremely useful in studying the effect of processes like glycosylation, ubiquitination and other post-translational modifications in cellular environments.</w:t>
      </w:r>
    </w:p>
    <w:p w14:paraId="4C84646A" w14:textId="77777777" w:rsidR="00EA517B" w:rsidRDefault="00EA517B">
      <w:r>
        <w:br w:type="page"/>
      </w:r>
    </w:p>
    <w:p w14:paraId="03B564BC" w14:textId="79451630" w:rsidR="00EA517B" w:rsidRDefault="00EA517B" w:rsidP="00EA517B">
      <w:pPr>
        <w:pStyle w:val="Kop1"/>
        <w:rPr>
          <w:lang w:val="en-US"/>
        </w:rPr>
      </w:pPr>
      <w:bookmarkStart w:id="20" w:name="_Toc85744699"/>
      <w:r>
        <w:rPr>
          <w:lang w:val="en-US"/>
        </w:rPr>
        <w:lastRenderedPageBreak/>
        <w:t>Materials and methods</w:t>
      </w:r>
      <w:bookmarkEnd w:id="20"/>
    </w:p>
    <w:p w14:paraId="0E0D1898" w14:textId="50165485" w:rsidR="00EA517B" w:rsidRDefault="00EA517B" w:rsidP="00EA517B">
      <w:pPr>
        <w:pStyle w:val="Kop2"/>
        <w:rPr>
          <w:lang w:val="en-US"/>
        </w:rPr>
      </w:pPr>
      <w:bookmarkStart w:id="21" w:name="_Toc85744700"/>
      <w:r>
        <w:rPr>
          <w:lang w:val="en-US"/>
        </w:rPr>
        <w:t>Plasmid generation</w:t>
      </w:r>
      <w:bookmarkEnd w:id="21"/>
    </w:p>
    <w:p w14:paraId="277529C8" w14:textId="77777777" w:rsidR="00EA517B" w:rsidRPr="00975291" w:rsidRDefault="00EA517B" w:rsidP="00EA517B">
      <w:pPr>
        <w:rPr>
          <w:lang w:val="en-US"/>
        </w:rPr>
      </w:pPr>
      <w:r>
        <w:rPr>
          <w:lang w:val="en-US"/>
        </w:rPr>
        <w:t>To achieve replacement</w:t>
      </w:r>
      <w:r w:rsidRPr="004830EE">
        <w:rPr>
          <w:lang w:val="en-US"/>
        </w:rPr>
        <w:t xml:space="preserve">, </w:t>
      </w:r>
      <w:r>
        <w:rPr>
          <w:lang w:val="en-US"/>
        </w:rPr>
        <w:t xml:space="preserve">2,5 </w:t>
      </w:r>
      <w:r>
        <w:rPr>
          <w:rFonts w:cstheme="minorHAnsi"/>
          <w:lang w:val="en-US"/>
        </w:rPr>
        <w:t>µ</w:t>
      </w:r>
      <w:r>
        <w:rPr>
          <w:lang w:val="en-US"/>
        </w:rPr>
        <w:t xml:space="preserve">L of </w:t>
      </w:r>
      <w:r w:rsidRPr="004830EE">
        <w:rPr>
          <w:lang w:val="en-US"/>
        </w:rPr>
        <w:t>0,</w:t>
      </w:r>
      <w:r>
        <w:rPr>
          <w:lang w:val="en-US"/>
        </w:rPr>
        <w:t>0</w:t>
      </w:r>
      <w:r w:rsidRPr="004830EE">
        <w:rPr>
          <w:lang w:val="en-US"/>
        </w:rPr>
        <w:t>1 nM</w:t>
      </w:r>
      <w:r>
        <w:rPr>
          <w:lang w:val="en-US"/>
        </w:rPr>
        <w:t xml:space="preserve"> forward and reverse primers (Invitrogen/</w:t>
      </w:r>
      <w:proofErr w:type="spellStart"/>
      <w:r>
        <w:rPr>
          <w:lang w:val="en-US"/>
        </w:rPr>
        <w:t>Thermofisher</w:t>
      </w:r>
      <w:proofErr w:type="spellEnd"/>
      <w:r>
        <w:rPr>
          <w:lang w:val="en-US"/>
        </w:rPr>
        <w:t xml:space="preserve">) ( for sequence see Supplementary Data) was added to 50 to 100 ng of plasmid and a </w:t>
      </w:r>
      <w:proofErr w:type="spellStart"/>
      <w:r>
        <w:rPr>
          <w:lang w:val="en-US"/>
        </w:rPr>
        <w:t>mastermix</w:t>
      </w:r>
      <w:proofErr w:type="spellEnd"/>
      <w:r>
        <w:rPr>
          <w:lang w:val="en-US"/>
        </w:rPr>
        <w:t xml:space="preserve"> [10 </w:t>
      </w:r>
      <w:r>
        <w:rPr>
          <w:rFonts w:cstheme="minorHAnsi"/>
          <w:lang w:val="en-US"/>
        </w:rPr>
        <w:t>µ</w:t>
      </w:r>
      <w:r>
        <w:rPr>
          <w:lang w:val="en-US"/>
        </w:rPr>
        <w:t xml:space="preserve">L 5x polymerase buffer (New England Biolabs), 2,5 </w:t>
      </w:r>
      <w:r>
        <w:rPr>
          <w:rFonts w:cstheme="minorHAnsi"/>
          <w:lang w:val="en-US"/>
        </w:rPr>
        <w:t>µ</w:t>
      </w:r>
      <w:r>
        <w:rPr>
          <w:lang w:val="en-US"/>
        </w:rPr>
        <w:t xml:space="preserve">L of 4 mM dNTPs, 2,5 </w:t>
      </w:r>
      <w:r>
        <w:rPr>
          <w:rFonts w:cstheme="minorHAnsi"/>
          <w:lang w:val="en-US"/>
        </w:rPr>
        <w:t>µ</w:t>
      </w:r>
      <w:r>
        <w:rPr>
          <w:lang w:val="en-US"/>
        </w:rPr>
        <w:t xml:space="preserve">L of DMSO and </w:t>
      </w:r>
      <w:r w:rsidRPr="004830EE">
        <w:rPr>
          <w:lang w:val="en-US"/>
        </w:rPr>
        <w:t>0,7 units</w:t>
      </w:r>
      <w:r>
        <w:rPr>
          <w:lang w:val="en-US"/>
        </w:rPr>
        <w:t xml:space="preserve"> of Q5 polymerase (New England Biolabs)] and topped up to 50 </w:t>
      </w:r>
      <w:r>
        <w:rPr>
          <w:rFonts w:cstheme="minorHAnsi"/>
          <w:lang w:val="en-US"/>
        </w:rPr>
        <w:t>µ</w:t>
      </w:r>
      <w:r>
        <w:rPr>
          <w:lang w:val="en-US"/>
        </w:rPr>
        <w:t xml:space="preserve">L with MilliQ. Subsequently, the sample was inserted into a T100 </w:t>
      </w:r>
      <w:r w:rsidRPr="00070CD4">
        <w:rPr>
          <w:lang w:val="en-US"/>
        </w:rPr>
        <w:t>Therm</w:t>
      </w:r>
      <w:r>
        <w:rPr>
          <w:lang w:val="en-US"/>
        </w:rPr>
        <w:t>al C</w:t>
      </w:r>
      <w:r w:rsidRPr="00070CD4">
        <w:rPr>
          <w:lang w:val="en-US"/>
        </w:rPr>
        <w:t>ycler</w:t>
      </w:r>
      <w:r>
        <w:rPr>
          <w:lang w:val="en-US"/>
        </w:rPr>
        <w:t xml:space="preserve"> (</w:t>
      </w:r>
      <w:proofErr w:type="spellStart"/>
      <w:r>
        <w:rPr>
          <w:lang w:val="en-US"/>
        </w:rPr>
        <w:t>Biorad</w:t>
      </w:r>
      <w:proofErr w:type="spellEnd"/>
      <w:r>
        <w:rPr>
          <w:lang w:val="en-US"/>
        </w:rPr>
        <w:t xml:space="preserve">) and put through the following PCR program (AT1 = annealing temperature of the flanking sequence, AT2 = annealing temperature of the whole primer): 95 </w:t>
      </w:r>
      <w:r>
        <w:rPr>
          <w:rFonts w:cstheme="minorHAnsi"/>
          <w:lang w:val="en-US"/>
        </w:rPr>
        <w:t>°</w:t>
      </w:r>
      <w:r>
        <w:rPr>
          <w:lang w:val="en-US"/>
        </w:rPr>
        <w:t xml:space="preserve">C for 3 minutes, a cycle of 30 seconds of 95 </w:t>
      </w:r>
      <w:r>
        <w:rPr>
          <w:rFonts w:cstheme="minorHAnsi"/>
          <w:lang w:val="en-US"/>
        </w:rPr>
        <w:t>°</w:t>
      </w:r>
      <w:r>
        <w:rPr>
          <w:lang w:val="en-US"/>
        </w:rPr>
        <w:t xml:space="preserve">C – AT1 for 30 seconds – 72 </w:t>
      </w:r>
      <w:r>
        <w:rPr>
          <w:rFonts w:cstheme="minorHAnsi"/>
          <w:lang w:val="en-US"/>
        </w:rPr>
        <w:t>°</w:t>
      </w:r>
      <w:r>
        <w:rPr>
          <w:lang w:val="en-US"/>
        </w:rPr>
        <w:t xml:space="preserve">C for 5 minutes, repeated 12 times. Afterwards, the cycle was repeated with AT2, for 22 times. Finally, the sample was heated to 72 </w:t>
      </w:r>
      <w:r>
        <w:rPr>
          <w:rFonts w:cstheme="minorHAnsi"/>
          <w:lang w:val="en-US"/>
        </w:rPr>
        <w:t>°</w:t>
      </w:r>
      <w:r>
        <w:rPr>
          <w:lang w:val="en-US"/>
        </w:rPr>
        <w:t xml:space="preserve">C for 5 more minutes. Through digestion with 10 units of </w:t>
      </w:r>
      <w:proofErr w:type="spellStart"/>
      <w:r>
        <w:rPr>
          <w:lang w:val="en-US"/>
        </w:rPr>
        <w:t>DpnI</w:t>
      </w:r>
      <w:proofErr w:type="spellEnd"/>
      <w:r>
        <w:rPr>
          <w:lang w:val="en-US"/>
        </w:rPr>
        <w:t xml:space="preserve"> (New England, Biolabs) for 75 minutes at 37 </w:t>
      </w:r>
      <w:r>
        <w:rPr>
          <w:rFonts w:cstheme="minorHAnsi"/>
          <w:lang w:val="en-US"/>
        </w:rPr>
        <w:t>°</w:t>
      </w:r>
      <w:r>
        <w:rPr>
          <w:lang w:val="en-US"/>
        </w:rPr>
        <w:t xml:space="preserve">C, the methylated template plasmid was removed. 5 </w:t>
      </w:r>
      <w:r>
        <w:rPr>
          <w:rFonts w:cstheme="minorHAnsi"/>
          <w:lang w:val="en-US"/>
        </w:rPr>
        <w:t>µ</w:t>
      </w:r>
      <w:r>
        <w:rPr>
          <w:lang w:val="en-US"/>
        </w:rPr>
        <w:t>L of DNA was used to transform Top10 bacteria, which were plated out on an agar plate containing kanamycin (</w:t>
      </w:r>
      <w:proofErr w:type="spellStart"/>
      <w:r>
        <w:rPr>
          <w:lang w:val="en-US"/>
        </w:rPr>
        <w:t>Biotrading</w:t>
      </w:r>
      <w:proofErr w:type="spellEnd"/>
      <w:r>
        <w:rPr>
          <w:lang w:val="en-US"/>
        </w:rPr>
        <w:t>). Single colonies were picked out, grown in Luria Broth (LB) medium (</w:t>
      </w:r>
      <w:proofErr w:type="spellStart"/>
      <w:r>
        <w:rPr>
          <w:lang w:val="en-US"/>
        </w:rPr>
        <w:t>Biotrading</w:t>
      </w:r>
      <w:proofErr w:type="spellEnd"/>
      <w:r>
        <w:rPr>
          <w:lang w:val="en-US"/>
        </w:rPr>
        <w:t xml:space="preserve">) containing 50 </w:t>
      </w:r>
      <w:r>
        <w:rPr>
          <w:rFonts w:cstheme="minorHAnsi"/>
          <w:lang w:val="en-US"/>
        </w:rPr>
        <w:t>µ</w:t>
      </w:r>
      <w:r>
        <w:rPr>
          <w:lang w:val="en-US"/>
        </w:rPr>
        <w:t>L/mL kanamycin and the plasmid was purified from these cultures using miniprep (</w:t>
      </w:r>
      <w:proofErr w:type="spellStart"/>
      <w:r>
        <w:rPr>
          <w:lang w:val="en-US"/>
        </w:rPr>
        <w:t>Zymo</w:t>
      </w:r>
      <w:proofErr w:type="spellEnd"/>
      <w:r>
        <w:rPr>
          <w:lang w:val="en-US"/>
        </w:rPr>
        <w:t xml:space="preserve"> Research, USA). To verify success of the PCR, the plasmids were sequenced by </w:t>
      </w:r>
      <w:proofErr w:type="spellStart"/>
      <w:r w:rsidRPr="00070CD4">
        <w:rPr>
          <w:lang w:val="en-US"/>
        </w:rPr>
        <w:t>Macrogen</w:t>
      </w:r>
      <w:proofErr w:type="spellEnd"/>
      <w:r w:rsidRPr="00070CD4">
        <w:rPr>
          <w:lang w:val="en-US"/>
        </w:rPr>
        <w:t xml:space="preserve"> Sequencing</w:t>
      </w:r>
      <w:r>
        <w:rPr>
          <w:lang w:val="en-US"/>
        </w:rPr>
        <w:t>.</w:t>
      </w:r>
    </w:p>
    <w:p w14:paraId="54D097BA" w14:textId="79EFA611" w:rsidR="00EA517B" w:rsidRDefault="00EA517B" w:rsidP="00EA517B">
      <w:pPr>
        <w:rPr>
          <w:lang w:val="en-US"/>
        </w:rPr>
      </w:pPr>
      <w:r>
        <w:rPr>
          <w:lang w:val="en-US"/>
        </w:rPr>
        <w:t xml:space="preserve">In order to study splicing, mutants where SIINFEKL was not originally present were desired. Based on previous research </w:t>
      </w:r>
      <w:r>
        <w:rPr>
          <w:lang w:val="en-US"/>
        </w:rPr>
        <w:fldChar w:fldCharType="begin" w:fldLock="1"/>
      </w:r>
      <w:r w:rsidR="00BD5A59">
        <w:rPr>
          <w:lang w:val="en-US"/>
        </w:rPr>
        <w:instrText>ADDIN CSL_CITATION {"citationItems":[{"id":"ITEM-1","itemData":{"DOI":"10.3389/fimmu.2020.563800","ISSN":"1664-3224","abstract":"&lt;p&gt; Proteasomes catalyze the degradation of endogenous proteins into oligopeptides, but can concurrently create spliced oligopeptides through ligation of previously non-contiguous peptide fragments. Recent studies have uncovered a formerly unappreciated role for proteasome-catalyzed peptide splicing (PCPS) in the generation of non-genomically templated human leukocyte antigen class I (HLA-I)-bound &lt;italic&gt;cis-&lt;/italic&gt; spliced peptides that can be targeted by CD8 &lt;sup&gt;+&lt;/sup&gt; T cells in cancer and infection. However, the mechanisms defining PCPS reactions are poorly understood. Here, we experimentally define the biochemical constraints of proteasome-catalyzed &lt;italic&gt;cis&lt;/italic&gt; -splicing reactions by examination of &lt;italic&gt;in vitro&lt;/italic&gt; proteasomal digests of a panel of viral- and self-derived polypeptide substrates using a tailored mass-spectrometry-based &lt;italic&gt;de novo&lt;/italic&gt; sequencing workflow. We show that forward and reverse PCPS reactions display unique splicing signatures, defined by preferential fusion of distinct amino acid residues with stringent peptide length distributions, suggesting sequence- and size-dependent accessibility of splice reactants for proteasomal substrate binding pockets. Our data provide the basis for a more informed mechanistic understanding of PCPS that will facilitate future prediction of spliced peptides from protein sequences. &lt;/p&gt;","author":[{"dropping-particle":"","family":"Paes","given":"Wayne","non-dropping-particle":"","parse-names":false,"suffix":""},{"dropping-particle":"","family":"Leonov","given":"German","non-dropping-particle":"","parse-names":false,"suffix":""},{"dropping-particle":"","family":"Partridge","given":"Thomas","non-dropping-particle":"","parse-names":false,"suffix":""},{"dropping-particle":"","family":"Nicastri","given":"Annalisa","non-dropping-particle":"","parse-names":false,"suffix":""},{"dropping-particle":"","family":"Ternette","given":"Nicola","non-dropping-particle":"","parse-names":false,"suffix":""},{"dropping-particle":"","family":"Borrow","given":"Persephone","non-dropping-particle":"","parse-names":false,"suffix":""}],"container-title":"Frontiers in Immunology","id":"ITEM-1","issued":{"date-parts":[["2020","9","24"]]},"page":"2355","publisher":"Frontiers Media S.A.","title":"Elucidation of the Signatures of Proteasome-Catalyzed Peptide Splicing","type":"article-journal","volume":"11"},"uris":["http://www.mendeley.com/documents/?uuid=1dfa6ddd-6607-363e-8830-d79bbd9a0276"]}],"mendeley":{"formattedCitation":"(26)","plainTextFormattedCitation":"(26)","previouslyFormattedCitation":"(25)"},"properties":{"noteIndex":0},"schema":"https://github.com/citation-style-language/schema/raw/master/csl-citation.json"}</w:instrText>
      </w:r>
      <w:r>
        <w:rPr>
          <w:lang w:val="en-US"/>
        </w:rPr>
        <w:fldChar w:fldCharType="separate"/>
      </w:r>
      <w:r w:rsidR="00BD5A59" w:rsidRPr="00BD5A59">
        <w:rPr>
          <w:noProof/>
          <w:lang w:val="en-US"/>
        </w:rPr>
        <w:t>(26)</w:t>
      </w:r>
      <w:r>
        <w:rPr>
          <w:lang w:val="en-US"/>
        </w:rPr>
        <w:fldChar w:fldCharType="end"/>
      </w:r>
      <w:r>
        <w:rPr>
          <w:lang w:val="en-US"/>
        </w:rPr>
        <w:t>, it was decided to split SIIN/FEKL with either 1, 2 or 3 intervening amino acids, chosen based on the intervening amino acids in the LLO SP (from hereon called LLO-SPLIT or SPLIT for short). Additionally, for each mutant another variant was made where the last amino acid was replaced by a leucine (L). This yielded the final 6 mutants SPLIT1V, SPLIT1L, SPLIT2V, SPLIT2L, SPLIT3A and SPLIT3L, with the final letter representing the last intervening amino acid (full sequences can be found in the Supplementary Data).</w:t>
      </w:r>
    </w:p>
    <w:p w14:paraId="61598BA4" w14:textId="77777777" w:rsidR="00EA517B" w:rsidRDefault="00EA517B" w:rsidP="00EA517B">
      <w:r>
        <w:rPr>
          <w:lang w:val="en-US"/>
        </w:rPr>
        <w:t xml:space="preserve">To transfer the coding sequence from pDONR-221 to the destination plasmids (pET160-DEST, pDEST-eGFP-N1-DEST), an LR reaction was used, via the </w:t>
      </w:r>
      <w:proofErr w:type="spellStart"/>
      <w:r>
        <w:rPr>
          <w:lang w:val="en-US"/>
        </w:rPr>
        <w:t>attL</w:t>
      </w:r>
      <w:proofErr w:type="spellEnd"/>
      <w:r>
        <w:rPr>
          <w:lang w:val="en-US"/>
        </w:rPr>
        <w:t xml:space="preserve"> sites in pDONR-221 and </w:t>
      </w:r>
      <w:proofErr w:type="spellStart"/>
      <w:r>
        <w:rPr>
          <w:lang w:val="en-US"/>
        </w:rPr>
        <w:t>attR</w:t>
      </w:r>
      <w:proofErr w:type="spellEnd"/>
      <w:r>
        <w:rPr>
          <w:lang w:val="en-US"/>
        </w:rPr>
        <w:t xml:space="preserve"> sites in the destination plasmids. 100 ng of pDONR-221 plasmid was added to 100 ng of the destination plasmid, along with 2 </w:t>
      </w:r>
      <w:r>
        <w:t xml:space="preserve">μL of LR </w:t>
      </w:r>
      <w:proofErr w:type="spellStart"/>
      <w:r>
        <w:t>clonase</w:t>
      </w:r>
      <w:proofErr w:type="spellEnd"/>
      <w:r>
        <w:t xml:space="preserve"> enzyme mix (Invitrogen/</w:t>
      </w:r>
      <w:proofErr w:type="spellStart"/>
      <w:r>
        <w:t>Thermofisher</w:t>
      </w:r>
      <w:proofErr w:type="spellEnd"/>
      <w:r>
        <w:t>) and topped up to 10 μL with TE buffer (Invitrogen/</w:t>
      </w:r>
      <w:proofErr w:type="spellStart"/>
      <w:r>
        <w:t>Thermofisher</w:t>
      </w:r>
      <w:proofErr w:type="spellEnd"/>
      <w:r>
        <w:t xml:space="preserve">, Germany). The sample were vortexed 2 times briefly and left at 22 </w:t>
      </w:r>
      <w:r>
        <w:rPr>
          <w:rFonts w:cstheme="minorHAnsi"/>
        </w:rPr>
        <w:t>°</w:t>
      </w:r>
      <w:r>
        <w:t xml:space="preserve">C overnight. Afterwards, 1 </w:t>
      </w:r>
      <w:r w:rsidRPr="006E5D08">
        <w:t>μL</w:t>
      </w:r>
      <w:r>
        <w:t xml:space="preserve"> of Proteinase K (Invitrogen/</w:t>
      </w:r>
      <w:proofErr w:type="spellStart"/>
      <w:r>
        <w:t>Thermofisher</w:t>
      </w:r>
      <w:proofErr w:type="spellEnd"/>
      <w:r>
        <w:t xml:space="preserve">) was added and put on 37 </w:t>
      </w:r>
      <w:r>
        <w:rPr>
          <w:rFonts w:cstheme="minorHAnsi"/>
        </w:rPr>
        <w:t>°</w:t>
      </w:r>
      <w:r>
        <w:t xml:space="preserve">C for 10 minutes. Top10 bacteria were transformed with 3,5 </w:t>
      </w:r>
      <w:r w:rsidRPr="006E5D08">
        <w:t>μL</w:t>
      </w:r>
      <w:r>
        <w:t xml:space="preserve"> of the mix and plated on either ampicillin plates or kanamycin plates (</w:t>
      </w:r>
      <w:proofErr w:type="spellStart"/>
      <w:r>
        <w:t>Biotrading</w:t>
      </w:r>
      <w:proofErr w:type="spellEnd"/>
      <w:r>
        <w:t>), depending on the resistance in the destination plasmid. Single colonies were picked, grown in liquid LB medium with corresponding antibiotic [</w:t>
      </w:r>
      <w:r>
        <w:rPr>
          <w:lang w:val="en-US"/>
        </w:rPr>
        <w:t xml:space="preserve">50 </w:t>
      </w:r>
      <w:r>
        <w:rPr>
          <w:rFonts w:cstheme="minorHAnsi"/>
          <w:lang w:val="en-US"/>
        </w:rPr>
        <w:t>µ</w:t>
      </w:r>
      <w:r>
        <w:rPr>
          <w:lang w:val="en-US"/>
        </w:rPr>
        <w:t xml:space="preserve">L/mL for kanamycin, 100 </w:t>
      </w:r>
      <w:r>
        <w:rPr>
          <w:rFonts w:cstheme="minorHAnsi"/>
          <w:lang w:val="en-US"/>
        </w:rPr>
        <w:t>µ</w:t>
      </w:r>
      <w:r>
        <w:rPr>
          <w:lang w:val="en-US"/>
        </w:rPr>
        <w:t>L/mL for ampicillin (Sigma-Aldrich, China)]</w:t>
      </w:r>
      <w:r>
        <w:t xml:space="preserve"> and miniprep was used to harvest their plasmids. </w:t>
      </w:r>
    </w:p>
    <w:p w14:paraId="434F00F3" w14:textId="5391D8B8" w:rsidR="00EA517B" w:rsidRDefault="00EA517B" w:rsidP="00EA517B">
      <w:r>
        <w:t>LR success was checked by adding 200 ng of plasmid to 5 units of an enzyme cutting each plasmid once [</w:t>
      </w:r>
      <w:proofErr w:type="spellStart"/>
      <w:r>
        <w:t>NruI</w:t>
      </w:r>
      <w:proofErr w:type="spellEnd"/>
      <w:r>
        <w:t xml:space="preserve"> (New England Biolabs) for pDONR-221 and pET160-DEST, </w:t>
      </w:r>
      <w:proofErr w:type="spellStart"/>
      <w:r>
        <w:t>NotI</w:t>
      </w:r>
      <w:proofErr w:type="spellEnd"/>
      <w:r>
        <w:t xml:space="preserve"> (New England Biolabs) for </w:t>
      </w:r>
      <w:r>
        <w:rPr>
          <w:lang w:val="en-US"/>
        </w:rPr>
        <w:t xml:space="preserve">pDEST-eGFP-N1-DEST], 2 </w:t>
      </w:r>
      <w:r w:rsidRPr="006E5D08">
        <w:t>μL</w:t>
      </w:r>
      <w:r>
        <w:t xml:space="preserve"> 3.1 buffer (New England Biolabs) and topped up to 20 </w:t>
      </w:r>
      <w:r w:rsidRPr="006E5D08">
        <w:t>μL</w:t>
      </w:r>
      <w:r>
        <w:t xml:space="preserve"> with MilliQ. The coding sequence was also checked using </w:t>
      </w:r>
      <w:proofErr w:type="spellStart"/>
      <w:r>
        <w:t>Macrogen</w:t>
      </w:r>
      <w:proofErr w:type="spellEnd"/>
      <w:r>
        <w:t xml:space="preserve"> sequencing. Successful plasmids were upscaled using the </w:t>
      </w:r>
      <w:proofErr w:type="spellStart"/>
      <w:r>
        <w:t>midiprep</w:t>
      </w:r>
      <w:proofErr w:type="spellEnd"/>
      <w:r>
        <w:t xml:space="preserve"> (</w:t>
      </w:r>
      <w:proofErr w:type="spellStart"/>
      <w:r>
        <w:t>Biorad</w:t>
      </w:r>
      <w:proofErr w:type="spellEnd"/>
      <w:r>
        <w:t xml:space="preserve">, USA) </w:t>
      </w:r>
      <w:r w:rsidRPr="006E5D08">
        <w:t>protocol</w:t>
      </w:r>
      <w:r>
        <w:t xml:space="preserve">. On top of the normal forward sequencing, the </w:t>
      </w:r>
      <w:proofErr w:type="spellStart"/>
      <w:r>
        <w:t>midiprepped</w:t>
      </w:r>
      <w:proofErr w:type="spellEnd"/>
      <w:r>
        <w:t xml:space="preserve"> plasmids were also sequenced in reverse to ensure the validity of the inserted sequence.</w:t>
      </w:r>
    </w:p>
    <w:p w14:paraId="6B03FD4E" w14:textId="7A2CE294" w:rsidR="00EA517B" w:rsidRDefault="00EA517B" w:rsidP="00EA517B">
      <w:pPr>
        <w:pStyle w:val="Kop2"/>
      </w:pPr>
      <w:bookmarkStart w:id="22" w:name="_Toc85744701"/>
      <w:r>
        <w:t>Protein expression and purification</w:t>
      </w:r>
      <w:bookmarkEnd w:id="22"/>
    </w:p>
    <w:p w14:paraId="131981A4" w14:textId="77777777" w:rsidR="00EA517B" w:rsidRDefault="00EA517B" w:rsidP="00EA517B">
      <w:r>
        <w:t xml:space="preserve">To begin the expression, 50 to 100 ng of plasmid was added to the bacteria and incubated for 10 to 20 minutes on ice, mixed from time to time by tapping the Eppendorf. Subsequently, the bacteria </w:t>
      </w:r>
      <w:r>
        <w:lastRenderedPageBreak/>
        <w:t xml:space="preserve">were </w:t>
      </w:r>
      <w:proofErr w:type="spellStart"/>
      <w:r>
        <w:t>heatshocked</w:t>
      </w:r>
      <w:proofErr w:type="spellEnd"/>
      <w:r>
        <w:t xml:space="preserve"> for 90 sec at 42 </w:t>
      </w:r>
      <w:r>
        <w:rPr>
          <w:rFonts w:cstheme="minorHAnsi"/>
        </w:rPr>
        <w:t>°</w:t>
      </w:r>
      <w:r>
        <w:t xml:space="preserve">C and placed on ice for 1 minute after. 400 </w:t>
      </w:r>
      <w:r>
        <w:rPr>
          <w:rFonts w:cstheme="minorHAnsi"/>
        </w:rPr>
        <w:t>µ</w:t>
      </w:r>
      <w:r>
        <w:t xml:space="preserve">L of 37 </w:t>
      </w:r>
      <w:r>
        <w:rPr>
          <w:rFonts w:cstheme="minorHAnsi"/>
        </w:rPr>
        <w:t>°</w:t>
      </w:r>
      <w:r>
        <w:t xml:space="preserve">C SOC medium (Invitrogen, Carlsbad USA) was added and the bacteria were incubated for 50 min at 37 </w:t>
      </w:r>
      <w:r>
        <w:rPr>
          <w:rFonts w:cstheme="minorHAnsi"/>
        </w:rPr>
        <w:t>°</w:t>
      </w:r>
      <w:r>
        <w:t xml:space="preserve">C, shaking. The bacteria were then plated on an agar plate containing ampicillin and put at 37 </w:t>
      </w:r>
      <w:r>
        <w:rPr>
          <w:rFonts w:cstheme="minorHAnsi"/>
        </w:rPr>
        <w:t>°</w:t>
      </w:r>
      <w:r>
        <w:t>C</w:t>
      </w:r>
      <w:r w:rsidRPr="008208B6">
        <w:t xml:space="preserve"> </w:t>
      </w:r>
      <w:r>
        <w:t>overnight.</w:t>
      </w:r>
    </w:p>
    <w:p w14:paraId="548F1E0F" w14:textId="77777777" w:rsidR="00EA517B" w:rsidRDefault="00EA517B" w:rsidP="00EA517B">
      <w:r>
        <w:t xml:space="preserve">The following day, the entire plate was used to inoculate 100 mL of LB or Terrific Broth (TB) (Sigma-Aldrich, St. Louis USA) containing 100 </w:t>
      </w:r>
      <w:r>
        <w:rPr>
          <w:rFonts w:cstheme="minorHAnsi"/>
          <w:lang w:val="en-US"/>
        </w:rPr>
        <w:t>µ</w:t>
      </w:r>
      <w:r>
        <w:rPr>
          <w:lang w:val="en-US"/>
        </w:rPr>
        <w:t>L/mL</w:t>
      </w:r>
      <w:r>
        <w:t xml:space="preserve"> ampicillin and 37 </w:t>
      </w:r>
      <w:r>
        <w:rPr>
          <w:rFonts w:cstheme="minorHAnsi"/>
          <w:lang w:val="en-US"/>
        </w:rPr>
        <w:t>µ</w:t>
      </w:r>
      <w:r>
        <w:rPr>
          <w:lang w:val="en-US"/>
        </w:rPr>
        <w:t>L/mL</w:t>
      </w:r>
      <w:r>
        <w:t xml:space="preserve"> chloramphenicol (Sigma-Aldrich, Belgium) and put at 37 </w:t>
      </w:r>
      <w:r>
        <w:rPr>
          <w:rFonts w:cstheme="minorHAnsi"/>
        </w:rPr>
        <w:t>°</w:t>
      </w:r>
      <w:r>
        <w:t>C</w:t>
      </w:r>
      <w:r w:rsidRPr="008208B6">
        <w:t xml:space="preserve"> </w:t>
      </w:r>
      <w:r>
        <w:t xml:space="preserve">for 1.5 hours. Afterwards, the preculture was scaled up to 800 mL using the same LB medium and incubated until the OD600 reached 1 – 1.5. This culture was then divided in four parts of 200 mL and 600 mL of fresh medium was added. When the OD600 reached 0.6 – 0.8, the cultures were cold shocked on ice for 10 minutes. Protein expression was induced by adding 200 </w:t>
      </w:r>
      <w:r>
        <w:rPr>
          <w:rFonts w:cstheme="minorHAnsi"/>
        </w:rPr>
        <w:t>µ</w:t>
      </w:r>
      <w:r>
        <w:t xml:space="preserve">L 1M IPTG (Invitrogen, Italy) and incubated at 28 </w:t>
      </w:r>
      <w:r>
        <w:rPr>
          <w:rFonts w:cstheme="minorHAnsi"/>
        </w:rPr>
        <w:t>°</w:t>
      </w:r>
      <w:r>
        <w:t>C</w:t>
      </w:r>
      <w:r w:rsidRPr="008208B6">
        <w:t xml:space="preserve"> </w:t>
      </w:r>
      <w:r>
        <w:t xml:space="preserve">overnight. To harvest the bacteria, an equal amount was distributed to four centrifuge buckets and spun down at 4 </w:t>
      </w:r>
      <w:r>
        <w:rPr>
          <w:rFonts w:cstheme="minorHAnsi"/>
        </w:rPr>
        <w:t>°</w:t>
      </w:r>
      <w:r>
        <w:t xml:space="preserve">C, 5311 G for 20 minutes. The supernatant was removed, the cell pellet was harvested using cold PBS and stored at -80 </w:t>
      </w:r>
      <w:r>
        <w:rPr>
          <w:rFonts w:cstheme="minorHAnsi"/>
        </w:rPr>
        <w:t>°</w:t>
      </w:r>
      <w:r>
        <w:t>C.</w:t>
      </w:r>
    </w:p>
    <w:p w14:paraId="1181091B" w14:textId="77777777" w:rsidR="00EA517B" w:rsidRDefault="00EA517B" w:rsidP="00EA517B">
      <w:r>
        <w:t xml:space="preserve">The pellet was lysed by adding 1 to 2 mL of lysis buffer [50 mL PBS (Corning, USA), 5 mM of magnesium chloride hexahydrate (Sigma-Aldrich), 100 </w:t>
      </w:r>
      <w:r>
        <w:rPr>
          <w:rFonts w:cstheme="minorHAnsi"/>
        </w:rPr>
        <w:t>µ</w:t>
      </w:r>
      <w:r>
        <w:t xml:space="preserve">L of 2 mg/mL DNase I (bovine pancreas origin, Sigma-Aldrich), 50 mg lysozyme (Sigma-Aldrich), 50 </w:t>
      </w:r>
      <w:r>
        <w:rPr>
          <w:rFonts w:cstheme="minorHAnsi"/>
        </w:rPr>
        <w:t>µ</w:t>
      </w:r>
      <w:r>
        <w:t>L</w:t>
      </w:r>
      <w:r w:rsidRPr="008208B6">
        <w:t xml:space="preserve"> </w:t>
      </w:r>
      <w:r>
        <w:t xml:space="preserve">Tween-20 (Merck, Darmstadt Germany, produced in France) and 5 mM of </w:t>
      </w:r>
      <w:r>
        <w:rPr>
          <w:rFonts w:cstheme="minorHAnsi"/>
        </w:rPr>
        <w:t>β</w:t>
      </w:r>
      <w:r>
        <w:t xml:space="preserve">ME (Millipore Corp., Bedford MA USA)] and shaking for 10 minutes. The pellet was then refrozen at -80 </w:t>
      </w:r>
      <w:r>
        <w:rPr>
          <w:rFonts w:cstheme="minorHAnsi"/>
        </w:rPr>
        <w:t>°</w:t>
      </w:r>
      <w:r>
        <w:t>C</w:t>
      </w:r>
      <w:r w:rsidRPr="008208B6">
        <w:t xml:space="preserve"> </w:t>
      </w:r>
      <w:r>
        <w:t xml:space="preserve">for 20-30 min and thawed in tap water, repeated up to 5 times. If the pellet was not lysed sufficiently (judged by fluidity of the pellet), 0,1% of total lysate volume Tween-20 was added, along with 1 mg/mL lysozyme and incubated at 22 </w:t>
      </w:r>
      <w:r>
        <w:rPr>
          <w:rFonts w:cstheme="minorHAnsi"/>
        </w:rPr>
        <w:t>°</w:t>
      </w:r>
      <w:r>
        <w:t>C</w:t>
      </w:r>
      <w:r w:rsidRPr="008208B6">
        <w:t xml:space="preserve"> </w:t>
      </w:r>
      <w:r>
        <w:t xml:space="preserve">for 45 min, shaking. The lysate was then transferred to a Beckman centrifuge tube and spun in a fixed angle centrifuge at 48000 RCF, 4 </w:t>
      </w:r>
      <w:r>
        <w:rPr>
          <w:rFonts w:cstheme="minorHAnsi"/>
        </w:rPr>
        <w:t>°</w:t>
      </w:r>
      <w:r>
        <w:t>C</w:t>
      </w:r>
      <w:r w:rsidRPr="008208B6">
        <w:t xml:space="preserve"> </w:t>
      </w:r>
      <w:r>
        <w:t xml:space="preserve">for 50 minutes. A 20 </w:t>
      </w:r>
      <w:r>
        <w:rPr>
          <w:rFonts w:cstheme="minorHAnsi"/>
        </w:rPr>
        <w:t>µ</w:t>
      </w:r>
      <w:r>
        <w:t>L</w:t>
      </w:r>
      <w:r w:rsidRPr="008208B6">
        <w:t xml:space="preserve"> </w:t>
      </w:r>
      <w:r>
        <w:t>sample of the supernatant for a Western Blot was taken afterwards.</w:t>
      </w:r>
    </w:p>
    <w:p w14:paraId="1E471A9E" w14:textId="77777777" w:rsidR="00EA517B" w:rsidRDefault="00EA517B" w:rsidP="00EA517B">
      <w:r>
        <w:t xml:space="preserve">A Ni-NTA column was prepared by washing with at least 5 column volumes (CV, 8 mL) of MilliQ and equilibrated with at least 5 column volumes of Ni-NTA binding buffer [1 proteinase inhibitor tablet (Roche, Mannheim Germany) and 2,5 mM </w:t>
      </w:r>
      <w:r>
        <w:rPr>
          <w:rFonts w:cstheme="minorHAnsi"/>
        </w:rPr>
        <w:t>β</w:t>
      </w:r>
      <w:r>
        <w:t>-</w:t>
      </w:r>
      <w:proofErr w:type="spellStart"/>
      <w:r>
        <w:t>mercaptoethanol</w:t>
      </w:r>
      <w:proofErr w:type="spellEnd"/>
      <w:r>
        <w:t xml:space="preserve"> </w:t>
      </w:r>
      <w:r w:rsidRPr="00D51970">
        <w:t>added</w:t>
      </w:r>
      <w:r>
        <w:t xml:space="preserve"> to 250 mL of PBS]. The lysate supernatant was passed through a 0,22 </w:t>
      </w:r>
      <w:proofErr w:type="spellStart"/>
      <w:r w:rsidRPr="00D51970">
        <w:t>μm</w:t>
      </w:r>
      <w:proofErr w:type="spellEnd"/>
      <w:r>
        <w:t xml:space="preserve"> filter and loaded onto the column. After passing the flowthrough, another </w:t>
      </w:r>
      <w:r w:rsidRPr="00D51970">
        <w:t>20 μL</w:t>
      </w:r>
      <w:r>
        <w:t xml:space="preserve"> sample was taken and the flowthrough was loaded again. After another passage, an additional </w:t>
      </w:r>
      <w:r w:rsidRPr="00D51970">
        <w:t>20 μL</w:t>
      </w:r>
      <w:r>
        <w:t xml:space="preserve"> sample was taken. Subsequently, the column was washed with 5 to 10 times the column volume with Ni-NTA washing buffer [0,1% Tween-20 </w:t>
      </w:r>
      <w:r w:rsidRPr="00BF551D">
        <w:t>added</w:t>
      </w:r>
      <w:r>
        <w:t xml:space="preserve"> to 25 mL of Ni-NTA binding buffer] and eluted by adding 6 mL of elution buffer [0,5 M of imidazole (Merck, Darmstadt Germany) added to Ni-NTA binding buffer]. Afterwards, one final </w:t>
      </w:r>
      <w:r w:rsidRPr="00D51970">
        <w:t>20 μL</w:t>
      </w:r>
      <w:r>
        <w:t xml:space="preserve"> sample was taken.</w:t>
      </w:r>
    </w:p>
    <w:p w14:paraId="28D4CFA7" w14:textId="77777777" w:rsidR="00EA517B" w:rsidRDefault="00EA517B" w:rsidP="00EA517B">
      <w:r>
        <w:t xml:space="preserve">FPLC was done in three distinct steps, starting with a MonoQ IEX column. 2x stock buffers for buffer A [50 mM NaCl, 50 mM Na-P, pH = 7,2 in MilliQ] and buffer B [4 – 6 M </w:t>
      </w:r>
      <w:proofErr w:type="spellStart"/>
      <w:r>
        <w:t>KCl</w:t>
      </w:r>
      <w:proofErr w:type="spellEnd"/>
      <w:r>
        <w:t xml:space="preserve"> in MilliQ] were prepared and were used to create the 1x buffers by adding MilliQ and 2x buffer in equal parts, along with 5mM </w:t>
      </w:r>
      <w:r>
        <w:rPr>
          <w:rFonts w:cstheme="minorHAnsi"/>
        </w:rPr>
        <w:t>β</w:t>
      </w:r>
      <w:r>
        <w:t>-</w:t>
      </w:r>
      <w:proofErr w:type="spellStart"/>
      <w:r>
        <w:t>mercaptoethanol</w:t>
      </w:r>
      <w:proofErr w:type="spellEnd"/>
      <w:r>
        <w:t xml:space="preserve"> for both buffers and ½ proteinase inhibitor tablet for buffer A. The protein was then purified using the MonoQ protocol [CV = 0,982; 10% buffer B gradient over 12 CV with 0,4 mL fractions; 80% buffer B gradient over 5 CV with 1 mL fractions; 100% buffer B gradient over 0 CV, 1 mL fractions]. Afterwards, 2x buffer A for </w:t>
      </w:r>
      <w:proofErr w:type="spellStart"/>
      <w:r>
        <w:t>MonoS</w:t>
      </w:r>
      <w:proofErr w:type="spellEnd"/>
      <w:r>
        <w:t xml:space="preserve"> was prepared by adding </w:t>
      </w:r>
      <w:r w:rsidRPr="00510E54">
        <w:t xml:space="preserve">40 mM MESE, 40 mM NaCl to 1 L </w:t>
      </w:r>
      <w:r>
        <w:t xml:space="preserve">MilliQ. 1x buffer was prepared in the same way as in the previous step. Using a buffer exchange tube, the protein was transferred from MonoQ buffer B to </w:t>
      </w:r>
      <w:proofErr w:type="spellStart"/>
      <w:r>
        <w:t>MonoS</w:t>
      </w:r>
      <w:proofErr w:type="spellEnd"/>
      <w:r>
        <w:t xml:space="preserve"> buffer A. The MonoQ column was swapped for a </w:t>
      </w:r>
      <w:proofErr w:type="spellStart"/>
      <w:r>
        <w:t>MonoS</w:t>
      </w:r>
      <w:proofErr w:type="spellEnd"/>
      <w:r>
        <w:t xml:space="preserve"> column and the protein was purified using the </w:t>
      </w:r>
      <w:proofErr w:type="spellStart"/>
      <w:r>
        <w:t>MonoS</w:t>
      </w:r>
      <w:proofErr w:type="spellEnd"/>
      <w:r>
        <w:t xml:space="preserve"> protocol [CV = 0,982; 80% buffer B gradient over 12 CV with 0,4 mL fractions; 100% buffer B gradient over 0 CV, 1 mL fractions].</w:t>
      </w:r>
      <w:r w:rsidRPr="00510E54">
        <w:t xml:space="preserve"> </w:t>
      </w:r>
      <w:r>
        <w:t xml:space="preserve">Finally, a gel filtration was preformed using 0,22 mm filter sterilised protein storage buffer [150 mM NaCl (Merck Darmstadt, produced in Denmark), 20 mL of glycerol (Merck </w:t>
      </w:r>
      <w:proofErr w:type="spellStart"/>
      <w:r>
        <w:lastRenderedPageBreak/>
        <w:t>Schuchardt</w:t>
      </w:r>
      <w:proofErr w:type="spellEnd"/>
      <w:r>
        <w:t xml:space="preserve"> OHG, </w:t>
      </w:r>
      <w:proofErr w:type="spellStart"/>
      <w:r>
        <w:t>Hohenbrunn</w:t>
      </w:r>
      <w:proofErr w:type="spellEnd"/>
      <w:r>
        <w:t xml:space="preserve"> Germany), 5 mM of </w:t>
      </w:r>
      <w:r>
        <w:rPr>
          <w:rFonts w:cstheme="minorHAnsi"/>
        </w:rPr>
        <w:t>β</w:t>
      </w:r>
      <w:r>
        <w:t>-</w:t>
      </w:r>
      <w:proofErr w:type="spellStart"/>
      <w:r>
        <w:t>mercaptoethanol</w:t>
      </w:r>
      <w:proofErr w:type="spellEnd"/>
      <w:r>
        <w:t xml:space="preserve"> and 1 proteinase inhibitor tablet  added to 180 mL of PBS]. Purity of the fractions was checked by running the fractions and the samples taken earlier on a gel and preforming a Coomassie stain.</w:t>
      </w:r>
    </w:p>
    <w:p w14:paraId="38C4DD6A" w14:textId="4A2471B1" w:rsidR="00EA517B" w:rsidRDefault="00EA517B" w:rsidP="00EA517B">
      <w:pPr>
        <w:pStyle w:val="Kop2"/>
      </w:pPr>
      <w:bookmarkStart w:id="23" w:name="_Toc85744702"/>
      <w:r>
        <w:t>Cell culture and assays</w:t>
      </w:r>
      <w:bookmarkEnd w:id="23"/>
    </w:p>
    <w:p w14:paraId="736EEDE4" w14:textId="77777777" w:rsidR="00EA517B" w:rsidRDefault="00EA517B" w:rsidP="00EA517B">
      <w:r>
        <w:t xml:space="preserve">All B3Z cells and B16-derived cells </w:t>
      </w:r>
      <w:r w:rsidRPr="00992860">
        <w:t xml:space="preserve">were cultured in </w:t>
      </w:r>
      <w:r>
        <w:t>IMDM full</w:t>
      </w:r>
      <w:r w:rsidRPr="00992860">
        <w:t xml:space="preserve"> medium </w:t>
      </w:r>
      <w:r>
        <w:t>[</w:t>
      </w:r>
      <w:r w:rsidRPr="00992860">
        <w:t xml:space="preserve">10% heat inactivated foetal </w:t>
      </w:r>
      <w:r>
        <w:t>calf</w:t>
      </w:r>
      <w:r w:rsidRPr="00992860">
        <w:t xml:space="preserve"> serum (F</w:t>
      </w:r>
      <w:r>
        <w:t>C</w:t>
      </w:r>
      <w:r w:rsidRPr="00992860">
        <w:t>S) (</w:t>
      </w:r>
      <w:proofErr w:type="spellStart"/>
      <w:r w:rsidRPr="00992860">
        <w:t>B</w:t>
      </w:r>
      <w:r>
        <w:t>odinco</w:t>
      </w:r>
      <w:proofErr w:type="spellEnd"/>
      <w:r>
        <w:t xml:space="preserve"> B.V.</w:t>
      </w:r>
      <w:r w:rsidRPr="00992860">
        <w:t xml:space="preserve">, The Netherlands), 1% penicillin/streptomycin (Life Technologies Ltd., Paisley, Scotland, UK / Gibco) and 0,1% βME </w:t>
      </w:r>
      <w:r>
        <w:t xml:space="preserve">added to IMDM </w:t>
      </w:r>
      <w:r w:rsidRPr="00992860">
        <w:t>(Life Technologies Ltd., Paisley, Scotland, UK / Gibco)</w:t>
      </w:r>
      <w:r>
        <w:t xml:space="preserve">]. Additionally, all Ana1 cells </w:t>
      </w:r>
      <w:r w:rsidRPr="00992860">
        <w:t>were cultured in RPMI</w:t>
      </w:r>
      <w:r>
        <w:t xml:space="preserve"> full</w:t>
      </w:r>
      <w:r w:rsidRPr="00992860">
        <w:t xml:space="preserve"> medium </w:t>
      </w:r>
      <w:r>
        <w:t>[</w:t>
      </w:r>
      <w:r w:rsidRPr="00992860">
        <w:t xml:space="preserve">10% heat inactivated foetal </w:t>
      </w:r>
      <w:r>
        <w:t>calf</w:t>
      </w:r>
      <w:r w:rsidRPr="00992860">
        <w:t xml:space="preserve"> serum (F</w:t>
      </w:r>
      <w:r>
        <w:t>C</w:t>
      </w:r>
      <w:r w:rsidRPr="00992860">
        <w:t>S) (</w:t>
      </w:r>
      <w:proofErr w:type="spellStart"/>
      <w:r w:rsidRPr="00992860">
        <w:t>B</w:t>
      </w:r>
      <w:r>
        <w:t>odinco</w:t>
      </w:r>
      <w:proofErr w:type="spellEnd"/>
      <w:r>
        <w:t xml:space="preserve"> B.V.</w:t>
      </w:r>
      <w:r w:rsidRPr="00992860">
        <w:t>, The Netherlands), 1% penicillin/streptomycin (Life Technologies Ltd., Paisley, Scotland, UK / Gibco) and 0,1% β-</w:t>
      </w:r>
      <w:proofErr w:type="spellStart"/>
      <w:r w:rsidRPr="00992860">
        <w:t>mercapto</w:t>
      </w:r>
      <w:proofErr w:type="spellEnd"/>
      <w:r w:rsidRPr="00992860">
        <w:t>-ethanol (βME) (Millipore)</w:t>
      </w:r>
      <w:r>
        <w:t xml:space="preserve"> added to RPMI-1640 </w:t>
      </w:r>
      <w:r w:rsidRPr="00992860">
        <w:t>(Life Technologies Ltd., Paisley, Scotland, UK / Gibco)</w:t>
      </w:r>
      <w:r>
        <w:t xml:space="preserve">]. When cells of different media were co-cultured, RPMI full medium was used. Cells were grown in a humidified incubator (Binder, </w:t>
      </w:r>
      <w:proofErr w:type="spellStart"/>
      <w:r>
        <w:t>Tuttlingen</w:t>
      </w:r>
      <w:proofErr w:type="spellEnd"/>
      <w:r>
        <w:t xml:space="preserve"> Germany) with an atmosphere of 5% CO2, at 37 </w:t>
      </w:r>
      <w:r>
        <w:rPr>
          <w:vertAlign w:val="superscript"/>
        </w:rPr>
        <w:t>o</w:t>
      </w:r>
      <w:r>
        <w:t>C.</w:t>
      </w:r>
    </w:p>
    <w:p w14:paraId="01A9417D" w14:textId="77777777" w:rsidR="00EA517B" w:rsidRDefault="00EA517B" w:rsidP="00EA517B">
      <w:r>
        <w:t>For early optimizations, B16 derived cell line B16-OVA, a B16 cell line expressing the SIINFEKL peptide, was used as positive control. This cell line was created by stably transducing B16 with the ovalbumin gene using a lentivirus vector. Later on, this was replaced by loading B16 cells with SIINFEKL peptide (</w:t>
      </w:r>
      <w:proofErr w:type="spellStart"/>
      <w:r>
        <w:t>Genscript</w:t>
      </w:r>
      <w:proofErr w:type="spellEnd"/>
      <w:r>
        <w:t>, stock concentration 10 mg/mL), by adding the desired concentration to cell culture medium.</w:t>
      </w:r>
    </w:p>
    <w:p w14:paraId="5541FD0D" w14:textId="77777777" w:rsidR="00EA517B" w:rsidRPr="00672763" w:rsidRDefault="00EA517B" w:rsidP="00EA517B">
      <w:r>
        <w:t xml:space="preserve">To show SIINFEKL presented on the cell surface, 2e5 to 1e6 cells were stained using a 1:50 dilution of PE-conjugated </w:t>
      </w:r>
      <w:r w:rsidRPr="00672763">
        <w:t>OVA257-264 (SIINFEKL) peptide bound to H-2Kb Monoclonal Antibody</w:t>
      </w:r>
      <w:r>
        <w:t xml:space="preserve"> (Invitrogen/</w:t>
      </w:r>
      <w:proofErr w:type="spellStart"/>
      <w:r>
        <w:t>Thermofisher</w:t>
      </w:r>
      <w:proofErr w:type="spellEnd"/>
      <w:r>
        <w:rPr>
          <w:b/>
          <w:bCs/>
        </w:rPr>
        <w:t xml:space="preserve">, </w:t>
      </w:r>
      <w:r>
        <w:t xml:space="preserve">USA) following normal external staining protocols. Subsequently, fluorescence was measured on BD </w:t>
      </w:r>
      <w:proofErr w:type="spellStart"/>
      <w:r>
        <w:t>FACSCantoII</w:t>
      </w:r>
      <w:proofErr w:type="spellEnd"/>
      <w:r>
        <w:t xml:space="preserve"> (BD Biosciences, San Jose USA) and analysed using </w:t>
      </w:r>
      <w:proofErr w:type="spellStart"/>
      <w:r>
        <w:t>FloJo</w:t>
      </w:r>
      <w:proofErr w:type="spellEnd"/>
      <w:r>
        <w:t>.</w:t>
      </w:r>
    </w:p>
    <w:p w14:paraId="5F95AEBE" w14:textId="77777777" w:rsidR="00EA517B" w:rsidRPr="001E131A" w:rsidRDefault="00EA517B" w:rsidP="00EA517B">
      <w:r>
        <w:t>To achieve protein delivery through electroporation, cells were harvested following their advised protocol and concentrated to 4 x 10</w:t>
      </w:r>
      <w:r>
        <w:rPr>
          <w:vertAlign w:val="superscript"/>
        </w:rPr>
        <w:t>6</w:t>
      </w:r>
      <w:r>
        <w:t xml:space="preserve"> cells in 200 μL (for B16) or 1 x 10</w:t>
      </w:r>
      <w:r>
        <w:rPr>
          <w:vertAlign w:val="superscript"/>
        </w:rPr>
        <w:t>7</w:t>
      </w:r>
      <w:r>
        <w:t xml:space="preserve"> cells in 200 μL (for Ana1), washed in serum free RPMI [</w:t>
      </w:r>
      <w:r w:rsidRPr="00992860">
        <w:t>1% penicillin/streptomycin  and 0,1% β</w:t>
      </w:r>
      <w:r>
        <w:t>ME</w:t>
      </w:r>
      <w:r w:rsidRPr="00992860">
        <w:t xml:space="preserve"> </w:t>
      </w:r>
      <w:r>
        <w:t xml:space="preserve">added to RPMI-1640 </w:t>
      </w:r>
      <w:r w:rsidRPr="00992860">
        <w:t>(Life Technologies Ltd., Paisley, Scotland, UK / Gibco)</w:t>
      </w:r>
      <w:r>
        <w:t xml:space="preserve">] and resuspended in serum free RPMI. Cells were transferred to electroporation cuvettes and 10 μM of protein was added. After a rest period of 3 to 5 minutes, cells were electroporated using a Bio-Rad Gene Pulser II Electroporator, at 250V, 975 </w:t>
      </w:r>
      <w:r>
        <w:rPr>
          <w:rFonts w:cstheme="minorHAnsi"/>
        </w:rPr>
        <w:t>µ</w:t>
      </w:r>
      <w:r>
        <w:t xml:space="preserve">F and infinite resistance. After electroporation, cells were given 3 mL of 2x medium (37 </w:t>
      </w:r>
      <w:r>
        <w:rPr>
          <w:vertAlign w:val="superscript"/>
        </w:rPr>
        <w:t>o</w:t>
      </w:r>
      <w:r>
        <w:t>C) [</w:t>
      </w:r>
      <w:r w:rsidRPr="00992860">
        <w:t xml:space="preserve">10% heat inactivated </w:t>
      </w:r>
      <w:r>
        <w:t>FCS</w:t>
      </w:r>
      <w:r w:rsidRPr="00992860">
        <w:t xml:space="preserve">, </w:t>
      </w:r>
      <w:r>
        <w:t>2</w:t>
      </w:r>
      <w:r w:rsidRPr="00992860">
        <w:t>% penicillin/streptomycin and 0,1% βME</w:t>
      </w:r>
      <w:r>
        <w:t xml:space="preserve"> added to the respective media] to compensate for unsterile protein and left to recover for 3 minutes. Afterwards, cells were spun down at 300 RCF for 4 minutes at 21 </w:t>
      </w:r>
      <w:r>
        <w:rPr>
          <w:vertAlign w:val="superscript"/>
        </w:rPr>
        <w:t>o</w:t>
      </w:r>
      <w:r>
        <w:t>C, resuspended and used for further experiments.</w:t>
      </w:r>
    </w:p>
    <w:p w14:paraId="0C5D9E38" w14:textId="77777777" w:rsidR="00EA517B" w:rsidRPr="00A008D3" w:rsidRDefault="00EA517B" w:rsidP="00EA517B">
      <w:r>
        <w:t>For B3Z assays, Ana1/B16 was seeded at a cell density of at least 1 x 10</w:t>
      </w:r>
      <w:r>
        <w:rPr>
          <w:vertAlign w:val="superscript"/>
        </w:rPr>
        <w:t>4</w:t>
      </w:r>
      <w:r>
        <w:t> cells per well (optimised around 5 x 10</w:t>
      </w:r>
      <w:r>
        <w:rPr>
          <w:vertAlign w:val="superscript"/>
        </w:rPr>
        <w:t>4</w:t>
      </w:r>
      <w:r>
        <w:t> cells per well), in 100 μL. Medium conditions were added, such as 25 ng/mL IFN-</w:t>
      </w:r>
      <w:r>
        <w:sym w:font="Symbol" w:char="F067"/>
      </w:r>
      <w:r>
        <w:t xml:space="preserve"> or 1 </w:t>
      </w:r>
      <w:r>
        <w:rPr>
          <w:rFonts w:cstheme="minorHAnsi"/>
        </w:rPr>
        <w:t>µ</w:t>
      </w:r>
      <w:r>
        <w:t xml:space="preserve">M SIINFEKL peptide. Aqua </w:t>
      </w:r>
      <w:proofErr w:type="spellStart"/>
      <w:r>
        <w:t>dest</w:t>
      </w:r>
      <w:proofErr w:type="spellEnd"/>
      <w:r>
        <w:t xml:space="preserve"> was added to the outside wells to reduce evaporation of the medium. Cells were left in the incubator for 3 to 5 hours to have time to attach to the well bottom. Subsequently, B3Z was added at a density of 3 x 10</w:t>
      </w:r>
      <w:r>
        <w:rPr>
          <w:vertAlign w:val="superscript"/>
        </w:rPr>
        <w:t>4</w:t>
      </w:r>
      <w:r>
        <w:t xml:space="preserve"> cells per well and the cells were incubated overnight at 37 </w:t>
      </w:r>
      <w:r>
        <w:rPr>
          <w:vertAlign w:val="superscript"/>
        </w:rPr>
        <w:t>o</w:t>
      </w:r>
      <w:r>
        <w:t xml:space="preserve">C. The following day, the plate was spun down at 250 RCF for 5 minutes at 21 </w:t>
      </w:r>
      <w:r>
        <w:rPr>
          <w:vertAlign w:val="superscript"/>
        </w:rPr>
        <w:t>o</w:t>
      </w:r>
      <w:r>
        <w:t xml:space="preserve">C and supernatant was removed from all wells. The assay readout was started by adding 100 μL Z buffer [250 μL </w:t>
      </w:r>
      <w:r>
        <w:rPr>
          <w:rFonts w:cstheme="minorHAnsi"/>
        </w:rPr>
        <w:t>β</w:t>
      </w:r>
      <w:r>
        <w:t xml:space="preserve">ME, 40 mg MgCl2 (Merck KGAA, Darmstadt Germany), 25 μL nonidet P-40 (Sigma Chemical Co., St. Louis USA) and 1,76 mg CPRG (Roche, Mannheim Germany) to 20 mL PBS] and incubating for 4 hours at 37 </w:t>
      </w:r>
      <w:r>
        <w:rPr>
          <w:vertAlign w:val="superscript"/>
        </w:rPr>
        <w:t>o</w:t>
      </w:r>
      <w:r>
        <w:t>C, shaking. Readout was done using a 96 wells plate reader at endpoint reading, wavelength of 595 and 5 seconds of mix time.</w:t>
      </w:r>
    </w:p>
    <w:p w14:paraId="1D33E5CF" w14:textId="77777777" w:rsidR="00EA517B" w:rsidRDefault="00EA517B" w:rsidP="00EA517B"/>
    <w:p w14:paraId="1CE1879F" w14:textId="77777777" w:rsidR="00D10686" w:rsidRDefault="00D10686" w:rsidP="00245FB0"/>
    <w:p w14:paraId="440012C0" w14:textId="4412B75C" w:rsidR="00CA6241" w:rsidRPr="00793E8D" w:rsidRDefault="00CA6241" w:rsidP="00245FB0">
      <w:r w:rsidRPr="008208B6">
        <w:br w:type="page"/>
      </w:r>
    </w:p>
    <w:p w14:paraId="6B64D183" w14:textId="2F65A929" w:rsidR="00CA6241" w:rsidRPr="008208B6" w:rsidRDefault="00CA6241" w:rsidP="00CA6241">
      <w:pPr>
        <w:pStyle w:val="Kop1"/>
      </w:pPr>
      <w:bookmarkStart w:id="24" w:name="_Toc85744703"/>
      <w:r w:rsidRPr="008208B6">
        <w:lastRenderedPageBreak/>
        <w:t>References</w:t>
      </w:r>
      <w:bookmarkEnd w:id="24"/>
    </w:p>
    <w:p w14:paraId="7CB868F0" w14:textId="4977CE64" w:rsidR="00BD5A59" w:rsidRPr="0047083D" w:rsidRDefault="00117604" w:rsidP="00BD5A59">
      <w:pPr>
        <w:widowControl w:val="0"/>
        <w:autoSpaceDE w:val="0"/>
        <w:autoSpaceDN w:val="0"/>
        <w:adjustRightInd w:val="0"/>
        <w:spacing w:line="240" w:lineRule="auto"/>
        <w:ind w:left="640" w:hanging="640"/>
        <w:rPr>
          <w:rFonts w:ascii="Calibri" w:hAnsi="Calibri" w:cs="Calibri"/>
          <w:noProof/>
          <w:szCs w:val="24"/>
          <w:lang w:val="nl-NL"/>
        </w:rPr>
      </w:pPr>
      <w:r>
        <w:fldChar w:fldCharType="begin" w:fldLock="1"/>
      </w:r>
      <w:r>
        <w:instrText xml:space="preserve">ADDIN Mendeley Bibliography CSL_BIBLIOGRAPHY </w:instrText>
      </w:r>
      <w:r>
        <w:fldChar w:fldCharType="separate"/>
      </w:r>
      <w:r w:rsidR="00BD5A59" w:rsidRPr="00BD5A59">
        <w:rPr>
          <w:rFonts w:ascii="Calibri" w:hAnsi="Calibri" w:cs="Calibri"/>
          <w:noProof/>
          <w:szCs w:val="24"/>
        </w:rPr>
        <w:t xml:space="preserve">1. </w:t>
      </w:r>
      <w:r w:rsidR="00BD5A59" w:rsidRPr="00BD5A59">
        <w:rPr>
          <w:rFonts w:ascii="Calibri" w:hAnsi="Calibri" w:cs="Calibri"/>
          <w:noProof/>
          <w:szCs w:val="24"/>
        </w:rPr>
        <w:tab/>
        <w:t xml:space="preserve">Moingeon P. Cancer vaccines. </w:t>
      </w:r>
      <w:r w:rsidR="00BD5A59" w:rsidRPr="0047083D">
        <w:rPr>
          <w:rFonts w:ascii="Calibri" w:hAnsi="Calibri" w:cs="Calibri"/>
          <w:noProof/>
          <w:szCs w:val="24"/>
          <w:lang w:val="nl-NL"/>
        </w:rPr>
        <w:t xml:space="preserve">Vaccine. 2001;19(11–12):1305–26. </w:t>
      </w:r>
    </w:p>
    <w:p w14:paraId="499EA790"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47083D">
        <w:rPr>
          <w:rFonts w:ascii="Calibri" w:hAnsi="Calibri" w:cs="Calibri"/>
          <w:noProof/>
          <w:szCs w:val="24"/>
          <w:lang w:val="nl-NL"/>
        </w:rPr>
        <w:t xml:space="preserve">2. </w:t>
      </w:r>
      <w:r w:rsidRPr="0047083D">
        <w:rPr>
          <w:rFonts w:ascii="Calibri" w:hAnsi="Calibri" w:cs="Calibri"/>
          <w:noProof/>
          <w:szCs w:val="24"/>
          <w:lang w:val="nl-NL"/>
        </w:rPr>
        <w:tab/>
        <w:t xml:space="preserve">Heemskerk MHM, Hoogeboom M, Hagedoorn R, Kester MGD, Willemze R, Falkenburg JHF. </w:t>
      </w:r>
      <w:r w:rsidRPr="00BD5A59">
        <w:rPr>
          <w:rFonts w:ascii="Calibri" w:hAnsi="Calibri" w:cs="Calibri"/>
          <w:noProof/>
          <w:szCs w:val="24"/>
        </w:rPr>
        <w:t>Reprogramming of Virus-specific T Cells into Leukemia-reactive T Cells Using T Cell Receptor Gene Transfer. J Exp Med [Internet]. 2004 Apr 5 [cited 2021 Mar 17];199(7):885–94. Available from: http://www.jem.org/cgi/doi/10.1084/jem.20031110</w:t>
      </w:r>
    </w:p>
    <w:p w14:paraId="668F1A33"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BD5A59">
        <w:rPr>
          <w:rFonts w:ascii="Calibri" w:hAnsi="Calibri" w:cs="Calibri"/>
          <w:noProof/>
          <w:szCs w:val="24"/>
        </w:rPr>
        <w:t xml:space="preserve">3. </w:t>
      </w:r>
      <w:r w:rsidRPr="00BD5A59">
        <w:rPr>
          <w:rFonts w:ascii="Calibri" w:hAnsi="Calibri" w:cs="Calibri"/>
          <w:noProof/>
          <w:szCs w:val="24"/>
        </w:rPr>
        <w:tab/>
        <w:t xml:space="preserve">Tye-Din JA, Cameron DJS, Daveson AJ, Day AS, Dellsperger P, Hogan C, et al. Appropriate clinical use of human leukocyte antigen typing for coeliac disease: An Australasian perspective. Intern Med J. 2015;45(4):441–50. </w:t>
      </w:r>
    </w:p>
    <w:p w14:paraId="1AECFD08"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BD5A59">
        <w:rPr>
          <w:rFonts w:ascii="Calibri" w:hAnsi="Calibri" w:cs="Calibri"/>
          <w:noProof/>
          <w:szCs w:val="24"/>
        </w:rPr>
        <w:t xml:space="preserve">4. </w:t>
      </w:r>
      <w:r w:rsidRPr="00BD5A59">
        <w:rPr>
          <w:rFonts w:ascii="Calibri" w:hAnsi="Calibri" w:cs="Calibri"/>
          <w:noProof/>
          <w:szCs w:val="24"/>
        </w:rPr>
        <w:tab/>
        <w:t xml:space="preserve">Gernez Y, Nowak-Węgrzyn A. Immunotherapy for Food Allergy: Are We There Yet? J Allergy Clin Immunol Pract. 2017 Apr 1;5(2):250–72. </w:t>
      </w:r>
    </w:p>
    <w:p w14:paraId="10B3E1F8"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BD5A59">
        <w:rPr>
          <w:rFonts w:ascii="Calibri" w:hAnsi="Calibri" w:cs="Calibri"/>
          <w:noProof/>
          <w:szCs w:val="24"/>
        </w:rPr>
        <w:t xml:space="preserve">5. </w:t>
      </w:r>
      <w:r w:rsidRPr="00BD5A59">
        <w:rPr>
          <w:rFonts w:ascii="Calibri" w:hAnsi="Calibri" w:cs="Calibri"/>
          <w:noProof/>
          <w:szCs w:val="24"/>
        </w:rPr>
        <w:tab/>
        <w:t>Dong Y, Zhang S, Wu Z, Li X, Wang WL, Zhu Y, et al. Cryo-EM structures and dynamics of substrate-engaged human 26S proteasome. Nature [Internet]. 2019 Jan 3 [cited 2021 Mar 17];565(7737):49–55. Available from: /pmc/articles/PMC6370054/</w:t>
      </w:r>
    </w:p>
    <w:p w14:paraId="5FF09433"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47083D">
        <w:rPr>
          <w:rFonts w:ascii="Calibri" w:hAnsi="Calibri" w:cs="Calibri"/>
          <w:noProof/>
          <w:szCs w:val="24"/>
          <w:lang w:val="nl-NL"/>
        </w:rPr>
        <w:t xml:space="preserve">6. </w:t>
      </w:r>
      <w:r w:rsidRPr="0047083D">
        <w:rPr>
          <w:rFonts w:ascii="Calibri" w:hAnsi="Calibri" w:cs="Calibri"/>
          <w:noProof/>
          <w:szCs w:val="24"/>
          <w:lang w:val="nl-NL"/>
        </w:rPr>
        <w:tab/>
        <w:t xml:space="preserve">Jukič M, Grabrijan K, Kadić S, De Lera Garrido FJ, Sosič I, Gobec S, et al. </w:t>
      </w:r>
      <w:r w:rsidRPr="00BD5A59">
        <w:rPr>
          <w:rFonts w:ascii="Calibri" w:hAnsi="Calibri" w:cs="Calibri"/>
          <w:noProof/>
          <w:szCs w:val="24"/>
        </w:rPr>
        <w:t xml:space="preserve">Chlorocarbonylsulfenyl chloride cyclizations towards piperidin-3-yl-oxathiazol-2-ones as potential covalent inhibitors of threonine proteases. Acta Chim Slov. 2017;64(4):771–81. </w:t>
      </w:r>
    </w:p>
    <w:p w14:paraId="2B724FB5"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BD5A59">
        <w:rPr>
          <w:rFonts w:ascii="Calibri" w:hAnsi="Calibri" w:cs="Calibri"/>
          <w:noProof/>
          <w:szCs w:val="24"/>
        </w:rPr>
        <w:t xml:space="preserve">7. </w:t>
      </w:r>
      <w:r w:rsidRPr="00BD5A59">
        <w:rPr>
          <w:rFonts w:ascii="Calibri" w:hAnsi="Calibri" w:cs="Calibri"/>
          <w:noProof/>
          <w:szCs w:val="24"/>
        </w:rPr>
        <w:tab/>
        <w:t xml:space="preserve">Tanaka K. The proteasome: Overview of structure and functions. </w:t>
      </w:r>
    </w:p>
    <w:p w14:paraId="5B688ACD"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BD5A59">
        <w:rPr>
          <w:rFonts w:ascii="Calibri" w:hAnsi="Calibri" w:cs="Calibri"/>
          <w:noProof/>
          <w:szCs w:val="24"/>
        </w:rPr>
        <w:t xml:space="preserve">8. </w:t>
      </w:r>
      <w:r w:rsidRPr="00BD5A59">
        <w:rPr>
          <w:rFonts w:ascii="Calibri" w:hAnsi="Calibri" w:cs="Calibri"/>
          <w:noProof/>
          <w:szCs w:val="24"/>
        </w:rPr>
        <w:tab/>
        <w:t xml:space="preserve">Purcell AW, Elliott T. Molecular machinations of the MHC-I peptide loading complex. Vol. 20, Current Opinion in Immunology. Elsevier Current Trends; 2008. p. 75–81. </w:t>
      </w:r>
    </w:p>
    <w:p w14:paraId="54A1AF37"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BD5A59">
        <w:rPr>
          <w:rFonts w:ascii="Calibri" w:hAnsi="Calibri" w:cs="Calibri"/>
          <w:noProof/>
          <w:szCs w:val="24"/>
        </w:rPr>
        <w:t xml:space="preserve">9. </w:t>
      </w:r>
      <w:r w:rsidRPr="00BD5A59">
        <w:rPr>
          <w:rFonts w:ascii="Calibri" w:hAnsi="Calibri" w:cs="Calibri"/>
          <w:noProof/>
          <w:szCs w:val="24"/>
        </w:rPr>
        <w:tab/>
        <w:t xml:space="preserve">Fremont DH, Stura EA, §p M, §ii PAP, Wilson IA, Kappler JW, et al. Crystal structure of an H-2Kb-ovalbumin peptide complex reveals the interplay of primary and secondary anchor positions in the major histocompatibility complex binding groove (murine major histocompatibility complex class I/allele-specific motifs/x-ray crystallography) "Present address: R ttThe atomic coordinates have been deposited in the Protein Data. Vol. 92, Immunology. 1995. </w:t>
      </w:r>
    </w:p>
    <w:p w14:paraId="59CBBB87"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BD5A59">
        <w:rPr>
          <w:rFonts w:ascii="Calibri" w:hAnsi="Calibri" w:cs="Calibri"/>
          <w:noProof/>
          <w:szCs w:val="24"/>
        </w:rPr>
        <w:t xml:space="preserve">10. </w:t>
      </w:r>
      <w:r w:rsidRPr="00BD5A59">
        <w:rPr>
          <w:rFonts w:ascii="Calibri" w:hAnsi="Calibri" w:cs="Calibri"/>
          <w:noProof/>
          <w:szCs w:val="24"/>
        </w:rPr>
        <w:tab/>
        <w:t xml:space="preserve">Gray1 ML, Killinger AH. Listeria monocytogenes and Listeric Infections. Vol. 30, BACTERIOLOGICAL REVIEWS. 1966. </w:t>
      </w:r>
    </w:p>
    <w:p w14:paraId="77E60F1E"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BD5A59">
        <w:rPr>
          <w:rFonts w:ascii="Calibri" w:hAnsi="Calibri" w:cs="Calibri"/>
          <w:noProof/>
          <w:szCs w:val="24"/>
        </w:rPr>
        <w:t xml:space="preserve">11. </w:t>
      </w:r>
      <w:r w:rsidRPr="00BD5A59">
        <w:rPr>
          <w:rFonts w:ascii="Calibri" w:hAnsi="Calibri" w:cs="Calibri"/>
          <w:noProof/>
          <w:szCs w:val="24"/>
        </w:rPr>
        <w:tab/>
        <w:t>Symptoms | Listeria | CDC [Internet]. [cited 2021 Sep 26]. Available from: https://www.cdc.gov/listeria/symptoms.html</w:t>
      </w:r>
    </w:p>
    <w:p w14:paraId="4FDEF360"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BD5A59">
        <w:rPr>
          <w:rFonts w:ascii="Calibri" w:hAnsi="Calibri" w:cs="Calibri"/>
          <w:noProof/>
          <w:szCs w:val="24"/>
        </w:rPr>
        <w:t xml:space="preserve">12. </w:t>
      </w:r>
      <w:r w:rsidRPr="00BD5A59">
        <w:rPr>
          <w:rFonts w:ascii="Calibri" w:hAnsi="Calibri" w:cs="Calibri"/>
          <w:noProof/>
          <w:szCs w:val="24"/>
        </w:rPr>
        <w:tab/>
        <w:t>T’dney LG, Portnoy DA. Actin Filaments and the Growth, Movement, and Spread of the Intracellular Bacterial Parasite, Listeria monocytogenes [Internet]. [cited 2021 Mar 22]. Available from: http://rupress.org/jcb/article-pdf/109/4/1597/1058347/1597.pdf</w:t>
      </w:r>
    </w:p>
    <w:p w14:paraId="372B7EEB"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47083D">
        <w:rPr>
          <w:rFonts w:ascii="Calibri" w:hAnsi="Calibri" w:cs="Calibri"/>
          <w:noProof/>
          <w:szCs w:val="24"/>
          <w:lang w:val="nl-NL"/>
        </w:rPr>
        <w:t xml:space="preserve">13. </w:t>
      </w:r>
      <w:r w:rsidRPr="0047083D">
        <w:rPr>
          <w:rFonts w:ascii="Calibri" w:hAnsi="Calibri" w:cs="Calibri"/>
          <w:noProof/>
          <w:szCs w:val="24"/>
          <w:lang w:val="nl-NL"/>
        </w:rPr>
        <w:tab/>
        <w:t xml:space="preserve">Liepe J, Mishto M, Textoris-Taube K, Janek K, Keller C, Henklein P, et al. </w:t>
      </w:r>
      <w:r w:rsidRPr="00BD5A59">
        <w:rPr>
          <w:rFonts w:ascii="Calibri" w:hAnsi="Calibri" w:cs="Calibri"/>
          <w:noProof/>
          <w:szCs w:val="24"/>
        </w:rPr>
        <w:t>The 20S Proteasome Splicing Activity Discovered by SpliceMet. De Boer RJ, editor. PLoS Comput Biol [Internet]. 2010 Jun 24 [cited 2021 Sep 8];6(6):e1000830. Available from: https://dx.plos.org/10.1371/journal.pcbi.1000830</w:t>
      </w:r>
    </w:p>
    <w:p w14:paraId="1AB0DD6F"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BD5A59">
        <w:rPr>
          <w:rFonts w:ascii="Calibri" w:hAnsi="Calibri" w:cs="Calibri"/>
          <w:noProof/>
          <w:szCs w:val="24"/>
        </w:rPr>
        <w:t xml:space="preserve">14. </w:t>
      </w:r>
      <w:r w:rsidRPr="00BD5A59">
        <w:rPr>
          <w:rFonts w:ascii="Calibri" w:hAnsi="Calibri" w:cs="Calibri"/>
          <w:noProof/>
          <w:szCs w:val="24"/>
        </w:rPr>
        <w:tab/>
        <w:t xml:space="preserve">Platteel ACM, Mishto M, Textoris-Taube K, Keller C, Liepe J, Busch DH, et al. CD8 </w:t>
      </w:r>
      <w:r w:rsidRPr="00BD5A59">
        <w:rPr>
          <w:rFonts w:ascii="Calibri" w:hAnsi="Calibri" w:cs="Calibri"/>
          <w:noProof/>
          <w:szCs w:val="24"/>
          <w:vertAlign w:val="superscript"/>
        </w:rPr>
        <w:t>+</w:t>
      </w:r>
      <w:r w:rsidRPr="00BD5A59">
        <w:rPr>
          <w:rFonts w:ascii="Calibri" w:hAnsi="Calibri" w:cs="Calibri"/>
          <w:noProof/>
          <w:szCs w:val="24"/>
        </w:rPr>
        <w:t xml:space="preserve"> T cells of </w:t>
      </w:r>
      <w:r w:rsidRPr="00BD5A59">
        <w:rPr>
          <w:rFonts w:ascii="Calibri" w:hAnsi="Calibri" w:cs="Calibri"/>
          <w:i/>
          <w:iCs/>
          <w:noProof/>
          <w:szCs w:val="24"/>
        </w:rPr>
        <w:t>Listeria monocytogenes-</w:t>
      </w:r>
      <w:r w:rsidRPr="00BD5A59">
        <w:rPr>
          <w:rFonts w:ascii="Calibri" w:hAnsi="Calibri" w:cs="Calibri"/>
          <w:noProof/>
          <w:szCs w:val="24"/>
        </w:rPr>
        <w:t xml:space="preserve"> infected mice recognize both linear and spliced proteasome products. Eur J Immunol [Internet]. 2016 May 1 [cited 2021 Sep 8];46(5):1109–18. Available from: https://onlinelibrary.wiley.com/doi/10.1002/eji.201545989</w:t>
      </w:r>
    </w:p>
    <w:p w14:paraId="0E2B998F"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BD5A59">
        <w:rPr>
          <w:rFonts w:ascii="Calibri" w:hAnsi="Calibri" w:cs="Calibri"/>
          <w:noProof/>
          <w:szCs w:val="24"/>
        </w:rPr>
        <w:t xml:space="preserve">15. </w:t>
      </w:r>
      <w:r w:rsidRPr="00BD5A59">
        <w:rPr>
          <w:rFonts w:ascii="Calibri" w:hAnsi="Calibri" w:cs="Calibri"/>
          <w:noProof/>
          <w:szCs w:val="24"/>
        </w:rPr>
        <w:tab/>
        <w:t xml:space="preserve">Zhang M, Fritsche J, Roszik J, Williams LJ, Peng X, Chiu Y, et al. RNA editing derived epitopes function as cancer antigens to elicit immune responses. Nat Commun [Internet]. 2018 Dec 1 </w:t>
      </w:r>
      <w:r w:rsidRPr="00BD5A59">
        <w:rPr>
          <w:rFonts w:ascii="Calibri" w:hAnsi="Calibri" w:cs="Calibri"/>
          <w:noProof/>
          <w:szCs w:val="24"/>
        </w:rPr>
        <w:lastRenderedPageBreak/>
        <w:t>[cited 2021 Jul 25];9(1):1–10. Available from: www.nature.com/naturecommunications</w:t>
      </w:r>
    </w:p>
    <w:p w14:paraId="39AEB933"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BD5A59">
        <w:rPr>
          <w:rFonts w:ascii="Calibri" w:hAnsi="Calibri" w:cs="Calibri"/>
          <w:noProof/>
          <w:szCs w:val="24"/>
        </w:rPr>
        <w:t xml:space="preserve">16. </w:t>
      </w:r>
      <w:r w:rsidRPr="00BD5A59">
        <w:rPr>
          <w:rFonts w:ascii="Calibri" w:hAnsi="Calibri" w:cs="Calibri"/>
          <w:noProof/>
          <w:szCs w:val="24"/>
        </w:rPr>
        <w:tab/>
        <w:t xml:space="preserve">Chong C, Müller M, Pak HS, Harnett D, Huber F, Grun D, et al. Integrated proteogenomic deep sequencing and analytics accurately identify non-canonical peptides in tumor immunopeptidomes. Nat Commun. 2020;11(1). </w:t>
      </w:r>
    </w:p>
    <w:p w14:paraId="7F03A07B" w14:textId="77777777" w:rsidR="00BD5A59" w:rsidRPr="0047083D" w:rsidRDefault="00BD5A59" w:rsidP="00BD5A59">
      <w:pPr>
        <w:widowControl w:val="0"/>
        <w:autoSpaceDE w:val="0"/>
        <w:autoSpaceDN w:val="0"/>
        <w:adjustRightInd w:val="0"/>
        <w:spacing w:line="240" w:lineRule="auto"/>
        <w:ind w:left="640" w:hanging="640"/>
        <w:rPr>
          <w:rFonts w:ascii="Calibri" w:hAnsi="Calibri" w:cs="Calibri"/>
          <w:noProof/>
          <w:szCs w:val="24"/>
          <w:lang w:val="nl-NL"/>
        </w:rPr>
      </w:pPr>
      <w:r w:rsidRPr="00BD5A59">
        <w:rPr>
          <w:rFonts w:ascii="Calibri" w:hAnsi="Calibri" w:cs="Calibri"/>
          <w:noProof/>
          <w:szCs w:val="24"/>
        </w:rPr>
        <w:t xml:space="preserve">17. </w:t>
      </w:r>
      <w:r w:rsidRPr="00BD5A59">
        <w:rPr>
          <w:rFonts w:ascii="Calibri" w:hAnsi="Calibri" w:cs="Calibri"/>
          <w:noProof/>
          <w:szCs w:val="24"/>
        </w:rPr>
        <w:tab/>
        <w:t xml:space="preserve">Vigneron N, Stroobant V, Chapiro J, Ooms A, Morel S, Bruggen P Van Der, et al. An Antigenic Peptide Produced by Peptide Splicing in the Proteasome Published by : American Association for the Advancement of Science Stable URL : http://www.jstor.org/stable/3836724 Your use of the JSTOR archive indicates your acceptance of the Terms &amp; . </w:t>
      </w:r>
      <w:r w:rsidRPr="0047083D">
        <w:rPr>
          <w:rFonts w:ascii="Calibri" w:hAnsi="Calibri" w:cs="Calibri"/>
          <w:noProof/>
          <w:szCs w:val="24"/>
          <w:lang w:val="nl-NL"/>
        </w:rPr>
        <w:t xml:space="preserve">2016;304(5670):587–90. </w:t>
      </w:r>
    </w:p>
    <w:p w14:paraId="49308F69"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47083D">
        <w:rPr>
          <w:rFonts w:ascii="Calibri" w:hAnsi="Calibri" w:cs="Calibri"/>
          <w:noProof/>
          <w:szCs w:val="24"/>
          <w:lang w:val="nl-NL"/>
        </w:rPr>
        <w:t xml:space="preserve">18. </w:t>
      </w:r>
      <w:r w:rsidRPr="0047083D">
        <w:rPr>
          <w:rFonts w:ascii="Calibri" w:hAnsi="Calibri" w:cs="Calibri"/>
          <w:noProof/>
          <w:szCs w:val="24"/>
          <w:lang w:val="nl-NL"/>
        </w:rPr>
        <w:tab/>
        <w:t xml:space="preserve">Platteel ACM, Liepe J, van Eden W, Mishto M, Sijts AJAM. </w:t>
      </w:r>
      <w:r w:rsidRPr="00BD5A59">
        <w:rPr>
          <w:rFonts w:ascii="Calibri" w:hAnsi="Calibri" w:cs="Calibri"/>
          <w:noProof/>
          <w:szCs w:val="24"/>
        </w:rPr>
        <w:t>An Unexpected Major Role for Proteasome-Catalyzed Peptide Splicing in Generation of T Cell Epitopes: Is There Relevance for Vaccine Development? Front Immunol [Internet]. 2017 Nov 3 [cited 2021 Jul 17];8(NOV):1441. Available from: http://journal.frontiersin.org/article/10.3389/fimmu.2017.01441/full</w:t>
      </w:r>
    </w:p>
    <w:p w14:paraId="66FA8B61"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BD5A59">
        <w:rPr>
          <w:rFonts w:ascii="Calibri" w:hAnsi="Calibri" w:cs="Calibri"/>
          <w:noProof/>
          <w:szCs w:val="24"/>
        </w:rPr>
        <w:t xml:space="preserve">19. </w:t>
      </w:r>
      <w:r w:rsidRPr="00BD5A59">
        <w:rPr>
          <w:rFonts w:ascii="Calibri" w:hAnsi="Calibri" w:cs="Calibri"/>
          <w:noProof/>
          <w:szCs w:val="24"/>
        </w:rPr>
        <w:tab/>
        <w:t xml:space="preserve">Karttunen J, Sanderson S, Shastri N. Detection of rare antigen-presenting cells by the lacZ T-cell activation assay suggests an expression cloning strategy for T-cell antigens. Vol. 89. 1992. </w:t>
      </w:r>
    </w:p>
    <w:p w14:paraId="34C1F915"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BD5A59">
        <w:rPr>
          <w:rFonts w:ascii="Calibri" w:hAnsi="Calibri" w:cs="Calibri"/>
          <w:noProof/>
          <w:szCs w:val="24"/>
        </w:rPr>
        <w:t xml:space="preserve">20. </w:t>
      </w:r>
      <w:r w:rsidRPr="00BD5A59">
        <w:rPr>
          <w:rFonts w:ascii="Calibri" w:hAnsi="Calibri" w:cs="Calibri"/>
          <w:noProof/>
          <w:szCs w:val="24"/>
        </w:rPr>
        <w:tab/>
        <w:t xml:space="preserve">Hashimoto M, Yamashita Y, Takemoto T. Electroporation of Cas9 protein/sgRNA into early pronuclear zygotes generates non-mosaic mutants in the mouse. Dev Biol. 2016 Oct 1;418(1):1–9. </w:t>
      </w:r>
    </w:p>
    <w:p w14:paraId="107D633D"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BD5A59">
        <w:rPr>
          <w:rFonts w:ascii="Calibri" w:hAnsi="Calibri" w:cs="Calibri"/>
          <w:noProof/>
          <w:szCs w:val="24"/>
        </w:rPr>
        <w:t xml:space="preserve">21. </w:t>
      </w:r>
      <w:r w:rsidRPr="00BD5A59">
        <w:rPr>
          <w:rFonts w:ascii="Calibri" w:hAnsi="Calibri" w:cs="Calibri"/>
          <w:noProof/>
          <w:szCs w:val="24"/>
        </w:rPr>
        <w:tab/>
        <w:t xml:space="preserve">Sun C, Ouyang M, Cao Z, Ma S, Alqublan H, Sriranganathan N, et al. Electroporation-delivered fluorescent protein biosensors for probing molecular activities in cells without genetic encoding. Chem Commun. 2014;50(78):11536–9. </w:t>
      </w:r>
    </w:p>
    <w:p w14:paraId="3554CF03"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BD5A59">
        <w:rPr>
          <w:rFonts w:ascii="Calibri" w:hAnsi="Calibri" w:cs="Calibri"/>
          <w:noProof/>
          <w:szCs w:val="24"/>
        </w:rPr>
        <w:t xml:space="preserve">22. </w:t>
      </w:r>
      <w:r w:rsidRPr="00BD5A59">
        <w:rPr>
          <w:rFonts w:ascii="Calibri" w:hAnsi="Calibri" w:cs="Calibri"/>
          <w:noProof/>
          <w:szCs w:val="24"/>
        </w:rPr>
        <w:tab/>
        <w:t>Gräslund S, Nordlund P, Weigelt J, Martin Hallberg B, Bray J, Gileadi O, et al. Protein production and purification. Shigeyuki Yokoyama [Internet]. 2008 [cited 2021 Sep 13];18(2):135–46. Available from: http://targetdb.pdb.org/</w:t>
      </w:r>
    </w:p>
    <w:p w14:paraId="1196743E"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47083D">
        <w:rPr>
          <w:rFonts w:ascii="Calibri" w:hAnsi="Calibri" w:cs="Calibri"/>
          <w:noProof/>
          <w:szCs w:val="24"/>
          <w:lang w:val="nl-NL"/>
        </w:rPr>
        <w:t xml:space="preserve">23. </w:t>
      </w:r>
      <w:r w:rsidRPr="0047083D">
        <w:rPr>
          <w:rFonts w:ascii="Calibri" w:hAnsi="Calibri" w:cs="Calibri"/>
          <w:noProof/>
          <w:szCs w:val="24"/>
          <w:lang w:val="nl-NL"/>
        </w:rPr>
        <w:tab/>
        <w:t xml:space="preserve">Platteel ACM, Liepe J, Textoris-Taube K, Keller C, Henklein P, Schalkwijk HH, et al. </w:t>
      </w:r>
      <w:r w:rsidRPr="00BD5A59">
        <w:rPr>
          <w:rFonts w:ascii="Calibri" w:hAnsi="Calibri" w:cs="Calibri"/>
          <w:noProof/>
          <w:szCs w:val="24"/>
        </w:rPr>
        <w:t>Multi-level Strategy for Identifying Proteasome-Catalyzed Spliced Epitopes Targeted by CD8+ T Cells during Bacterial Infection. Cell Rep [Internet]. 2017;20(5):1242–53. Available from: http://dx.doi.org/10.1016/j.celrep.2017.07.026</w:t>
      </w:r>
    </w:p>
    <w:p w14:paraId="53F6334F" w14:textId="77777777" w:rsidR="00BD5A59" w:rsidRPr="0047083D" w:rsidRDefault="00BD5A59" w:rsidP="00BD5A59">
      <w:pPr>
        <w:widowControl w:val="0"/>
        <w:autoSpaceDE w:val="0"/>
        <w:autoSpaceDN w:val="0"/>
        <w:adjustRightInd w:val="0"/>
        <w:spacing w:line="240" w:lineRule="auto"/>
        <w:ind w:left="640" w:hanging="640"/>
        <w:rPr>
          <w:rFonts w:ascii="Calibri" w:hAnsi="Calibri" w:cs="Calibri"/>
          <w:noProof/>
          <w:szCs w:val="24"/>
          <w:lang w:val="nl-NL"/>
        </w:rPr>
      </w:pPr>
      <w:r w:rsidRPr="00BD5A59">
        <w:rPr>
          <w:rFonts w:ascii="Calibri" w:hAnsi="Calibri" w:cs="Calibri"/>
          <w:noProof/>
          <w:szCs w:val="24"/>
        </w:rPr>
        <w:t xml:space="preserve">24. </w:t>
      </w:r>
      <w:r w:rsidRPr="00BD5A59">
        <w:rPr>
          <w:rFonts w:ascii="Calibri" w:hAnsi="Calibri" w:cs="Calibri"/>
          <w:noProof/>
          <w:szCs w:val="24"/>
        </w:rPr>
        <w:tab/>
        <w:t xml:space="preserve">Chen W, Carbone FR, McCluskey J. Electroporation and commercial liposomes efficiently deliver soluble protein into the MHC class I presentation pathway. Priming in vitro and in vivo for class I-restricted recognition of soluble antigen. </w:t>
      </w:r>
      <w:r w:rsidRPr="0047083D">
        <w:rPr>
          <w:rFonts w:ascii="Calibri" w:hAnsi="Calibri" w:cs="Calibri"/>
          <w:noProof/>
          <w:szCs w:val="24"/>
          <w:lang w:val="nl-NL"/>
        </w:rPr>
        <w:t xml:space="preserve">J Immunol Methods. 1993 Jan 1;160(1):49–57. </w:t>
      </w:r>
    </w:p>
    <w:p w14:paraId="271B2DCD"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szCs w:val="24"/>
        </w:rPr>
      </w:pPr>
      <w:r w:rsidRPr="0047083D">
        <w:rPr>
          <w:rFonts w:ascii="Calibri" w:hAnsi="Calibri" w:cs="Calibri"/>
          <w:noProof/>
          <w:szCs w:val="24"/>
          <w:lang w:val="nl-NL"/>
        </w:rPr>
        <w:t xml:space="preserve">25. </w:t>
      </w:r>
      <w:r w:rsidRPr="0047083D">
        <w:rPr>
          <w:rFonts w:ascii="Calibri" w:hAnsi="Calibri" w:cs="Calibri"/>
          <w:noProof/>
          <w:szCs w:val="24"/>
          <w:lang w:val="nl-NL"/>
        </w:rPr>
        <w:tab/>
        <w:t xml:space="preserve">Ovaa Janssen H, Neefjes JJ, M Schumacher TN, Schuurman B, Linnemann C, Meiring HD, et al. </w:t>
      </w:r>
      <w:r w:rsidRPr="00BD5A59">
        <w:rPr>
          <w:rFonts w:ascii="Calibri" w:hAnsi="Calibri" w:cs="Calibri"/>
          <w:noProof/>
          <w:szCs w:val="24"/>
        </w:rPr>
        <w:t>Presentation by MHC Class I Molecules Rules for High-Efficiency Spliced Peptide Definition of Proteasomal Peptide Splicing Downloaded from. 2021 [cited 2021 Oct 27];27:2021. Available from: http://www.jimmunol.org/content/195/9/4085http://www.jimmunol.org/</w:t>
      </w:r>
    </w:p>
    <w:p w14:paraId="58B8CB9E" w14:textId="77777777" w:rsidR="00BD5A59" w:rsidRPr="00BD5A59" w:rsidRDefault="00BD5A59" w:rsidP="00BD5A59">
      <w:pPr>
        <w:widowControl w:val="0"/>
        <w:autoSpaceDE w:val="0"/>
        <w:autoSpaceDN w:val="0"/>
        <w:adjustRightInd w:val="0"/>
        <w:spacing w:line="240" w:lineRule="auto"/>
        <w:ind w:left="640" w:hanging="640"/>
        <w:rPr>
          <w:rFonts w:ascii="Calibri" w:hAnsi="Calibri" w:cs="Calibri"/>
          <w:noProof/>
        </w:rPr>
      </w:pPr>
      <w:r w:rsidRPr="00BD5A59">
        <w:rPr>
          <w:rFonts w:ascii="Calibri" w:hAnsi="Calibri" w:cs="Calibri"/>
          <w:noProof/>
          <w:szCs w:val="24"/>
        </w:rPr>
        <w:t xml:space="preserve">26. </w:t>
      </w:r>
      <w:r w:rsidRPr="00BD5A59">
        <w:rPr>
          <w:rFonts w:ascii="Calibri" w:hAnsi="Calibri" w:cs="Calibri"/>
          <w:noProof/>
          <w:szCs w:val="24"/>
        </w:rPr>
        <w:tab/>
        <w:t>Paes W, Leonov G, Partridge T, Nicastri A, Ternette N, Borrow P. Elucidation of the Signatures of Proteasome-Catalyzed Peptide Splicing. Front Immunol [Internet]. 2020 Sep 24 [cited 2021 Sep 26];11:2355. Available from: https://www.frontiersin.org/articles/10.3389/fimmu.2020.563800/full</w:t>
      </w:r>
    </w:p>
    <w:p w14:paraId="4CF56784" w14:textId="3EC34318" w:rsidR="00A46FA8" w:rsidRPr="008208B6" w:rsidRDefault="00117604" w:rsidP="00CA6241">
      <w:r>
        <w:fldChar w:fldCharType="end"/>
      </w:r>
    </w:p>
    <w:sectPr w:rsidR="00A46FA8" w:rsidRPr="008208B6" w:rsidSect="003A787D">
      <w:footerReference w:type="default" r:id="rId2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55805" w14:textId="77777777" w:rsidR="00F80144" w:rsidRDefault="00F80144" w:rsidP="00856DC5">
      <w:pPr>
        <w:spacing w:after="0" w:line="240" w:lineRule="auto"/>
      </w:pPr>
      <w:r>
        <w:separator/>
      </w:r>
    </w:p>
  </w:endnote>
  <w:endnote w:type="continuationSeparator" w:id="0">
    <w:p w14:paraId="3D34FA81" w14:textId="77777777" w:rsidR="00F80144" w:rsidRDefault="00F80144" w:rsidP="00856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692420"/>
      <w:docPartObj>
        <w:docPartGallery w:val="Page Numbers (Bottom of Page)"/>
        <w:docPartUnique/>
      </w:docPartObj>
    </w:sdtPr>
    <w:sdtEndPr/>
    <w:sdtContent>
      <w:p w14:paraId="5C0791C4" w14:textId="49203465" w:rsidR="00CA6241" w:rsidRDefault="00CA6241">
        <w:pPr>
          <w:pStyle w:val="Voettekst"/>
          <w:jc w:val="center"/>
        </w:pPr>
        <w:r>
          <w:fldChar w:fldCharType="begin"/>
        </w:r>
        <w:r>
          <w:instrText>PAGE   \* MERGEFORMAT</w:instrText>
        </w:r>
        <w:r>
          <w:fldChar w:fldCharType="separate"/>
        </w:r>
        <w:r>
          <w:rPr>
            <w:lang w:val="nl-NL"/>
          </w:rPr>
          <w:t>2</w:t>
        </w:r>
        <w:r>
          <w:fldChar w:fldCharType="end"/>
        </w:r>
      </w:p>
    </w:sdtContent>
  </w:sdt>
  <w:p w14:paraId="2D76E866" w14:textId="77777777" w:rsidR="00CA6241" w:rsidRDefault="00CA624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5009C" w14:textId="77777777" w:rsidR="00F80144" w:rsidRDefault="00F80144" w:rsidP="00856DC5">
      <w:pPr>
        <w:spacing w:after="0" w:line="240" w:lineRule="auto"/>
      </w:pPr>
      <w:r>
        <w:separator/>
      </w:r>
    </w:p>
  </w:footnote>
  <w:footnote w:type="continuationSeparator" w:id="0">
    <w:p w14:paraId="7C38A155" w14:textId="77777777" w:rsidR="00F80144" w:rsidRDefault="00F80144" w:rsidP="00856D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ACF"/>
    <w:rsid w:val="000036F8"/>
    <w:rsid w:val="00017D31"/>
    <w:rsid w:val="00020813"/>
    <w:rsid w:val="00027918"/>
    <w:rsid w:val="00031DE1"/>
    <w:rsid w:val="000348EA"/>
    <w:rsid w:val="00034E38"/>
    <w:rsid w:val="00035F3F"/>
    <w:rsid w:val="00037F5D"/>
    <w:rsid w:val="000416F7"/>
    <w:rsid w:val="000502AA"/>
    <w:rsid w:val="000524EF"/>
    <w:rsid w:val="00053B30"/>
    <w:rsid w:val="000633B2"/>
    <w:rsid w:val="00070117"/>
    <w:rsid w:val="00070CD4"/>
    <w:rsid w:val="00073D57"/>
    <w:rsid w:val="00074F01"/>
    <w:rsid w:val="00076ACF"/>
    <w:rsid w:val="000846F4"/>
    <w:rsid w:val="00094E72"/>
    <w:rsid w:val="000A2E44"/>
    <w:rsid w:val="000A3650"/>
    <w:rsid w:val="000A6147"/>
    <w:rsid w:val="000B67BE"/>
    <w:rsid w:val="000C2556"/>
    <w:rsid w:val="000C3520"/>
    <w:rsid w:val="000C6613"/>
    <w:rsid w:val="000D26CE"/>
    <w:rsid w:val="000D3303"/>
    <w:rsid w:val="000E2319"/>
    <w:rsid w:val="000E5879"/>
    <w:rsid w:val="000F5F4C"/>
    <w:rsid w:val="001107F2"/>
    <w:rsid w:val="00111828"/>
    <w:rsid w:val="00117604"/>
    <w:rsid w:val="00127705"/>
    <w:rsid w:val="00142686"/>
    <w:rsid w:val="001454F6"/>
    <w:rsid w:val="00152249"/>
    <w:rsid w:val="001546EE"/>
    <w:rsid w:val="00157C16"/>
    <w:rsid w:val="0016030A"/>
    <w:rsid w:val="001619ED"/>
    <w:rsid w:val="001641F7"/>
    <w:rsid w:val="0016557A"/>
    <w:rsid w:val="00174CE0"/>
    <w:rsid w:val="00180E06"/>
    <w:rsid w:val="0018495C"/>
    <w:rsid w:val="00185F46"/>
    <w:rsid w:val="00196E7A"/>
    <w:rsid w:val="001A11B3"/>
    <w:rsid w:val="001A43F9"/>
    <w:rsid w:val="001B2028"/>
    <w:rsid w:val="001B346D"/>
    <w:rsid w:val="001B6229"/>
    <w:rsid w:val="001C51E1"/>
    <w:rsid w:val="001C6614"/>
    <w:rsid w:val="001D036F"/>
    <w:rsid w:val="001D25DA"/>
    <w:rsid w:val="001D2AFC"/>
    <w:rsid w:val="001E131A"/>
    <w:rsid w:val="001E2556"/>
    <w:rsid w:val="001E44FC"/>
    <w:rsid w:val="001E5CB5"/>
    <w:rsid w:val="001F1777"/>
    <w:rsid w:val="001F3198"/>
    <w:rsid w:val="00203451"/>
    <w:rsid w:val="00203D2C"/>
    <w:rsid w:val="00206501"/>
    <w:rsid w:val="002120C2"/>
    <w:rsid w:val="0021296A"/>
    <w:rsid w:val="00214840"/>
    <w:rsid w:val="002203A5"/>
    <w:rsid w:val="002203C5"/>
    <w:rsid w:val="00223BC7"/>
    <w:rsid w:val="00224608"/>
    <w:rsid w:val="002331F8"/>
    <w:rsid w:val="0023611E"/>
    <w:rsid w:val="00243757"/>
    <w:rsid w:val="00245D0E"/>
    <w:rsid w:val="00245EE3"/>
    <w:rsid w:val="00245FB0"/>
    <w:rsid w:val="002463A9"/>
    <w:rsid w:val="00246AEE"/>
    <w:rsid w:val="00263CC1"/>
    <w:rsid w:val="00270130"/>
    <w:rsid w:val="00280B1E"/>
    <w:rsid w:val="00281DCA"/>
    <w:rsid w:val="00282B98"/>
    <w:rsid w:val="002842FA"/>
    <w:rsid w:val="00284ABE"/>
    <w:rsid w:val="002912EB"/>
    <w:rsid w:val="0029136E"/>
    <w:rsid w:val="00293F98"/>
    <w:rsid w:val="002A3504"/>
    <w:rsid w:val="002A46FC"/>
    <w:rsid w:val="002A6B78"/>
    <w:rsid w:val="002B607D"/>
    <w:rsid w:val="002C02FE"/>
    <w:rsid w:val="002C06FD"/>
    <w:rsid w:val="002C303D"/>
    <w:rsid w:val="002C353D"/>
    <w:rsid w:val="002C67F1"/>
    <w:rsid w:val="002E1E7F"/>
    <w:rsid w:val="002F37FB"/>
    <w:rsid w:val="00307863"/>
    <w:rsid w:val="00317A6A"/>
    <w:rsid w:val="00344E89"/>
    <w:rsid w:val="00352477"/>
    <w:rsid w:val="0036163A"/>
    <w:rsid w:val="00361CB6"/>
    <w:rsid w:val="00365520"/>
    <w:rsid w:val="003705D4"/>
    <w:rsid w:val="00372FA1"/>
    <w:rsid w:val="00374E23"/>
    <w:rsid w:val="003801A8"/>
    <w:rsid w:val="003849AC"/>
    <w:rsid w:val="003906FA"/>
    <w:rsid w:val="00394AFF"/>
    <w:rsid w:val="003A787D"/>
    <w:rsid w:val="003B13AA"/>
    <w:rsid w:val="003B3870"/>
    <w:rsid w:val="003C17F7"/>
    <w:rsid w:val="003C1D2C"/>
    <w:rsid w:val="003C2A7D"/>
    <w:rsid w:val="003C4560"/>
    <w:rsid w:val="003D1C11"/>
    <w:rsid w:val="00400F0F"/>
    <w:rsid w:val="00401F11"/>
    <w:rsid w:val="004036C1"/>
    <w:rsid w:val="0040379A"/>
    <w:rsid w:val="00407848"/>
    <w:rsid w:val="00414589"/>
    <w:rsid w:val="004217D4"/>
    <w:rsid w:val="004243F2"/>
    <w:rsid w:val="00436AB5"/>
    <w:rsid w:val="00437ECB"/>
    <w:rsid w:val="00440933"/>
    <w:rsid w:val="004462E4"/>
    <w:rsid w:val="00451B4A"/>
    <w:rsid w:val="0045400B"/>
    <w:rsid w:val="00455862"/>
    <w:rsid w:val="0046178F"/>
    <w:rsid w:val="0046504A"/>
    <w:rsid w:val="00465562"/>
    <w:rsid w:val="00465DA7"/>
    <w:rsid w:val="00467332"/>
    <w:rsid w:val="0047083D"/>
    <w:rsid w:val="004762A7"/>
    <w:rsid w:val="004830EE"/>
    <w:rsid w:val="00483440"/>
    <w:rsid w:val="00483AAE"/>
    <w:rsid w:val="004A3B3F"/>
    <w:rsid w:val="004A5743"/>
    <w:rsid w:val="004A5C8F"/>
    <w:rsid w:val="004A7FD5"/>
    <w:rsid w:val="004C1366"/>
    <w:rsid w:val="004C3469"/>
    <w:rsid w:val="004C496B"/>
    <w:rsid w:val="004D3884"/>
    <w:rsid w:val="004E2244"/>
    <w:rsid w:val="004E32E2"/>
    <w:rsid w:val="004E76A2"/>
    <w:rsid w:val="004F2093"/>
    <w:rsid w:val="004F3077"/>
    <w:rsid w:val="004F42BE"/>
    <w:rsid w:val="004F66C6"/>
    <w:rsid w:val="004F72CF"/>
    <w:rsid w:val="004F768B"/>
    <w:rsid w:val="00501341"/>
    <w:rsid w:val="00510E54"/>
    <w:rsid w:val="00515371"/>
    <w:rsid w:val="0053608E"/>
    <w:rsid w:val="00540387"/>
    <w:rsid w:val="005422F6"/>
    <w:rsid w:val="00543D79"/>
    <w:rsid w:val="0054533D"/>
    <w:rsid w:val="00545B45"/>
    <w:rsid w:val="00550CAC"/>
    <w:rsid w:val="00552730"/>
    <w:rsid w:val="00556E02"/>
    <w:rsid w:val="00560DED"/>
    <w:rsid w:val="0056157E"/>
    <w:rsid w:val="00562F25"/>
    <w:rsid w:val="00566536"/>
    <w:rsid w:val="00573D3C"/>
    <w:rsid w:val="00580470"/>
    <w:rsid w:val="005861A0"/>
    <w:rsid w:val="005874FE"/>
    <w:rsid w:val="00590F86"/>
    <w:rsid w:val="00591258"/>
    <w:rsid w:val="005963FC"/>
    <w:rsid w:val="005973F6"/>
    <w:rsid w:val="005B19D3"/>
    <w:rsid w:val="005B671C"/>
    <w:rsid w:val="005C3CEA"/>
    <w:rsid w:val="005D0EF5"/>
    <w:rsid w:val="005D1407"/>
    <w:rsid w:val="005E0727"/>
    <w:rsid w:val="005E1B00"/>
    <w:rsid w:val="005E27E5"/>
    <w:rsid w:val="005F0639"/>
    <w:rsid w:val="00601290"/>
    <w:rsid w:val="00602849"/>
    <w:rsid w:val="00611E5A"/>
    <w:rsid w:val="00620D8A"/>
    <w:rsid w:val="006335C8"/>
    <w:rsid w:val="006438C4"/>
    <w:rsid w:val="00644BB7"/>
    <w:rsid w:val="00646BBC"/>
    <w:rsid w:val="00651BB9"/>
    <w:rsid w:val="006523E5"/>
    <w:rsid w:val="006552B4"/>
    <w:rsid w:val="006621B0"/>
    <w:rsid w:val="00667431"/>
    <w:rsid w:val="00672763"/>
    <w:rsid w:val="00674AE0"/>
    <w:rsid w:val="0067580B"/>
    <w:rsid w:val="00685ABA"/>
    <w:rsid w:val="00690BC9"/>
    <w:rsid w:val="00691F96"/>
    <w:rsid w:val="0069404B"/>
    <w:rsid w:val="00696F15"/>
    <w:rsid w:val="00697F0D"/>
    <w:rsid w:val="006A4FDF"/>
    <w:rsid w:val="006A7588"/>
    <w:rsid w:val="006B4058"/>
    <w:rsid w:val="006D4E0A"/>
    <w:rsid w:val="006D7759"/>
    <w:rsid w:val="006E5D08"/>
    <w:rsid w:val="006E5E6B"/>
    <w:rsid w:val="006F181F"/>
    <w:rsid w:val="006F1C52"/>
    <w:rsid w:val="006F48AC"/>
    <w:rsid w:val="006F49AA"/>
    <w:rsid w:val="006F4CB8"/>
    <w:rsid w:val="006F76D0"/>
    <w:rsid w:val="007109A5"/>
    <w:rsid w:val="00712BA1"/>
    <w:rsid w:val="00713E9F"/>
    <w:rsid w:val="007215E4"/>
    <w:rsid w:val="00722C9B"/>
    <w:rsid w:val="007313A1"/>
    <w:rsid w:val="00736B4E"/>
    <w:rsid w:val="00736F65"/>
    <w:rsid w:val="007515D5"/>
    <w:rsid w:val="00751961"/>
    <w:rsid w:val="0076473A"/>
    <w:rsid w:val="00767517"/>
    <w:rsid w:val="00771FDF"/>
    <w:rsid w:val="00774363"/>
    <w:rsid w:val="007746F8"/>
    <w:rsid w:val="0078303B"/>
    <w:rsid w:val="00786E5A"/>
    <w:rsid w:val="007909A6"/>
    <w:rsid w:val="00791E1A"/>
    <w:rsid w:val="0079239A"/>
    <w:rsid w:val="00792C99"/>
    <w:rsid w:val="00793E8D"/>
    <w:rsid w:val="00794E78"/>
    <w:rsid w:val="007A0664"/>
    <w:rsid w:val="007A4EE8"/>
    <w:rsid w:val="007A6762"/>
    <w:rsid w:val="007C4B6A"/>
    <w:rsid w:val="007D5811"/>
    <w:rsid w:val="007D6803"/>
    <w:rsid w:val="007E030E"/>
    <w:rsid w:val="007E788A"/>
    <w:rsid w:val="007F7E21"/>
    <w:rsid w:val="00803DBE"/>
    <w:rsid w:val="008065A5"/>
    <w:rsid w:val="0081513B"/>
    <w:rsid w:val="008208B6"/>
    <w:rsid w:val="00824B1F"/>
    <w:rsid w:val="00830465"/>
    <w:rsid w:val="00837414"/>
    <w:rsid w:val="00840CBC"/>
    <w:rsid w:val="00841B70"/>
    <w:rsid w:val="0084265C"/>
    <w:rsid w:val="00856DC5"/>
    <w:rsid w:val="00857AC8"/>
    <w:rsid w:val="0086488C"/>
    <w:rsid w:val="00870076"/>
    <w:rsid w:val="00872EC8"/>
    <w:rsid w:val="00875D6D"/>
    <w:rsid w:val="00875E8D"/>
    <w:rsid w:val="00876F7B"/>
    <w:rsid w:val="0088664C"/>
    <w:rsid w:val="0089004C"/>
    <w:rsid w:val="00892546"/>
    <w:rsid w:val="00894ED8"/>
    <w:rsid w:val="00896384"/>
    <w:rsid w:val="008A112A"/>
    <w:rsid w:val="008B062A"/>
    <w:rsid w:val="008B0C7E"/>
    <w:rsid w:val="008B24C4"/>
    <w:rsid w:val="008B2E93"/>
    <w:rsid w:val="008B6976"/>
    <w:rsid w:val="008C2300"/>
    <w:rsid w:val="008C3DAA"/>
    <w:rsid w:val="008C3E43"/>
    <w:rsid w:val="008D069D"/>
    <w:rsid w:val="008D23FE"/>
    <w:rsid w:val="008E4E70"/>
    <w:rsid w:val="008F1CA1"/>
    <w:rsid w:val="008F3859"/>
    <w:rsid w:val="008F7F0D"/>
    <w:rsid w:val="008F7F1D"/>
    <w:rsid w:val="00905051"/>
    <w:rsid w:val="00906B62"/>
    <w:rsid w:val="00912574"/>
    <w:rsid w:val="009148B9"/>
    <w:rsid w:val="00917CC1"/>
    <w:rsid w:val="009301E8"/>
    <w:rsid w:val="009315B4"/>
    <w:rsid w:val="0093457C"/>
    <w:rsid w:val="0093545C"/>
    <w:rsid w:val="00940AA5"/>
    <w:rsid w:val="009427DD"/>
    <w:rsid w:val="00942926"/>
    <w:rsid w:val="00947A7F"/>
    <w:rsid w:val="00952A12"/>
    <w:rsid w:val="00953CC1"/>
    <w:rsid w:val="00962E5A"/>
    <w:rsid w:val="00963882"/>
    <w:rsid w:val="009663BA"/>
    <w:rsid w:val="00975291"/>
    <w:rsid w:val="00982D0F"/>
    <w:rsid w:val="0099054E"/>
    <w:rsid w:val="00992860"/>
    <w:rsid w:val="009A23DE"/>
    <w:rsid w:val="009A5D69"/>
    <w:rsid w:val="009B1FE5"/>
    <w:rsid w:val="009B3A4F"/>
    <w:rsid w:val="009B4A21"/>
    <w:rsid w:val="009B6D03"/>
    <w:rsid w:val="009B7508"/>
    <w:rsid w:val="009D30A3"/>
    <w:rsid w:val="009E0150"/>
    <w:rsid w:val="009E511C"/>
    <w:rsid w:val="009E6A1C"/>
    <w:rsid w:val="009E7F99"/>
    <w:rsid w:val="009F0176"/>
    <w:rsid w:val="00A00867"/>
    <w:rsid w:val="00A008D3"/>
    <w:rsid w:val="00A01928"/>
    <w:rsid w:val="00A01F59"/>
    <w:rsid w:val="00A10E17"/>
    <w:rsid w:val="00A253C8"/>
    <w:rsid w:val="00A2727F"/>
    <w:rsid w:val="00A3070F"/>
    <w:rsid w:val="00A30741"/>
    <w:rsid w:val="00A46785"/>
    <w:rsid w:val="00A467DF"/>
    <w:rsid w:val="00A46FA8"/>
    <w:rsid w:val="00A478EA"/>
    <w:rsid w:val="00A5293C"/>
    <w:rsid w:val="00A54174"/>
    <w:rsid w:val="00A56B85"/>
    <w:rsid w:val="00A61F01"/>
    <w:rsid w:val="00A752B2"/>
    <w:rsid w:val="00A76B79"/>
    <w:rsid w:val="00A806D3"/>
    <w:rsid w:val="00A83A7D"/>
    <w:rsid w:val="00A85596"/>
    <w:rsid w:val="00A97797"/>
    <w:rsid w:val="00A97D8C"/>
    <w:rsid w:val="00AA29BA"/>
    <w:rsid w:val="00AB08EC"/>
    <w:rsid w:val="00AB29AF"/>
    <w:rsid w:val="00AB35FC"/>
    <w:rsid w:val="00AB5A8C"/>
    <w:rsid w:val="00AB6102"/>
    <w:rsid w:val="00AB6520"/>
    <w:rsid w:val="00AC2EF7"/>
    <w:rsid w:val="00AC6C3E"/>
    <w:rsid w:val="00AE2F6E"/>
    <w:rsid w:val="00AE3F4A"/>
    <w:rsid w:val="00AF1A24"/>
    <w:rsid w:val="00AF2FEA"/>
    <w:rsid w:val="00AF6393"/>
    <w:rsid w:val="00AF645E"/>
    <w:rsid w:val="00B0523D"/>
    <w:rsid w:val="00B1798E"/>
    <w:rsid w:val="00B22D35"/>
    <w:rsid w:val="00B243F2"/>
    <w:rsid w:val="00B2487A"/>
    <w:rsid w:val="00B27FF1"/>
    <w:rsid w:val="00B35504"/>
    <w:rsid w:val="00B37B36"/>
    <w:rsid w:val="00B42B1B"/>
    <w:rsid w:val="00B45688"/>
    <w:rsid w:val="00B5708B"/>
    <w:rsid w:val="00B600E3"/>
    <w:rsid w:val="00B630EE"/>
    <w:rsid w:val="00B67AC4"/>
    <w:rsid w:val="00B702F7"/>
    <w:rsid w:val="00B70E51"/>
    <w:rsid w:val="00B7252C"/>
    <w:rsid w:val="00B75C17"/>
    <w:rsid w:val="00B75F09"/>
    <w:rsid w:val="00B83F48"/>
    <w:rsid w:val="00B91C24"/>
    <w:rsid w:val="00B91C34"/>
    <w:rsid w:val="00B94943"/>
    <w:rsid w:val="00B9559A"/>
    <w:rsid w:val="00BA0903"/>
    <w:rsid w:val="00BA24CA"/>
    <w:rsid w:val="00BA6E45"/>
    <w:rsid w:val="00BA73C9"/>
    <w:rsid w:val="00BB4FD0"/>
    <w:rsid w:val="00BD4562"/>
    <w:rsid w:val="00BD5A59"/>
    <w:rsid w:val="00BD72BE"/>
    <w:rsid w:val="00BE1F87"/>
    <w:rsid w:val="00BE3BE3"/>
    <w:rsid w:val="00BF5398"/>
    <w:rsid w:val="00BF551D"/>
    <w:rsid w:val="00BF7DF5"/>
    <w:rsid w:val="00C04B67"/>
    <w:rsid w:val="00C071F4"/>
    <w:rsid w:val="00C12454"/>
    <w:rsid w:val="00C12CF9"/>
    <w:rsid w:val="00C252E8"/>
    <w:rsid w:val="00C2687A"/>
    <w:rsid w:val="00C302EB"/>
    <w:rsid w:val="00C40AC8"/>
    <w:rsid w:val="00C50495"/>
    <w:rsid w:val="00C70FB9"/>
    <w:rsid w:val="00C743B0"/>
    <w:rsid w:val="00C7462B"/>
    <w:rsid w:val="00C819B4"/>
    <w:rsid w:val="00C86A75"/>
    <w:rsid w:val="00C87356"/>
    <w:rsid w:val="00C93C39"/>
    <w:rsid w:val="00CA6241"/>
    <w:rsid w:val="00CB2D23"/>
    <w:rsid w:val="00CB2E5A"/>
    <w:rsid w:val="00CB434C"/>
    <w:rsid w:val="00CC65E5"/>
    <w:rsid w:val="00CF1C84"/>
    <w:rsid w:val="00D03724"/>
    <w:rsid w:val="00D10686"/>
    <w:rsid w:val="00D11697"/>
    <w:rsid w:val="00D14F92"/>
    <w:rsid w:val="00D1518F"/>
    <w:rsid w:val="00D16229"/>
    <w:rsid w:val="00D178F2"/>
    <w:rsid w:val="00D21A46"/>
    <w:rsid w:val="00D21CCA"/>
    <w:rsid w:val="00D22ECB"/>
    <w:rsid w:val="00D23557"/>
    <w:rsid w:val="00D300DA"/>
    <w:rsid w:val="00D327B9"/>
    <w:rsid w:val="00D34115"/>
    <w:rsid w:val="00D342C3"/>
    <w:rsid w:val="00D35B6D"/>
    <w:rsid w:val="00D36B23"/>
    <w:rsid w:val="00D37998"/>
    <w:rsid w:val="00D434E5"/>
    <w:rsid w:val="00D51970"/>
    <w:rsid w:val="00D54A3A"/>
    <w:rsid w:val="00D55FE7"/>
    <w:rsid w:val="00D634D6"/>
    <w:rsid w:val="00D63519"/>
    <w:rsid w:val="00D67292"/>
    <w:rsid w:val="00D679B7"/>
    <w:rsid w:val="00D719FE"/>
    <w:rsid w:val="00D836DA"/>
    <w:rsid w:val="00D84467"/>
    <w:rsid w:val="00D858C3"/>
    <w:rsid w:val="00DA6469"/>
    <w:rsid w:val="00DA6B8A"/>
    <w:rsid w:val="00DB4522"/>
    <w:rsid w:val="00DB7921"/>
    <w:rsid w:val="00DC12E1"/>
    <w:rsid w:val="00DC2287"/>
    <w:rsid w:val="00DC23BA"/>
    <w:rsid w:val="00DC5A80"/>
    <w:rsid w:val="00DC5BB7"/>
    <w:rsid w:val="00DD277F"/>
    <w:rsid w:val="00DE1FDC"/>
    <w:rsid w:val="00DE2BF4"/>
    <w:rsid w:val="00DF0A2E"/>
    <w:rsid w:val="00DF0F35"/>
    <w:rsid w:val="00DF5F07"/>
    <w:rsid w:val="00E11932"/>
    <w:rsid w:val="00E15A66"/>
    <w:rsid w:val="00E1760A"/>
    <w:rsid w:val="00E236AB"/>
    <w:rsid w:val="00E2745A"/>
    <w:rsid w:val="00E30247"/>
    <w:rsid w:val="00E302A7"/>
    <w:rsid w:val="00E31896"/>
    <w:rsid w:val="00E3277B"/>
    <w:rsid w:val="00E357F0"/>
    <w:rsid w:val="00E3749F"/>
    <w:rsid w:val="00E37A72"/>
    <w:rsid w:val="00E40050"/>
    <w:rsid w:val="00E51759"/>
    <w:rsid w:val="00E56C1E"/>
    <w:rsid w:val="00E774F5"/>
    <w:rsid w:val="00E815DF"/>
    <w:rsid w:val="00E84791"/>
    <w:rsid w:val="00E84F09"/>
    <w:rsid w:val="00E9028D"/>
    <w:rsid w:val="00E913B6"/>
    <w:rsid w:val="00E94425"/>
    <w:rsid w:val="00EA0174"/>
    <w:rsid w:val="00EA517B"/>
    <w:rsid w:val="00EA591D"/>
    <w:rsid w:val="00EB10D7"/>
    <w:rsid w:val="00EB67CF"/>
    <w:rsid w:val="00EB710B"/>
    <w:rsid w:val="00EC137D"/>
    <w:rsid w:val="00EC2923"/>
    <w:rsid w:val="00EC6960"/>
    <w:rsid w:val="00EC6E54"/>
    <w:rsid w:val="00EC7233"/>
    <w:rsid w:val="00ED1CE8"/>
    <w:rsid w:val="00ED303A"/>
    <w:rsid w:val="00ED378F"/>
    <w:rsid w:val="00ED3ABD"/>
    <w:rsid w:val="00ED4562"/>
    <w:rsid w:val="00EE0670"/>
    <w:rsid w:val="00EE146F"/>
    <w:rsid w:val="00EF5C59"/>
    <w:rsid w:val="00F03D40"/>
    <w:rsid w:val="00F058D0"/>
    <w:rsid w:val="00F077BA"/>
    <w:rsid w:val="00F123EA"/>
    <w:rsid w:val="00F15BEA"/>
    <w:rsid w:val="00F307B2"/>
    <w:rsid w:val="00F43632"/>
    <w:rsid w:val="00F4598D"/>
    <w:rsid w:val="00F47326"/>
    <w:rsid w:val="00F512ED"/>
    <w:rsid w:val="00F56A88"/>
    <w:rsid w:val="00F62CB3"/>
    <w:rsid w:val="00F662C5"/>
    <w:rsid w:val="00F80144"/>
    <w:rsid w:val="00F803D3"/>
    <w:rsid w:val="00F82D9F"/>
    <w:rsid w:val="00F86A83"/>
    <w:rsid w:val="00F95783"/>
    <w:rsid w:val="00FA137E"/>
    <w:rsid w:val="00FB3C46"/>
    <w:rsid w:val="00FC1C44"/>
    <w:rsid w:val="00FC2D19"/>
    <w:rsid w:val="00FC4AA5"/>
    <w:rsid w:val="00FE16DB"/>
    <w:rsid w:val="00FE28DA"/>
    <w:rsid w:val="00FF58DA"/>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F822E"/>
  <w15:chartTrackingRefBased/>
  <w15:docId w15:val="{281A41A3-0799-452F-A3AB-DF3DD8B64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743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46F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834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076ACF"/>
    <w:rPr>
      <w:i/>
      <w:iCs/>
    </w:rPr>
  </w:style>
  <w:style w:type="character" w:styleId="Hyperlink">
    <w:name w:val="Hyperlink"/>
    <w:basedOn w:val="Standaardalinea-lettertype"/>
    <w:uiPriority w:val="99"/>
    <w:unhideWhenUsed/>
    <w:rsid w:val="00C743B0"/>
    <w:rPr>
      <w:color w:val="0000FF"/>
      <w:u w:val="single"/>
    </w:rPr>
  </w:style>
  <w:style w:type="character" w:customStyle="1" w:styleId="Kop1Char">
    <w:name w:val="Kop 1 Char"/>
    <w:basedOn w:val="Standaardalinea-lettertype"/>
    <w:link w:val="Kop1"/>
    <w:uiPriority w:val="9"/>
    <w:rsid w:val="00C743B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A46FA8"/>
    <w:rPr>
      <w:rFonts w:asciiTheme="majorHAnsi" w:eastAsiaTheme="majorEastAsia" w:hAnsiTheme="majorHAnsi" w:cstheme="majorBidi"/>
      <w:color w:val="2F5496" w:themeColor="accent1" w:themeShade="BF"/>
      <w:sz w:val="26"/>
      <w:szCs w:val="26"/>
    </w:rPr>
  </w:style>
  <w:style w:type="paragraph" w:styleId="Bijschrift">
    <w:name w:val="caption"/>
    <w:basedOn w:val="Standaard"/>
    <w:next w:val="Standaard"/>
    <w:uiPriority w:val="35"/>
    <w:unhideWhenUsed/>
    <w:qFormat/>
    <w:rsid w:val="007109A5"/>
    <w:pPr>
      <w:spacing w:after="200" w:line="240" w:lineRule="auto"/>
    </w:pPr>
    <w:rPr>
      <w:i/>
      <w:iCs/>
      <w:color w:val="44546A" w:themeColor="text2"/>
      <w:sz w:val="18"/>
      <w:szCs w:val="18"/>
    </w:rPr>
  </w:style>
  <w:style w:type="paragraph" w:styleId="Voetnoottekst">
    <w:name w:val="footnote text"/>
    <w:basedOn w:val="Standaard"/>
    <w:link w:val="VoetnoottekstChar"/>
    <w:uiPriority w:val="99"/>
    <w:semiHidden/>
    <w:unhideWhenUsed/>
    <w:rsid w:val="00856DC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56DC5"/>
    <w:rPr>
      <w:sz w:val="20"/>
      <w:szCs w:val="20"/>
    </w:rPr>
  </w:style>
  <w:style w:type="character" w:styleId="Voetnootmarkering">
    <w:name w:val="footnote reference"/>
    <w:basedOn w:val="Standaardalinea-lettertype"/>
    <w:uiPriority w:val="99"/>
    <w:semiHidden/>
    <w:unhideWhenUsed/>
    <w:rsid w:val="00856DC5"/>
    <w:rPr>
      <w:vertAlign w:val="superscript"/>
    </w:rPr>
  </w:style>
  <w:style w:type="paragraph" w:styleId="Koptekst">
    <w:name w:val="header"/>
    <w:basedOn w:val="Standaard"/>
    <w:link w:val="KoptekstChar"/>
    <w:uiPriority w:val="99"/>
    <w:unhideWhenUsed/>
    <w:rsid w:val="00CA62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6241"/>
  </w:style>
  <w:style w:type="paragraph" w:styleId="Voettekst">
    <w:name w:val="footer"/>
    <w:basedOn w:val="Standaard"/>
    <w:link w:val="VoettekstChar"/>
    <w:uiPriority w:val="99"/>
    <w:unhideWhenUsed/>
    <w:rsid w:val="00CA62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6241"/>
  </w:style>
  <w:style w:type="paragraph" w:styleId="Kopvaninhoudsopgave">
    <w:name w:val="TOC Heading"/>
    <w:basedOn w:val="Kop1"/>
    <w:next w:val="Standaard"/>
    <w:uiPriority w:val="39"/>
    <w:unhideWhenUsed/>
    <w:qFormat/>
    <w:rsid w:val="008C3E43"/>
    <w:pPr>
      <w:outlineLvl w:val="9"/>
    </w:pPr>
    <w:rPr>
      <w:lang w:eastAsia="en-GB"/>
    </w:rPr>
  </w:style>
  <w:style w:type="paragraph" w:styleId="Inhopg1">
    <w:name w:val="toc 1"/>
    <w:basedOn w:val="Standaard"/>
    <w:next w:val="Standaard"/>
    <w:autoRedefine/>
    <w:uiPriority w:val="39"/>
    <w:unhideWhenUsed/>
    <w:rsid w:val="008C3E43"/>
    <w:pPr>
      <w:spacing w:after="100"/>
    </w:pPr>
  </w:style>
  <w:style w:type="paragraph" w:styleId="Inhopg2">
    <w:name w:val="toc 2"/>
    <w:basedOn w:val="Standaard"/>
    <w:next w:val="Standaard"/>
    <w:autoRedefine/>
    <w:uiPriority w:val="39"/>
    <w:unhideWhenUsed/>
    <w:rsid w:val="008C3E43"/>
    <w:pPr>
      <w:spacing w:after="100"/>
      <w:ind w:left="220"/>
    </w:pPr>
  </w:style>
  <w:style w:type="character" w:styleId="Verwijzingopmerking">
    <w:name w:val="annotation reference"/>
    <w:basedOn w:val="Standaardalinea-lettertype"/>
    <w:uiPriority w:val="99"/>
    <w:semiHidden/>
    <w:unhideWhenUsed/>
    <w:rsid w:val="00223BC7"/>
    <w:rPr>
      <w:sz w:val="16"/>
      <w:szCs w:val="16"/>
    </w:rPr>
  </w:style>
  <w:style w:type="paragraph" w:styleId="Tekstopmerking">
    <w:name w:val="annotation text"/>
    <w:basedOn w:val="Standaard"/>
    <w:link w:val="TekstopmerkingChar"/>
    <w:uiPriority w:val="99"/>
    <w:semiHidden/>
    <w:unhideWhenUsed/>
    <w:rsid w:val="00223BC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23BC7"/>
    <w:rPr>
      <w:sz w:val="20"/>
      <w:szCs w:val="20"/>
    </w:rPr>
  </w:style>
  <w:style w:type="paragraph" w:styleId="Onderwerpvanopmerking">
    <w:name w:val="annotation subject"/>
    <w:basedOn w:val="Tekstopmerking"/>
    <w:next w:val="Tekstopmerking"/>
    <w:link w:val="OnderwerpvanopmerkingChar"/>
    <w:uiPriority w:val="99"/>
    <w:semiHidden/>
    <w:unhideWhenUsed/>
    <w:rsid w:val="00223BC7"/>
    <w:rPr>
      <w:b/>
      <w:bCs/>
    </w:rPr>
  </w:style>
  <w:style w:type="character" w:customStyle="1" w:styleId="OnderwerpvanopmerkingChar">
    <w:name w:val="Onderwerp van opmerking Char"/>
    <w:basedOn w:val="TekstopmerkingChar"/>
    <w:link w:val="Onderwerpvanopmerking"/>
    <w:uiPriority w:val="99"/>
    <w:semiHidden/>
    <w:rsid w:val="00223BC7"/>
    <w:rPr>
      <w:b/>
      <w:bCs/>
      <w:sz w:val="20"/>
      <w:szCs w:val="20"/>
    </w:rPr>
  </w:style>
  <w:style w:type="character" w:customStyle="1" w:styleId="Kop3Char">
    <w:name w:val="Kop 3 Char"/>
    <w:basedOn w:val="Standaardalinea-lettertype"/>
    <w:link w:val="Kop3"/>
    <w:uiPriority w:val="9"/>
    <w:rsid w:val="00483440"/>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483440"/>
    <w:pPr>
      <w:spacing w:after="100"/>
      <w:ind w:left="440"/>
    </w:pPr>
  </w:style>
  <w:style w:type="character" w:styleId="Onopgelostemelding">
    <w:name w:val="Unresolved Mention"/>
    <w:basedOn w:val="Standaardalinea-lettertype"/>
    <w:uiPriority w:val="99"/>
    <w:semiHidden/>
    <w:unhideWhenUsed/>
    <w:rsid w:val="007E788A"/>
    <w:rPr>
      <w:color w:val="605E5C"/>
      <w:shd w:val="clear" w:color="auto" w:fill="E1DFDD"/>
    </w:rPr>
  </w:style>
  <w:style w:type="paragraph" w:styleId="Geenafstand">
    <w:name w:val="No Spacing"/>
    <w:link w:val="GeenafstandChar"/>
    <w:uiPriority w:val="1"/>
    <w:qFormat/>
    <w:rsid w:val="003A787D"/>
    <w:pPr>
      <w:spacing w:after="0" w:line="240" w:lineRule="auto"/>
    </w:pPr>
    <w:rPr>
      <w:rFonts w:eastAsiaTheme="minorEastAsia"/>
      <w:lang w:eastAsia="en-GB"/>
    </w:rPr>
  </w:style>
  <w:style w:type="character" w:customStyle="1" w:styleId="GeenafstandChar">
    <w:name w:val="Geen afstand Char"/>
    <w:basedOn w:val="Standaardalinea-lettertype"/>
    <w:link w:val="Geenafstand"/>
    <w:uiPriority w:val="1"/>
    <w:rsid w:val="003A787D"/>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 attempt to elucidate the mechanisms behind the generation of non-canonical peptides through protein electroporation, using the B3Z cellular reporter assay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8AEC16-8D79-48B1-9DC7-7242595E6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2735</TotalTime>
  <Pages>28</Pages>
  <Words>24038</Words>
  <Characters>137020</Characters>
  <Application>Microsoft Office Word</Application>
  <DocSecurity>0</DocSecurity>
  <Lines>1141</Lines>
  <Paragraphs>321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Proteasome Catalysed Peptide Splicing</vt:lpstr>
      <vt:lpstr/>
    </vt:vector>
  </TitlesOfParts>
  <Company/>
  <LinksUpToDate>false</LinksUpToDate>
  <CharactersWithSpaces>160737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Proteasome Catalysed Peptide Splicing</dc:title>
  <dc:subject>How studying proteasome arts and crafts can increase our understanding of epitope generation</dc:subject>
  <dc:creator>Jacco Bakx</dc:creator>
  <cp:keywords/>
  <dc:description/>
  <cp:lastModifiedBy>Jacco Bakx</cp:lastModifiedBy>
  <cp:revision>104</cp:revision>
  <cp:lastPrinted>2021-10-27T19:51:00Z</cp:lastPrinted>
  <dcterms:created xsi:type="dcterms:W3CDTF">2021-03-17T08:53:00Z</dcterms:created>
  <dcterms:modified xsi:type="dcterms:W3CDTF">2021-10-30T11:10:00Z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52a442ed-63bc-3bb6-af30-fb45257d9e42</vt:lpwstr>
  </property>
  <property fmtid="{D5CDD505-2E9C-101B-9397-08002B2CF9AE}" pid="24" name="Mendeley Citation Style_1">
    <vt:lpwstr>http://www.zotero.org/styles/vancouver</vt:lpwstr>
  </property>
</Properties>
</file>