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B0CB" w14:textId="54AF4B47" w:rsidR="001E701B" w:rsidRPr="00F54106" w:rsidRDefault="00EE16F7" w:rsidP="00FC31D7">
      <w:pPr>
        <w:spacing w:after="200" w:line="276" w:lineRule="auto"/>
        <w:rPr>
          <w:rFonts w:eastAsia="Calibri" w:cstheme="minorHAnsi"/>
          <w:lang w:val="en-GB"/>
        </w:rPr>
      </w:pPr>
      <w:r w:rsidRPr="00F54106">
        <w:rPr>
          <w:rFonts w:eastAsia="Calibri" w:cstheme="minorHAnsi"/>
          <w:noProof/>
          <w:lang w:val="en-GB"/>
        </w:rPr>
        <w:drawing>
          <wp:inline distT="0" distB="0" distL="0" distR="0" wp14:anchorId="63E7C459" wp14:editId="0410DBEB">
            <wp:extent cx="594360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p>
    <w:p w14:paraId="2A41BCD0" w14:textId="15D16BEA" w:rsidR="001E701B" w:rsidRPr="00F54106" w:rsidRDefault="001E701B" w:rsidP="00FC31D7">
      <w:pPr>
        <w:spacing w:after="200" w:line="276" w:lineRule="auto"/>
        <w:rPr>
          <w:rFonts w:eastAsia="Calibri" w:cstheme="minorHAnsi"/>
          <w:lang w:val="en-GB"/>
        </w:rPr>
      </w:pPr>
    </w:p>
    <w:p w14:paraId="1EDEDF20" w14:textId="67229D39" w:rsidR="00EE16F7" w:rsidRPr="00F54106" w:rsidRDefault="00EE16F7" w:rsidP="00FC31D7">
      <w:pPr>
        <w:spacing w:after="200" w:line="276" w:lineRule="auto"/>
        <w:rPr>
          <w:rFonts w:eastAsia="Calibri" w:cstheme="minorHAnsi"/>
          <w:lang w:val="en-GB"/>
        </w:rPr>
      </w:pPr>
    </w:p>
    <w:p w14:paraId="35F6824D" w14:textId="4CF1A1B5" w:rsidR="00EE16F7" w:rsidRPr="00F54106" w:rsidRDefault="00EE16F7" w:rsidP="00FC31D7">
      <w:pPr>
        <w:spacing w:after="200" w:line="276" w:lineRule="auto"/>
        <w:rPr>
          <w:rFonts w:eastAsia="Calibri" w:cstheme="minorHAnsi"/>
          <w:lang w:val="en-GB"/>
        </w:rPr>
      </w:pPr>
    </w:p>
    <w:p w14:paraId="6CD57F82" w14:textId="77777777" w:rsidR="00EE16F7" w:rsidRPr="00F54106" w:rsidRDefault="00EE16F7" w:rsidP="00FC31D7">
      <w:pPr>
        <w:spacing w:after="200" w:line="276" w:lineRule="auto"/>
        <w:rPr>
          <w:rFonts w:eastAsia="Calibri" w:cstheme="minorHAnsi"/>
          <w:lang w:val="en-GB"/>
        </w:rPr>
      </w:pPr>
    </w:p>
    <w:p w14:paraId="36F550F4" w14:textId="7FD84544" w:rsidR="001E701B" w:rsidRPr="00F54106" w:rsidRDefault="001E701B" w:rsidP="00FC31D7">
      <w:pPr>
        <w:pBdr>
          <w:top w:val="single" w:sz="4" w:space="1" w:color="auto"/>
          <w:left w:val="single" w:sz="4" w:space="4" w:color="auto"/>
          <w:bottom w:val="single" w:sz="4" w:space="1" w:color="auto"/>
          <w:right w:val="single" w:sz="4" w:space="4" w:color="auto"/>
        </w:pBdr>
        <w:spacing w:after="200" w:line="276" w:lineRule="auto"/>
        <w:jc w:val="center"/>
        <w:rPr>
          <w:rFonts w:eastAsia="Calibri" w:cstheme="minorHAnsi"/>
          <w:sz w:val="32"/>
          <w:szCs w:val="32"/>
          <w:lang w:val="en-GB"/>
        </w:rPr>
      </w:pPr>
      <w:r w:rsidRPr="00F54106">
        <w:rPr>
          <w:rFonts w:eastAsia="Calibri" w:cstheme="minorHAnsi"/>
          <w:sz w:val="32"/>
          <w:szCs w:val="32"/>
          <w:lang w:val="en-GB"/>
        </w:rPr>
        <w:t>The Netherlands as a Cartel Damages Hub and Private Law Enforcement Paradise</w:t>
      </w:r>
      <w:r w:rsidR="00FC0E95" w:rsidRPr="00F54106">
        <w:rPr>
          <w:rFonts w:eastAsia="Calibri" w:cstheme="minorHAnsi"/>
          <w:sz w:val="32"/>
          <w:szCs w:val="32"/>
          <w:lang w:val="en-GB"/>
        </w:rPr>
        <w:t>?</w:t>
      </w:r>
    </w:p>
    <w:p w14:paraId="68AB6978" w14:textId="77777777" w:rsidR="001E701B" w:rsidRPr="00F54106" w:rsidRDefault="001E701B" w:rsidP="00FC31D7">
      <w:pPr>
        <w:spacing w:after="200" w:line="276" w:lineRule="auto"/>
        <w:rPr>
          <w:rFonts w:eastAsia="Calibri" w:cstheme="minorHAnsi"/>
          <w:lang w:val="en-GB"/>
        </w:rPr>
      </w:pPr>
    </w:p>
    <w:p w14:paraId="12FA0873" w14:textId="77777777" w:rsidR="001E701B" w:rsidRPr="00F54106" w:rsidRDefault="001E701B" w:rsidP="00FC31D7">
      <w:pPr>
        <w:spacing w:after="200" w:line="276" w:lineRule="auto"/>
        <w:rPr>
          <w:rFonts w:eastAsia="Calibri" w:cstheme="minorHAnsi"/>
          <w:lang w:val="en-GB"/>
        </w:rPr>
      </w:pPr>
    </w:p>
    <w:p w14:paraId="1D22CDD1" w14:textId="77777777" w:rsidR="001E701B" w:rsidRPr="00F54106" w:rsidRDefault="001E701B" w:rsidP="00FC31D7">
      <w:pPr>
        <w:spacing w:after="200" w:line="276" w:lineRule="auto"/>
        <w:rPr>
          <w:rFonts w:eastAsia="Calibri" w:cstheme="minorHAnsi"/>
          <w:lang w:val="en-GB"/>
        </w:rPr>
      </w:pPr>
    </w:p>
    <w:p w14:paraId="5B3E7A94" w14:textId="77777777" w:rsidR="001E701B" w:rsidRPr="00F54106" w:rsidRDefault="001E701B" w:rsidP="00FC31D7">
      <w:pPr>
        <w:spacing w:after="200" w:line="276" w:lineRule="auto"/>
        <w:rPr>
          <w:rFonts w:eastAsia="Calibri" w:cstheme="minorHAnsi"/>
          <w:lang w:val="en-GB"/>
        </w:rPr>
      </w:pPr>
    </w:p>
    <w:p w14:paraId="06F16DB0" w14:textId="77777777" w:rsidR="001E701B" w:rsidRPr="00F54106" w:rsidRDefault="001E701B" w:rsidP="00FC31D7">
      <w:pPr>
        <w:spacing w:after="200" w:line="276" w:lineRule="auto"/>
        <w:rPr>
          <w:rFonts w:eastAsia="Calibri" w:cstheme="minorHAnsi"/>
          <w:lang w:val="en-GB"/>
        </w:rPr>
      </w:pPr>
    </w:p>
    <w:p w14:paraId="7709BE51" w14:textId="77777777" w:rsidR="001E701B" w:rsidRPr="00F54106" w:rsidRDefault="001E701B" w:rsidP="00FC31D7">
      <w:pPr>
        <w:spacing w:after="200" w:line="276" w:lineRule="auto"/>
        <w:rPr>
          <w:rFonts w:eastAsia="Calibri" w:cstheme="minorHAnsi"/>
          <w:lang w:val="en-GB"/>
        </w:rPr>
      </w:pPr>
    </w:p>
    <w:p w14:paraId="198A0A0C" w14:textId="1AF9E55F" w:rsidR="001E701B" w:rsidRPr="00F54106" w:rsidRDefault="001E701B" w:rsidP="00FC31D7">
      <w:pPr>
        <w:spacing w:after="200" w:line="276" w:lineRule="auto"/>
        <w:rPr>
          <w:rFonts w:eastAsia="Calibri" w:cstheme="minorHAnsi"/>
          <w:lang w:val="en-GB"/>
        </w:rPr>
      </w:pPr>
    </w:p>
    <w:p w14:paraId="7FE12747" w14:textId="77777777" w:rsidR="00D43803" w:rsidRPr="00F54106" w:rsidRDefault="00D43803" w:rsidP="00FC31D7">
      <w:pPr>
        <w:spacing w:after="200" w:line="276" w:lineRule="auto"/>
        <w:rPr>
          <w:rFonts w:eastAsia="Calibri" w:cstheme="minorHAnsi"/>
          <w:lang w:val="en-GB"/>
        </w:rPr>
      </w:pPr>
    </w:p>
    <w:p w14:paraId="5FB02A00" w14:textId="7156A733" w:rsidR="001E701B" w:rsidRPr="00F54106" w:rsidRDefault="001E701B" w:rsidP="00FC31D7">
      <w:pPr>
        <w:spacing w:after="200" w:line="276" w:lineRule="auto"/>
        <w:rPr>
          <w:rFonts w:eastAsia="Calibri" w:cstheme="minorHAnsi"/>
          <w:lang w:val="en-GB"/>
        </w:rPr>
      </w:pPr>
      <w:r w:rsidRPr="00F54106">
        <w:rPr>
          <w:rFonts w:eastAsia="Calibri" w:cstheme="minorHAnsi"/>
          <w:lang w:val="en-GB"/>
        </w:rPr>
        <w:t xml:space="preserve">Research </w:t>
      </w:r>
      <w:r w:rsidR="00EE16F7" w:rsidRPr="00F54106">
        <w:rPr>
          <w:rFonts w:eastAsia="Calibri" w:cstheme="minorHAnsi"/>
          <w:lang w:val="en-GB"/>
        </w:rPr>
        <w:t>and Thesis Trajectory Law and Economics</w:t>
      </w:r>
    </w:p>
    <w:p w14:paraId="04483252" w14:textId="03B98E5C" w:rsidR="001E701B" w:rsidRPr="00F54106" w:rsidRDefault="001E701B" w:rsidP="00FC31D7">
      <w:pPr>
        <w:spacing w:after="200" w:line="276" w:lineRule="auto"/>
        <w:rPr>
          <w:rFonts w:eastAsia="Calibri" w:cstheme="minorHAnsi"/>
          <w:lang w:val="en-GB"/>
        </w:rPr>
      </w:pPr>
      <w:r w:rsidRPr="00F54106">
        <w:rPr>
          <w:rFonts w:eastAsia="Calibri" w:cstheme="minorHAnsi"/>
          <w:lang w:val="en-GB"/>
        </w:rPr>
        <w:t>Academic year: 2021-2022</w:t>
      </w:r>
    </w:p>
    <w:p w14:paraId="60BF31FA" w14:textId="259DF236" w:rsidR="001E701B" w:rsidRPr="00F54106" w:rsidRDefault="001E701B" w:rsidP="00FC31D7">
      <w:pPr>
        <w:spacing w:after="200" w:line="276" w:lineRule="auto"/>
        <w:rPr>
          <w:rFonts w:eastAsia="Calibri" w:cstheme="minorHAnsi"/>
          <w:lang w:val="en-GB"/>
        </w:rPr>
      </w:pPr>
      <w:r w:rsidRPr="00F54106">
        <w:rPr>
          <w:rFonts w:eastAsia="Calibri" w:cstheme="minorHAnsi"/>
          <w:lang w:val="en-GB"/>
        </w:rPr>
        <w:t>Name: Niels Wessel</w:t>
      </w:r>
    </w:p>
    <w:p w14:paraId="21ED3AE2" w14:textId="77777777" w:rsidR="001E701B" w:rsidRPr="00F54106" w:rsidRDefault="001E701B" w:rsidP="00FC31D7">
      <w:pPr>
        <w:spacing w:after="200" w:line="276" w:lineRule="auto"/>
        <w:rPr>
          <w:rFonts w:eastAsia="Calibri" w:cstheme="minorHAnsi"/>
          <w:lang w:val="en-GB"/>
        </w:rPr>
      </w:pPr>
      <w:r w:rsidRPr="00F54106">
        <w:rPr>
          <w:rFonts w:eastAsia="Calibri" w:cstheme="minorHAnsi"/>
          <w:lang w:val="en-GB"/>
        </w:rPr>
        <w:t>Student number: 6002757</w:t>
      </w:r>
    </w:p>
    <w:p w14:paraId="5D3CD4F1" w14:textId="4FF80CF0" w:rsidR="009129AE" w:rsidRPr="00F54106" w:rsidRDefault="001E701B" w:rsidP="00FC31D7">
      <w:pPr>
        <w:spacing w:after="200" w:line="276" w:lineRule="auto"/>
        <w:rPr>
          <w:rFonts w:eastAsia="Calibri" w:cstheme="minorHAnsi"/>
          <w:lang w:val="en-GB"/>
        </w:rPr>
      </w:pPr>
      <w:r w:rsidRPr="00F54106">
        <w:rPr>
          <w:rFonts w:eastAsia="Calibri" w:cstheme="minorHAnsi"/>
          <w:lang w:val="en-GB"/>
        </w:rPr>
        <w:t xml:space="preserve">Supervisors: </w:t>
      </w:r>
      <w:proofErr w:type="spellStart"/>
      <w:r w:rsidR="00EE16F7" w:rsidRPr="00F54106">
        <w:rPr>
          <w:rFonts w:eastAsia="Calibri" w:cstheme="minorHAnsi"/>
          <w:lang w:val="en-GB"/>
        </w:rPr>
        <w:t>D</w:t>
      </w:r>
      <w:r w:rsidRPr="00F54106">
        <w:rPr>
          <w:rFonts w:eastAsia="Calibri" w:cstheme="minorHAnsi"/>
          <w:lang w:val="en-GB"/>
        </w:rPr>
        <w:t>r.</w:t>
      </w:r>
      <w:proofErr w:type="spellEnd"/>
      <w:r w:rsidRPr="00F54106">
        <w:rPr>
          <w:rFonts w:eastAsia="Calibri" w:cstheme="minorHAnsi"/>
          <w:lang w:val="en-GB"/>
        </w:rPr>
        <w:t xml:space="preserve"> </w:t>
      </w:r>
      <w:r w:rsidR="00EE16F7" w:rsidRPr="00F54106">
        <w:rPr>
          <w:rFonts w:eastAsia="Calibri" w:cstheme="minorHAnsi"/>
          <w:lang w:val="en-GB"/>
        </w:rPr>
        <w:t xml:space="preserve">U. Jaremba </w:t>
      </w:r>
      <w:r w:rsidRPr="00F54106">
        <w:rPr>
          <w:rFonts w:eastAsia="Calibri" w:cstheme="minorHAnsi"/>
          <w:lang w:val="en-GB"/>
        </w:rPr>
        <w:t xml:space="preserve">&amp; </w:t>
      </w:r>
      <w:proofErr w:type="spellStart"/>
      <w:r w:rsidRPr="00F54106">
        <w:rPr>
          <w:rFonts w:eastAsia="Calibri" w:cstheme="minorHAnsi"/>
          <w:lang w:val="en-GB"/>
        </w:rPr>
        <w:t>Dr.</w:t>
      </w:r>
      <w:proofErr w:type="spellEnd"/>
      <w:r w:rsidRPr="00F54106">
        <w:rPr>
          <w:rFonts w:eastAsia="Calibri" w:cstheme="minorHAnsi"/>
          <w:lang w:val="en-GB"/>
        </w:rPr>
        <w:t xml:space="preserve"> </w:t>
      </w:r>
      <w:r w:rsidR="00EE16F7" w:rsidRPr="00F54106">
        <w:rPr>
          <w:rFonts w:eastAsia="Calibri" w:cstheme="minorHAnsi"/>
          <w:lang w:val="en-GB"/>
        </w:rPr>
        <w:t>M. Kozak</w:t>
      </w:r>
    </w:p>
    <w:p w14:paraId="258F8E7D" w14:textId="1F8D5C10" w:rsidR="00E6124E" w:rsidRPr="00F54106" w:rsidRDefault="00E6124E" w:rsidP="00FC31D7">
      <w:pPr>
        <w:pStyle w:val="Heading1"/>
        <w:spacing w:line="276" w:lineRule="auto"/>
        <w:rPr>
          <w:rFonts w:cstheme="minorHAnsi"/>
          <w:lang w:val="en-GB"/>
        </w:rPr>
      </w:pPr>
      <w:bookmarkStart w:id="0" w:name="_Toc107610208"/>
      <w:r w:rsidRPr="00F54106">
        <w:rPr>
          <w:rFonts w:cstheme="minorHAnsi"/>
          <w:lang w:val="en-GB"/>
        </w:rPr>
        <w:lastRenderedPageBreak/>
        <w:t>Table of Contents</w:t>
      </w:r>
      <w:bookmarkEnd w:id="0"/>
    </w:p>
    <w:p w14:paraId="4E0C49DE" w14:textId="77777777" w:rsidR="00B14070" w:rsidRPr="00F54106" w:rsidRDefault="00B14070" w:rsidP="00FC31D7">
      <w:pPr>
        <w:spacing w:line="276" w:lineRule="auto"/>
        <w:rPr>
          <w:rFonts w:cstheme="minorHAnsi"/>
          <w:lang w:val="en-GB"/>
        </w:rPr>
      </w:pPr>
    </w:p>
    <w:p w14:paraId="1A7AEC94" w14:textId="3F4136E4" w:rsidR="00A06634" w:rsidRDefault="00E6124E">
      <w:pPr>
        <w:pStyle w:val="TOC1"/>
        <w:tabs>
          <w:tab w:val="right" w:leader="dot" w:pos="9350"/>
        </w:tabs>
        <w:rPr>
          <w:rFonts w:eastAsiaTheme="minorEastAsia" w:cstheme="minorBidi"/>
          <w:b w:val="0"/>
          <w:bCs w:val="0"/>
          <w:caps w:val="0"/>
          <w:noProof/>
          <w:sz w:val="22"/>
          <w:szCs w:val="22"/>
        </w:rPr>
      </w:pPr>
      <w:r w:rsidRPr="00F54106">
        <w:rPr>
          <w:rFonts w:ascii="Calibri" w:hAnsi="Calibri"/>
          <w:b w:val="0"/>
          <w:bCs w:val="0"/>
          <w:sz w:val="32"/>
          <w:szCs w:val="32"/>
          <w:lang w:val="en-GB"/>
        </w:rPr>
        <w:fldChar w:fldCharType="begin"/>
      </w:r>
      <w:r w:rsidRPr="00F54106">
        <w:rPr>
          <w:rFonts w:ascii="Calibri" w:hAnsi="Calibri"/>
          <w:b w:val="0"/>
          <w:bCs w:val="0"/>
          <w:sz w:val="32"/>
          <w:szCs w:val="32"/>
          <w:lang w:val="en-GB"/>
        </w:rPr>
        <w:instrText xml:space="preserve"> TOC \o "1-3" \h \z \u </w:instrText>
      </w:r>
      <w:r w:rsidRPr="00F54106">
        <w:rPr>
          <w:rFonts w:ascii="Calibri" w:hAnsi="Calibri"/>
          <w:b w:val="0"/>
          <w:bCs w:val="0"/>
          <w:sz w:val="32"/>
          <w:szCs w:val="32"/>
          <w:lang w:val="en-GB"/>
        </w:rPr>
        <w:fldChar w:fldCharType="separate"/>
      </w:r>
      <w:hyperlink w:anchor="_Toc107610208" w:history="1">
        <w:r w:rsidR="00A06634" w:rsidRPr="00271AB9">
          <w:rPr>
            <w:rStyle w:val="Hyperlink"/>
            <w:noProof/>
            <w:lang w:val="en-GB"/>
          </w:rPr>
          <w:t>Table of Contents</w:t>
        </w:r>
        <w:r w:rsidR="00A06634">
          <w:rPr>
            <w:noProof/>
            <w:webHidden/>
          </w:rPr>
          <w:tab/>
        </w:r>
        <w:r w:rsidR="00A06634">
          <w:rPr>
            <w:noProof/>
            <w:webHidden/>
          </w:rPr>
          <w:fldChar w:fldCharType="begin"/>
        </w:r>
        <w:r w:rsidR="00A06634">
          <w:rPr>
            <w:noProof/>
            <w:webHidden/>
          </w:rPr>
          <w:instrText xml:space="preserve"> PAGEREF _Toc107610208 \h </w:instrText>
        </w:r>
        <w:r w:rsidR="00A06634">
          <w:rPr>
            <w:noProof/>
            <w:webHidden/>
          </w:rPr>
        </w:r>
        <w:r w:rsidR="00A06634">
          <w:rPr>
            <w:noProof/>
            <w:webHidden/>
          </w:rPr>
          <w:fldChar w:fldCharType="separate"/>
        </w:r>
        <w:r w:rsidR="00A06634">
          <w:rPr>
            <w:noProof/>
            <w:webHidden/>
          </w:rPr>
          <w:t>1</w:t>
        </w:r>
        <w:r w:rsidR="00A06634">
          <w:rPr>
            <w:noProof/>
            <w:webHidden/>
          </w:rPr>
          <w:fldChar w:fldCharType="end"/>
        </w:r>
      </w:hyperlink>
    </w:p>
    <w:p w14:paraId="78D2B630" w14:textId="0BA8710B" w:rsidR="00A06634" w:rsidRDefault="006A1686">
      <w:pPr>
        <w:pStyle w:val="TOC1"/>
        <w:tabs>
          <w:tab w:val="left" w:pos="440"/>
          <w:tab w:val="right" w:leader="dot" w:pos="9350"/>
        </w:tabs>
        <w:rPr>
          <w:rFonts w:eastAsiaTheme="minorEastAsia" w:cstheme="minorBidi"/>
          <w:b w:val="0"/>
          <w:bCs w:val="0"/>
          <w:caps w:val="0"/>
          <w:noProof/>
          <w:sz w:val="22"/>
          <w:szCs w:val="22"/>
        </w:rPr>
      </w:pPr>
      <w:hyperlink w:anchor="_Toc107610209" w:history="1">
        <w:r w:rsidR="00A06634" w:rsidRPr="00271AB9">
          <w:rPr>
            <w:rStyle w:val="Hyperlink"/>
            <w:noProof/>
            <w:lang w:val="en-GB"/>
          </w:rPr>
          <w:t>1.</w:t>
        </w:r>
        <w:r w:rsidR="00A06634">
          <w:rPr>
            <w:rFonts w:eastAsiaTheme="minorEastAsia" w:cstheme="minorBidi"/>
            <w:b w:val="0"/>
            <w:bCs w:val="0"/>
            <w:caps w:val="0"/>
            <w:noProof/>
            <w:sz w:val="22"/>
            <w:szCs w:val="22"/>
          </w:rPr>
          <w:tab/>
        </w:r>
        <w:r w:rsidR="00A06634" w:rsidRPr="00271AB9">
          <w:rPr>
            <w:rStyle w:val="Hyperlink"/>
            <w:noProof/>
            <w:lang w:val="en-GB"/>
          </w:rPr>
          <w:t>Introduction</w:t>
        </w:r>
        <w:r w:rsidR="00A06634">
          <w:rPr>
            <w:noProof/>
            <w:webHidden/>
          </w:rPr>
          <w:tab/>
        </w:r>
        <w:r w:rsidR="00A06634">
          <w:rPr>
            <w:noProof/>
            <w:webHidden/>
          </w:rPr>
          <w:fldChar w:fldCharType="begin"/>
        </w:r>
        <w:r w:rsidR="00A06634">
          <w:rPr>
            <w:noProof/>
            <w:webHidden/>
          </w:rPr>
          <w:instrText xml:space="preserve"> PAGEREF _Toc107610209 \h </w:instrText>
        </w:r>
        <w:r w:rsidR="00A06634">
          <w:rPr>
            <w:noProof/>
            <w:webHidden/>
          </w:rPr>
        </w:r>
        <w:r w:rsidR="00A06634">
          <w:rPr>
            <w:noProof/>
            <w:webHidden/>
          </w:rPr>
          <w:fldChar w:fldCharType="separate"/>
        </w:r>
        <w:r w:rsidR="00A06634">
          <w:rPr>
            <w:noProof/>
            <w:webHidden/>
          </w:rPr>
          <w:t>3</w:t>
        </w:r>
        <w:r w:rsidR="00A06634">
          <w:rPr>
            <w:noProof/>
            <w:webHidden/>
          </w:rPr>
          <w:fldChar w:fldCharType="end"/>
        </w:r>
      </w:hyperlink>
    </w:p>
    <w:p w14:paraId="46A45A21" w14:textId="61CBC68B" w:rsidR="00A06634" w:rsidRDefault="006A1686">
      <w:pPr>
        <w:pStyle w:val="TOC2"/>
        <w:tabs>
          <w:tab w:val="right" w:leader="dot" w:pos="9350"/>
        </w:tabs>
        <w:rPr>
          <w:rFonts w:eastAsiaTheme="minorEastAsia" w:cstheme="minorBidi"/>
          <w:smallCaps w:val="0"/>
          <w:noProof/>
          <w:sz w:val="22"/>
          <w:szCs w:val="22"/>
        </w:rPr>
      </w:pPr>
      <w:hyperlink w:anchor="_Toc107610210" w:history="1">
        <w:r w:rsidR="00A06634" w:rsidRPr="00271AB9">
          <w:rPr>
            <w:rStyle w:val="Hyperlink"/>
            <w:noProof/>
            <w:lang w:val="en-GB"/>
          </w:rPr>
          <w:t>1.1 Background and context of the thesis: the phenomenon of forum shopping</w:t>
        </w:r>
        <w:r w:rsidR="00A06634">
          <w:rPr>
            <w:noProof/>
            <w:webHidden/>
          </w:rPr>
          <w:tab/>
        </w:r>
        <w:r w:rsidR="00A06634">
          <w:rPr>
            <w:noProof/>
            <w:webHidden/>
          </w:rPr>
          <w:fldChar w:fldCharType="begin"/>
        </w:r>
        <w:r w:rsidR="00A06634">
          <w:rPr>
            <w:noProof/>
            <w:webHidden/>
          </w:rPr>
          <w:instrText xml:space="preserve"> PAGEREF _Toc107610210 \h </w:instrText>
        </w:r>
        <w:r w:rsidR="00A06634">
          <w:rPr>
            <w:noProof/>
            <w:webHidden/>
          </w:rPr>
        </w:r>
        <w:r w:rsidR="00A06634">
          <w:rPr>
            <w:noProof/>
            <w:webHidden/>
          </w:rPr>
          <w:fldChar w:fldCharType="separate"/>
        </w:r>
        <w:r w:rsidR="00A06634">
          <w:rPr>
            <w:noProof/>
            <w:webHidden/>
          </w:rPr>
          <w:t>3</w:t>
        </w:r>
        <w:r w:rsidR="00A06634">
          <w:rPr>
            <w:noProof/>
            <w:webHidden/>
          </w:rPr>
          <w:fldChar w:fldCharType="end"/>
        </w:r>
      </w:hyperlink>
    </w:p>
    <w:p w14:paraId="2A228639" w14:textId="6ABDDC42" w:rsidR="00A06634" w:rsidRDefault="006A1686">
      <w:pPr>
        <w:pStyle w:val="TOC2"/>
        <w:tabs>
          <w:tab w:val="right" w:leader="dot" w:pos="9350"/>
        </w:tabs>
        <w:rPr>
          <w:rFonts w:eastAsiaTheme="minorEastAsia" w:cstheme="minorBidi"/>
          <w:smallCaps w:val="0"/>
          <w:noProof/>
          <w:sz w:val="22"/>
          <w:szCs w:val="22"/>
        </w:rPr>
      </w:pPr>
      <w:hyperlink w:anchor="_Toc107610211" w:history="1">
        <w:r w:rsidR="00A06634" w:rsidRPr="00271AB9">
          <w:rPr>
            <w:rStyle w:val="Hyperlink"/>
            <w:noProof/>
            <w:lang w:val="en-GB"/>
          </w:rPr>
          <w:t>1.2 The research question and sub-questions</w:t>
        </w:r>
        <w:r w:rsidR="00A06634">
          <w:rPr>
            <w:noProof/>
            <w:webHidden/>
          </w:rPr>
          <w:tab/>
        </w:r>
        <w:r w:rsidR="00A06634">
          <w:rPr>
            <w:noProof/>
            <w:webHidden/>
          </w:rPr>
          <w:fldChar w:fldCharType="begin"/>
        </w:r>
        <w:r w:rsidR="00A06634">
          <w:rPr>
            <w:noProof/>
            <w:webHidden/>
          </w:rPr>
          <w:instrText xml:space="preserve"> PAGEREF _Toc107610211 \h </w:instrText>
        </w:r>
        <w:r w:rsidR="00A06634">
          <w:rPr>
            <w:noProof/>
            <w:webHidden/>
          </w:rPr>
        </w:r>
        <w:r w:rsidR="00A06634">
          <w:rPr>
            <w:noProof/>
            <w:webHidden/>
          </w:rPr>
          <w:fldChar w:fldCharType="separate"/>
        </w:r>
        <w:r w:rsidR="00A06634">
          <w:rPr>
            <w:noProof/>
            <w:webHidden/>
          </w:rPr>
          <w:t>5</w:t>
        </w:r>
        <w:r w:rsidR="00A06634">
          <w:rPr>
            <w:noProof/>
            <w:webHidden/>
          </w:rPr>
          <w:fldChar w:fldCharType="end"/>
        </w:r>
      </w:hyperlink>
    </w:p>
    <w:p w14:paraId="0983F135" w14:textId="71ACC094" w:rsidR="00A06634" w:rsidRDefault="006A1686">
      <w:pPr>
        <w:pStyle w:val="TOC2"/>
        <w:tabs>
          <w:tab w:val="right" w:leader="dot" w:pos="9350"/>
        </w:tabs>
        <w:rPr>
          <w:rFonts w:eastAsiaTheme="minorEastAsia" w:cstheme="minorBidi"/>
          <w:smallCaps w:val="0"/>
          <w:noProof/>
          <w:sz w:val="22"/>
          <w:szCs w:val="22"/>
        </w:rPr>
      </w:pPr>
      <w:hyperlink w:anchor="_Toc107610212" w:history="1">
        <w:r w:rsidR="00A06634" w:rsidRPr="00271AB9">
          <w:rPr>
            <w:rStyle w:val="Hyperlink"/>
            <w:noProof/>
            <w:lang w:val="en-GB"/>
          </w:rPr>
          <w:t>1.3 The academic and practical relevance of the research</w:t>
        </w:r>
        <w:r w:rsidR="00A06634">
          <w:rPr>
            <w:noProof/>
            <w:webHidden/>
          </w:rPr>
          <w:tab/>
        </w:r>
        <w:r w:rsidR="00A06634">
          <w:rPr>
            <w:noProof/>
            <w:webHidden/>
          </w:rPr>
          <w:fldChar w:fldCharType="begin"/>
        </w:r>
        <w:r w:rsidR="00A06634">
          <w:rPr>
            <w:noProof/>
            <w:webHidden/>
          </w:rPr>
          <w:instrText xml:space="preserve"> PAGEREF _Toc107610212 \h </w:instrText>
        </w:r>
        <w:r w:rsidR="00A06634">
          <w:rPr>
            <w:noProof/>
            <w:webHidden/>
          </w:rPr>
        </w:r>
        <w:r w:rsidR="00A06634">
          <w:rPr>
            <w:noProof/>
            <w:webHidden/>
          </w:rPr>
          <w:fldChar w:fldCharType="separate"/>
        </w:r>
        <w:r w:rsidR="00A06634">
          <w:rPr>
            <w:noProof/>
            <w:webHidden/>
          </w:rPr>
          <w:t>6</w:t>
        </w:r>
        <w:r w:rsidR="00A06634">
          <w:rPr>
            <w:noProof/>
            <w:webHidden/>
          </w:rPr>
          <w:fldChar w:fldCharType="end"/>
        </w:r>
      </w:hyperlink>
    </w:p>
    <w:p w14:paraId="25C93015" w14:textId="362D4154" w:rsidR="00A06634" w:rsidRDefault="006A1686">
      <w:pPr>
        <w:pStyle w:val="TOC2"/>
        <w:tabs>
          <w:tab w:val="right" w:leader="dot" w:pos="9350"/>
        </w:tabs>
        <w:rPr>
          <w:rFonts w:eastAsiaTheme="minorEastAsia" w:cstheme="minorBidi"/>
          <w:smallCaps w:val="0"/>
          <w:noProof/>
          <w:sz w:val="22"/>
          <w:szCs w:val="22"/>
        </w:rPr>
      </w:pPr>
      <w:hyperlink w:anchor="_Toc107610213" w:history="1">
        <w:r w:rsidR="00A06634" w:rsidRPr="00271AB9">
          <w:rPr>
            <w:rStyle w:val="Hyperlink"/>
            <w:noProof/>
            <w:lang w:val="en-GB"/>
          </w:rPr>
          <w:t>1.4 The research methods and approach</w:t>
        </w:r>
        <w:r w:rsidR="00A06634">
          <w:rPr>
            <w:noProof/>
            <w:webHidden/>
          </w:rPr>
          <w:tab/>
        </w:r>
        <w:r w:rsidR="00A06634">
          <w:rPr>
            <w:noProof/>
            <w:webHidden/>
          </w:rPr>
          <w:fldChar w:fldCharType="begin"/>
        </w:r>
        <w:r w:rsidR="00A06634">
          <w:rPr>
            <w:noProof/>
            <w:webHidden/>
          </w:rPr>
          <w:instrText xml:space="preserve"> PAGEREF _Toc107610213 \h </w:instrText>
        </w:r>
        <w:r w:rsidR="00A06634">
          <w:rPr>
            <w:noProof/>
            <w:webHidden/>
          </w:rPr>
        </w:r>
        <w:r w:rsidR="00A06634">
          <w:rPr>
            <w:noProof/>
            <w:webHidden/>
          </w:rPr>
          <w:fldChar w:fldCharType="separate"/>
        </w:r>
        <w:r w:rsidR="00A06634">
          <w:rPr>
            <w:noProof/>
            <w:webHidden/>
          </w:rPr>
          <w:t>7</w:t>
        </w:r>
        <w:r w:rsidR="00A06634">
          <w:rPr>
            <w:noProof/>
            <w:webHidden/>
          </w:rPr>
          <w:fldChar w:fldCharType="end"/>
        </w:r>
      </w:hyperlink>
    </w:p>
    <w:p w14:paraId="32466774" w14:textId="2C324596" w:rsidR="00A06634" w:rsidRDefault="006A1686">
      <w:pPr>
        <w:pStyle w:val="TOC2"/>
        <w:tabs>
          <w:tab w:val="right" w:leader="dot" w:pos="9350"/>
        </w:tabs>
        <w:rPr>
          <w:rFonts w:eastAsiaTheme="minorEastAsia" w:cstheme="minorBidi"/>
          <w:smallCaps w:val="0"/>
          <w:noProof/>
          <w:sz w:val="22"/>
          <w:szCs w:val="22"/>
        </w:rPr>
      </w:pPr>
      <w:hyperlink w:anchor="_Toc107610214" w:history="1">
        <w:r w:rsidR="00A06634" w:rsidRPr="00271AB9">
          <w:rPr>
            <w:rStyle w:val="Hyperlink"/>
            <w:noProof/>
            <w:lang w:val="en-GB"/>
          </w:rPr>
          <w:t>1.5 Structure of the thesis</w:t>
        </w:r>
        <w:r w:rsidR="00A06634">
          <w:rPr>
            <w:noProof/>
            <w:webHidden/>
          </w:rPr>
          <w:tab/>
        </w:r>
        <w:r w:rsidR="00A06634">
          <w:rPr>
            <w:noProof/>
            <w:webHidden/>
          </w:rPr>
          <w:fldChar w:fldCharType="begin"/>
        </w:r>
        <w:r w:rsidR="00A06634">
          <w:rPr>
            <w:noProof/>
            <w:webHidden/>
          </w:rPr>
          <w:instrText xml:space="preserve"> PAGEREF _Toc107610214 \h </w:instrText>
        </w:r>
        <w:r w:rsidR="00A06634">
          <w:rPr>
            <w:noProof/>
            <w:webHidden/>
          </w:rPr>
        </w:r>
        <w:r w:rsidR="00A06634">
          <w:rPr>
            <w:noProof/>
            <w:webHidden/>
          </w:rPr>
          <w:fldChar w:fldCharType="separate"/>
        </w:r>
        <w:r w:rsidR="00A06634">
          <w:rPr>
            <w:noProof/>
            <w:webHidden/>
          </w:rPr>
          <w:t>8</w:t>
        </w:r>
        <w:r w:rsidR="00A06634">
          <w:rPr>
            <w:noProof/>
            <w:webHidden/>
          </w:rPr>
          <w:fldChar w:fldCharType="end"/>
        </w:r>
      </w:hyperlink>
    </w:p>
    <w:p w14:paraId="51FB8E1A" w14:textId="7C555EA6" w:rsidR="00A06634" w:rsidRDefault="006A1686">
      <w:pPr>
        <w:pStyle w:val="TOC1"/>
        <w:tabs>
          <w:tab w:val="right" w:leader="dot" w:pos="9350"/>
        </w:tabs>
        <w:rPr>
          <w:rFonts w:eastAsiaTheme="minorEastAsia" w:cstheme="minorBidi"/>
          <w:b w:val="0"/>
          <w:bCs w:val="0"/>
          <w:caps w:val="0"/>
          <w:noProof/>
          <w:sz w:val="22"/>
          <w:szCs w:val="22"/>
        </w:rPr>
      </w:pPr>
      <w:hyperlink w:anchor="_Toc107610215" w:history="1">
        <w:r w:rsidR="00A06634" w:rsidRPr="00271AB9">
          <w:rPr>
            <w:rStyle w:val="Hyperlink"/>
            <w:noProof/>
            <w:lang w:val="en-GB"/>
          </w:rPr>
          <w:t>2. Preferred countries for cartel damages claims: Germany, the UK and the Netherlands</w:t>
        </w:r>
        <w:r w:rsidR="00A06634">
          <w:rPr>
            <w:noProof/>
            <w:webHidden/>
          </w:rPr>
          <w:tab/>
        </w:r>
        <w:r w:rsidR="00A06634">
          <w:rPr>
            <w:noProof/>
            <w:webHidden/>
          </w:rPr>
          <w:fldChar w:fldCharType="begin"/>
        </w:r>
        <w:r w:rsidR="00A06634">
          <w:rPr>
            <w:noProof/>
            <w:webHidden/>
          </w:rPr>
          <w:instrText xml:space="preserve"> PAGEREF _Toc107610215 \h </w:instrText>
        </w:r>
        <w:r w:rsidR="00A06634">
          <w:rPr>
            <w:noProof/>
            <w:webHidden/>
          </w:rPr>
        </w:r>
        <w:r w:rsidR="00A06634">
          <w:rPr>
            <w:noProof/>
            <w:webHidden/>
          </w:rPr>
          <w:fldChar w:fldCharType="separate"/>
        </w:r>
        <w:r w:rsidR="00A06634">
          <w:rPr>
            <w:noProof/>
            <w:webHidden/>
          </w:rPr>
          <w:t>9</w:t>
        </w:r>
        <w:r w:rsidR="00A06634">
          <w:rPr>
            <w:noProof/>
            <w:webHidden/>
          </w:rPr>
          <w:fldChar w:fldCharType="end"/>
        </w:r>
      </w:hyperlink>
    </w:p>
    <w:p w14:paraId="3A8767CB" w14:textId="5FE41B9C" w:rsidR="00A06634" w:rsidRDefault="006A1686">
      <w:pPr>
        <w:pStyle w:val="TOC2"/>
        <w:tabs>
          <w:tab w:val="right" w:leader="dot" w:pos="9350"/>
        </w:tabs>
        <w:rPr>
          <w:rFonts w:eastAsiaTheme="minorEastAsia" w:cstheme="minorBidi"/>
          <w:smallCaps w:val="0"/>
          <w:noProof/>
          <w:sz w:val="22"/>
          <w:szCs w:val="22"/>
        </w:rPr>
      </w:pPr>
      <w:hyperlink w:anchor="_Toc107610216" w:history="1">
        <w:r w:rsidR="00A06634" w:rsidRPr="00271AB9">
          <w:rPr>
            <w:rStyle w:val="Hyperlink"/>
            <w:noProof/>
            <w:lang w:val="en-GB"/>
          </w:rPr>
          <w:t>2.1 Germany as a preferred country for antitrust damages claims</w:t>
        </w:r>
        <w:r w:rsidR="00A06634">
          <w:rPr>
            <w:noProof/>
            <w:webHidden/>
          </w:rPr>
          <w:tab/>
        </w:r>
        <w:r w:rsidR="00A06634">
          <w:rPr>
            <w:noProof/>
            <w:webHidden/>
          </w:rPr>
          <w:fldChar w:fldCharType="begin"/>
        </w:r>
        <w:r w:rsidR="00A06634">
          <w:rPr>
            <w:noProof/>
            <w:webHidden/>
          </w:rPr>
          <w:instrText xml:space="preserve"> PAGEREF _Toc107610216 \h </w:instrText>
        </w:r>
        <w:r w:rsidR="00A06634">
          <w:rPr>
            <w:noProof/>
            <w:webHidden/>
          </w:rPr>
        </w:r>
        <w:r w:rsidR="00A06634">
          <w:rPr>
            <w:noProof/>
            <w:webHidden/>
          </w:rPr>
          <w:fldChar w:fldCharType="separate"/>
        </w:r>
        <w:r w:rsidR="00A06634">
          <w:rPr>
            <w:noProof/>
            <w:webHidden/>
          </w:rPr>
          <w:t>9</w:t>
        </w:r>
        <w:r w:rsidR="00A06634">
          <w:rPr>
            <w:noProof/>
            <w:webHidden/>
          </w:rPr>
          <w:fldChar w:fldCharType="end"/>
        </w:r>
      </w:hyperlink>
    </w:p>
    <w:p w14:paraId="77A5A33F" w14:textId="30F320FC" w:rsidR="00A06634" w:rsidRDefault="006A1686">
      <w:pPr>
        <w:pStyle w:val="TOC3"/>
        <w:tabs>
          <w:tab w:val="right" w:leader="dot" w:pos="9350"/>
        </w:tabs>
        <w:rPr>
          <w:rFonts w:eastAsiaTheme="minorEastAsia" w:cstheme="minorBidi"/>
          <w:i w:val="0"/>
          <w:iCs w:val="0"/>
          <w:noProof/>
          <w:sz w:val="22"/>
          <w:szCs w:val="22"/>
        </w:rPr>
      </w:pPr>
      <w:hyperlink w:anchor="_Toc107610217" w:history="1">
        <w:r w:rsidR="00A06634" w:rsidRPr="00271AB9">
          <w:rPr>
            <w:rStyle w:val="Hyperlink"/>
            <w:noProof/>
            <w:lang w:val="en-GB"/>
          </w:rPr>
          <w:t>2.1.1 The specialization of German courts</w:t>
        </w:r>
        <w:r w:rsidR="00A06634">
          <w:rPr>
            <w:noProof/>
            <w:webHidden/>
          </w:rPr>
          <w:tab/>
        </w:r>
        <w:r w:rsidR="00A06634">
          <w:rPr>
            <w:noProof/>
            <w:webHidden/>
          </w:rPr>
          <w:fldChar w:fldCharType="begin"/>
        </w:r>
        <w:r w:rsidR="00A06634">
          <w:rPr>
            <w:noProof/>
            <w:webHidden/>
          </w:rPr>
          <w:instrText xml:space="preserve"> PAGEREF _Toc107610217 \h </w:instrText>
        </w:r>
        <w:r w:rsidR="00A06634">
          <w:rPr>
            <w:noProof/>
            <w:webHidden/>
          </w:rPr>
        </w:r>
        <w:r w:rsidR="00A06634">
          <w:rPr>
            <w:noProof/>
            <w:webHidden/>
          </w:rPr>
          <w:fldChar w:fldCharType="separate"/>
        </w:r>
        <w:r w:rsidR="00A06634">
          <w:rPr>
            <w:noProof/>
            <w:webHidden/>
          </w:rPr>
          <w:t>11</w:t>
        </w:r>
        <w:r w:rsidR="00A06634">
          <w:rPr>
            <w:noProof/>
            <w:webHidden/>
          </w:rPr>
          <w:fldChar w:fldCharType="end"/>
        </w:r>
      </w:hyperlink>
    </w:p>
    <w:p w14:paraId="28749330" w14:textId="4B5127A8" w:rsidR="00A06634" w:rsidRDefault="006A1686">
      <w:pPr>
        <w:pStyle w:val="TOC3"/>
        <w:tabs>
          <w:tab w:val="right" w:leader="dot" w:pos="9350"/>
        </w:tabs>
        <w:rPr>
          <w:rFonts w:eastAsiaTheme="minorEastAsia" w:cstheme="minorBidi"/>
          <w:i w:val="0"/>
          <w:iCs w:val="0"/>
          <w:noProof/>
          <w:sz w:val="22"/>
          <w:szCs w:val="22"/>
        </w:rPr>
      </w:pPr>
      <w:hyperlink w:anchor="_Toc107610218" w:history="1">
        <w:r w:rsidR="00A06634" w:rsidRPr="00271AB9">
          <w:rPr>
            <w:rStyle w:val="Hyperlink"/>
            <w:noProof/>
            <w:lang w:val="en-GB"/>
          </w:rPr>
          <w:t>2.1.2 The costs of litigation in Germany</w:t>
        </w:r>
        <w:r w:rsidR="00A06634">
          <w:rPr>
            <w:noProof/>
            <w:webHidden/>
          </w:rPr>
          <w:tab/>
        </w:r>
        <w:r w:rsidR="00A06634">
          <w:rPr>
            <w:noProof/>
            <w:webHidden/>
          </w:rPr>
          <w:fldChar w:fldCharType="begin"/>
        </w:r>
        <w:r w:rsidR="00A06634">
          <w:rPr>
            <w:noProof/>
            <w:webHidden/>
          </w:rPr>
          <w:instrText xml:space="preserve"> PAGEREF _Toc107610218 \h </w:instrText>
        </w:r>
        <w:r w:rsidR="00A06634">
          <w:rPr>
            <w:noProof/>
            <w:webHidden/>
          </w:rPr>
        </w:r>
        <w:r w:rsidR="00A06634">
          <w:rPr>
            <w:noProof/>
            <w:webHidden/>
          </w:rPr>
          <w:fldChar w:fldCharType="separate"/>
        </w:r>
        <w:r w:rsidR="00A06634">
          <w:rPr>
            <w:noProof/>
            <w:webHidden/>
          </w:rPr>
          <w:t>11</w:t>
        </w:r>
        <w:r w:rsidR="00A06634">
          <w:rPr>
            <w:noProof/>
            <w:webHidden/>
          </w:rPr>
          <w:fldChar w:fldCharType="end"/>
        </w:r>
      </w:hyperlink>
    </w:p>
    <w:p w14:paraId="1B3F501D" w14:textId="43060271" w:rsidR="00A06634" w:rsidRDefault="006A1686">
      <w:pPr>
        <w:pStyle w:val="TOC3"/>
        <w:tabs>
          <w:tab w:val="right" w:leader="dot" w:pos="9350"/>
        </w:tabs>
        <w:rPr>
          <w:rFonts w:eastAsiaTheme="minorEastAsia" w:cstheme="minorBidi"/>
          <w:i w:val="0"/>
          <w:iCs w:val="0"/>
          <w:noProof/>
          <w:sz w:val="22"/>
          <w:szCs w:val="22"/>
        </w:rPr>
      </w:pPr>
      <w:hyperlink w:anchor="_Toc107610219" w:history="1">
        <w:r w:rsidR="00A06634" w:rsidRPr="00271AB9">
          <w:rPr>
            <w:rStyle w:val="Hyperlink"/>
            <w:noProof/>
            <w:lang w:val="en-GB"/>
          </w:rPr>
          <w:t>2.1.3 The lack of a collective redress mechanism in Germany</w:t>
        </w:r>
        <w:r w:rsidR="00A06634">
          <w:rPr>
            <w:noProof/>
            <w:webHidden/>
          </w:rPr>
          <w:tab/>
        </w:r>
        <w:r w:rsidR="00A06634">
          <w:rPr>
            <w:noProof/>
            <w:webHidden/>
          </w:rPr>
          <w:fldChar w:fldCharType="begin"/>
        </w:r>
        <w:r w:rsidR="00A06634">
          <w:rPr>
            <w:noProof/>
            <w:webHidden/>
          </w:rPr>
          <w:instrText xml:space="preserve"> PAGEREF _Toc107610219 \h </w:instrText>
        </w:r>
        <w:r w:rsidR="00A06634">
          <w:rPr>
            <w:noProof/>
            <w:webHidden/>
          </w:rPr>
        </w:r>
        <w:r w:rsidR="00A06634">
          <w:rPr>
            <w:noProof/>
            <w:webHidden/>
          </w:rPr>
          <w:fldChar w:fldCharType="separate"/>
        </w:r>
        <w:r w:rsidR="00A06634">
          <w:rPr>
            <w:noProof/>
            <w:webHidden/>
          </w:rPr>
          <w:t>13</w:t>
        </w:r>
        <w:r w:rsidR="00A06634">
          <w:rPr>
            <w:noProof/>
            <w:webHidden/>
          </w:rPr>
          <w:fldChar w:fldCharType="end"/>
        </w:r>
      </w:hyperlink>
    </w:p>
    <w:p w14:paraId="66F11A6F" w14:textId="6DB9F84F" w:rsidR="00A06634" w:rsidRDefault="006A1686">
      <w:pPr>
        <w:pStyle w:val="TOC3"/>
        <w:tabs>
          <w:tab w:val="right" w:leader="dot" w:pos="9350"/>
        </w:tabs>
        <w:rPr>
          <w:rFonts w:eastAsiaTheme="minorEastAsia" w:cstheme="minorBidi"/>
          <w:i w:val="0"/>
          <w:iCs w:val="0"/>
          <w:noProof/>
          <w:sz w:val="22"/>
          <w:szCs w:val="22"/>
        </w:rPr>
      </w:pPr>
      <w:hyperlink w:anchor="_Toc107610220" w:history="1">
        <w:r w:rsidR="00A06634" w:rsidRPr="00271AB9">
          <w:rPr>
            <w:rStyle w:val="Hyperlink"/>
            <w:noProof/>
            <w:lang w:val="en-GB"/>
          </w:rPr>
          <w:t>2.1.4 The right to request disclosure of evidence under German law</w:t>
        </w:r>
        <w:r w:rsidR="00A06634">
          <w:rPr>
            <w:noProof/>
            <w:webHidden/>
          </w:rPr>
          <w:tab/>
        </w:r>
        <w:r w:rsidR="00A06634">
          <w:rPr>
            <w:noProof/>
            <w:webHidden/>
          </w:rPr>
          <w:fldChar w:fldCharType="begin"/>
        </w:r>
        <w:r w:rsidR="00A06634">
          <w:rPr>
            <w:noProof/>
            <w:webHidden/>
          </w:rPr>
          <w:instrText xml:space="preserve"> PAGEREF _Toc107610220 \h </w:instrText>
        </w:r>
        <w:r w:rsidR="00A06634">
          <w:rPr>
            <w:noProof/>
            <w:webHidden/>
          </w:rPr>
        </w:r>
        <w:r w:rsidR="00A06634">
          <w:rPr>
            <w:noProof/>
            <w:webHidden/>
          </w:rPr>
          <w:fldChar w:fldCharType="separate"/>
        </w:r>
        <w:r w:rsidR="00A06634">
          <w:rPr>
            <w:noProof/>
            <w:webHidden/>
          </w:rPr>
          <w:t>14</w:t>
        </w:r>
        <w:r w:rsidR="00A06634">
          <w:rPr>
            <w:noProof/>
            <w:webHidden/>
          </w:rPr>
          <w:fldChar w:fldCharType="end"/>
        </w:r>
      </w:hyperlink>
    </w:p>
    <w:p w14:paraId="4A90137A" w14:textId="1B29874B" w:rsidR="00A06634" w:rsidRDefault="006A1686">
      <w:pPr>
        <w:pStyle w:val="TOC3"/>
        <w:tabs>
          <w:tab w:val="right" w:leader="dot" w:pos="9350"/>
        </w:tabs>
        <w:rPr>
          <w:rFonts w:eastAsiaTheme="minorEastAsia" w:cstheme="minorBidi"/>
          <w:i w:val="0"/>
          <w:iCs w:val="0"/>
          <w:noProof/>
          <w:sz w:val="22"/>
          <w:szCs w:val="22"/>
        </w:rPr>
      </w:pPr>
      <w:hyperlink w:anchor="_Toc107610221" w:history="1">
        <w:r w:rsidR="00A06634" w:rsidRPr="00271AB9">
          <w:rPr>
            <w:rStyle w:val="Hyperlink"/>
            <w:noProof/>
            <w:lang w:val="en-GB"/>
          </w:rPr>
          <w:t>2.1.5 Presumptions that have lowered the burden of proof for claimants</w:t>
        </w:r>
        <w:r w:rsidR="00A06634">
          <w:rPr>
            <w:noProof/>
            <w:webHidden/>
          </w:rPr>
          <w:tab/>
        </w:r>
        <w:r w:rsidR="00A06634">
          <w:rPr>
            <w:noProof/>
            <w:webHidden/>
          </w:rPr>
          <w:fldChar w:fldCharType="begin"/>
        </w:r>
        <w:r w:rsidR="00A06634">
          <w:rPr>
            <w:noProof/>
            <w:webHidden/>
          </w:rPr>
          <w:instrText xml:space="preserve"> PAGEREF _Toc107610221 \h </w:instrText>
        </w:r>
        <w:r w:rsidR="00A06634">
          <w:rPr>
            <w:noProof/>
            <w:webHidden/>
          </w:rPr>
        </w:r>
        <w:r w:rsidR="00A06634">
          <w:rPr>
            <w:noProof/>
            <w:webHidden/>
          </w:rPr>
          <w:fldChar w:fldCharType="separate"/>
        </w:r>
        <w:r w:rsidR="00A06634">
          <w:rPr>
            <w:noProof/>
            <w:webHidden/>
          </w:rPr>
          <w:t>15</w:t>
        </w:r>
        <w:r w:rsidR="00A06634">
          <w:rPr>
            <w:noProof/>
            <w:webHidden/>
          </w:rPr>
          <w:fldChar w:fldCharType="end"/>
        </w:r>
      </w:hyperlink>
    </w:p>
    <w:p w14:paraId="14481287" w14:textId="36535349" w:rsidR="00A06634" w:rsidRDefault="006A1686">
      <w:pPr>
        <w:pStyle w:val="TOC3"/>
        <w:tabs>
          <w:tab w:val="right" w:leader="dot" w:pos="9350"/>
        </w:tabs>
        <w:rPr>
          <w:rFonts w:eastAsiaTheme="minorEastAsia" w:cstheme="minorBidi"/>
          <w:i w:val="0"/>
          <w:iCs w:val="0"/>
          <w:noProof/>
          <w:sz w:val="22"/>
          <w:szCs w:val="22"/>
        </w:rPr>
      </w:pPr>
      <w:hyperlink w:anchor="_Toc107610222" w:history="1">
        <w:r w:rsidR="00A06634" w:rsidRPr="00271AB9">
          <w:rPr>
            <w:rStyle w:val="Hyperlink"/>
            <w:noProof/>
            <w:lang w:val="en-GB"/>
          </w:rPr>
          <w:t>2.1.6 The binding effect of decisions of other competition authorities</w:t>
        </w:r>
        <w:r w:rsidR="00A06634">
          <w:rPr>
            <w:noProof/>
            <w:webHidden/>
          </w:rPr>
          <w:tab/>
        </w:r>
        <w:r w:rsidR="00A06634">
          <w:rPr>
            <w:noProof/>
            <w:webHidden/>
          </w:rPr>
          <w:fldChar w:fldCharType="begin"/>
        </w:r>
        <w:r w:rsidR="00A06634">
          <w:rPr>
            <w:noProof/>
            <w:webHidden/>
          </w:rPr>
          <w:instrText xml:space="preserve"> PAGEREF _Toc107610222 \h </w:instrText>
        </w:r>
        <w:r w:rsidR="00A06634">
          <w:rPr>
            <w:noProof/>
            <w:webHidden/>
          </w:rPr>
        </w:r>
        <w:r w:rsidR="00A06634">
          <w:rPr>
            <w:noProof/>
            <w:webHidden/>
          </w:rPr>
          <w:fldChar w:fldCharType="separate"/>
        </w:r>
        <w:r w:rsidR="00A06634">
          <w:rPr>
            <w:noProof/>
            <w:webHidden/>
          </w:rPr>
          <w:t>18</w:t>
        </w:r>
        <w:r w:rsidR="00A06634">
          <w:rPr>
            <w:noProof/>
            <w:webHidden/>
          </w:rPr>
          <w:fldChar w:fldCharType="end"/>
        </w:r>
      </w:hyperlink>
    </w:p>
    <w:p w14:paraId="2BFB8B67" w14:textId="109CA88F" w:rsidR="00A06634" w:rsidRDefault="006A1686">
      <w:pPr>
        <w:pStyle w:val="TOC3"/>
        <w:tabs>
          <w:tab w:val="right" w:leader="dot" w:pos="9350"/>
        </w:tabs>
        <w:rPr>
          <w:rFonts w:eastAsiaTheme="minorEastAsia" w:cstheme="minorBidi"/>
          <w:i w:val="0"/>
          <w:iCs w:val="0"/>
          <w:noProof/>
          <w:sz w:val="22"/>
          <w:szCs w:val="22"/>
        </w:rPr>
      </w:pPr>
      <w:hyperlink w:anchor="_Toc107610223" w:history="1">
        <w:r w:rsidR="00A06634" w:rsidRPr="00271AB9">
          <w:rPr>
            <w:rStyle w:val="Hyperlink"/>
            <w:noProof/>
            <w:lang w:val="en-GB"/>
          </w:rPr>
          <w:t>2.1.7 Increased limitation periods under German law</w:t>
        </w:r>
        <w:r w:rsidR="00A06634">
          <w:rPr>
            <w:noProof/>
            <w:webHidden/>
          </w:rPr>
          <w:tab/>
        </w:r>
        <w:r w:rsidR="00A06634">
          <w:rPr>
            <w:noProof/>
            <w:webHidden/>
          </w:rPr>
          <w:fldChar w:fldCharType="begin"/>
        </w:r>
        <w:r w:rsidR="00A06634">
          <w:rPr>
            <w:noProof/>
            <w:webHidden/>
          </w:rPr>
          <w:instrText xml:space="preserve"> PAGEREF _Toc107610223 \h </w:instrText>
        </w:r>
        <w:r w:rsidR="00A06634">
          <w:rPr>
            <w:noProof/>
            <w:webHidden/>
          </w:rPr>
        </w:r>
        <w:r w:rsidR="00A06634">
          <w:rPr>
            <w:noProof/>
            <w:webHidden/>
          </w:rPr>
          <w:fldChar w:fldCharType="separate"/>
        </w:r>
        <w:r w:rsidR="00A06634">
          <w:rPr>
            <w:noProof/>
            <w:webHidden/>
          </w:rPr>
          <w:t>18</w:t>
        </w:r>
        <w:r w:rsidR="00A06634">
          <w:rPr>
            <w:noProof/>
            <w:webHidden/>
          </w:rPr>
          <w:fldChar w:fldCharType="end"/>
        </w:r>
      </w:hyperlink>
    </w:p>
    <w:p w14:paraId="6C1FB765" w14:textId="12292F81" w:rsidR="00A06634" w:rsidRDefault="006A1686">
      <w:pPr>
        <w:pStyle w:val="TOC3"/>
        <w:tabs>
          <w:tab w:val="right" w:leader="dot" w:pos="9350"/>
        </w:tabs>
        <w:rPr>
          <w:rFonts w:eastAsiaTheme="minorEastAsia" w:cstheme="minorBidi"/>
          <w:i w:val="0"/>
          <w:iCs w:val="0"/>
          <w:noProof/>
          <w:sz w:val="22"/>
          <w:szCs w:val="22"/>
        </w:rPr>
      </w:pPr>
      <w:hyperlink w:anchor="_Toc107610224" w:history="1">
        <w:r w:rsidR="00A06634" w:rsidRPr="00271AB9">
          <w:rPr>
            <w:rStyle w:val="Hyperlink"/>
            <w:noProof/>
            <w:lang w:val="en-GB"/>
          </w:rPr>
          <w:t>2.1.8 Recent case law regarding further claimant-friendly verdicts</w:t>
        </w:r>
        <w:r w:rsidR="00A06634">
          <w:rPr>
            <w:noProof/>
            <w:webHidden/>
          </w:rPr>
          <w:tab/>
        </w:r>
        <w:r w:rsidR="00A06634">
          <w:rPr>
            <w:noProof/>
            <w:webHidden/>
          </w:rPr>
          <w:fldChar w:fldCharType="begin"/>
        </w:r>
        <w:r w:rsidR="00A06634">
          <w:rPr>
            <w:noProof/>
            <w:webHidden/>
          </w:rPr>
          <w:instrText xml:space="preserve"> PAGEREF _Toc107610224 \h </w:instrText>
        </w:r>
        <w:r w:rsidR="00A06634">
          <w:rPr>
            <w:noProof/>
            <w:webHidden/>
          </w:rPr>
        </w:r>
        <w:r w:rsidR="00A06634">
          <w:rPr>
            <w:noProof/>
            <w:webHidden/>
          </w:rPr>
          <w:fldChar w:fldCharType="separate"/>
        </w:r>
        <w:r w:rsidR="00A06634">
          <w:rPr>
            <w:noProof/>
            <w:webHidden/>
          </w:rPr>
          <w:t>19</w:t>
        </w:r>
        <w:r w:rsidR="00A06634">
          <w:rPr>
            <w:noProof/>
            <w:webHidden/>
          </w:rPr>
          <w:fldChar w:fldCharType="end"/>
        </w:r>
      </w:hyperlink>
    </w:p>
    <w:p w14:paraId="17CB9AC0" w14:textId="75D55DA8" w:rsidR="00A06634" w:rsidRDefault="006A1686">
      <w:pPr>
        <w:pStyle w:val="TOC3"/>
        <w:tabs>
          <w:tab w:val="right" w:leader="dot" w:pos="9350"/>
        </w:tabs>
        <w:rPr>
          <w:rFonts w:eastAsiaTheme="minorEastAsia" w:cstheme="minorBidi"/>
          <w:i w:val="0"/>
          <w:iCs w:val="0"/>
          <w:noProof/>
          <w:sz w:val="22"/>
          <w:szCs w:val="22"/>
        </w:rPr>
      </w:pPr>
      <w:hyperlink w:anchor="_Toc107610225" w:history="1">
        <w:r w:rsidR="00A06634" w:rsidRPr="00271AB9">
          <w:rPr>
            <w:rStyle w:val="Hyperlink"/>
            <w:noProof/>
            <w:lang w:val="en-GB"/>
          </w:rPr>
          <w:t>2.1.9 Interim conclusions on Germany as a preferred forum</w:t>
        </w:r>
        <w:r w:rsidR="00A06634">
          <w:rPr>
            <w:noProof/>
            <w:webHidden/>
          </w:rPr>
          <w:tab/>
        </w:r>
        <w:r w:rsidR="00A06634">
          <w:rPr>
            <w:noProof/>
            <w:webHidden/>
          </w:rPr>
          <w:fldChar w:fldCharType="begin"/>
        </w:r>
        <w:r w:rsidR="00A06634">
          <w:rPr>
            <w:noProof/>
            <w:webHidden/>
          </w:rPr>
          <w:instrText xml:space="preserve"> PAGEREF _Toc107610225 \h </w:instrText>
        </w:r>
        <w:r w:rsidR="00A06634">
          <w:rPr>
            <w:noProof/>
            <w:webHidden/>
          </w:rPr>
        </w:r>
        <w:r w:rsidR="00A06634">
          <w:rPr>
            <w:noProof/>
            <w:webHidden/>
          </w:rPr>
          <w:fldChar w:fldCharType="separate"/>
        </w:r>
        <w:r w:rsidR="00A06634">
          <w:rPr>
            <w:noProof/>
            <w:webHidden/>
          </w:rPr>
          <w:t>20</w:t>
        </w:r>
        <w:r w:rsidR="00A06634">
          <w:rPr>
            <w:noProof/>
            <w:webHidden/>
          </w:rPr>
          <w:fldChar w:fldCharType="end"/>
        </w:r>
      </w:hyperlink>
    </w:p>
    <w:p w14:paraId="78FC715E" w14:textId="0F66D268" w:rsidR="00A06634" w:rsidRDefault="006A1686">
      <w:pPr>
        <w:pStyle w:val="TOC2"/>
        <w:tabs>
          <w:tab w:val="right" w:leader="dot" w:pos="9350"/>
        </w:tabs>
        <w:rPr>
          <w:rFonts w:eastAsiaTheme="minorEastAsia" w:cstheme="minorBidi"/>
          <w:smallCaps w:val="0"/>
          <w:noProof/>
          <w:sz w:val="22"/>
          <w:szCs w:val="22"/>
        </w:rPr>
      </w:pPr>
      <w:hyperlink w:anchor="_Toc107610226" w:history="1">
        <w:r w:rsidR="00A06634" w:rsidRPr="00271AB9">
          <w:rPr>
            <w:rStyle w:val="Hyperlink"/>
            <w:noProof/>
            <w:lang w:val="en-GB"/>
          </w:rPr>
          <w:t>2.2 The United Kingdom as a preferred forum for cartel damages claims</w:t>
        </w:r>
        <w:r w:rsidR="00A06634">
          <w:rPr>
            <w:noProof/>
            <w:webHidden/>
          </w:rPr>
          <w:tab/>
        </w:r>
        <w:r w:rsidR="00A06634">
          <w:rPr>
            <w:noProof/>
            <w:webHidden/>
          </w:rPr>
          <w:fldChar w:fldCharType="begin"/>
        </w:r>
        <w:r w:rsidR="00A06634">
          <w:rPr>
            <w:noProof/>
            <w:webHidden/>
          </w:rPr>
          <w:instrText xml:space="preserve"> PAGEREF _Toc107610226 \h </w:instrText>
        </w:r>
        <w:r w:rsidR="00A06634">
          <w:rPr>
            <w:noProof/>
            <w:webHidden/>
          </w:rPr>
        </w:r>
        <w:r w:rsidR="00A06634">
          <w:rPr>
            <w:noProof/>
            <w:webHidden/>
          </w:rPr>
          <w:fldChar w:fldCharType="separate"/>
        </w:r>
        <w:r w:rsidR="00A06634">
          <w:rPr>
            <w:noProof/>
            <w:webHidden/>
          </w:rPr>
          <w:t>22</w:t>
        </w:r>
        <w:r w:rsidR="00A06634">
          <w:rPr>
            <w:noProof/>
            <w:webHidden/>
          </w:rPr>
          <w:fldChar w:fldCharType="end"/>
        </w:r>
      </w:hyperlink>
    </w:p>
    <w:p w14:paraId="07961724" w14:textId="57D8270D" w:rsidR="00A06634" w:rsidRDefault="006A1686">
      <w:pPr>
        <w:pStyle w:val="TOC3"/>
        <w:tabs>
          <w:tab w:val="right" w:leader="dot" w:pos="9350"/>
        </w:tabs>
        <w:rPr>
          <w:rFonts w:eastAsiaTheme="minorEastAsia" w:cstheme="minorBidi"/>
          <w:i w:val="0"/>
          <w:iCs w:val="0"/>
          <w:noProof/>
          <w:sz w:val="22"/>
          <w:szCs w:val="22"/>
        </w:rPr>
      </w:pPr>
      <w:hyperlink w:anchor="_Toc107610227" w:history="1">
        <w:r w:rsidR="00A06634" w:rsidRPr="00271AB9">
          <w:rPr>
            <w:rStyle w:val="Hyperlink"/>
            <w:noProof/>
            <w:lang w:val="en-GB"/>
          </w:rPr>
          <w:t>2.2.1 Specialization of UK courts and the Competition Appeal Tribunal</w:t>
        </w:r>
        <w:r w:rsidR="00A06634">
          <w:rPr>
            <w:noProof/>
            <w:webHidden/>
          </w:rPr>
          <w:tab/>
        </w:r>
        <w:r w:rsidR="00A06634">
          <w:rPr>
            <w:noProof/>
            <w:webHidden/>
          </w:rPr>
          <w:fldChar w:fldCharType="begin"/>
        </w:r>
        <w:r w:rsidR="00A06634">
          <w:rPr>
            <w:noProof/>
            <w:webHidden/>
          </w:rPr>
          <w:instrText xml:space="preserve"> PAGEREF _Toc107610227 \h </w:instrText>
        </w:r>
        <w:r w:rsidR="00A06634">
          <w:rPr>
            <w:noProof/>
            <w:webHidden/>
          </w:rPr>
        </w:r>
        <w:r w:rsidR="00A06634">
          <w:rPr>
            <w:noProof/>
            <w:webHidden/>
          </w:rPr>
          <w:fldChar w:fldCharType="separate"/>
        </w:r>
        <w:r w:rsidR="00A06634">
          <w:rPr>
            <w:noProof/>
            <w:webHidden/>
          </w:rPr>
          <w:t>24</w:t>
        </w:r>
        <w:r w:rsidR="00A06634">
          <w:rPr>
            <w:noProof/>
            <w:webHidden/>
          </w:rPr>
          <w:fldChar w:fldCharType="end"/>
        </w:r>
      </w:hyperlink>
    </w:p>
    <w:p w14:paraId="24027A73" w14:textId="4896DD9F" w:rsidR="00A06634" w:rsidRDefault="006A1686">
      <w:pPr>
        <w:pStyle w:val="TOC3"/>
        <w:tabs>
          <w:tab w:val="right" w:leader="dot" w:pos="9350"/>
        </w:tabs>
        <w:rPr>
          <w:rFonts w:eastAsiaTheme="minorEastAsia" w:cstheme="minorBidi"/>
          <w:i w:val="0"/>
          <w:iCs w:val="0"/>
          <w:noProof/>
          <w:sz w:val="22"/>
          <w:szCs w:val="22"/>
        </w:rPr>
      </w:pPr>
      <w:hyperlink w:anchor="_Toc107610228" w:history="1">
        <w:r w:rsidR="00A06634" w:rsidRPr="00271AB9">
          <w:rPr>
            <w:rStyle w:val="Hyperlink"/>
            <w:noProof/>
            <w:lang w:val="en-GB"/>
          </w:rPr>
          <w:t>2.2.2 The costs of litigation in the UK</w:t>
        </w:r>
        <w:r w:rsidR="00A06634">
          <w:rPr>
            <w:noProof/>
            <w:webHidden/>
          </w:rPr>
          <w:tab/>
        </w:r>
        <w:r w:rsidR="00A06634">
          <w:rPr>
            <w:noProof/>
            <w:webHidden/>
          </w:rPr>
          <w:fldChar w:fldCharType="begin"/>
        </w:r>
        <w:r w:rsidR="00A06634">
          <w:rPr>
            <w:noProof/>
            <w:webHidden/>
          </w:rPr>
          <w:instrText xml:space="preserve"> PAGEREF _Toc107610228 \h </w:instrText>
        </w:r>
        <w:r w:rsidR="00A06634">
          <w:rPr>
            <w:noProof/>
            <w:webHidden/>
          </w:rPr>
        </w:r>
        <w:r w:rsidR="00A06634">
          <w:rPr>
            <w:noProof/>
            <w:webHidden/>
          </w:rPr>
          <w:fldChar w:fldCharType="separate"/>
        </w:r>
        <w:r w:rsidR="00A06634">
          <w:rPr>
            <w:noProof/>
            <w:webHidden/>
          </w:rPr>
          <w:t>26</w:t>
        </w:r>
        <w:r w:rsidR="00A06634">
          <w:rPr>
            <w:noProof/>
            <w:webHidden/>
          </w:rPr>
          <w:fldChar w:fldCharType="end"/>
        </w:r>
      </w:hyperlink>
    </w:p>
    <w:p w14:paraId="0E20545D" w14:textId="2CE0B6B0" w:rsidR="00A06634" w:rsidRDefault="006A1686">
      <w:pPr>
        <w:pStyle w:val="TOC3"/>
        <w:tabs>
          <w:tab w:val="right" w:leader="dot" w:pos="9350"/>
        </w:tabs>
        <w:rPr>
          <w:rFonts w:eastAsiaTheme="minorEastAsia" w:cstheme="minorBidi"/>
          <w:i w:val="0"/>
          <w:iCs w:val="0"/>
          <w:noProof/>
          <w:sz w:val="22"/>
          <w:szCs w:val="22"/>
        </w:rPr>
      </w:pPr>
      <w:hyperlink w:anchor="_Toc107610229" w:history="1">
        <w:r w:rsidR="00A06634" w:rsidRPr="00271AB9">
          <w:rPr>
            <w:rStyle w:val="Hyperlink"/>
            <w:noProof/>
            <w:lang w:val="en-GB"/>
          </w:rPr>
          <w:t>2.2.3 Options for collective redress and a new collective redress mechanism</w:t>
        </w:r>
        <w:r w:rsidR="00A06634">
          <w:rPr>
            <w:noProof/>
            <w:webHidden/>
          </w:rPr>
          <w:tab/>
        </w:r>
        <w:r w:rsidR="00A06634">
          <w:rPr>
            <w:noProof/>
            <w:webHidden/>
          </w:rPr>
          <w:fldChar w:fldCharType="begin"/>
        </w:r>
        <w:r w:rsidR="00A06634">
          <w:rPr>
            <w:noProof/>
            <w:webHidden/>
          </w:rPr>
          <w:instrText xml:space="preserve"> PAGEREF _Toc107610229 \h </w:instrText>
        </w:r>
        <w:r w:rsidR="00A06634">
          <w:rPr>
            <w:noProof/>
            <w:webHidden/>
          </w:rPr>
        </w:r>
        <w:r w:rsidR="00A06634">
          <w:rPr>
            <w:noProof/>
            <w:webHidden/>
          </w:rPr>
          <w:fldChar w:fldCharType="separate"/>
        </w:r>
        <w:r w:rsidR="00A06634">
          <w:rPr>
            <w:noProof/>
            <w:webHidden/>
          </w:rPr>
          <w:t>27</w:t>
        </w:r>
        <w:r w:rsidR="00A06634">
          <w:rPr>
            <w:noProof/>
            <w:webHidden/>
          </w:rPr>
          <w:fldChar w:fldCharType="end"/>
        </w:r>
      </w:hyperlink>
    </w:p>
    <w:p w14:paraId="09512B50" w14:textId="3357B0E3" w:rsidR="00A06634" w:rsidRDefault="006A1686">
      <w:pPr>
        <w:pStyle w:val="TOC3"/>
        <w:tabs>
          <w:tab w:val="right" w:leader="dot" w:pos="9350"/>
        </w:tabs>
        <w:rPr>
          <w:rFonts w:eastAsiaTheme="minorEastAsia" w:cstheme="minorBidi"/>
          <w:i w:val="0"/>
          <w:iCs w:val="0"/>
          <w:noProof/>
          <w:sz w:val="22"/>
          <w:szCs w:val="22"/>
        </w:rPr>
      </w:pPr>
      <w:hyperlink w:anchor="_Toc107610230" w:history="1">
        <w:r w:rsidR="00A06634" w:rsidRPr="00271AB9">
          <w:rPr>
            <w:rStyle w:val="Hyperlink"/>
            <w:noProof/>
            <w:lang w:val="en-GB"/>
          </w:rPr>
          <w:t>2.2.4 The obligation to disclose evidence in the UK</w:t>
        </w:r>
        <w:r w:rsidR="00A06634">
          <w:rPr>
            <w:noProof/>
            <w:webHidden/>
          </w:rPr>
          <w:tab/>
        </w:r>
        <w:r w:rsidR="00A06634">
          <w:rPr>
            <w:noProof/>
            <w:webHidden/>
          </w:rPr>
          <w:fldChar w:fldCharType="begin"/>
        </w:r>
        <w:r w:rsidR="00A06634">
          <w:rPr>
            <w:noProof/>
            <w:webHidden/>
          </w:rPr>
          <w:instrText xml:space="preserve"> PAGEREF _Toc107610230 \h </w:instrText>
        </w:r>
        <w:r w:rsidR="00A06634">
          <w:rPr>
            <w:noProof/>
            <w:webHidden/>
          </w:rPr>
        </w:r>
        <w:r w:rsidR="00A06634">
          <w:rPr>
            <w:noProof/>
            <w:webHidden/>
          </w:rPr>
          <w:fldChar w:fldCharType="separate"/>
        </w:r>
        <w:r w:rsidR="00A06634">
          <w:rPr>
            <w:noProof/>
            <w:webHidden/>
          </w:rPr>
          <w:t>29</w:t>
        </w:r>
        <w:r w:rsidR="00A06634">
          <w:rPr>
            <w:noProof/>
            <w:webHidden/>
          </w:rPr>
          <w:fldChar w:fldCharType="end"/>
        </w:r>
      </w:hyperlink>
    </w:p>
    <w:p w14:paraId="09F74008" w14:textId="49B77C38" w:rsidR="00A06634" w:rsidRDefault="006A1686">
      <w:pPr>
        <w:pStyle w:val="TOC3"/>
        <w:tabs>
          <w:tab w:val="right" w:leader="dot" w:pos="9350"/>
        </w:tabs>
        <w:rPr>
          <w:rFonts w:eastAsiaTheme="minorEastAsia" w:cstheme="minorBidi"/>
          <w:i w:val="0"/>
          <w:iCs w:val="0"/>
          <w:noProof/>
          <w:sz w:val="22"/>
          <w:szCs w:val="22"/>
        </w:rPr>
      </w:pPr>
      <w:hyperlink w:anchor="_Toc107610231" w:history="1">
        <w:r w:rsidR="00A06634" w:rsidRPr="00271AB9">
          <w:rPr>
            <w:rStyle w:val="Hyperlink"/>
            <w:noProof/>
            <w:lang w:val="en-GB"/>
          </w:rPr>
          <w:t>2.2.5 The liberal approach of UK courts in adopting jurisdiction</w:t>
        </w:r>
        <w:r w:rsidR="00A06634">
          <w:rPr>
            <w:noProof/>
            <w:webHidden/>
          </w:rPr>
          <w:tab/>
        </w:r>
        <w:r w:rsidR="00A06634">
          <w:rPr>
            <w:noProof/>
            <w:webHidden/>
          </w:rPr>
          <w:fldChar w:fldCharType="begin"/>
        </w:r>
        <w:r w:rsidR="00A06634">
          <w:rPr>
            <w:noProof/>
            <w:webHidden/>
          </w:rPr>
          <w:instrText xml:space="preserve"> PAGEREF _Toc107610231 \h </w:instrText>
        </w:r>
        <w:r w:rsidR="00A06634">
          <w:rPr>
            <w:noProof/>
            <w:webHidden/>
          </w:rPr>
        </w:r>
        <w:r w:rsidR="00A06634">
          <w:rPr>
            <w:noProof/>
            <w:webHidden/>
          </w:rPr>
          <w:fldChar w:fldCharType="separate"/>
        </w:r>
        <w:r w:rsidR="00A06634">
          <w:rPr>
            <w:noProof/>
            <w:webHidden/>
          </w:rPr>
          <w:t>33</w:t>
        </w:r>
        <w:r w:rsidR="00A06634">
          <w:rPr>
            <w:noProof/>
            <w:webHidden/>
          </w:rPr>
          <w:fldChar w:fldCharType="end"/>
        </w:r>
      </w:hyperlink>
    </w:p>
    <w:p w14:paraId="6D602D93" w14:textId="74FD7A59" w:rsidR="00A06634" w:rsidRDefault="006A1686">
      <w:pPr>
        <w:pStyle w:val="TOC3"/>
        <w:tabs>
          <w:tab w:val="right" w:leader="dot" w:pos="9350"/>
        </w:tabs>
        <w:rPr>
          <w:rFonts w:eastAsiaTheme="minorEastAsia" w:cstheme="minorBidi"/>
          <w:i w:val="0"/>
          <w:iCs w:val="0"/>
          <w:noProof/>
          <w:sz w:val="22"/>
          <w:szCs w:val="22"/>
        </w:rPr>
      </w:pPr>
      <w:hyperlink w:anchor="_Toc107610232" w:history="1">
        <w:r w:rsidR="00A06634" w:rsidRPr="00271AB9">
          <w:rPr>
            <w:rStyle w:val="Hyperlink"/>
            <w:noProof/>
            <w:lang w:val="en-GB"/>
          </w:rPr>
          <w:t>2.2.6 The availability of litigation finance in the UK</w:t>
        </w:r>
        <w:r w:rsidR="00A06634">
          <w:rPr>
            <w:noProof/>
            <w:webHidden/>
          </w:rPr>
          <w:tab/>
        </w:r>
        <w:r w:rsidR="00A06634">
          <w:rPr>
            <w:noProof/>
            <w:webHidden/>
          </w:rPr>
          <w:fldChar w:fldCharType="begin"/>
        </w:r>
        <w:r w:rsidR="00A06634">
          <w:rPr>
            <w:noProof/>
            <w:webHidden/>
          </w:rPr>
          <w:instrText xml:space="preserve"> PAGEREF _Toc107610232 \h </w:instrText>
        </w:r>
        <w:r w:rsidR="00A06634">
          <w:rPr>
            <w:noProof/>
            <w:webHidden/>
          </w:rPr>
        </w:r>
        <w:r w:rsidR="00A06634">
          <w:rPr>
            <w:noProof/>
            <w:webHidden/>
          </w:rPr>
          <w:fldChar w:fldCharType="separate"/>
        </w:r>
        <w:r w:rsidR="00A06634">
          <w:rPr>
            <w:noProof/>
            <w:webHidden/>
          </w:rPr>
          <w:t>34</w:t>
        </w:r>
        <w:r w:rsidR="00A06634">
          <w:rPr>
            <w:noProof/>
            <w:webHidden/>
          </w:rPr>
          <w:fldChar w:fldCharType="end"/>
        </w:r>
      </w:hyperlink>
    </w:p>
    <w:p w14:paraId="1DC142DC" w14:textId="5CBC0D7C" w:rsidR="00A06634" w:rsidRDefault="006A1686">
      <w:pPr>
        <w:pStyle w:val="TOC3"/>
        <w:tabs>
          <w:tab w:val="right" w:leader="dot" w:pos="9350"/>
        </w:tabs>
        <w:rPr>
          <w:rFonts w:eastAsiaTheme="minorEastAsia" w:cstheme="minorBidi"/>
          <w:i w:val="0"/>
          <w:iCs w:val="0"/>
          <w:noProof/>
          <w:sz w:val="22"/>
          <w:szCs w:val="22"/>
        </w:rPr>
      </w:pPr>
      <w:hyperlink w:anchor="_Toc107610233" w:history="1">
        <w:r w:rsidR="00A06634" w:rsidRPr="00271AB9">
          <w:rPr>
            <w:rStyle w:val="Hyperlink"/>
            <w:noProof/>
            <w:lang w:val="en-GB"/>
          </w:rPr>
          <w:t>2.2.7 Potential drawbacks to the UK’s appeal as a result of the Brexit</w:t>
        </w:r>
        <w:r w:rsidR="00A06634">
          <w:rPr>
            <w:noProof/>
            <w:webHidden/>
          </w:rPr>
          <w:tab/>
        </w:r>
        <w:r w:rsidR="00A06634">
          <w:rPr>
            <w:noProof/>
            <w:webHidden/>
          </w:rPr>
          <w:fldChar w:fldCharType="begin"/>
        </w:r>
        <w:r w:rsidR="00A06634">
          <w:rPr>
            <w:noProof/>
            <w:webHidden/>
          </w:rPr>
          <w:instrText xml:space="preserve"> PAGEREF _Toc107610233 \h </w:instrText>
        </w:r>
        <w:r w:rsidR="00A06634">
          <w:rPr>
            <w:noProof/>
            <w:webHidden/>
          </w:rPr>
        </w:r>
        <w:r w:rsidR="00A06634">
          <w:rPr>
            <w:noProof/>
            <w:webHidden/>
          </w:rPr>
          <w:fldChar w:fldCharType="separate"/>
        </w:r>
        <w:r w:rsidR="00A06634">
          <w:rPr>
            <w:noProof/>
            <w:webHidden/>
          </w:rPr>
          <w:t>35</w:t>
        </w:r>
        <w:r w:rsidR="00A06634">
          <w:rPr>
            <w:noProof/>
            <w:webHidden/>
          </w:rPr>
          <w:fldChar w:fldCharType="end"/>
        </w:r>
      </w:hyperlink>
    </w:p>
    <w:p w14:paraId="1A2EBF7A" w14:textId="7C297339" w:rsidR="00A06634" w:rsidRDefault="006A1686">
      <w:pPr>
        <w:pStyle w:val="TOC3"/>
        <w:tabs>
          <w:tab w:val="right" w:leader="dot" w:pos="9350"/>
        </w:tabs>
        <w:rPr>
          <w:rFonts w:eastAsiaTheme="minorEastAsia" w:cstheme="minorBidi"/>
          <w:i w:val="0"/>
          <w:iCs w:val="0"/>
          <w:noProof/>
          <w:sz w:val="22"/>
          <w:szCs w:val="22"/>
        </w:rPr>
      </w:pPr>
      <w:hyperlink w:anchor="_Toc107610234" w:history="1">
        <w:r w:rsidR="00A06634" w:rsidRPr="00271AB9">
          <w:rPr>
            <w:rStyle w:val="Hyperlink"/>
            <w:noProof/>
            <w:lang w:val="en-GB"/>
          </w:rPr>
          <w:t>2.2.8 Interim conclusions on the UK as a preferred forum</w:t>
        </w:r>
        <w:r w:rsidR="00A06634">
          <w:rPr>
            <w:noProof/>
            <w:webHidden/>
          </w:rPr>
          <w:tab/>
        </w:r>
        <w:r w:rsidR="00A06634">
          <w:rPr>
            <w:noProof/>
            <w:webHidden/>
          </w:rPr>
          <w:fldChar w:fldCharType="begin"/>
        </w:r>
        <w:r w:rsidR="00A06634">
          <w:rPr>
            <w:noProof/>
            <w:webHidden/>
          </w:rPr>
          <w:instrText xml:space="preserve"> PAGEREF _Toc107610234 \h </w:instrText>
        </w:r>
        <w:r w:rsidR="00A06634">
          <w:rPr>
            <w:noProof/>
            <w:webHidden/>
          </w:rPr>
        </w:r>
        <w:r w:rsidR="00A06634">
          <w:rPr>
            <w:noProof/>
            <w:webHidden/>
          </w:rPr>
          <w:fldChar w:fldCharType="separate"/>
        </w:r>
        <w:r w:rsidR="00A06634">
          <w:rPr>
            <w:noProof/>
            <w:webHidden/>
          </w:rPr>
          <w:t>37</w:t>
        </w:r>
        <w:r w:rsidR="00A06634">
          <w:rPr>
            <w:noProof/>
            <w:webHidden/>
          </w:rPr>
          <w:fldChar w:fldCharType="end"/>
        </w:r>
      </w:hyperlink>
    </w:p>
    <w:p w14:paraId="0E745EB9" w14:textId="07199305" w:rsidR="00A06634" w:rsidRDefault="006A1686">
      <w:pPr>
        <w:pStyle w:val="TOC2"/>
        <w:tabs>
          <w:tab w:val="right" w:leader="dot" w:pos="9350"/>
        </w:tabs>
        <w:rPr>
          <w:rFonts w:eastAsiaTheme="minorEastAsia" w:cstheme="minorBidi"/>
          <w:smallCaps w:val="0"/>
          <w:noProof/>
          <w:sz w:val="22"/>
          <w:szCs w:val="22"/>
        </w:rPr>
      </w:pPr>
      <w:hyperlink w:anchor="_Toc107610235" w:history="1">
        <w:r w:rsidR="00A06634" w:rsidRPr="00271AB9">
          <w:rPr>
            <w:rStyle w:val="Hyperlink"/>
            <w:noProof/>
            <w:lang w:val="en-GB"/>
          </w:rPr>
          <w:t>2.3 The Netherlands as a (potential) forum shopping hub for antitrust claims</w:t>
        </w:r>
        <w:r w:rsidR="00A06634">
          <w:rPr>
            <w:noProof/>
            <w:webHidden/>
          </w:rPr>
          <w:tab/>
        </w:r>
        <w:r w:rsidR="00A06634">
          <w:rPr>
            <w:noProof/>
            <w:webHidden/>
          </w:rPr>
          <w:fldChar w:fldCharType="begin"/>
        </w:r>
        <w:r w:rsidR="00A06634">
          <w:rPr>
            <w:noProof/>
            <w:webHidden/>
          </w:rPr>
          <w:instrText xml:space="preserve"> PAGEREF _Toc107610235 \h </w:instrText>
        </w:r>
        <w:r w:rsidR="00A06634">
          <w:rPr>
            <w:noProof/>
            <w:webHidden/>
          </w:rPr>
        </w:r>
        <w:r w:rsidR="00A06634">
          <w:rPr>
            <w:noProof/>
            <w:webHidden/>
          </w:rPr>
          <w:fldChar w:fldCharType="separate"/>
        </w:r>
        <w:r w:rsidR="00A06634">
          <w:rPr>
            <w:noProof/>
            <w:webHidden/>
          </w:rPr>
          <w:t>39</w:t>
        </w:r>
        <w:r w:rsidR="00A06634">
          <w:rPr>
            <w:noProof/>
            <w:webHidden/>
          </w:rPr>
          <w:fldChar w:fldCharType="end"/>
        </w:r>
      </w:hyperlink>
    </w:p>
    <w:p w14:paraId="2162A9EA" w14:textId="0FEA5DF2" w:rsidR="00A06634" w:rsidRDefault="006A1686">
      <w:pPr>
        <w:pStyle w:val="TOC3"/>
        <w:tabs>
          <w:tab w:val="right" w:leader="dot" w:pos="9350"/>
        </w:tabs>
        <w:rPr>
          <w:rFonts w:eastAsiaTheme="minorEastAsia" w:cstheme="minorBidi"/>
          <w:i w:val="0"/>
          <w:iCs w:val="0"/>
          <w:noProof/>
          <w:sz w:val="22"/>
          <w:szCs w:val="22"/>
        </w:rPr>
      </w:pPr>
      <w:hyperlink w:anchor="_Toc107610236" w:history="1">
        <w:r w:rsidR="00A06634" w:rsidRPr="00271AB9">
          <w:rPr>
            <w:rStyle w:val="Hyperlink"/>
            <w:noProof/>
            <w:lang w:val="en-GB"/>
          </w:rPr>
          <w:t>2.3.1 The efficient and practical approach to cartel damages claims by Dutch courts</w:t>
        </w:r>
        <w:r w:rsidR="00A06634">
          <w:rPr>
            <w:noProof/>
            <w:webHidden/>
          </w:rPr>
          <w:tab/>
        </w:r>
        <w:r w:rsidR="00A06634">
          <w:rPr>
            <w:noProof/>
            <w:webHidden/>
          </w:rPr>
          <w:fldChar w:fldCharType="begin"/>
        </w:r>
        <w:r w:rsidR="00A06634">
          <w:rPr>
            <w:noProof/>
            <w:webHidden/>
          </w:rPr>
          <w:instrText xml:space="preserve"> PAGEREF _Toc107610236 \h </w:instrText>
        </w:r>
        <w:r w:rsidR="00A06634">
          <w:rPr>
            <w:noProof/>
            <w:webHidden/>
          </w:rPr>
        </w:r>
        <w:r w:rsidR="00A06634">
          <w:rPr>
            <w:noProof/>
            <w:webHidden/>
          </w:rPr>
          <w:fldChar w:fldCharType="separate"/>
        </w:r>
        <w:r w:rsidR="00A06634">
          <w:rPr>
            <w:noProof/>
            <w:webHidden/>
          </w:rPr>
          <w:t>41</w:t>
        </w:r>
        <w:r w:rsidR="00A06634">
          <w:rPr>
            <w:noProof/>
            <w:webHidden/>
          </w:rPr>
          <w:fldChar w:fldCharType="end"/>
        </w:r>
      </w:hyperlink>
    </w:p>
    <w:p w14:paraId="611D2D27" w14:textId="2C382B9A" w:rsidR="00A06634" w:rsidRDefault="006A1686">
      <w:pPr>
        <w:pStyle w:val="TOC3"/>
        <w:tabs>
          <w:tab w:val="right" w:leader="dot" w:pos="9350"/>
        </w:tabs>
        <w:rPr>
          <w:rFonts w:eastAsiaTheme="minorEastAsia" w:cstheme="minorBidi"/>
          <w:i w:val="0"/>
          <w:iCs w:val="0"/>
          <w:noProof/>
          <w:sz w:val="22"/>
          <w:szCs w:val="22"/>
        </w:rPr>
      </w:pPr>
      <w:hyperlink w:anchor="_Toc107610237" w:history="1">
        <w:r w:rsidR="00A06634" w:rsidRPr="00271AB9">
          <w:rPr>
            <w:rStyle w:val="Hyperlink"/>
            <w:noProof/>
            <w:lang w:val="en-GB"/>
          </w:rPr>
          <w:t>2.3.2 The costs of litigation in the Netherlands</w:t>
        </w:r>
        <w:r w:rsidR="00A06634">
          <w:rPr>
            <w:noProof/>
            <w:webHidden/>
          </w:rPr>
          <w:tab/>
        </w:r>
        <w:r w:rsidR="00A06634">
          <w:rPr>
            <w:noProof/>
            <w:webHidden/>
          </w:rPr>
          <w:fldChar w:fldCharType="begin"/>
        </w:r>
        <w:r w:rsidR="00A06634">
          <w:rPr>
            <w:noProof/>
            <w:webHidden/>
          </w:rPr>
          <w:instrText xml:space="preserve"> PAGEREF _Toc107610237 \h </w:instrText>
        </w:r>
        <w:r w:rsidR="00A06634">
          <w:rPr>
            <w:noProof/>
            <w:webHidden/>
          </w:rPr>
        </w:r>
        <w:r w:rsidR="00A06634">
          <w:rPr>
            <w:noProof/>
            <w:webHidden/>
          </w:rPr>
          <w:fldChar w:fldCharType="separate"/>
        </w:r>
        <w:r w:rsidR="00A06634">
          <w:rPr>
            <w:noProof/>
            <w:webHidden/>
          </w:rPr>
          <w:t>42</w:t>
        </w:r>
        <w:r w:rsidR="00A06634">
          <w:rPr>
            <w:noProof/>
            <w:webHidden/>
          </w:rPr>
          <w:fldChar w:fldCharType="end"/>
        </w:r>
      </w:hyperlink>
    </w:p>
    <w:p w14:paraId="375A2562" w14:textId="0DE0737E" w:rsidR="00A06634" w:rsidRDefault="006A1686">
      <w:pPr>
        <w:pStyle w:val="TOC3"/>
        <w:tabs>
          <w:tab w:val="right" w:leader="dot" w:pos="9350"/>
        </w:tabs>
        <w:rPr>
          <w:rFonts w:eastAsiaTheme="minorEastAsia" w:cstheme="minorBidi"/>
          <w:i w:val="0"/>
          <w:iCs w:val="0"/>
          <w:noProof/>
          <w:sz w:val="22"/>
          <w:szCs w:val="22"/>
        </w:rPr>
      </w:pPr>
      <w:hyperlink w:anchor="_Toc107610238" w:history="1">
        <w:r w:rsidR="00A06634" w:rsidRPr="00271AB9">
          <w:rPr>
            <w:rStyle w:val="Hyperlink"/>
            <w:noProof/>
            <w:lang w:val="en-GB"/>
          </w:rPr>
          <w:t>2.3.3 The extensive Dutch collective redress regime</w:t>
        </w:r>
        <w:r w:rsidR="00A06634">
          <w:rPr>
            <w:noProof/>
            <w:webHidden/>
          </w:rPr>
          <w:tab/>
        </w:r>
        <w:r w:rsidR="00A06634">
          <w:rPr>
            <w:noProof/>
            <w:webHidden/>
          </w:rPr>
          <w:fldChar w:fldCharType="begin"/>
        </w:r>
        <w:r w:rsidR="00A06634">
          <w:rPr>
            <w:noProof/>
            <w:webHidden/>
          </w:rPr>
          <w:instrText xml:space="preserve"> PAGEREF _Toc107610238 \h </w:instrText>
        </w:r>
        <w:r w:rsidR="00A06634">
          <w:rPr>
            <w:noProof/>
            <w:webHidden/>
          </w:rPr>
        </w:r>
        <w:r w:rsidR="00A06634">
          <w:rPr>
            <w:noProof/>
            <w:webHidden/>
          </w:rPr>
          <w:fldChar w:fldCharType="separate"/>
        </w:r>
        <w:r w:rsidR="00A06634">
          <w:rPr>
            <w:noProof/>
            <w:webHidden/>
          </w:rPr>
          <w:t>43</w:t>
        </w:r>
        <w:r w:rsidR="00A06634">
          <w:rPr>
            <w:noProof/>
            <w:webHidden/>
          </w:rPr>
          <w:fldChar w:fldCharType="end"/>
        </w:r>
      </w:hyperlink>
    </w:p>
    <w:p w14:paraId="1858EFE1" w14:textId="0E0B1DB4" w:rsidR="00A06634" w:rsidRDefault="006A1686">
      <w:pPr>
        <w:pStyle w:val="TOC3"/>
        <w:tabs>
          <w:tab w:val="right" w:leader="dot" w:pos="9350"/>
        </w:tabs>
        <w:rPr>
          <w:rFonts w:eastAsiaTheme="minorEastAsia" w:cstheme="minorBidi"/>
          <w:i w:val="0"/>
          <w:iCs w:val="0"/>
          <w:noProof/>
          <w:sz w:val="22"/>
          <w:szCs w:val="22"/>
        </w:rPr>
      </w:pPr>
      <w:hyperlink w:anchor="_Toc107610239" w:history="1">
        <w:r w:rsidR="00A06634" w:rsidRPr="00271AB9">
          <w:rPr>
            <w:rStyle w:val="Hyperlink"/>
            <w:noProof/>
            <w:lang w:val="en-GB"/>
          </w:rPr>
          <w:t>2.3.4 The adoption of jurisdiction by Dutch courts: Dutch courts rarely decline jurisdiction</w:t>
        </w:r>
        <w:r w:rsidR="00A06634">
          <w:rPr>
            <w:noProof/>
            <w:webHidden/>
          </w:rPr>
          <w:tab/>
        </w:r>
        <w:r w:rsidR="00A06634">
          <w:rPr>
            <w:noProof/>
            <w:webHidden/>
          </w:rPr>
          <w:fldChar w:fldCharType="begin"/>
        </w:r>
        <w:r w:rsidR="00A06634">
          <w:rPr>
            <w:noProof/>
            <w:webHidden/>
          </w:rPr>
          <w:instrText xml:space="preserve"> PAGEREF _Toc107610239 \h </w:instrText>
        </w:r>
        <w:r w:rsidR="00A06634">
          <w:rPr>
            <w:noProof/>
            <w:webHidden/>
          </w:rPr>
        </w:r>
        <w:r w:rsidR="00A06634">
          <w:rPr>
            <w:noProof/>
            <w:webHidden/>
          </w:rPr>
          <w:fldChar w:fldCharType="separate"/>
        </w:r>
        <w:r w:rsidR="00A06634">
          <w:rPr>
            <w:noProof/>
            <w:webHidden/>
          </w:rPr>
          <w:t>47</w:t>
        </w:r>
        <w:r w:rsidR="00A06634">
          <w:rPr>
            <w:noProof/>
            <w:webHidden/>
          </w:rPr>
          <w:fldChar w:fldCharType="end"/>
        </w:r>
      </w:hyperlink>
    </w:p>
    <w:p w14:paraId="26F744F6" w14:textId="39E65B76" w:rsidR="00A06634" w:rsidRDefault="006A1686">
      <w:pPr>
        <w:pStyle w:val="TOC3"/>
        <w:tabs>
          <w:tab w:val="right" w:leader="dot" w:pos="9350"/>
        </w:tabs>
        <w:rPr>
          <w:rFonts w:eastAsiaTheme="minorEastAsia" w:cstheme="minorBidi"/>
          <w:i w:val="0"/>
          <w:iCs w:val="0"/>
          <w:noProof/>
          <w:sz w:val="22"/>
          <w:szCs w:val="22"/>
        </w:rPr>
      </w:pPr>
      <w:hyperlink w:anchor="_Toc107610240" w:history="1">
        <w:r w:rsidR="00A06634" w:rsidRPr="00271AB9">
          <w:rPr>
            <w:rStyle w:val="Hyperlink"/>
            <w:noProof/>
            <w:lang w:val="en-GB"/>
          </w:rPr>
          <w:t>2.3.5 Interim conclusions on the Dutch preferred forum</w:t>
        </w:r>
        <w:r w:rsidR="00A06634">
          <w:rPr>
            <w:noProof/>
            <w:webHidden/>
          </w:rPr>
          <w:tab/>
        </w:r>
        <w:r w:rsidR="00A06634">
          <w:rPr>
            <w:noProof/>
            <w:webHidden/>
          </w:rPr>
          <w:fldChar w:fldCharType="begin"/>
        </w:r>
        <w:r w:rsidR="00A06634">
          <w:rPr>
            <w:noProof/>
            <w:webHidden/>
          </w:rPr>
          <w:instrText xml:space="preserve"> PAGEREF _Toc107610240 \h </w:instrText>
        </w:r>
        <w:r w:rsidR="00A06634">
          <w:rPr>
            <w:noProof/>
            <w:webHidden/>
          </w:rPr>
        </w:r>
        <w:r w:rsidR="00A06634">
          <w:rPr>
            <w:noProof/>
            <w:webHidden/>
          </w:rPr>
          <w:fldChar w:fldCharType="separate"/>
        </w:r>
        <w:r w:rsidR="00A06634">
          <w:rPr>
            <w:noProof/>
            <w:webHidden/>
          </w:rPr>
          <w:t>49</w:t>
        </w:r>
        <w:r w:rsidR="00A06634">
          <w:rPr>
            <w:noProof/>
            <w:webHidden/>
          </w:rPr>
          <w:fldChar w:fldCharType="end"/>
        </w:r>
      </w:hyperlink>
    </w:p>
    <w:p w14:paraId="771D4A03" w14:textId="662EB272" w:rsidR="00A06634" w:rsidRDefault="006A1686">
      <w:pPr>
        <w:pStyle w:val="TOC1"/>
        <w:tabs>
          <w:tab w:val="right" w:leader="dot" w:pos="9350"/>
        </w:tabs>
        <w:rPr>
          <w:rFonts w:eastAsiaTheme="minorEastAsia" w:cstheme="minorBidi"/>
          <w:b w:val="0"/>
          <w:bCs w:val="0"/>
          <w:caps w:val="0"/>
          <w:noProof/>
          <w:sz w:val="22"/>
          <w:szCs w:val="22"/>
        </w:rPr>
      </w:pPr>
      <w:hyperlink w:anchor="_Toc107610241" w:history="1">
        <w:r w:rsidR="00A06634" w:rsidRPr="00271AB9">
          <w:rPr>
            <w:rStyle w:val="Hyperlink"/>
            <w:noProof/>
            <w:lang w:val="en-GB"/>
          </w:rPr>
          <w:t>3. Qualitative interviews</w:t>
        </w:r>
        <w:r w:rsidR="00A06634">
          <w:rPr>
            <w:noProof/>
            <w:webHidden/>
          </w:rPr>
          <w:tab/>
        </w:r>
        <w:r w:rsidR="00A06634">
          <w:rPr>
            <w:noProof/>
            <w:webHidden/>
          </w:rPr>
          <w:fldChar w:fldCharType="begin"/>
        </w:r>
        <w:r w:rsidR="00A06634">
          <w:rPr>
            <w:noProof/>
            <w:webHidden/>
          </w:rPr>
          <w:instrText xml:space="preserve"> PAGEREF _Toc107610241 \h </w:instrText>
        </w:r>
        <w:r w:rsidR="00A06634">
          <w:rPr>
            <w:noProof/>
            <w:webHidden/>
          </w:rPr>
        </w:r>
        <w:r w:rsidR="00A06634">
          <w:rPr>
            <w:noProof/>
            <w:webHidden/>
          </w:rPr>
          <w:fldChar w:fldCharType="separate"/>
        </w:r>
        <w:r w:rsidR="00A06634">
          <w:rPr>
            <w:noProof/>
            <w:webHidden/>
          </w:rPr>
          <w:t>50</w:t>
        </w:r>
        <w:r w:rsidR="00A06634">
          <w:rPr>
            <w:noProof/>
            <w:webHidden/>
          </w:rPr>
          <w:fldChar w:fldCharType="end"/>
        </w:r>
      </w:hyperlink>
    </w:p>
    <w:p w14:paraId="39AD3B38" w14:textId="6BCB7E85" w:rsidR="00A06634" w:rsidRDefault="006A1686">
      <w:pPr>
        <w:pStyle w:val="TOC2"/>
        <w:tabs>
          <w:tab w:val="right" w:leader="dot" w:pos="9350"/>
        </w:tabs>
        <w:rPr>
          <w:rFonts w:eastAsiaTheme="minorEastAsia" w:cstheme="minorBidi"/>
          <w:smallCaps w:val="0"/>
          <w:noProof/>
          <w:sz w:val="22"/>
          <w:szCs w:val="22"/>
        </w:rPr>
      </w:pPr>
      <w:hyperlink w:anchor="_Toc107610242" w:history="1">
        <w:r w:rsidR="00A06634" w:rsidRPr="00271AB9">
          <w:rPr>
            <w:rStyle w:val="Hyperlink"/>
            <w:noProof/>
            <w:lang w:val="en-GB"/>
          </w:rPr>
          <w:t>3.1 Forum shopping in the Netherlands: general observations regarding the phenomenon</w:t>
        </w:r>
        <w:r w:rsidR="00A06634">
          <w:rPr>
            <w:noProof/>
            <w:webHidden/>
          </w:rPr>
          <w:tab/>
        </w:r>
        <w:r w:rsidR="00A06634">
          <w:rPr>
            <w:noProof/>
            <w:webHidden/>
          </w:rPr>
          <w:fldChar w:fldCharType="begin"/>
        </w:r>
        <w:r w:rsidR="00A06634">
          <w:rPr>
            <w:noProof/>
            <w:webHidden/>
          </w:rPr>
          <w:instrText xml:space="preserve"> PAGEREF _Toc107610242 \h </w:instrText>
        </w:r>
        <w:r w:rsidR="00A06634">
          <w:rPr>
            <w:noProof/>
            <w:webHidden/>
          </w:rPr>
        </w:r>
        <w:r w:rsidR="00A06634">
          <w:rPr>
            <w:noProof/>
            <w:webHidden/>
          </w:rPr>
          <w:fldChar w:fldCharType="separate"/>
        </w:r>
        <w:r w:rsidR="00A06634">
          <w:rPr>
            <w:noProof/>
            <w:webHidden/>
          </w:rPr>
          <w:t>50</w:t>
        </w:r>
        <w:r w:rsidR="00A06634">
          <w:rPr>
            <w:noProof/>
            <w:webHidden/>
          </w:rPr>
          <w:fldChar w:fldCharType="end"/>
        </w:r>
      </w:hyperlink>
    </w:p>
    <w:p w14:paraId="45C59D00" w14:textId="38097D27" w:rsidR="00A06634" w:rsidRDefault="006A1686">
      <w:pPr>
        <w:pStyle w:val="TOC2"/>
        <w:tabs>
          <w:tab w:val="right" w:leader="dot" w:pos="9350"/>
        </w:tabs>
        <w:rPr>
          <w:rFonts w:eastAsiaTheme="minorEastAsia" w:cstheme="minorBidi"/>
          <w:smallCaps w:val="0"/>
          <w:noProof/>
          <w:sz w:val="22"/>
          <w:szCs w:val="22"/>
        </w:rPr>
      </w:pPr>
      <w:hyperlink w:anchor="_Toc107610243" w:history="1">
        <w:r w:rsidR="00A06634" w:rsidRPr="00271AB9">
          <w:rPr>
            <w:rStyle w:val="Hyperlink"/>
            <w:noProof/>
            <w:lang w:val="en-GB"/>
          </w:rPr>
          <w:t>3.2 Efficiency and approach of Dutch courts as preferred elements</w:t>
        </w:r>
        <w:r w:rsidR="00A06634">
          <w:rPr>
            <w:noProof/>
            <w:webHidden/>
          </w:rPr>
          <w:tab/>
        </w:r>
        <w:r w:rsidR="00A06634">
          <w:rPr>
            <w:noProof/>
            <w:webHidden/>
          </w:rPr>
          <w:fldChar w:fldCharType="begin"/>
        </w:r>
        <w:r w:rsidR="00A06634">
          <w:rPr>
            <w:noProof/>
            <w:webHidden/>
          </w:rPr>
          <w:instrText xml:space="preserve"> PAGEREF _Toc107610243 \h </w:instrText>
        </w:r>
        <w:r w:rsidR="00A06634">
          <w:rPr>
            <w:noProof/>
            <w:webHidden/>
          </w:rPr>
        </w:r>
        <w:r w:rsidR="00A06634">
          <w:rPr>
            <w:noProof/>
            <w:webHidden/>
          </w:rPr>
          <w:fldChar w:fldCharType="separate"/>
        </w:r>
        <w:r w:rsidR="00A06634">
          <w:rPr>
            <w:noProof/>
            <w:webHidden/>
          </w:rPr>
          <w:t>51</w:t>
        </w:r>
        <w:r w:rsidR="00A06634">
          <w:rPr>
            <w:noProof/>
            <w:webHidden/>
          </w:rPr>
          <w:fldChar w:fldCharType="end"/>
        </w:r>
      </w:hyperlink>
    </w:p>
    <w:p w14:paraId="4924D1AE" w14:textId="7B112C9F" w:rsidR="00A06634" w:rsidRDefault="006A1686">
      <w:pPr>
        <w:pStyle w:val="TOC2"/>
        <w:tabs>
          <w:tab w:val="right" w:leader="dot" w:pos="9350"/>
        </w:tabs>
        <w:rPr>
          <w:rFonts w:eastAsiaTheme="minorEastAsia" w:cstheme="minorBidi"/>
          <w:smallCaps w:val="0"/>
          <w:noProof/>
          <w:sz w:val="22"/>
          <w:szCs w:val="22"/>
        </w:rPr>
      </w:pPr>
      <w:hyperlink w:anchor="_Toc107610244" w:history="1">
        <w:r w:rsidR="00A06634" w:rsidRPr="00271AB9">
          <w:rPr>
            <w:rStyle w:val="Hyperlink"/>
            <w:noProof/>
            <w:lang w:val="en-GB"/>
          </w:rPr>
          <w:t>3.3 Costs of litigation in the Netherlands</w:t>
        </w:r>
        <w:r w:rsidR="00A06634">
          <w:rPr>
            <w:noProof/>
            <w:webHidden/>
          </w:rPr>
          <w:tab/>
        </w:r>
        <w:r w:rsidR="00A06634">
          <w:rPr>
            <w:noProof/>
            <w:webHidden/>
          </w:rPr>
          <w:fldChar w:fldCharType="begin"/>
        </w:r>
        <w:r w:rsidR="00A06634">
          <w:rPr>
            <w:noProof/>
            <w:webHidden/>
          </w:rPr>
          <w:instrText xml:space="preserve"> PAGEREF _Toc107610244 \h </w:instrText>
        </w:r>
        <w:r w:rsidR="00A06634">
          <w:rPr>
            <w:noProof/>
            <w:webHidden/>
          </w:rPr>
        </w:r>
        <w:r w:rsidR="00A06634">
          <w:rPr>
            <w:noProof/>
            <w:webHidden/>
          </w:rPr>
          <w:fldChar w:fldCharType="separate"/>
        </w:r>
        <w:r w:rsidR="00A06634">
          <w:rPr>
            <w:noProof/>
            <w:webHidden/>
          </w:rPr>
          <w:t>53</w:t>
        </w:r>
        <w:r w:rsidR="00A06634">
          <w:rPr>
            <w:noProof/>
            <w:webHidden/>
          </w:rPr>
          <w:fldChar w:fldCharType="end"/>
        </w:r>
      </w:hyperlink>
    </w:p>
    <w:p w14:paraId="248CE165" w14:textId="0D1633EF" w:rsidR="00A06634" w:rsidRDefault="006A1686">
      <w:pPr>
        <w:pStyle w:val="TOC2"/>
        <w:tabs>
          <w:tab w:val="right" w:leader="dot" w:pos="9350"/>
        </w:tabs>
        <w:rPr>
          <w:rFonts w:eastAsiaTheme="minorEastAsia" w:cstheme="minorBidi"/>
          <w:smallCaps w:val="0"/>
          <w:noProof/>
          <w:sz w:val="22"/>
          <w:szCs w:val="22"/>
        </w:rPr>
      </w:pPr>
      <w:hyperlink w:anchor="_Toc107610245" w:history="1">
        <w:r w:rsidR="00A06634" w:rsidRPr="00271AB9">
          <w:rPr>
            <w:rStyle w:val="Hyperlink"/>
            <w:noProof/>
            <w:lang w:val="en-GB"/>
          </w:rPr>
          <w:t>3.4 The Dutch collective redress regime</w:t>
        </w:r>
        <w:r w:rsidR="00A06634">
          <w:rPr>
            <w:noProof/>
            <w:webHidden/>
          </w:rPr>
          <w:tab/>
        </w:r>
        <w:r w:rsidR="00A06634">
          <w:rPr>
            <w:noProof/>
            <w:webHidden/>
          </w:rPr>
          <w:fldChar w:fldCharType="begin"/>
        </w:r>
        <w:r w:rsidR="00A06634">
          <w:rPr>
            <w:noProof/>
            <w:webHidden/>
          </w:rPr>
          <w:instrText xml:space="preserve"> PAGEREF _Toc107610245 \h </w:instrText>
        </w:r>
        <w:r w:rsidR="00A06634">
          <w:rPr>
            <w:noProof/>
            <w:webHidden/>
          </w:rPr>
        </w:r>
        <w:r w:rsidR="00A06634">
          <w:rPr>
            <w:noProof/>
            <w:webHidden/>
          </w:rPr>
          <w:fldChar w:fldCharType="separate"/>
        </w:r>
        <w:r w:rsidR="00A06634">
          <w:rPr>
            <w:noProof/>
            <w:webHidden/>
          </w:rPr>
          <w:t>53</w:t>
        </w:r>
        <w:r w:rsidR="00A06634">
          <w:rPr>
            <w:noProof/>
            <w:webHidden/>
          </w:rPr>
          <w:fldChar w:fldCharType="end"/>
        </w:r>
      </w:hyperlink>
    </w:p>
    <w:p w14:paraId="4BAFA9B8" w14:textId="67E9692F" w:rsidR="00A06634" w:rsidRDefault="006A1686">
      <w:pPr>
        <w:pStyle w:val="TOC2"/>
        <w:tabs>
          <w:tab w:val="right" w:leader="dot" w:pos="9350"/>
        </w:tabs>
        <w:rPr>
          <w:rFonts w:eastAsiaTheme="minorEastAsia" w:cstheme="minorBidi"/>
          <w:smallCaps w:val="0"/>
          <w:noProof/>
          <w:sz w:val="22"/>
          <w:szCs w:val="22"/>
        </w:rPr>
      </w:pPr>
      <w:hyperlink w:anchor="_Toc107610246" w:history="1">
        <w:r w:rsidR="00A06634" w:rsidRPr="00271AB9">
          <w:rPr>
            <w:rStyle w:val="Hyperlink"/>
            <w:noProof/>
            <w:lang w:val="en-GB"/>
          </w:rPr>
          <w:t>3.5 The high number of companies in the Netherlands and the willingness of Dutch courts to adopt jurisdiction</w:t>
        </w:r>
        <w:r w:rsidR="00A06634">
          <w:rPr>
            <w:noProof/>
            <w:webHidden/>
          </w:rPr>
          <w:tab/>
        </w:r>
        <w:r w:rsidR="00A06634">
          <w:rPr>
            <w:noProof/>
            <w:webHidden/>
          </w:rPr>
          <w:fldChar w:fldCharType="begin"/>
        </w:r>
        <w:r w:rsidR="00A06634">
          <w:rPr>
            <w:noProof/>
            <w:webHidden/>
          </w:rPr>
          <w:instrText xml:space="preserve"> PAGEREF _Toc107610246 \h </w:instrText>
        </w:r>
        <w:r w:rsidR="00A06634">
          <w:rPr>
            <w:noProof/>
            <w:webHidden/>
          </w:rPr>
        </w:r>
        <w:r w:rsidR="00A06634">
          <w:rPr>
            <w:noProof/>
            <w:webHidden/>
          </w:rPr>
          <w:fldChar w:fldCharType="separate"/>
        </w:r>
        <w:r w:rsidR="00A06634">
          <w:rPr>
            <w:noProof/>
            <w:webHidden/>
          </w:rPr>
          <w:t>54</w:t>
        </w:r>
        <w:r w:rsidR="00A06634">
          <w:rPr>
            <w:noProof/>
            <w:webHidden/>
          </w:rPr>
          <w:fldChar w:fldCharType="end"/>
        </w:r>
      </w:hyperlink>
    </w:p>
    <w:p w14:paraId="2D0EE35E" w14:textId="27D5E77B" w:rsidR="00A06634" w:rsidRDefault="006A1686">
      <w:pPr>
        <w:pStyle w:val="TOC2"/>
        <w:tabs>
          <w:tab w:val="right" w:leader="dot" w:pos="9350"/>
        </w:tabs>
        <w:rPr>
          <w:rFonts w:eastAsiaTheme="minorEastAsia" w:cstheme="minorBidi"/>
          <w:smallCaps w:val="0"/>
          <w:noProof/>
          <w:sz w:val="22"/>
          <w:szCs w:val="22"/>
        </w:rPr>
      </w:pPr>
      <w:hyperlink w:anchor="_Toc107610247" w:history="1">
        <w:r w:rsidR="00A06634" w:rsidRPr="00271AB9">
          <w:rPr>
            <w:rStyle w:val="Hyperlink"/>
            <w:noProof/>
            <w:lang w:val="en-GB"/>
          </w:rPr>
          <w:t>3.6 The competences and education of Dutch judges</w:t>
        </w:r>
        <w:r w:rsidR="00A06634">
          <w:rPr>
            <w:noProof/>
            <w:webHidden/>
          </w:rPr>
          <w:tab/>
        </w:r>
        <w:r w:rsidR="00A06634">
          <w:rPr>
            <w:noProof/>
            <w:webHidden/>
          </w:rPr>
          <w:fldChar w:fldCharType="begin"/>
        </w:r>
        <w:r w:rsidR="00A06634">
          <w:rPr>
            <w:noProof/>
            <w:webHidden/>
          </w:rPr>
          <w:instrText xml:space="preserve"> PAGEREF _Toc107610247 \h </w:instrText>
        </w:r>
        <w:r w:rsidR="00A06634">
          <w:rPr>
            <w:noProof/>
            <w:webHidden/>
          </w:rPr>
        </w:r>
        <w:r w:rsidR="00A06634">
          <w:rPr>
            <w:noProof/>
            <w:webHidden/>
          </w:rPr>
          <w:fldChar w:fldCharType="separate"/>
        </w:r>
        <w:r w:rsidR="00A06634">
          <w:rPr>
            <w:noProof/>
            <w:webHidden/>
          </w:rPr>
          <w:t>55</w:t>
        </w:r>
        <w:r w:rsidR="00A06634">
          <w:rPr>
            <w:noProof/>
            <w:webHidden/>
          </w:rPr>
          <w:fldChar w:fldCharType="end"/>
        </w:r>
      </w:hyperlink>
    </w:p>
    <w:p w14:paraId="2F3559BA" w14:textId="214D4B2A" w:rsidR="00A06634" w:rsidRDefault="006A1686">
      <w:pPr>
        <w:pStyle w:val="TOC2"/>
        <w:tabs>
          <w:tab w:val="right" w:leader="dot" w:pos="9350"/>
        </w:tabs>
        <w:rPr>
          <w:rFonts w:eastAsiaTheme="minorEastAsia" w:cstheme="minorBidi"/>
          <w:smallCaps w:val="0"/>
          <w:noProof/>
          <w:sz w:val="22"/>
          <w:szCs w:val="22"/>
        </w:rPr>
      </w:pPr>
      <w:hyperlink w:anchor="_Toc107610248" w:history="1">
        <w:r w:rsidR="00A06634" w:rsidRPr="00271AB9">
          <w:rPr>
            <w:rStyle w:val="Hyperlink"/>
            <w:noProof/>
            <w:lang w:val="en-GB"/>
          </w:rPr>
          <w:t>3.7 Ambulance-chasing and the awareness of claimants</w:t>
        </w:r>
        <w:r w:rsidR="00A06634">
          <w:rPr>
            <w:noProof/>
            <w:webHidden/>
          </w:rPr>
          <w:tab/>
        </w:r>
        <w:r w:rsidR="00A06634">
          <w:rPr>
            <w:noProof/>
            <w:webHidden/>
          </w:rPr>
          <w:fldChar w:fldCharType="begin"/>
        </w:r>
        <w:r w:rsidR="00A06634">
          <w:rPr>
            <w:noProof/>
            <w:webHidden/>
          </w:rPr>
          <w:instrText xml:space="preserve"> PAGEREF _Toc107610248 \h </w:instrText>
        </w:r>
        <w:r w:rsidR="00A06634">
          <w:rPr>
            <w:noProof/>
            <w:webHidden/>
          </w:rPr>
        </w:r>
        <w:r w:rsidR="00A06634">
          <w:rPr>
            <w:noProof/>
            <w:webHidden/>
          </w:rPr>
          <w:fldChar w:fldCharType="separate"/>
        </w:r>
        <w:r w:rsidR="00A06634">
          <w:rPr>
            <w:noProof/>
            <w:webHidden/>
          </w:rPr>
          <w:t>56</w:t>
        </w:r>
        <w:r w:rsidR="00A06634">
          <w:rPr>
            <w:noProof/>
            <w:webHidden/>
          </w:rPr>
          <w:fldChar w:fldCharType="end"/>
        </w:r>
      </w:hyperlink>
    </w:p>
    <w:p w14:paraId="2CC00079" w14:textId="6EBAFC7E" w:rsidR="00A06634" w:rsidRDefault="006A1686">
      <w:pPr>
        <w:pStyle w:val="TOC2"/>
        <w:tabs>
          <w:tab w:val="right" w:leader="dot" w:pos="9350"/>
        </w:tabs>
        <w:rPr>
          <w:rFonts w:eastAsiaTheme="minorEastAsia" w:cstheme="minorBidi"/>
          <w:smallCaps w:val="0"/>
          <w:noProof/>
          <w:sz w:val="22"/>
          <w:szCs w:val="22"/>
        </w:rPr>
      </w:pPr>
      <w:hyperlink w:anchor="_Toc107610249" w:history="1">
        <w:r w:rsidR="00A06634" w:rsidRPr="00271AB9">
          <w:rPr>
            <w:rStyle w:val="Hyperlink"/>
            <w:noProof/>
            <w:lang w:val="en-GB"/>
          </w:rPr>
          <w:t>3.8 Other factors that contribute to the Dutch appeal</w:t>
        </w:r>
        <w:r w:rsidR="00A06634">
          <w:rPr>
            <w:noProof/>
            <w:webHidden/>
          </w:rPr>
          <w:tab/>
        </w:r>
        <w:r w:rsidR="00A06634">
          <w:rPr>
            <w:noProof/>
            <w:webHidden/>
          </w:rPr>
          <w:fldChar w:fldCharType="begin"/>
        </w:r>
        <w:r w:rsidR="00A06634">
          <w:rPr>
            <w:noProof/>
            <w:webHidden/>
          </w:rPr>
          <w:instrText xml:space="preserve"> PAGEREF _Toc107610249 \h </w:instrText>
        </w:r>
        <w:r w:rsidR="00A06634">
          <w:rPr>
            <w:noProof/>
            <w:webHidden/>
          </w:rPr>
        </w:r>
        <w:r w:rsidR="00A06634">
          <w:rPr>
            <w:noProof/>
            <w:webHidden/>
          </w:rPr>
          <w:fldChar w:fldCharType="separate"/>
        </w:r>
        <w:r w:rsidR="00A06634">
          <w:rPr>
            <w:noProof/>
            <w:webHidden/>
          </w:rPr>
          <w:t>57</w:t>
        </w:r>
        <w:r w:rsidR="00A06634">
          <w:rPr>
            <w:noProof/>
            <w:webHidden/>
          </w:rPr>
          <w:fldChar w:fldCharType="end"/>
        </w:r>
      </w:hyperlink>
    </w:p>
    <w:p w14:paraId="5CDEFBDF" w14:textId="2DEFB0D9" w:rsidR="00A06634" w:rsidRDefault="006A1686">
      <w:pPr>
        <w:pStyle w:val="TOC2"/>
        <w:tabs>
          <w:tab w:val="right" w:leader="dot" w:pos="9350"/>
        </w:tabs>
        <w:rPr>
          <w:rFonts w:eastAsiaTheme="minorEastAsia" w:cstheme="minorBidi"/>
          <w:smallCaps w:val="0"/>
          <w:noProof/>
          <w:sz w:val="22"/>
          <w:szCs w:val="22"/>
        </w:rPr>
      </w:pPr>
      <w:hyperlink w:anchor="_Toc107610250" w:history="1">
        <w:r w:rsidR="00A06634" w:rsidRPr="00271AB9">
          <w:rPr>
            <w:rStyle w:val="Hyperlink"/>
            <w:noProof/>
            <w:lang w:val="en-GB"/>
          </w:rPr>
          <w:t>3.9 Concluding remarks and literature review on the Netherlands</w:t>
        </w:r>
        <w:r w:rsidR="00A06634">
          <w:rPr>
            <w:noProof/>
            <w:webHidden/>
          </w:rPr>
          <w:tab/>
        </w:r>
        <w:r w:rsidR="00A06634">
          <w:rPr>
            <w:noProof/>
            <w:webHidden/>
          </w:rPr>
          <w:fldChar w:fldCharType="begin"/>
        </w:r>
        <w:r w:rsidR="00A06634">
          <w:rPr>
            <w:noProof/>
            <w:webHidden/>
          </w:rPr>
          <w:instrText xml:space="preserve"> PAGEREF _Toc107610250 \h </w:instrText>
        </w:r>
        <w:r w:rsidR="00A06634">
          <w:rPr>
            <w:noProof/>
            <w:webHidden/>
          </w:rPr>
        </w:r>
        <w:r w:rsidR="00A06634">
          <w:rPr>
            <w:noProof/>
            <w:webHidden/>
          </w:rPr>
          <w:fldChar w:fldCharType="separate"/>
        </w:r>
        <w:r w:rsidR="00A06634">
          <w:rPr>
            <w:noProof/>
            <w:webHidden/>
          </w:rPr>
          <w:t>58</w:t>
        </w:r>
        <w:r w:rsidR="00A06634">
          <w:rPr>
            <w:noProof/>
            <w:webHidden/>
          </w:rPr>
          <w:fldChar w:fldCharType="end"/>
        </w:r>
      </w:hyperlink>
    </w:p>
    <w:p w14:paraId="717172A6" w14:textId="0A302B42" w:rsidR="00A06634" w:rsidRDefault="006A1686">
      <w:pPr>
        <w:pStyle w:val="TOC1"/>
        <w:tabs>
          <w:tab w:val="right" w:leader="dot" w:pos="9350"/>
        </w:tabs>
        <w:rPr>
          <w:rFonts w:eastAsiaTheme="minorEastAsia" w:cstheme="minorBidi"/>
          <w:b w:val="0"/>
          <w:bCs w:val="0"/>
          <w:caps w:val="0"/>
          <w:noProof/>
          <w:sz w:val="22"/>
          <w:szCs w:val="22"/>
        </w:rPr>
      </w:pPr>
      <w:hyperlink w:anchor="_Toc107610251" w:history="1">
        <w:r w:rsidR="00A06634" w:rsidRPr="00271AB9">
          <w:rPr>
            <w:rStyle w:val="Hyperlink"/>
            <w:noProof/>
            <w:lang w:val="en-GB"/>
          </w:rPr>
          <w:t>4. Conclusion</w:t>
        </w:r>
        <w:r w:rsidR="00A06634">
          <w:rPr>
            <w:noProof/>
            <w:webHidden/>
          </w:rPr>
          <w:tab/>
        </w:r>
        <w:r w:rsidR="00A06634">
          <w:rPr>
            <w:noProof/>
            <w:webHidden/>
          </w:rPr>
          <w:fldChar w:fldCharType="begin"/>
        </w:r>
        <w:r w:rsidR="00A06634">
          <w:rPr>
            <w:noProof/>
            <w:webHidden/>
          </w:rPr>
          <w:instrText xml:space="preserve"> PAGEREF _Toc107610251 \h </w:instrText>
        </w:r>
        <w:r w:rsidR="00A06634">
          <w:rPr>
            <w:noProof/>
            <w:webHidden/>
          </w:rPr>
        </w:r>
        <w:r w:rsidR="00A06634">
          <w:rPr>
            <w:noProof/>
            <w:webHidden/>
          </w:rPr>
          <w:fldChar w:fldCharType="separate"/>
        </w:r>
        <w:r w:rsidR="00A06634">
          <w:rPr>
            <w:noProof/>
            <w:webHidden/>
          </w:rPr>
          <w:t>60</w:t>
        </w:r>
        <w:r w:rsidR="00A06634">
          <w:rPr>
            <w:noProof/>
            <w:webHidden/>
          </w:rPr>
          <w:fldChar w:fldCharType="end"/>
        </w:r>
      </w:hyperlink>
    </w:p>
    <w:p w14:paraId="284845F0" w14:textId="7236A756" w:rsidR="00A06634" w:rsidRDefault="006A1686">
      <w:pPr>
        <w:pStyle w:val="TOC1"/>
        <w:tabs>
          <w:tab w:val="right" w:leader="dot" w:pos="9350"/>
        </w:tabs>
        <w:rPr>
          <w:rFonts w:eastAsiaTheme="minorEastAsia" w:cstheme="minorBidi"/>
          <w:b w:val="0"/>
          <w:bCs w:val="0"/>
          <w:caps w:val="0"/>
          <w:noProof/>
          <w:sz w:val="22"/>
          <w:szCs w:val="22"/>
        </w:rPr>
      </w:pPr>
      <w:hyperlink w:anchor="_Toc107610252" w:history="1">
        <w:r w:rsidR="00A06634" w:rsidRPr="00271AB9">
          <w:rPr>
            <w:rStyle w:val="Hyperlink"/>
            <w:noProof/>
            <w:lang w:val="en-GB"/>
          </w:rPr>
          <w:t>Appendix A</w:t>
        </w:r>
        <w:r w:rsidR="00A06634">
          <w:rPr>
            <w:noProof/>
            <w:webHidden/>
          </w:rPr>
          <w:tab/>
        </w:r>
        <w:r w:rsidR="00A06634">
          <w:rPr>
            <w:noProof/>
            <w:webHidden/>
          </w:rPr>
          <w:fldChar w:fldCharType="begin"/>
        </w:r>
        <w:r w:rsidR="00A06634">
          <w:rPr>
            <w:noProof/>
            <w:webHidden/>
          </w:rPr>
          <w:instrText xml:space="preserve"> PAGEREF _Toc107610252 \h </w:instrText>
        </w:r>
        <w:r w:rsidR="00A06634">
          <w:rPr>
            <w:noProof/>
            <w:webHidden/>
          </w:rPr>
        </w:r>
        <w:r w:rsidR="00A06634">
          <w:rPr>
            <w:noProof/>
            <w:webHidden/>
          </w:rPr>
          <w:fldChar w:fldCharType="separate"/>
        </w:r>
        <w:r w:rsidR="00A06634">
          <w:rPr>
            <w:noProof/>
            <w:webHidden/>
          </w:rPr>
          <w:t>63</w:t>
        </w:r>
        <w:r w:rsidR="00A06634">
          <w:rPr>
            <w:noProof/>
            <w:webHidden/>
          </w:rPr>
          <w:fldChar w:fldCharType="end"/>
        </w:r>
      </w:hyperlink>
    </w:p>
    <w:p w14:paraId="77AFD6EF" w14:textId="66552C3C" w:rsidR="00A06634" w:rsidRDefault="006A1686">
      <w:pPr>
        <w:pStyle w:val="TOC1"/>
        <w:tabs>
          <w:tab w:val="right" w:leader="dot" w:pos="9350"/>
        </w:tabs>
        <w:rPr>
          <w:rFonts w:eastAsiaTheme="minorEastAsia" w:cstheme="minorBidi"/>
          <w:b w:val="0"/>
          <w:bCs w:val="0"/>
          <w:caps w:val="0"/>
          <w:noProof/>
          <w:sz w:val="22"/>
          <w:szCs w:val="22"/>
        </w:rPr>
      </w:pPr>
      <w:hyperlink w:anchor="_Toc107610253" w:history="1">
        <w:r w:rsidR="00A06634" w:rsidRPr="00271AB9">
          <w:rPr>
            <w:rStyle w:val="Hyperlink"/>
            <w:noProof/>
            <w:lang w:val="en-GB"/>
          </w:rPr>
          <w:t>Appendix B</w:t>
        </w:r>
        <w:r w:rsidR="00A06634">
          <w:rPr>
            <w:noProof/>
            <w:webHidden/>
          </w:rPr>
          <w:tab/>
        </w:r>
        <w:r w:rsidR="00A06634">
          <w:rPr>
            <w:noProof/>
            <w:webHidden/>
          </w:rPr>
          <w:fldChar w:fldCharType="begin"/>
        </w:r>
        <w:r w:rsidR="00A06634">
          <w:rPr>
            <w:noProof/>
            <w:webHidden/>
          </w:rPr>
          <w:instrText xml:space="preserve"> PAGEREF _Toc107610253 \h </w:instrText>
        </w:r>
        <w:r w:rsidR="00A06634">
          <w:rPr>
            <w:noProof/>
            <w:webHidden/>
          </w:rPr>
        </w:r>
        <w:r w:rsidR="00A06634">
          <w:rPr>
            <w:noProof/>
            <w:webHidden/>
          </w:rPr>
          <w:fldChar w:fldCharType="separate"/>
        </w:r>
        <w:r w:rsidR="00A06634">
          <w:rPr>
            <w:noProof/>
            <w:webHidden/>
          </w:rPr>
          <w:t>64</w:t>
        </w:r>
        <w:r w:rsidR="00A06634">
          <w:rPr>
            <w:noProof/>
            <w:webHidden/>
          </w:rPr>
          <w:fldChar w:fldCharType="end"/>
        </w:r>
      </w:hyperlink>
    </w:p>
    <w:p w14:paraId="2FD58B5B" w14:textId="3FE973E9" w:rsidR="00A06634" w:rsidRDefault="006A1686">
      <w:pPr>
        <w:pStyle w:val="TOC1"/>
        <w:tabs>
          <w:tab w:val="right" w:leader="dot" w:pos="9350"/>
        </w:tabs>
        <w:rPr>
          <w:rFonts w:eastAsiaTheme="minorEastAsia" w:cstheme="minorBidi"/>
          <w:b w:val="0"/>
          <w:bCs w:val="0"/>
          <w:caps w:val="0"/>
          <w:noProof/>
          <w:sz w:val="22"/>
          <w:szCs w:val="22"/>
        </w:rPr>
      </w:pPr>
      <w:hyperlink w:anchor="_Toc107610254" w:history="1">
        <w:r w:rsidR="00A06634" w:rsidRPr="00271AB9">
          <w:rPr>
            <w:rStyle w:val="Hyperlink"/>
            <w:noProof/>
            <w:lang w:val="en-GB"/>
          </w:rPr>
          <w:t>Bibliography</w:t>
        </w:r>
        <w:r w:rsidR="00A06634">
          <w:rPr>
            <w:noProof/>
            <w:webHidden/>
          </w:rPr>
          <w:tab/>
        </w:r>
        <w:r w:rsidR="00A06634">
          <w:rPr>
            <w:noProof/>
            <w:webHidden/>
          </w:rPr>
          <w:fldChar w:fldCharType="begin"/>
        </w:r>
        <w:r w:rsidR="00A06634">
          <w:rPr>
            <w:noProof/>
            <w:webHidden/>
          </w:rPr>
          <w:instrText xml:space="preserve"> PAGEREF _Toc107610254 \h </w:instrText>
        </w:r>
        <w:r w:rsidR="00A06634">
          <w:rPr>
            <w:noProof/>
            <w:webHidden/>
          </w:rPr>
        </w:r>
        <w:r w:rsidR="00A06634">
          <w:rPr>
            <w:noProof/>
            <w:webHidden/>
          </w:rPr>
          <w:fldChar w:fldCharType="separate"/>
        </w:r>
        <w:r w:rsidR="00A06634">
          <w:rPr>
            <w:noProof/>
            <w:webHidden/>
          </w:rPr>
          <w:t>65</w:t>
        </w:r>
        <w:r w:rsidR="00A06634">
          <w:rPr>
            <w:noProof/>
            <w:webHidden/>
          </w:rPr>
          <w:fldChar w:fldCharType="end"/>
        </w:r>
      </w:hyperlink>
    </w:p>
    <w:p w14:paraId="2E4FF7B4" w14:textId="681A21D6" w:rsidR="00A06634" w:rsidRDefault="006A1686">
      <w:pPr>
        <w:pStyle w:val="TOC2"/>
        <w:tabs>
          <w:tab w:val="right" w:leader="dot" w:pos="9350"/>
        </w:tabs>
        <w:rPr>
          <w:rFonts w:eastAsiaTheme="minorEastAsia" w:cstheme="minorBidi"/>
          <w:smallCaps w:val="0"/>
          <w:noProof/>
          <w:sz w:val="22"/>
          <w:szCs w:val="22"/>
        </w:rPr>
      </w:pPr>
      <w:hyperlink w:anchor="_Toc107610255" w:history="1">
        <w:r w:rsidR="00A06634" w:rsidRPr="00271AB9">
          <w:rPr>
            <w:rStyle w:val="Hyperlink"/>
            <w:noProof/>
            <w:lang w:val="en-GB"/>
          </w:rPr>
          <w:t>Cases</w:t>
        </w:r>
        <w:r w:rsidR="00A06634">
          <w:rPr>
            <w:noProof/>
            <w:webHidden/>
          </w:rPr>
          <w:tab/>
        </w:r>
        <w:r w:rsidR="00A06634">
          <w:rPr>
            <w:noProof/>
            <w:webHidden/>
          </w:rPr>
          <w:fldChar w:fldCharType="begin"/>
        </w:r>
        <w:r w:rsidR="00A06634">
          <w:rPr>
            <w:noProof/>
            <w:webHidden/>
          </w:rPr>
          <w:instrText xml:space="preserve"> PAGEREF _Toc107610255 \h </w:instrText>
        </w:r>
        <w:r w:rsidR="00A06634">
          <w:rPr>
            <w:noProof/>
            <w:webHidden/>
          </w:rPr>
        </w:r>
        <w:r w:rsidR="00A06634">
          <w:rPr>
            <w:noProof/>
            <w:webHidden/>
          </w:rPr>
          <w:fldChar w:fldCharType="separate"/>
        </w:r>
        <w:r w:rsidR="00A06634">
          <w:rPr>
            <w:noProof/>
            <w:webHidden/>
          </w:rPr>
          <w:t>65</w:t>
        </w:r>
        <w:r w:rsidR="00A06634">
          <w:rPr>
            <w:noProof/>
            <w:webHidden/>
          </w:rPr>
          <w:fldChar w:fldCharType="end"/>
        </w:r>
      </w:hyperlink>
    </w:p>
    <w:p w14:paraId="4CDE7F78" w14:textId="4F9E3B1B" w:rsidR="00A06634" w:rsidRDefault="006A1686">
      <w:pPr>
        <w:pStyle w:val="TOC2"/>
        <w:tabs>
          <w:tab w:val="right" w:leader="dot" w:pos="9350"/>
        </w:tabs>
        <w:rPr>
          <w:rFonts w:eastAsiaTheme="minorEastAsia" w:cstheme="minorBidi"/>
          <w:smallCaps w:val="0"/>
          <w:noProof/>
          <w:sz w:val="22"/>
          <w:szCs w:val="22"/>
        </w:rPr>
      </w:pPr>
      <w:hyperlink w:anchor="_Toc107610256" w:history="1">
        <w:r w:rsidR="00A06634" w:rsidRPr="00271AB9">
          <w:rPr>
            <w:rStyle w:val="Hyperlink"/>
            <w:noProof/>
            <w:lang w:val="en-GB"/>
          </w:rPr>
          <w:t>Legislation</w:t>
        </w:r>
        <w:r w:rsidR="00A06634">
          <w:rPr>
            <w:noProof/>
            <w:webHidden/>
          </w:rPr>
          <w:tab/>
        </w:r>
        <w:r w:rsidR="00A06634">
          <w:rPr>
            <w:noProof/>
            <w:webHidden/>
          </w:rPr>
          <w:fldChar w:fldCharType="begin"/>
        </w:r>
        <w:r w:rsidR="00A06634">
          <w:rPr>
            <w:noProof/>
            <w:webHidden/>
          </w:rPr>
          <w:instrText xml:space="preserve"> PAGEREF _Toc107610256 \h </w:instrText>
        </w:r>
        <w:r w:rsidR="00A06634">
          <w:rPr>
            <w:noProof/>
            <w:webHidden/>
          </w:rPr>
        </w:r>
        <w:r w:rsidR="00A06634">
          <w:rPr>
            <w:noProof/>
            <w:webHidden/>
          </w:rPr>
          <w:fldChar w:fldCharType="separate"/>
        </w:r>
        <w:r w:rsidR="00A06634">
          <w:rPr>
            <w:noProof/>
            <w:webHidden/>
          </w:rPr>
          <w:t>67</w:t>
        </w:r>
        <w:r w:rsidR="00A06634">
          <w:rPr>
            <w:noProof/>
            <w:webHidden/>
          </w:rPr>
          <w:fldChar w:fldCharType="end"/>
        </w:r>
      </w:hyperlink>
    </w:p>
    <w:p w14:paraId="0ECCF896" w14:textId="4B5FFDFF" w:rsidR="00A06634" w:rsidRDefault="006A1686">
      <w:pPr>
        <w:pStyle w:val="TOC2"/>
        <w:tabs>
          <w:tab w:val="right" w:leader="dot" w:pos="9350"/>
        </w:tabs>
        <w:rPr>
          <w:rStyle w:val="Hyperlink"/>
          <w:noProof/>
        </w:rPr>
      </w:pPr>
      <w:hyperlink w:anchor="_Toc107610257" w:history="1">
        <w:r w:rsidR="00A06634" w:rsidRPr="00271AB9">
          <w:rPr>
            <w:rStyle w:val="Hyperlink"/>
            <w:noProof/>
            <w:lang w:val="en-GB"/>
          </w:rPr>
          <w:t>Bibliography</w:t>
        </w:r>
        <w:r w:rsidR="00A06634">
          <w:rPr>
            <w:noProof/>
            <w:webHidden/>
          </w:rPr>
          <w:tab/>
        </w:r>
        <w:r w:rsidR="00A06634">
          <w:rPr>
            <w:noProof/>
            <w:webHidden/>
          </w:rPr>
          <w:fldChar w:fldCharType="begin"/>
        </w:r>
        <w:r w:rsidR="00A06634">
          <w:rPr>
            <w:noProof/>
            <w:webHidden/>
          </w:rPr>
          <w:instrText xml:space="preserve"> PAGEREF _Toc107610257 \h </w:instrText>
        </w:r>
        <w:r w:rsidR="00A06634">
          <w:rPr>
            <w:noProof/>
            <w:webHidden/>
          </w:rPr>
        </w:r>
        <w:r w:rsidR="00A06634">
          <w:rPr>
            <w:noProof/>
            <w:webHidden/>
          </w:rPr>
          <w:fldChar w:fldCharType="separate"/>
        </w:r>
        <w:r w:rsidR="00A06634">
          <w:rPr>
            <w:noProof/>
            <w:webHidden/>
          </w:rPr>
          <w:t>68</w:t>
        </w:r>
        <w:r w:rsidR="00A06634">
          <w:rPr>
            <w:noProof/>
            <w:webHidden/>
          </w:rPr>
          <w:fldChar w:fldCharType="end"/>
        </w:r>
      </w:hyperlink>
    </w:p>
    <w:p w14:paraId="330EEA4E" w14:textId="5E3F710D" w:rsidR="00A06634" w:rsidRDefault="00A06634" w:rsidP="00A06634">
      <w:pPr>
        <w:rPr>
          <w:noProof/>
        </w:rPr>
      </w:pPr>
    </w:p>
    <w:p w14:paraId="42E0DAD6" w14:textId="473818C9" w:rsidR="00A06634" w:rsidRDefault="00A06634" w:rsidP="00A06634">
      <w:pPr>
        <w:rPr>
          <w:noProof/>
        </w:rPr>
      </w:pPr>
    </w:p>
    <w:p w14:paraId="4E1BB714" w14:textId="184B4EDD" w:rsidR="00A06634" w:rsidRDefault="00A06634" w:rsidP="00A06634">
      <w:pPr>
        <w:rPr>
          <w:noProof/>
        </w:rPr>
      </w:pPr>
    </w:p>
    <w:p w14:paraId="1C1D2A89" w14:textId="25F590BB" w:rsidR="00A06634" w:rsidRDefault="00A06634" w:rsidP="00A06634">
      <w:pPr>
        <w:rPr>
          <w:noProof/>
        </w:rPr>
      </w:pPr>
    </w:p>
    <w:p w14:paraId="58BE09EF" w14:textId="0D8FF1EA" w:rsidR="00A06634" w:rsidRDefault="00A06634" w:rsidP="00A06634">
      <w:pPr>
        <w:rPr>
          <w:noProof/>
        </w:rPr>
      </w:pPr>
    </w:p>
    <w:p w14:paraId="66405A8C" w14:textId="4DDEA412" w:rsidR="00A06634" w:rsidRDefault="00A06634" w:rsidP="00A06634">
      <w:pPr>
        <w:rPr>
          <w:noProof/>
        </w:rPr>
      </w:pPr>
    </w:p>
    <w:p w14:paraId="71492000" w14:textId="1D5D9B8F" w:rsidR="00A06634" w:rsidRDefault="00A06634" w:rsidP="00A06634">
      <w:pPr>
        <w:rPr>
          <w:noProof/>
        </w:rPr>
      </w:pPr>
    </w:p>
    <w:p w14:paraId="2B2584A8" w14:textId="595EF45A" w:rsidR="00A06634" w:rsidRDefault="00A06634" w:rsidP="00A06634">
      <w:pPr>
        <w:rPr>
          <w:noProof/>
        </w:rPr>
      </w:pPr>
    </w:p>
    <w:p w14:paraId="2AD0F9F0" w14:textId="2E112C7A" w:rsidR="00A06634" w:rsidRDefault="00A06634" w:rsidP="00A06634">
      <w:pPr>
        <w:rPr>
          <w:noProof/>
        </w:rPr>
      </w:pPr>
    </w:p>
    <w:p w14:paraId="63E41850" w14:textId="4085A6A7" w:rsidR="00A06634" w:rsidRDefault="00A06634" w:rsidP="00A06634">
      <w:pPr>
        <w:rPr>
          <w:noProof/>
        </w:rPr>
      </w:pPr>
    </w:p>
    <w:p w14:paraId="62573C97" w14:textId="47BC6A96" w:rsidR="00A06634" w:rsidRDefault="00A06634" w:rsidP="00A06634">
      <w:pPr>
        <w:rPr>
          <w:noProof/>
        </w:rPr>
      </w:pPr>
    </w:p>
    <w:p w14:paraId="2251CE64" w14:textId="37679A43" w:rsidR="00A06634" w:rsidRDefault="00A06634" w:rsidP="00A06634">
      <w:pPr>
        <w:rPr>
          <w:noProof/>
        </w:rPr>
      </w:pPr>
    </w:p>
    <w:p w14:paraId="1C95BE34" w14:textId="37AE9DC5" w:rsidR="00A06634" w:rsidRDefault="00A06634" w:rsidP="00A06634">
      <w:pPr>
        <w:rPr>
          <w:noProof/>
        </w:rPr>
      </w:pPr>
    </w:p>
    <w:p w14:paraId="40E74FFB" w14:textId="04F4199E" w:rsidR="00A06634" w:rsidRDefault="00A06634" w:rsidP="00A06634">
      <w:pPr>
        <w:rPr>
          <w:noProof/>
        </w:rPr>
      </w:pPr>
    </w:p>
    <w:p w14:paraId="2387762D" w14:textId="1ECD6388" w:rsidR="00A06634" w:rsidRDefault="00A06634" w:rsidP="00A06634">
      <w:pPr>
        <w:rPr>
          <w:noProof/>
        </w:rPr>
      </w:pPr>
    </w:p>
    <w:p w14:paraId="48702150" w14:textId="10BAC9CA" w:rsidR="00A06634" w:rsidRDefault="00A06634" w:rsidP="00A06634">
      <w:pPr>
        <w:rPr>
          <w:noProof/>
        </w:rPr>
      </w:pPr>
    </w:p>
    <w:p w14:paraId="68DC080C" w14:textId="5C2DA101" w:rsidR="00A06634" w:rsidRDefault="00A06634" w:rsidP="00A06634">
      <w:pPr>
        <w:rPr>
          <w:noProof/>
        </w:rPr>
      </w:pPr>
    </w:p>
    <w:p w14:paraId="5D868BBD" w14:textId="0DABAC7A" w:rsidR="00A06634" w:rsidRDefault="00A06634" w:rsidP="00A06634">
      <w:pPr>
        <w:rPr>
          <w:noProof/>
        </w:rPr>
      </w:pPr>
    </w:p>
    <w:p w14:paraId="0E047D7E" w14:textId="5D4F14F3" w:rsidR="00A06634" w:rsidRDefault="00A06634" w:rsidP="00A06634">
      <w:pPr>
        <w:rPr>
          <w:noProof/>
        </w:rPr>
      </w:pPr>
    </w:p>
    <w:p w14:paraId="3DE3A7BD" w14:textId="61A6C1FE" w:rsidR="00A06634" w:rsidRDefault="00A06634" w:rsidP="00A06634">
      <w:pPr>
        <w:rPr>
          <w:noProof/>
        </w:rPr>
      </w:pPr>
    </w:p>
    <w:p w14:paraId="556D204A" w14:textId="567C89C1" w:rsidR="00A06634" w:rsidRDefault="00A06634" w:rsidP="00A06634">
      <w:pPr>
        <w:rPr>
          <w:noProof/>
        </w:rPr>
      </w:pPr>
    </w:p>
    <w:p w14:paraId="02BD86E9" w14:textId="77777777" w:rsidR="00A06634" w:rsidRPr="00A06634" w:rsidRDefault="00A06634" w:rsidP="00A06634">
      <w:pPr>
        <w:rPr>
          <w:noProof/>
        </w:rPr>
      </w:pPr>
    </w:p>
    <w:p w14:paraId="03A460C2" w14:textId="68694BBC" w:rsidR="00D929E8" w:rsidRPr="00F54106" w:rsidRDefault="00E6124E" w:rsidP="00FC31D7">
      <w:pPr>
        <w:pStyle w:val="Heading1"/>
        <w:numPr>
          <w:ilvl w:val="0"/>
          <w:numId w:val="9"/>
        </w:numPr>
        <w:spacing w:line="276" w:lineRule="auto"/>
        <w:jc w:val="center"/>
        <w:rPr>
          <w:lang w:val="en-GB"/>
        </w:rPr>
      </w:pPr>
      <w:r w:rsidRPr="00F54106">
        <w:rPr>
          <w:rFonts w:ascii="Calibri" w:hAnsi="Calibri"/>
          <w:b w:val="0"/>
          <w:bCs/>
          <w:lang w:val="en-GB"/>
        </w:rPr>
        <w:lastRenderedPageBreak/>
        <w:fldChar w:fldCharType="end"/>
      </w:r>
      <w:bookmarkStart w:id="1" w:name="_Toc107610209"/>
      <w:r w:rsidR="00F01306" w:rsidRPr="00F54106">
        <w:rPr>
          <w:lang w:val="en-GB"/>
        </w:rPr>
        <w:t>I</w:t>
      </w:r>
      <w:r w:rsidR="00EE16F7" w:rsidRPr="00F54106">
        <w:rPr>
          <w:lang w:val="en-GB"/>
        </w:rPr>
        <w:t>ntroduction</w:t>
      </w:r>
      <w:bookmarkEnd w:id="1"/>
    </w:p>
    <w:p w14:paraId="51ACD817" w14:textId="77777777" w:rsidR="001A7E5F" w:rsidRPr="00F54106" w:rsidRDefault="001A7E5F" w:rsidP="00FC31D7">
      <w:pPr>
        <w:spacing w:line="276" w:lineRule="auto"/>
        <w:rPr>
          <w:lang w:val="en-GB"/>
        </w:rPr>
      </w:pPr>
    </w:p>
    <w:p w14:paraId="2B11D14A" w14:textId="4CD7AD26" w:rsidR="00D929E8" w:rsidRPr="00F54106" w:rsidRDefault="006C680A" w:rsidP="00FC31D7">
      <w:pPr>
        <w:pStyle w:val="Heading2"/>
        <w:spacing w:line="276" w:lineRule="auto"/>
        <w:rPr>
          <w:lang w:val="en-GB"/>
        </w:rPr>
      </w:pPr>
      <w:bookmarkStart w:id="2" w:name="_Toc107610210"/>
      <w:r w:rsidRPr="00F54106">
        <w:rPr>
          <w:lang w:val="en-GB"/>
        </w:rPr>
        <w:t xml:space="preserve">1.1 </w:t>
      </w:r>
      <w:r w:rsidR="00DE71E3" w:rsidRPr="00F54106">
        <w:rPr>
          <w:lang w:val="en-GB"/>
        </w:rPr>
        <w:t>B</w:t>
      </w:r>
      <w:r w:rsidR="003C3F38" w:rsidRPr="00F54106">
        <w:rPr>
          <w:lang w:val="en-GB"/>
        </w:rPr>
        <w:t>ackground</w:t>
      </w:r>
      <w:r w:rsidR="00DE71E3" w:rsidRPr="00F54106">
        <w:rPr>
          <w:lang w:val="en-GB"/>
        </w:rPr>
        <w:t xml:space="preserve"> and context of the thesis: the phenomenon of forum shopping</w:t>
      </w:r>
      <w:bookmarkEnd w:id="2"/>
    </w:p>
    <w:p w14:paraId="1FCC860A" w14:textId="3525F7B9" w:rsidR="00F46D78" w:rsidRPr="00F54106" w:rsidRDefault="00C17EE8" w:rsidP="00DE71E3">
      <w:pPr>
        <w:spacing w:line="276" w:lineRule="auto"/>
        <w:rPr>
          <w:rFonts w:cstheme="minorHAnsi"/>
          <w:lang w:val="en-GB"/>
        </w:rPr>
      </w:pPr>
      <w:r w:rsidRPr="00F54106">
        <w:rPr>
          <w:rFonts w:cstheme="minorHAnsi"/>
          <w:lang w:val="en-GB"/>
        </w:rPr>
        <w:t>Private enforcement</w:t>
      </w:r>
      <w:r w:rsidR="003C3F38" w:rsidRPr="00F54106">
        <w:rPr>
          <w:rFonts w:cstheme="minorHAnsi"/>
          <w:lang w:val="en-GB"/>
        </w:rPr>
        <w:t xml:space="preserve"> </w:t>
      </w:r>
      <w:r w:rsidR="00F21873" w:rsidRPr="00F54106">
        <w:rPr>
          <w:rFonts w:cstheme="minorHAnsi"/>
          <w:lang w:val="en-GB"/>
        </w:rPr>
        <w:t xml:space="preserve">of competition law </w:t>
      </w:r>
      <w:r w:rsidRPr="00F54106">
        <w:rPr>
          <w:rFonts w:cstheme="minorHAnsi"/>
          <w:lang w:val="en-GB"/>
        </w:rPr>
        <w:t>is organized under non-contractual liability (tort) law, which is structured very differently across EU Member States and differs substantially on various rules and aspects.</w:t>
      </w:r>
      <w:r w:rsidRPr="00F54106">
        <w:rPr>
          <w:rStyle w:val="FootnoteReference"/>
          <w:rFonts w:cstheme="minorHAnsi"/>
          <w:lang w:val="en-GB"/>
        </w:rPr>
        <w:footnoteReference w:id="1"/>
      </w:r>
      <w:r w:rsidRPr="00F54106">
        <w:rPr>
          <w:rFonts w:cstheme="minorHAnsi"/>
          <w:lang w:val="en-GB"/>
        </w:rPr>
        <w:t xml:space="preserve"> Due to the differences in the substantive and procedural law of Member States, and also possibly the institutional structure of their court’s system, some </w:t>
      </w:r>
      <w:r w:rsidR="003C3F38" w:rsidRPr="00F54106">
        <w:rPr>
          <w:rFonts w:cstheme="minorHAnsi"/>
          <w:lang w:val="en-GB"/>
        </w:rPr>
        <w:t xml:space="preserve">national </w:t>
      </w:r>
      <w:r w:rsidRPr="00F54106">
        <w:rPr>
          <w:rFonts w:cstheme="minorHAnsi"/>
          <w:lang w:val="en-GB"/>
        </w:rPr>
        <w:t>regimes have emerged which allow for a more attractive setting to claim damages as a result of a competition law infringement.</w:t>
      </w:r>
      <w:r w:rsidRPr="00F54106">
        <w:rPr>
          <w:rStyle w:val="FootnoteReference"/>
          <w:rFonts w:cstheme="minorHAnsi"/>
          <w:lang w:val="en-GB"/>
        </w:rPr>
        <w:footnoteReference w:id="2"/>
      </w:r>
      <w:r w:rsidRPr="00F54106">
        <w:rPr>
          <w:rFonts w:cstheme="minorHAnsi"/>
          <w:lang w:val="en-GB"/>
        </w:rPr>
        <w:t xml:space="preserve"> Hence, the phenomenon of forum shopping is induced</w:t>
      </w:r>
      <w:r w:rsidR="005F24BF" w:rsidRPr="00F54106">
        <w:rPr>
          <w:rFonts w:cstheme="minorHAnsi"/>
          <w:lang w:val="en-GB"/>
        </w:rPr>
        <w:t>, in which regimes are specifically selected by claimants in order to generate the highest chance of damages compensation.</w:t>
      </w:r>
      <w:r w:rsidR="005F24BF" w:rsidRPr="00F54106">
        <w:rPr>
          <w:rStyle w:val="FootnoteReference"/>
          <w:rFonts w:cstheme="minorHAnsi"/>
          <w:lang w:val="en-GB"/>
        </w:rPr>
        <w:footnoteReference w:id="3"/>
      </w:r>
      <w:r w:rsidR="00F46D78" w:rsidRPr="00F54106">
        <w:rPr>
          <w:rFonts w:cstheme="minorHAnsi"/>
          <w:lang w:val="en-GB"/>
        </w:rPr>
        <w:t xml:space="preserve"> </w:t>
      </w:r>
    </w:p>
    <w:p w14:paraId="2407A2C5" w14:textId="61B059F8" w:rsidR="00DE71E3" w:rsidRPr="00F54106" w:rsidRDefault="00DE71E3" w:rsidP="00DE71E3">
      <w:pPr>
        <w:spacing w:line="276" w:lineRule="auto"/>
        <w:ind w:firstLine="720"/>
        <w:rPr>
          <w:rFonts w:cstheme="minorHAnsi"/>
          <w:lang w:val="en-GB"/>
        </w:rPr>
      </w:pPr>
      <w:r w:rsidRPr="00F54106">
        <w:rPr>
          <w:rFonts w:cstheme="minorHAnsi"/>
          <w:lang w:val="en-GB"/>
        </w:rPr>
        <w:t>Forum shopping has been defined in various ways and is often subject to various opinions on whether it should be regarded as “good” or “bad”. An early definition of forum shopping stems from 1976, which describes forum shopping as a situation in which “the plaintiff usually shops in the forum where he is most familiar or in which he gains the greatest procedural advantage or puts the defendant to the greatest procedural disadvantage”.</w:t>
      </w:r>
      <w:r w:rsidRPr="00F54106">
        <w:rPr>
          <w:rStyle w:val="FootnoteReference"/>
          <w:rFonts w:cstheme="minorHAnsi"/>
          <w:lang w:val="en-GB"/>
        </w:rPr>
        <w:footnoteReference w:id="4"/>
      </w:r>
      <w:r w:rsidRPr="00F54106">
        <w:rPr>
          <w:rFonts w:cstheme="minorHAnsi"/>
          <w:lang w:val="en-GB"/>
        </w:rPr>
        <w:t xml:space="preserve"> However, forum shopping may not only include the plaintiff’s choice of location to file a lawsuit. It may also consist of other factors such as both parties’ selection of a certain court or arbitration procedure by contract.</w:t>
      </w:r>
      <w:r w:rsidRPr="00F54106">
        <w:rPr>
          <w:rStyle w:val="FootnoteReference"/>
          <w:rFonts w:cstheme="minorHAnsi"/>
          <w:lang w:val="en-GB"/>
        </w:rPr>
        <w:footnoteReference w:id="5"/>
      </w:r>
      <w:r w:rsidRPr="00F54106">
        <w:rPr>
          <w:rFonts w:cstheme="minorHAnsi"/>
          <w:lang w:val="en-GB"/>
        </w:rPr>
        <w:t xml:space="preserve"> </w:t>
      </w:r>
      <w:r w:rsidR="00513D75" w:rsidRPr="00F54106">
        <w:rPr>
          <w:rFonts w:cstheme="minorHAnsi"/>
          <w:lang w:val="en-GB"/>
        </w:rPr>
        <w:t>Furthermore</w:t>
      </w:r>
      <w:r w:rsidRPr="00F54106">
        <w:rPr>
          <w:rFonts w:cstheme="minorHAnsi"/>
          <w:lang w:val="en-GB"/>
        </w:rPr>
        <w:t xml:space="preserve">, forum shopping may also incorporate the terms “forum hopping” or “duplicative litigation”, in which the former refers to changing </w:t>
      </w:r>
      <w:r w:rsidR="003843EB" w:rsidRPr="00F54106">
        <w:rPr>
          <w:rFonts w:cstheme="minorHAnsi"/>
          <w:lang w:val="en-GB"/>
        </w:rPr>
        <w:t>venues</w:t>
      </w:r>
      <w:r w:rsidRPr="00F54106">
        <w:rPr>
          <w:rFonts w:cstheme="minorHAnsi"/>
          <w:lang w:val="en-GB"/>
        </w:rPr>
        <w:t xml:space="preserve"> after a loss in the initial forum, while the latter refers to the practice of filing</w:t>
      </w:r>
      <w:r w:rsidR="00513D75" w:rsidRPr="00F54106">
        <w:rPr>
          <w:rFonts w:cstheme="minorHAnsi"/>
          <w:lang w:val="en-GB"/>
        </w:rPr>
        <w:t xml:space="preserve"> a suit</w:t>
      </w:r>
      <w:r w:rsidRPr="00F54106">
        <w:rPr>
          <w:rFonts w:cstheme="minorHAnsi"/>
          <w:lang w:val="en-GB"/>
        </w:rPr>
        <w:t xml:space="preserve"> in various other </w:t>
      </w:r>
      <w:r w:rsidR="00513D75" w:rsidRPr="00F54106">
        <w:rPr>
          <w:rFonts w:cstheme="minorHAnsi"/>
          <w:lang w:val="en-GB"/>
        </w:rPr>
        <w:t xml:space="preserve">locations </w:t>
      </w:r>
      <w:r w:rsidRPr="00F54106">
        <w:rPr>
          <w:rFonts w:cstheme="minorHAnsi"/>
          <w:lang w:val="en-GB"/>
        </w:rPr>
        <w:t>at the same time.</w:t>
      </w:r>
      <w:r w:rsidRPr="00F54106">
        <w:rPr>
          <w:rStyle w:val="FootnoteReference"/>
          <w:rFonts w:cstheme="minorHAnsi"/>
          <w:lang w:val="en-GB"/>
        </w:rPr>
        <w:footnoteReference w:id="6"/>
      </w:r>
      <w:r w:rsidRPr="00F54106">
        <w:rPr>
          <w:rFonts w:cstheme="minorHAnsi"/>
          <w:lang w:val="en-GB"/>
        </w:rPr>
        <w:t xml:space="preserve"> A lack of uniformity between legal systems in terms of internal laws, choice-of-law and procedural rules enables forum shopping where differences in any of these three terms are able to alter the legal result.</w:t>
      </w:r>
      <w:r w:rsidRPr="00F54106">
        <w:rPr>
          <w:rStyle w:val="FootnoteReference"/>
          <w:rFonts w:cstheme="minorHAnsi"/>
          <w:lang w:val="en-GB"/>
        </w:rPr>
        <w:footnoteReference w:id="7"/>
      </w:r>
      <w:r w:rsidRPr="00F54106">
        <w:rPr>
          <w:rFonts w:cstheme="minorHAnsi"/>
          <w:lang w:val="en-GB"/>
        </w:rPr>
        <w:t xml:space="preserve"> In other words, forum shopping is primarily concerned with specific elements of judicial systems and, by selecting judicial systems with the desired elements, parties could tip the scales in favour of themselves and potentially alter the outcome of a court decision. </w:t>
      </w:r>
    </w:p>
    <w:p w14:paraId="53FC1D3B" w14:textId="2A63BA7D" w:rsidR="00DE71E3" w:rsidRPr="00F54106" w:rsidRDefault="00DE71E3" w:rsidP="00DE71E3">
      <w:pPr>
        <w:spacing w:line="276" w:lineRule="auto"/>
        <w:ind w:firstLine="720"/>
        <w:rPr>
          <w:rFonts w:cstheme="minorHAnsi"/>
          <w:lang w:val="en-GB"/>
        </w:rPr>
      </w:pPr>
      <w:r w:rsidRPr="00F54106">
        <w:rPr>
          <w:rFonts w:cstheme="minorHAnsi"/>
          <w:lang w:val="en-GB"/>
        </w:rPr>
        <w:t>Counsels, judges and academics are often of the opinion that altering the outcome of a lawsuit through forum shopping is exploitative and unfair.</w:t>
      </w:r>
      <w:r w:rsidRPr="00F54106">
        <w:rPr>
          <w:rStyle w:val="FootnoteReference"/>
          <w:rFonts w:cstheme="minorHAnsi"/>
          <w:lang w:val="en-GB"/>
        </w:rPr>
        <w:footnoteReference w:id="8"/>
      </w:r>
      <w:r w:rsidRPr="00F54106">
        <w:rPr>
          <w:rFonts w:cstheme="minorHAnsi"/>
          <w:lang w:val="en-GB"/>
        </w:rPr>
        <w:t xml:space="preserve"> Many adversaries of forum shopping opt to deter it, while forum shopping is, especially in the US, commonly referred to with great disdain or lumped in with </w:t>
      </w:r>
      <w:r w:rsidRPr="00F54106">
        <w:rPr>
          <w:rFonts w:cstheme="minorHAnsi"/>
          <w:lang w:val="en-GB"/>
        </w:rPr>
        <w:lastRenderedPageBreak/>
        <w:t>fraud and other “out-of-court tactics”.</w:t>
      </w:r>
      <w:r w:rsidRPr="00F54106">
        <w:rPr>
          <w:rStyle w:val="FootnoteReference"/>
          <w:rFonts w:cstheme="minorHAnsi"/>
          <w:lang w:val="en-GB"/>
        </w:rPr>
        <w:footnoteReference w:id="9"/>
      </w:r>
      <w:r w:rsidRPr="00F54106">
        <w:rPr>
          <w:rFonts w:cstheme="minorHAnsi"/>
          <w:lang w:val="en-GB"/>
        </w:rPr>
        <w:t xml:space="preserve"> However, it has been argued that forum shopping does have its benefits and should not necessarily be deterred</w:t>
      </w:r>
      <w:r w:rsidR="009D3A06" w:rsidRPr="00F54106">
        <w:rPr>
          <w:rFonts w:cstheme="minorHAnsi"/>
          <w:lang w:val="en-GB"/>
        </w:rPr>
        <w:t>,</w:t>
      </w:r>
      <w:r w:rsidRPr="00F54106">
        <w:rPr>
          <w:rFonts w:cstheme="minorHAnsi"/>
          <w:lang w:val="en-GB"/>
        </w:rPr>
        <w:t xml:space="preserve"> and sometimes facilitated as it can protect access to justice, promote regulatory enforcement and drive substantive- and procedural reforms.</w:t>
      </w:r>
      <w:r w:rsidRPr="00F54106">
        <w:rPr>
          <w:rStyle w:val="FootnoteReference"/>
          <w:rFonts w:cstheme="minorHAnsi"/>
          <w:lang w:val="en-GB"/>
        </w:rPr>
        <w:footnoteReference w:id="10"/>
      </w:r>
      <w:r w:rsidRPr="00F54106">
        <w:rPr>
          <w:rFonts w:cstheme="minorHAnsi"/>
          <w:lang w:val="en-GB"/>
        </w:rPr>
        <w:t xml:space="preserve"> Hence, it is argued that not the illegal incentives of plaintiffs to shop for the best forum should be targeted but the jurisdictional legitimacy under international law.</w:t>
      </w:r>
      <w:r w:rsidRPr="00F54106">
        <w:rPr>
          <w:rStyle w:val="FootnoteReference"/>
          <w:rFonts w:cstheme="minorHAnsi"/>
          <w:lang w:val="en-GB"/>
        </w:rPr>
        <w:footnoteReference w:id="11"/>
      </w:r>
    </w:p>
    <w:p w14:paraId="09FA4D15" w14:textId="7836DB71" w:rsidR="00DE71E3" w:rsidRPr="00F54106" w:rsidRDefault="00DE71E3" w:rsidP="00316B67">
      <w:pPr>
        <w:spacing w:line="276" w:lineRule="auto"/>
        <w:ind w:firstLine="720"/>
        <w:rPr>
          <w:rFonts w:cstheme="minorHAnsi"/>
          <w:lang w:val="en-GB"/>
        </w:rPr>
      </w:pPr>
      <w:r w:rsidRPr="00F54106">
        <w:rPr>
          <w:rFonts w:cstheme="minorHAnsi"/>
          <w:lang w:val="en-GB"/>
        </w:rPr>
        <w:t xml:space="preserve">In </w:t>
      </w:r>
      <w:r w:rsidR="006477ED" w:rsidRPr="00F54106">
        <w:rPr>
          <w:rFonts w:cstheme="minorHAnsi"/>
          <w:lang w:val="en-GB"/>
        </w:rPr>
        <w:t xml:space="preserve">the private enforcement of </w:t>
      </w:r>
      <w:r w:rsidRPr="00F54106">
        <w:rPr>
          <w:rFonts w:cstheme="minorHAnsi"/>
          <w:lang w:val="en-GB"/>
        </w:rPr>
        <w:t>European competition law, antitrust damages cases often involve several defendants and claimants which may reside in a variety of different countries, while the corresponding anticompetitive behaviour frequently occurs in numerous countries as well.</w:t>
      </w:r>
      <w:r w:rsidRPr="00F54106">
        <w:rPr>
          <w:rStyle w:val="FootnoteReference"/>
          <w:rFonts w:cstheme="minorHAnsi"/>
          <w:lang w:val="en-GB"/>
        </w:rPr>
        <w:footnoteReference w:id="12"/>
      </w:r>
      <w:r w:rsidRPr="00F54106">
        <w:rPr>
          <w:rFonts w:cstheme="minorHAnsi"/>
          <w:lang w:val="en-GB"/>
        </w:rPr>
        <w:t xml:space="preserve"> Due to the often multi-national nature of antitrust damages cases and the rather low requirements to establish jurisdiction, multiple courts can have international jurisdiction.</w:t>
      </w:r>
      <w:r w:rsidRPr="00F54106">
        <w:rPr>
          <w:rStyle w:val="FootnoteReference"/>
          <w:rFonts w:cstheme="minorHAnsi"/>
          <w:lang w:val="en-GB"/>
        </w:rPr>
        <w:footnoteReference w:id="13"/>
      </w:r>
      <w:r w:rsidRPr="00F54106">
        <w:rPr>
          <w:rFonts w:cstheme="minorHAnsi"/>
          <w:lang w:val="en-GB"/>
        </w:rPr>
        <w:t xml:space="preserve"> Therefore, choosing the appropriate jurisdiction is left (to a certain extent) to the discretion of claimants and defendants where the differences between the jurisdictions again pave the way for forum shopping.</w:t>
      </w:r>
      <w:r w:rsidRPr="00F54106">
        <w:rPr>
          <w:rStyle w:val="FootnoteReference"/>
          <w:rFonts w:cstheme="minorHAnsi"/>
          <w:lang w:val="en-GB"/>
        </w:rPr>
        <w:footnoteReference w:id="14"/>
      </w:r>
      <w:r w:rsidRPr="00F54106">
        <w:rPr>
          <w:rFonts w:cstheme="minorHAnsi"/>
          <w:lang w:val="en-GB"/>
        </w:rPr>
        <w:t xml:space="preserve"> </w:t>
      </w:r>
      <w:r w:rsidR="00316B67" w:rsidRPr="00F54106">
        <w:rPr>
          <w:rFonts w:cstheme="minorHAnsi"/>
          <w:lang w:val="en-GB"/>
        </w:rPr>
        <w:t>This can give rise to conflicts of law as disputes between parties may be resolved in the courts of different Member States without any regard to the implications that the foreign judgements may have on the l</w:t>
      </w:r>
      <w:r w:rsidR="009D3A06" w:rsidRPr="00F54106">
        <w:rPr>
          <w:rFonts w:cstheme="minorHAnsi"/>
          <w:lang w:val="en-GB"/>
        </w:rPr>
        <w:t>egal</w:t>
      </w:r>
      <w:r w:rsidR="00316B67" w:rsidRPr="00F54106">
        <w:rPr>
          <w:rFonts w:cstheme="minorHAnsi"/>
          <w:lang w:val="en-GB"/>
        </w:rPr>
        <w:t xml:space="preserve"> systems of other EU Member States in terms of implementation. Even though Directive 2014/104/EU (henceforth: Damages Directive) strives towards the harmonization of private enforcement rules for damages claims resulting from competition law infringements,</w:t>
      </w:r>
      <w:r w:rsidR="00316B67" w:rsidRPr="00F54106">
        <w:rPr>
          <w:rStyle w:val="FootnoteReference"/>
          <w:rFonts w:cstheme="minorHAnsi"/>
          <w:lang w:val="en-GB"/>
        </w:rPr>
        <w:footnoteReference w:id="15"/>
      </w:r>
      <w:r w:rsidR="00316B67" w:rsidRPr="00F54106">
        <w:rPr>
          <w:rFonts w:cstheme="minorHAnsi"/>
          <w:lang w:val="en-GB"/>
        </w:rPr>
        <w:t xml:space="preserve"> liability and tort law are usually firmly embedded in the national legal and procedural framework of every EU Member State. As a result, the path towards fully harmonizing this matter at the EU level is obscured and may possibly never be achieved. What is more</w:t>
      </w:r>
      <w:r w:rsidRPr="00F54106">
        <w:rPr>
          <w:rFonts w:cstheme="minorHAnsi"/>
          <w:lang w:val="en-GB"/>
        </w:rPr>
        <w:t>, forum shopping is incentivized as a result of diverging fault standards of EU Member States stemming from the decision not to harmonize fault in the Damages Directive.</w:t>
      </w:r>
      <w:r w:rsidRPr="00F54106">
        <w:rPr>
          <w:rStyle w:val="FootnoteReference"/>
          <w:rFonts w:cstheme="minorHAnsi"/>
          <w:lang w:val="en-GB"/>
        </w:rPr>
        <w:footnoteReference w:id="16"/>
      </w:r>
      <w:r w:rsidRPr="00F54106">
        <w:rPr>
          <w:rFonts w:cstheme="minorHAnsi"/>
          <w:lang w:val="en-GB"/>
        </w:rPr>
        <w:t xml:space="preserve"> This may create situations in which damages claims are brought before courts that are distant from where the damage is located and where courts are less knowledgeable or sensitive to the local circumstances of the damage.</w:t>
      </w:r>
      <w:r w:rsidRPr="00F54106">
        <w:rPr>
          <w:rStyle w:val="FootnoteReference"/>
          <w:rFonts w:cstheme="minorHAnsi"/>
          <w:lang w:val="en-GB"/>
        </w:rPr>
        <w:footnoteReference w:id="17"/>
      </w:r>
      <w:r w:rsidRPr="00F54106">
        <w:rPr>
          <w:rFonts w:cstheme="minorHAnsi"/>
          <w:lang w:val="en-GB"/>
        </w:rPr>
        <w:t xml:space="preserve"> In addition, the diverging fault standards undermine the level playing field of the European internal market as more resourceful firms are given advantages over less resourceful competitors that aren’t able to shop in different jurisdictions.</w:t>
      </w:r>
      <w:r w:rsidRPr="00F54106">
        <w:rPr>
          <w:rStyle w:val="FootnoteReference"/>
          <w:rFonts w:cstheme="minorHAnsi"/>
          <w:lang w:val="en-GB"/>
        </w:rPr>
        <w:footnoteReference w:id="18"/>
      </w:r>
      <w:r w:rsidRPr="00F54106">
        <w:rPr>
          <w:rFonts w:cstheme="minorHAnsi"/>
          <w:lang w:val="en-GB"/>
        </w:rPr>
        <w:t xml:space="preserve"> Moreover, if the home country of victims of antitrust infringements does not provide an effective remedy, the incentive to shop for the forum that is perceived as best also creates an increased risk for excessive litigation in some countries.</w:t>
      </w:r>
      <w:r w:rsidRPr="00F54106">
        <w:rPr>
          <w:rStyle w:val="FootnoteReference"/>
          <w:rFonts w:cstheme="minorHAnsi"/>
          <w:lang w:val="en-GB"/>
        </w:rPr>
        <w:footnoteReference w:id="19"/>
      </w:r>
      <w:r w:rsidRPr="00F54106">
        <w:rPr>
          <w:rFonts w:cstheme="minorHAnsi"/>
          <w:lang w:val="en-GB"/>
        </w:rPr>
        <w:t xml:space="preserve"> Since some countries are more exposed to </w:t>
      </w:r>
      <w:r w:rsidRPr="00F54106">
        <w:rPr>
          <w:rFonts w:cstheme="minorHAnsi"/>
          <w:lang w:val="en-GB"/>
        </w:rPr>
        <w:lastRenderedPageBreak/>
        <w:t>(excessive) litigation than others, it is often assumed that countries with a higher amount of litigation are preferred forums and are categorized as such</w:t>
      </w:r>
      <w:r w:rsidR="006D695A" w:rsidRPr="00F54106">
        <w:rPr>
          <w:rFonts w:cstheme="minorHAnsi"/>
          <w:lang w:val="en-GB"/>
        </w:rPr>
        <w:t>.</w:t>
      </w:r>
      <w:r w:rsidRPr="00F54106">
        <w:rPr>
          <w:rStyle w:val="FootnoteReference"/>
          <w:rFonts w:cstheme="minorHAnsi"/>
          <w:lang w:val="en-GB"/>
        </w:rPr>
        <w:footnoteReference w:id="20"/>
      </w:r>
      <w:r w:rsidRPr="00F54106">
        <w:rPr>
          <w:rFonts w:cstheme="minorHAnsi"/>
          <w:lang w:val="en-GB"/>
        </w:rPr>
        <w:t xml:space="preserve"> </w:t>
      </w:r>
      <w:r w:rsidR="00AC7CA6" w:rsidRPr="00F54106">
        <w:rPr>
          <w:rFonts w:cstheme="minorHAnsi"/>
          <w:lang w:val="en-GB"/>
        </w:rPr>
        <w:t>In this re</w:t>
      </w:r>
      <w:r w:rsidR="003B5979" w:rsidRPr="00F54106">
        <w:rPr>
          <w:rFonts w:cstheme="minorHAnsi"/>
          <w:lang w:val="en-GB"/>
        </w:rPr>
        <w:t>gard</w:t>
      </w:r>
      <w:r w:rsidRPr="00F54106">
        <w:rPr>
          <w:rFonts w:cstheme="minorHAnsi"/>
          <w:lang w:val="en-GB"/>
        </w:rPr>
        <w:t xml:space="preserve">, three countries </w:t>
      </w:r>
      <w:r w:rsidR="007D398E" w:rsidRPr="00F54106">
        <w:rPr>
          <w:rFonts w:cstheme="minorHAnsi"/>
          <w:lang w:val="en-GB"/>
        </w:rPr>
        <w:t>have frequently come forward</w:t>
      </w:r>
      <w:r w:rsidR="006D695A" w:rsidRPr="00F54106">
        <w:rPr>
          <w:rFonts w:cstheme="minorHAnsi"/>
          <w:lang w:val="en-GB"/>
        </w:rPr>
        <w:t xml:space="preserve"> in the literature</w:t>
      </w:r>
      <w:r w:rsidR="007D398E" w:rsidRPr="00F54106">
        <w:rPr>
          <w:rFonts w:cstheme="minorHAnsi"/>
          <w:lang w:val="en-GB"/>
        </w:rPr>
        <w:t xml:space="preserve"> as</w:t>
      </w:r>
      <w:r w:rsidR="00AC7CA6" w:rsidRPr="00F54106">
        <w:rPr>
          <w:rFonts w:cstheme="minorHAnsi"/>
          <w:lang w:val="en-GB"/>
        </w:rPr>
        <w:t xml:space="preserve"> preferred</w:t>
      </w:r>
      <w:r w:rsidRPr="00F54106">
        <w:rPr>
          <w:rFonts w:cstheme="minorHAnsi"/>
          <w:lang w:val="en-GB"/>
        </w:rPr>
        <w:t xml:space="preserve"> forums for cartel damages claims</w:t>
      </w:r>
      <w:r w:rsidR="00D1350B" w:rsidRPr="00F54106">
        <w:rPr>
          <w:rFonts w:cstheme="minorHAnsi"/>
          <w:lang w:val="en-GB"/>
        </w:rPr>
        <w:t xml:space="preserve">. </w:t>
      </w:r>
      <w:r w:rsidR="003C5BF7" w:rsidRPr="00F54106">
        <w:rPr>
          <w:rFonts w:cstheme="minorHAnsi"/>
          <w:lang w:val="en-GB"/>
        </w:rPr>
        <w:t>Correspondingly</w:t>
      </w:r>
      <w:r w:rsidR="00D1350B" w:rsidRPr="00F54106">
        <w:rPr>
          <w:rFonts w:cstheme="minorHAnsi"/>
          <w:lang w:val="en-GB"/>
        </w:rPr>
        <w:t>, these are</w:t>
      </w:r>
      <w:r w:rsidRPr="00F54106">
        <w:rPr>
          <w:rFonts w:cstheme="minorHAnsi"/>
          <w:lang w:val="en-GB"/>
        </w:rPr>
        <w:t xml:space="preserve"> Germany, the United Kingdom and the Netherlands.</w:t>
      </w:r>
      <w:r w:rsidR="00D1350B" w:rsidRPr="00F54106">
        <w:rPr>
          <w:rStyle w:val="FootnoteReference"/>
          <w:rFonts w:cstheme="minorHAnsi"/>
          <w:lang w:val="en-GB"/>
        </w:rPr>
        <w:footnoteReference w:id="21"/>
      </w:r>
    </w:p>
    <w:p w14:paraId="5539C78C" w14:textId="764DB823" w:rsidR="00D1350B" w:rsidRPr="00F54106" w:rsidRDefault="001B6FBC" w:rsidP="00D1350B">
      <w:pPr>
        <w:spacing w:line="276" w:lineRule="auto"/>
        <w:ind w:firstLine="720"/>
        <w:rPr>
          <w:rFonts w:cstheme="minorHAnsi"/>
          <w:lang w:val="en-GB"/>
        </w:rPr>
      </w:pPr>
      <w:r w:rsidRPr="00F54106">
        <w:rPr>
          <w:rFonts w:cstheme="minorHAnsi"/>
          <w:lang w:val="en-GB"/>
        </w:rPr>
        <w:t>Considering the above, it would</w:t>
      </w:r>
      <w:r w:rsidR="00194375" w:rsidRPr="00F54106">
        <w:rPr>
          <w:rFonts w:cstheme="minorHAnsi"/>
          <w:lang w:val="en-GB"/>
        </w:rPr>
        <w:t xml:space="preserve"> be particularly relevant to examine on what scale</w:t>
      </w:r>
      <w:r w:rsidR="003C3F38" w:rsidRPr="00F54106">
        <w:rPr>
          <w:rFonts w:cstheme="minorHAnsi"/>
          <w:lang w:val="en-GB"/>
        </w:rPr>
        <w:t xml:space="preserve"> the phenomenon of</w:t>
      </w:r>
      <w:r w:rsidR="00194375" w:rsidRPr="00F54106">
        <w:rPr>
          <w:rFonts w:cstheme="minorHAnsi"/>
          <w:lang w:val="en-GB"/>
        </w:rPr>
        <w:t xml:space="preserve"> forum shopping actually occurs</w:t>
      </w:r>
      <w:r w:rsidR="00E92E7C" w:rsidRPr="00F54106">
        <w:rPr>
          <w:rFonts w:cstheme="minorHAnsi"/>
          <w:lang w:val="en-GB"/>
        </w:rPr>
        <w:t xml:space="preserve"> in practice,</w:t>
      </w:r>
      <w:r w:rsidR="00194375" w:rsidRPr="00F54106">
        <w:rPr>
          <w:rFonts w:cstheme="minorHAnsi"/>
          <w:lang w:val="en-GB"/>
        </w:rPr>
        <w:t xml:space="preserve"> and what factors determine the existence of </w:t>
      </w:r>
      <w:r w:rsidR="00306747" w:rsidRPr="00F54106">
        <w:rPr>
          <w:rFonts w:cstheme="minorHAnsi"/>
          <w:lang w:val="en-GB"/>
        </w:rPr>
        <w:t>this phenomenon</w:t>
      </w:r>
      <w:r w:rsidR="00194375" w:rsidRPr="00F54106">
        <w:rPr>
          <w:rFonts w:cstheme="minorHAnsi"/>
          <w:lang w:val="en-GB"/>
        </w:rPr>
        <w:t xml:space="preserve">. This </w:t>
      </w:r>
      <w:r w:rsidR="00306747" w:rsidRPr="00F54106">
        <w:rPr>
          <w:rFonts w:cstheme="minorHAnsi"/>
          <w:lang w:val="en-GB"/>
        </w:rPr>
        <w:t>can be investigated in the case of the Netherlands as it is often theorized and</w:t>
      </w:r>
      <w:r w:rsidR="00194375" w:rsidRPr="00F54106">
        <w:rPr>
          <w:rFonts w:cstheme="minorHAnsi"/>
          <w:lang w:val="en-GB"/>
        </w:rPr>
        <w:t xml:space="preserve"> assumed that the Netherlands is a preferred hub for private competition law enforcement and damages claims. </w:t>
      </w:r>
      <w:r w:rsidR="003C3F38" w:rsidRPr="00F54106">
        <w:rPr>
          <w:rFonts w:cstheme="minorHAnsi"/>
          <w:lang w:val="en-GB"/>
        </w:rPr>
        <w:t>What is more</w:t>
      </w:r>
      <w:r w:rsidR="001864BD" w:rsidRPr="00F54106">
        <w:rPr>
          <w:rFonts w:cstheme="minorHAnsi"/>
          <w:lang w:val="en-GB"/>
        </w:rPr>
        <w:t xml:space="preserve">, </w:t>
      </w:r>
      <w:r w:rsidR="003C3F38" w:rsidRPr="00F54106">
        <w:rPr>
          <w:rFonts w:cstheme="minorHAnsi"/>
          <w:lang w:val="en-GB"/>
        </w:rPr>
        <w:t xml:space="preserve">foreign investors have initiated numerous </w:t>
      </w:r>
      <w:r w:rsidR="001864BD" w:rsidRPr="00F54106">
        <w:rPr>
          <w:rFonts w:cstheme="minorHAnsi"/>
          <w:lang w:val="en-GB"/>
        </w:rPr>
        <w:t>mass claims for damages</w:t>
      </w:r>
      <w:r w:rsidR="00367027" w:rsidRPr="00F54106">
        <w:rPr>
          <w:rFonts w:cstheme="minorHAnsi"/>
          <w:lang w:val="en-GB"/>
        </w:rPr>
        <w:t xml:space="preserve"> in the Netherlands </w:t>
      </w:r>
      <w:r w:rsidR="003C3F38" w:rsidRPr="00F54106">
        <w:rPr>
          <w:rFonts w:cstheme="minorHAnsi"/>
          <w:lang w:val="en-GB"/>
        </w:rPr>
        <w:t>which</w:t>
      </w:r>
      <w:r w:rsidR="001864BD" w:rsidRPr="00F54106">
        <w:rPr>
          <w:rFonts w:cstheme="minorHAnsi"/>
          <w:lang w:val="en-GB"/>
        </w:rPr>
        <w:t xml:space="preserve"> have seemingly piled up before Dutch courts and, consequently, have</w:t>
      </w:r>
      <w:r w:rsidRPr="00F54106">
        <w:rPr>
          <w:rFonts w:cstheme="minorHAnsi"/>
          <w:lang w:val="en-GB"/>
        </w:rPr>
        <w:t xml:space="preserve"> </w:t>
      </w:r>
      <w:r w:rsidR="001864BD" w:rsidRPr="00F54106">
        <w:rPr>
          <w:rFonts w:cstheme="minorHAnsi"/>
          <w:lang w:val="en-GB"/>
        </w:rPr>
        <w:t xml:space="preserve">sparked a fear of overburdening the Dutch </w:t>
      </w:r>
      <w:r w:rsidR="003C3F38" w:rsidRPr="00F54106">
        <w:rPr>
          <w:rFonts w:cstheme="minorHAnsi"/>
          <w:lang w:val="en-GB"/>
        </w:rPr>
        <w:t>judicial</w:t>
      </w:r>
      <w:r w:rsidR="001864BD" w:rsidRPr="00F54106">
        <w:rPr>
          <w:rFonts w:cstheme="minorHAnsi"/>
          <w:lang w:val="en-GB"/>
        </w:rPr>
        <w:t xml:space="preserve"> system.</w:t>
      </w:r>
      <w:r w:rsidRPr="00F54106">
        <w:rPr>
          <w:rStyle w:val="FootnoteReference"/>
          <w:rFonts w:cstheme="minorHAnsi"/>
          <w:lang w:val="en-GB"/>
        </w:rPr>
        <w:footnoteReference w:id="22"/>
      </w:r>
      <w:r w:rsidR="001864BD" w:rsidRPr="00F54106">
        <w:rPr>
          <w:rFonts w:cstheme="minorHAnsi"/>
          <w:lang w:val="en-GB"/>
        </w:rPr>
        <w:t xml:space="preserve"> </w:t>
      </w:r>
      <w:r w:rsidR="00194375" w:rsidRPr="00F54106">
        <w:rPr>
          <w:rFonts w:cstheme="minorHAnsi"/>
          <w:lang w:val="en-GB"/>
        </w:rPr>
        <w:t>Hence, this research intends to scrutinize the Netherlands in particular and is founded on the assumption that the Netherlands is a preferred forum</w:t>
      </w:r>
      <w:r w:rsidR="0036368F" w:rsidRPr="00F54106">
        <w:rPr>
          <w:rFonts w:cstheme="minorHAnsi"/>
          <w:lang w:val="en-GB"/>
        </w:rPr>
        <w:t xml:space="preserve"> for cartel damages actions.</w:t>
      </w:r>
      <w:r w:rsidR="00E16009" w:rsidRPr="00F54106">
        <w:rPr>
          <w:rFonts w:cstheme="minorHAnsi"/>
          <w:lang w:val="en-GB"/>
        </w:rPr>
        <w:t xml:space="preserve"> </w:t>
      </w:r>
      <w:r w:rsidR="00D1350B" w:rsidRPr="00F54106">
        <w:rPr>
          <w:rFonts w:cstheme="minorHAnsi"/>
          <w:lang w:val="en-GB"/>
        </w:rPr>
        <w:t>In additio</w:t>
      </w:r>
      <w:r w:rsidR="00252002" w:rsidRPr="00F54106">
        <w:rPr>
          <w:rFonts w:cstheme="minorHAnsi"/>
          <w:lang w:val="en-GB"/>
        </w:rPr>
        <w:t>n, since the German and English fora are also considered attractive venues</w:t>
      </w:r>
      <w:r w:rsidR="000C4EAE" w:rsidRPr="00F54106">
        <w:rPr>
          <w:rFonts w:cstheme="minorHAnsi"/>
          <w:lang w:val="en-GB"/>
        </w:rPr>
        <w:t xml:space="preserve"> by the literature</w:t>
      </w:r>
      <w:r w:rsidR="00252002" w:rsidRPr="00F54106">
        <w:rPr>
          <w:rFonts w:cstheme="minorHAnsi"/>
          <w:lang w:val="en-GB"/>
        </w:rPr>
        <w:t xml:space="preserve">, </w:t>
      </w:r>
      <w:r w:rsidR="000D021D" w:rsidRPr="00F54106">
        <w:rPr>
          <w:rFonts w:cstheme="minorHAnsi"/>
          <w:lang w:val="en-GB"/>
        </w:rPr>
        <w:t>th</w:t>
      </w:r>
      <w:r w:rsidR="00252002" w:rsidRPr="00F54106">
        <w:rPr>
          <w:rFonts w:cstheme="minorHAnsi"/>
          <w:lang w:val="en-GB"/>
        </w:rPr>
        <w:t>is</w:t>
      </w:r>
      <w:r w:rsidR="000D021D" w:rsidRPr="00F54106">
        <w:rPr>
          <w:rFonts w:cstheme="minorHAnsi"/>
          <w:lang w:val="en-GB"/>
        </w:rPr>
        <w:t xml:space="preserve"> thesis will also investigate </w:t>
      </w:r>
      <w:r w:rsidR="00252002" w:rsidRPr="00F54106">
        <w:rPr>
          <w:rFonts w:cstheme="minorHAnsi"/>
          <w:lang w:val="en-GB"/>
        </w:rPr>
        <w:t xml:space="preserve">Germany and the United Kingdom </w:t>
      </w:r>
      <w:r w:rsidR="009B493C" w:rsidRPr="00F54106">
        <w:rPr>
          <w:rFonts w:cstheme="minorHAnsi"/>
          <w:lang w:val="en-GB"/>
        </w:rPr>
        <w:t>in a similar fashion</w:t>
      </w:r>
      <w:r w:rsidR="00AD054E" w:rsidRPr="00F54106">
        <w:rPr>
          <w:rFonts w:cstheme="minorHAnsi"/>
          <w:lang w:val="en-GB"/>
        </w:rPr>
        <w:t>, although without support from qualitative interviews</w:t>
      </w:r>
      <w:r w:rsidR="008878D6" w:rsidRPr="00F54106">
        <w:rPr>
          <w:rFonts w:cstheme="minorHAnsi"/>
          <w:lang w:val="en-GB"/>
        </w:rPr>
        <w:t xml:space="preserve">. </w:t>
      </w:r>
      <w:r w:rsidR="00AD054E" w:rsidRPr="00F54106">
        <w:rPr>
          <w:rFonts w:cstheme="minorHAnsi"/>
          <w:lang w:val="en-GB"/>
        </w:rPr>
        <w:t xml:space="preserve">As a result, </w:t>
      </w:r>
      <w:r w:rsidR="009C3A81" w:rsidRPr="00F54106">
        <w:rPr>
          <w:rFonts w:cstheme="minorHAnsi"/>
          <w:lang w:val="en-GB"/>
        </w:rPr>
        <w:t xml:space="preserve">additional </w:t>
      </w:r>
      <w:r w:rsidR="000C4EAE" w:rsidRPr="00F54106">
        <w:rPr>
          <w:rFonts w:cstheme="minorHAnsi"/>
          <w:lang w:val="en-GB"/>
        </w:rPr>
        <w:t xml:space="preserve">incentives that induce the phenomenon of </w:t>
      </w:r>
      <w:r w:rsidR="009C3A81" w:rsidRPr="00F54106">
        <w:rPr>
          <w:rFonts w:cstheme="minorHAnsi"/>
          <w:lang w:val="en-GB"/>
        </w:rPr>
        <w:t xml:space="preserve">forum shopping </w:t>
      </w:r>
      <w:r w:rsidR="00F30141" w:rsidRPr="00F54106">
        <w:rPr>
          <w:rFonts w:cstheme="minorHAnsi"/>
          <w:lang w:val="en-GB"/>
        </w:rPr>
        <w:t>in the literature</w:t>
      </w:r>
      <w:r w:rsidR="009C3A81" w:rsidRPr="00F54106">
        <w:rPr>
          <w:rFonts w:cstheme="minorHAnsi"/>
          <w:lang w:val="en-GB"/>
        </w:rPr>
        <w:t xml:space="preserve"> may be </w:t>
      </w:r>
      <w:r w:rsidR="000C4EAE" w:rsidRPr="00F54106">
        <w:rPr>
          <w:rFonts w:cstheme="minorHAnsi"/>
          <w:lang w:val="en-GB"/>
        </w:rPr>
        <w:t xml:space="preserve">uncovered and may provide indications on </w:t>
      </w:r>
      <w:r w:rsidR="009C3A81" w:rsidRPr="00F54106">
        <w:rPr>
          <w:rFonts w:cstheme="minorHAnsi"/>
          <w:lang w:val="en-GB"/>
        </w:rPr>
        <w:t xml:space="preserve">whether these </w:t>
      </w:r>
      <w:r w:rsidR="00F30141" w:rsidRPr="00F54106">
        <w:rPr>
          <w:rFonts w:cstheme="minorHAnsi"/>
          <w:lang w:val="en-GB"/>
        </w:rPr>
        <w:t>incentive</w:t>
      </w:r>
      <w:r w:rsidR="009C3A81" w:rsidRPr="00F54106">
        <w:rPr>
          <w:rFonts w:cstheme="minorHAnsi"/>
          <w:lang w:val="en-GB"/>
        </w:rPr>
        <w:t>s perhaps differ between the investigated countries or are actually similar in nature</w:t>
      </w:r>
      <w:r w:rsidR="00D32A46" w:rsidRPr="00F54106">
        <w:rPr>
          <w:rFonts w:cstheme="minorHAnsi"/>
          <w:lang w:val="en-GB"/>
        </w:rPr>
        <w:t xml:space="preserve">. </w:t>
      </w:r>
      <w:r w:rsidR="009B493C" w:rsidRPr="00F54106">
        <w:rPr>
          <w:rFonts w:cstheme="minorHAnsi"/>
          <w:lang w:val="en-GB"/>
        </w:rPr>
        <w:t>Next to this,</w:t>
      </w:r>
      <w:r w:rsidR="00252002" w:rsidRPr="00F54106">
        <w:rPr>
          <w:rFonts w:cstheme="minorHAnsi"/>
          <w:lang w:val="en-GB"/>
        </w:rPr>
        <w:t xml:space="preserve"> </w:t>
      </w:r>
      <w:r w:rsidR="000C4EAE" w:rsidRPr="00F54106">
        <w:rPr>
          <w:rFonts w:cstheme="minorHAnsi"/>
          <w:lang w:val="en-GB"/>
        </w:rPr>
        <w:t xml:space="preserve">the findings of the qualitative interviews on the Dutch forum can then be used to construct </w:t>
      </w:r>
      <w:r w:rsidR="00E04262" w:rsidRPr="00F54106">
        <w:rPr>
          <w:rFonts w:cstheme="minorHAnsi"/>
          <w:lang w:val="en-GB"/>
        </w:rPr>
        <w:t>implications on the role of Germany and the UK in the EU forum shopping trends as well.</w:t>
      </w:r>
    </w:p>
    <w:p w14:paraId="74F4A7FE" w14:textId="77777777" w:rsidR="0008517E" w:rsidRPr="00F54106" w:rsidRDefault="0008517E" w:rsidP="00FC31D7">
      <w:pPr>
        <w:spacing w:line="276" w:lineRule="auto"/>
        <w:rPr>
          <w:rFonts w:cstheme="minorHAnsi"/>
          <w:lang w:val="en-GB"/>
        </w:rPr>
      </w:pPr>
    </w:p>
    <w:p w14:paraId="7DA9C799" w14:textId="325E77E2" w:rsidR="0057252A" w:rsidRPr="00F54106" w:rsidRDefault="0008517E" w:rsidP="00FC31D7">
      <w:pPr>
        <w:pStyle w:val="Heading2"/>
        <w:spacing w:line="276" w:lineRule="auto"/>
        <w:rPr>
          <w:lang w:val="en-GB"/>
        </w:rPr>
      </w:pPr>
      <w:bookmarkStart w:id="11" w:name="_Toc107610211"/>
      <w:r w:rsidRPr="00F54106">
        <w:rPr>
          <w:lang w:val="en-GB"/>
        </w:rPr>
        <w:t>1.</w:t>
      </w:r>
      <w:r w:rsidR="001F39DE" w:rsidRPr="00F54106">
        <w:rPr>
          <w:lang w:val="en-GB"/>
        </w:rPr>
        <w:t>2</w:t>
      </w:r>
      <w:r w:rsidRPr="00F54106">
        <w:rPr>
          <w:lang w:val="en-GB"/>
        </w:rPr>
        <w:t xml:space="preserve"> </w:t>
      </w:r>
      <w:r w:rsidR="00194375" w:rsidRPr="00F54106">
        <w:rPr>
          <w:lang w:val="en-GB"/>
        </w:rPr>
        <w:t>The research question</w:t>
      </w:r>
      <w:r w:rsidR="00306747" w:rsidRPr="00F54106">
        <w:rPr>
          <w:lang w:val="en-GB"/>
        </w:rPr>
        <w:t xml:space="preserve"> and</w:t>
      </w:r>
      <w:r w:rsidR="00194375" w:rsidRPr="00F54106">
        <w:rPr>
          <w:lang w:val="en-GB"/>
        </w:rPr>
        <w:t xml:space="preserve"> sub-questions</w:t>
      </w:r>
      <w:bookmarkEnd w:id="11"/>
    </w:p>
    <w:p w14:paraId="0F8501A7" w14:textId="7A18022F" w:rsidR="001B6694" w:rsidRPr="00F54106" w:rsidRDefault="0057252A" w:rsidP="00FC31D7">
      <w:pPr>
        <w:spacing w:line="276" w:lineRule="auto"/>
        <w:rPr>
          <w:rFonts w:cstheme="minorHAnsi"/>
          <w:lang w:val="en-GB"/>
        </w:rPr>
      </w:pPr>
      <w:r w:rsidRPr="00F54106">
        <w:rPr>
          <w:rFonts w:cstheme="minorHAnsi"/>
          <w:lang w:val="en-GB"/>
        </w:rPr>
        <w:t xml:space="preserve">As discussed </w:t>
      </w:r>
      <w:r w:rsidR="00306747" w:rsidRPr="00F54106">
        <w:rPr>
          <w:rFonts w:cstheme="minorHAnsi"/>
          <w:lang w:val="en-GB"/>
        </w:rPr>
        <w:t>above</w:t>
      </w:r>
      <w:r w:rsidRPr="00F54106">
        <w:rPr>
          <w:rFonts w:cstheme="minorHAnsi"/>
          <w:lang w:val="en-GB"/>
        </w:rPr>
        <w:t xml:space="preserve">, it is </w:t>
      </w:r>
      <w:r w:rsidR="00306747" w:rsidRPr="00F54106">
        <w:rPr>
          <w:rFonts w:cstheme="minorHAnsi"/>
          <w:lang w:val="en-GB"/>
        </w:rPr>
        <w:t>claimed in the literature that</w:t>
      </w:r>
      <w:r w:rsidRPr="00F54106">
        <w:rPr>
          <w:rFonts w:cstheme="minorHAnsi"/>
          <w:lang w:val="en-GB"/>
        </w:rPr>
        <w:t xml:space="preserve"> the Netherlands is a preferred forum for cartel damages claims. </w:t>
      </w:r>
      <w:r w:rsidR="007C53F6" w:rsidRPr="00F54106">
        <w:rPr>
          <w:rFonts w:cstheme="minorHAnsi"/>
          <w:lang w:val="en-GB"/>
        </w:rPr>
        <w:t xml:space="preserve">The present research is indeed based on the thesis that the Netherlands is a preferred hub for cartel damages claims. </w:t>
      </w:r>
      <w:r w:rsidRPr="00F54106">
        <w:rPr>
          <w:rFonts w:cstheme="minorHAnsi"/>
          <w:lang w:val="en-GB"/>
        </w:rPr>
        <w:t xml:space="preserve">Therefore, this research attempts to scrutinize private enforcement under </w:t>
      </w:r>
      <w:r w:rsidR="007C53F6" w:rsidRPr="00F54106">
        <w:rPr>
          <w:rFonts w:cstheme="minorHAnsi"/>
          <w:lang w:val="en-GB"/>
        </w:rPr>
        <w:t xml:space="preserve">the </w:t>
      </w:r>
      <w:r w:rsidRPr="00F54106">
        <w:rPr>
          <w:rFonts w:cstheme="minorHAnsi"/>
          <w:lang w:val="en-GB"/>
        </w:rPr>
        <w:t xml:space="preserve">Dutch liability law in order to distinguish </w:t>
      </w:r>
      <w:bookmarkStart w:id="12" w:name="_Hlk94836710"/>
      <w:r w:rsidRPr="00F54106">
        <w:rPr>
          <w:rFonts w:cstheme="minorHAnsi"/>
          <w:lang w:val="en-GB"/>
        </w:rPr>
        <w:t>why the Netherlands is</w:t>
      </w:r>
      <w:r w:rsidR="007C53F6" w:rsidRPr="00F54106">
        <w:rPr>
          <w:rFonts w:cstheme="minorHAnsi"/>
          <w:lang w:val="en-GB"/>
        </w:rPr>
        <w:t>, as claimed,</w:t>
      </w:r>
      <w:r w:rsidRPr="00F54106">
        <w:rPr>
          <w:rFonts w:cstheme="minorHAnsi"/>
          <w:lang w:val="en-GB"/>
        </w:rPr>
        <w:t xml:space="preserve"> more favo</w:t>
      </w:r>
      <w:r w:rsidR="006E7271" w:rsidRPr="00F54106">
        <w:rPr>
          <w:rFonts w:cstheme="minorHAnsi"/>
          <w:lang w:val="en-GB"/>
        </w:rPr>
        <w:t>u</w:t>
      </w:r>
      <w:r w:rsidRPr="00F54106">
        <w:rPr>
          <w:rFonts w:cstheme="minorHAnsi"/>
          <w:lang w:val="en-GB"/>
        </w:rPr>
        <w:t xml:space="preserve">rable </w:t>
      </w:r>
      <w:r w:rsidRPr="00F54106">
        <w:rPr>
          <w:rFonts w:cstheme="minorHAnsi"/>
          <w:lang w:val="en-GB"/>
        </w:rPr>
        <w:lastRenderedPageBreak/>
        <w:t>for cartel damages claims than other EU countries.</w:t>
      </w:r>
      <w:bookmarkEnd w:id="12"/>
      <w:r w:rsidRPr="00F54106">
        <w:rPr>
          <w:rFonts w:cstheme="minorHAnsi"/>
          <w:lang w:val="en-GB"/>
        </w:rPr>
        <w:t xml:space="preserve"> </w:t>
      </w:r>
      <w:r w:rsidR="001B6694" w:rsidRPr="00F54106">
        <w:rPr>
          <w:rFonts w:cstheme="minorHAnsi"/>
          <w:lang w:val="en-GB"/>
        </w:rPr>
        <w:t>The central research question in this thesis therefore reads:</w:t>
      </w:r>
    </w:p>
    <w:p w14:paraId="16D0CB21" w14:textId="7E82BB87" w:rsidR="00194375" w:rsidRPr="00F54106" w:rsidRDefault="0057252A" w:rsidP="00FC31D7">
      <w:pPr>
        <w:spacing w:line="276" w:lineRule="auto"/>
        <w:rPr>
          <w:rFonts w:cstheme="minorHAnsi"/>
          <w:lang w:val="en-GB"/>
        </w:rPr>
      </w:pPr>
      <w:r w:rsidRPr="00F54106">
        <w:rPr>
          <w:rFonts w:cstheme="minorHAnsi"/>
          <w:lang w:val="en-GB"/>
        </w:rPr>
        <w:t>“</w:t>
      </w:r>
      <w:r w:rsidR="00194375" w:rsidRPr="00F54106">
        <w:rPr>
          <w:rFonts w:cstheme="minorHAnsi"/>
          <w:lang w:val="en-GB"/>
        </w:rPr>
        <w:t xml:space="preserve">To what extent is the Netherlands </w:t>
      </w:r>
      <w:r w:rsidR="006C23B2" w:rsidRPr="00F54106">
        <w:rPr>
          <w:rFonts w:cstheme="minorHAnsi"/>
          <w:lang w:val="en-GB"/>
        </w:rPr>
        <w:t>perceived</w:t>
      </w:r>
      <w:r w:rsidR="00194375" w:rsidRPr="00F54106">
        <w:rPr>
          <w:rFonts w:cstheme="minorHAnsi"/>
          <w:lang w:val="en-GB"/>
        </w:rPr>
        <w:t xml:space="preserve"> as a preferred </w:t>
      </w:r>
      <w:r w:rsidR="006C23B2" w:rsidRPr="00F54106">
        <w:rPr>
          <w:rFonts w:cstheme="minorHAnsi"/>
          <w:lang w:val="en-GB"/>
        </w:rPr>
        <w:t>country</w:t>
      </w:r>
      <w:r w:rsidR="00194375" w:rsidRPr="00F54106">
        <w:rPr>
          <w:rFonts w:cstheme="minorHAnsi"/>
          <w:lang w:val="en-GB"/>
        </w:rPr>
        <w:t xml:space="preserve"> for private enforcement of cartel damages claims </w:t>
      </w:r>
      <w:r w:rsidR="006C23B2" w:rsidRPr="00F54106">
        <w:rPr>
          <w:rFonts w:cstheme="minorHAnsi"/>
          <w:lang w:val="en-GB"/>
        </w:rPr>
        <w:t xml:space="preserve">in the EU </w:t>
      </w:r>
      <w:r w:rsidR="00194375" w:rsidRPr="00F54106">
        <w:rPr>
          <w:rFonts w:cstheme="minorHAnsi"/>
          <w:lang w:val="en-GB"/>
        </w:rPr>
        <w:t>and what elements of the Dutch legal</w:t>
      </w:r>
      <w:r w:rsidR="006C23B2" w:rsidRPr="00F54106">
        <w:rPr>
          <w:rFonts w:cstheme="minorHAnsi"/>
          <w:lang w:val="en-GB"/>
        </w:rPr>
        <w:t xml:space="preserve"> and judicial</w:t>
      </w:r>
      <w:r w:rsidR="00194375" w:rsidRPr="00F54106">
        <w:rPr>
          <w:rFonts w:cstheme="minorHAnsi"/>
          <w:lang w:val="en-GB"/>
        </w:rPr>
        <w:t xml:space="preserve"> system or other factors</w:t>
      </w:r>
      <w:r w:rsidR="007C53F6" w:rsidRPr="00F54106">
        <w:rPr>
          <w:rFonts w:cstheme="minorHAnsi"/>
          <w:lang w:val="en-GB"/>
        </w:rPr>
        <w:t xml:space="preserve"> and incentives</w:t>
      </w:r>
      <w:r w:rsidR="006C23B2" w:rsidRPr="00F54106">
        <w:rPr>
          <w:rFonts w:cstheme="minorHAnsi"/>
          <w:lang w:val="en-GB"/>
        </w:rPr>
        <w:t xml:space="preserve"> may</w:t>
      </w:r>
      <w:r w:rsidR="00194375" w:rsidRPr="00F54106">
        <w:rPr>
          <w:rFonts w:cstheme="minorHAnsi"/>
          <w:lang w:val="en-GB"/>
        </w:rPr>
        <w:t xml:space="preserve"> influence and determine this preference?</w:t>
      </w:r>
      <w:r w:rsidRPr="00F54106">
        <w:rPr>
          <w:rFonts w:cstheme="minorHAnsi"/>
          <w:lang w:val="en-GB"/>
        </w:rPr>
        <w:t>”</w:t>
      </w:r>
    </w:p>
    <w:p w14:paraId="3AD9C388" w14:textId="689B787A" w:rsidR="001B6694" w:rsidRPr="00F54106" w:rsidRDefault="001B6694" w:rsidP="00FC31D7">
      <w:pPr>
        <w:spacing w:line="276" w:lineRule="auto"/>
        <w:rPr>
          <w:rFonts w:cstheme="minorHAnsi"/>
          <w:lang w:val="en-GB"/>
        </w:rPr>
      </w:pPr>
      <w:r w:rsidRPr="00F54106">
        <w:rPr>
          <w:rFonts w:cstheme="minorHAnsi"/>
          <w:lang w:val="en-GB"/>
        </w:rPr>
        <w:t>The research question will be answered with the help of the following sub-questions:</w:t>
      </w:r>
    </w:p>
    <w:p w14:paraId="53653949" w14:textId="5F27B012" w:rsidR="00E94596" w:rsidRPr="00F54106" w:rsidRDefault="00194375" w:rsidP="00B8211B">
      <w:pPr>
        <w:pStyle w:val="ListParagraph"/>
        <w:numPr>
          <w:ilvl w:val="0"/>
          <w:numId w:val="4"/>
        </w:numPr>
        <w:spacing w:line="276" w:lineRule="auto"/>
        <w:rPr>
          <w:rFonts w:cstheme="minorHAnsi"/>
          <w:lang w:val="en-GB"/>
        </w:rPr>
      </w:pPr>
      <w:bookmarkStart w:id="13" w:name="_Hlk107241164"/>
      <w:r w:rsidRPr="00F54106">
        <w:rPr>
          <w:rFonts w:cstheme="minorHAnsi"/>
          <w:lang w:val="en-GB"/>
        </w:rPr>
        <w:t>Wh</w:t>
      </w:r>
      <w:r w:rsidR="00961114" w:rsidRPr="00F54106">
        <w:rPr>
          <w:rFonts w:cstheme="minorHAnsi"/>
          <w:lang w:val="en-GB"/>
        </w:rPr>
        <w:t>ich</w:t>
      </w:r>
      <w:r w:rsidRPr="00F54106">
        <w:rPr>
          <w:rFonts w:cstheme="minorHAnsi"/>
          <w:lang w:val="en-GB"/>
        </w:rPr>
        <w:t xml:space="preserve"> countries are distinguished in the literature as EU countries with preferred law systems and </w:t>
      </w:r>
      <w:r w:rsidR="00B8211B" w:rsidRPr="00F54106">
        <w:rPr>
          <w:rFonts w:cstheme="minorHAnsi"/>
          <w:lang w:val="en-GB"/>
        </w:rPr>
        <w:t>what features of the</w:t>
      </w:r>
      <w:r w:rsidR="00961114" w:rsidRPr="00F54106">
        <w:rPr>
          <w:rFonts w:cstheme="minorHAnsi"/>
          <w:lang w:val="en-GB"/>
        </w:rPr>
        <w:t>ir</w:t>
      </w:r>
      <w:r w:rsidR="00B8211B" w:rsidRPr="00F54106">
        <w:rPr>
          <w:rFonts w:cstheme="minorHAnsi"/>
          <w:lang w:val="en-GB"/>
        </w:rPr>
        <w:t xml:space="preserve"> legal and judicial systems </w:t>
      </w:r>
      <w:r w:rsidR="00961114" w:rsidRPr="00F54106">
        <w:rPr>
          <w:rFonts w:cstheme="minorHAnsi"/>
          <w:lang w:val="en-GB"/>
        </w:rPr>
        <w:t>lead to their preferability according to the literature</w:t>
      </w:r>
      <w:r w:rsidR="00B8211B" w:rsidRPr="00F54106">
        <w:rPr>
          <w:rFonts w:cstheme="minorHAnsi"/>
          <w:lang w:val="en-GB"/>
        </w:rPr>
        <w:t>?</w:t>
      </w:r>
    </w:p>
    <w:bookmarkEnd w:id="13"/>
    <w:p w14:paraId="6F7521B7" w14:textId="12F09847" w:rsidR="00194375" w:rsidRPr="00F54106" w:rsidRDefault="00194375" w:rsidP="00FC31D7">
      <w:pPr>
        <w:pStyle w:val="ListParagraph"/>
        <w:numPr>
          <w:ilvl w:val="0"/>
          <w:numId w:val="4"/>
        </w:numPr>
        <w:spacing w:line="276" w:lineRule="auto"/>
        <w:rPr>
          <w:rFonts w:cstheme="minorHAnsi"/>
          <w:lang w:val="en-GB"/>
        </w:rPr>
      </w:pPr>
      <w:r w:rsidRPr="00F54106">
        <w:rPr>
          <w:rFonts w:cstheme="minorHAnsi"/>
          <w:lang w:val="en-GB"/>
        </w:rPr>
        <w:t xml:space="preserve">To what extent does the literature’s view of the Netherlands align with the reality and what factors in the Dutch legal </w:t>
      </w:r>
      <w:r w:rsidR="00383CF0" w:rsidRPr="00F54106">
        <w:rPr>
          <w:rFonts w:cstheme="minorHAnsi"/>
          <w:lang w:val="en-GB"/>
        </w:rPr>
        <w:t xml:space="preserve">and judicial </w:t>
      </w:r>
      <w:r w:rsidRPr="00F54106">
        <w:rPr>
          <w:rFonts w:cstheme="minorHAnsi"/>
          <w:lang w:val="en-GB"/>
        </w:rPr>
        <w:t>system may foster private enforcement?</w:t>
      </w:r>
    </w:p>
    <w:p w14:paraId="7B9B5F6A" w14:textId="77777777" w:rsidR="00194375" w:rsidRPr="00F54106" w:rsidRDefault="00194375" w:rsidP="00FC31D7">
      <w:pPr>
        <w:pStyle w:val="ListParagraph"/>
        <w:numPr>
          <w:ilvl w:val="0"/>
          <w:numId w:val="4"/>
        </w:numPr>
        <w:spacing w:line="276" w:lineRule="auto"/>
        <w:rPr>
          <w:rFonts w:cstheme="minorHAnsi"/>
          <w:lang w:val="en-GB"/>
        </w:rPr>
      </w:pPr>
      <w:r w:rsidRPr="00F54106">
        <w:rPr>
          <w:rFonts w:cstheme="minorHAnsi"/>
          <w:lang w:val="en-GB"/>
        </w:rPr>
        <w:t>What are the key issues related to the transposition of the Damages Directive into Dutch private law that contribute to an uneven playing field and induce forum shopping?</w:t>
      </w:r>
    </w:p>
    <w:p w14:paraId="12A8621E" w14:textId="31F8A1F1" w:rsidR="00194375" w:rsidRPr="00F54106" w:rsidRDefault="00194375" w:rsidP="00FC31D7">
      <w:pPr>
        <w:pStyle w:val="ListParagraph"/>
        <w:numPr>
          <w:ilvl w:val="0"/>
          <w:numId w:val="4"/>
        </w:numPr>
        <w:spacing w:line="276" w:lineRule="auto"/>
        <w:rPr>
          <w:rFonts w:cstheme="minorHAnsi"/>
          <w:lang w:val="en-GB"/>
        </w:rPr>
      </w:pPr>
      <w:r w:rsidRPr="00F54106">
        <w:rPr>
          <w:rFonts w:cstheme="minorHAnsi"/>
          <w:lang w:val="en-GB"/>
        </w:rPr>
        <w:t xml:space="preserve">To what extent is </w:t>
      </w:r>
      <w:r w:rsidR="00177015" w:rsidRPr="00F54106">
        <w:rPr>
          <w:rFonts w:cstheme="minorHAnsi"/>
          <w:i/>
          <w:iCs/>
          <w:lang w:val="en-GB"/>
        </w:rPr>
        <w:t>ambulance-chasing</w:t>
      </w:r>
      <w:r w:rsidR="00177015" w:rsidRPr="00F54106">
        <w:rPr>
          <w:rStyle w:val="FootnoteReference"/>
          <w:rFonts w:cstheme="minorHAnsi"/>
          <w:lang w:val="en-GB"/>
        </w:rPr>
        <w:footnoteReference w:id="23"/>
      </w:r>
      <w:r w:rsidRPr="00F54106">
        <w:rPr>
          <w:rFonts w:cstheme="minorHAnsi"/>
          <w:lang w:val="en-GB"/>
        </w:rPr>
        <w:t xml:space="preserve"> adopted by law firms in the Netherlands and to what extent are companies aware that they have suffered damages from a cartel infringement?</w:t>
      </w:r>
    </w:p>
    <w:p w14:paraId="76810E21" w14:textId="3EB740E3" w:rsidR="00EE16F7" w:rsidRPr="00F54106" w:rsidRDefault="00EE16F7" w:rsidP="00FC31D7">
      <w:pPr>
        <w:spacing w:line="276" w:lineRule="auto"/>
        <w:rPr>
          <w:rFonts w:cstheme="minorHAnsi"/>
          <w:lang w:val="en-GB"/>
        </w:rPr>
      </w:pPr>
    </w:p>
    <w:p w14:paraId="039F80C7" w14:textId="7C7C832D" w:rsidR="00194375" w:rsidRPr="00F54106" w:rsidRDefault="0008517E" w:rsidP="00FC31D7">
      <w:pPr>
        <w:pStyle w:val="Heading2"/>
        <w:spacing w:line="276" w:lineRule="auto"/>
        <w:rPr>
          <w:lang w:val="en-GB"/>
        </w:rPr>
      </w:pPr>
      <w:bookmarkStart w:id="14" w:name="_Toc107610212"/>
      <w:r w:rsidRPr="00F54106">
        <w:rPr>
          <w:lang w:val="en-GB"/>
        </w:rPr>
        <w:t>1.</w:t>
      </w:r>
      <w:r w:rsidR="001F39DE" w:rsidRPr="00F54106">
        <w:rPr>
          <w:lang w:val="en-GB"/>
        </w:rPr>
        <w:t>3</w:t>
      </w:r>
      <w:r w:rsidRPr="00F54106">
        <w:rPr>
          <w:lang w:val="en-GB"/>
        </w:rPr>
        <w:t xml:space="preserve"> </w:t>
      </w:r>
      <w:r w:rsidR="00194375" w:rsidRPr="00F54106">
        <w:rPr>
          <w:lang w:val="en-GB"/>
        </w:rPr>
        <w:t>The academic and practic</w:t>
      </w:r>
      <w:r w:rsidR="001B6694" w:rsidRPr="00F54106">
        <w:rPr>
          <w:lang w:val="en-GB"/>
        </w:rPr>
        <w:t>al</w:t>
      </w:r>
      <w:r w:rsidR="00194375" w:rsidRPr="00F54106">
        <w:rPr>
          <w:lang w:val="en-GB"/>
        </w:rPr>
        <w:t xml:space="preserve"> relevance of </w:t>
      </w:r>
      <w:r w:rsidR="00B00CC1" w:rsidRPr="00F54106">
        <w:rPr>
          <w:lang w:val="en-GB"/>
        </w:rPr>
        <w:t xml:space="preserve">the </w:t>
      </w:r>
      <w:r w:rsidR="00194375" w:rsidRPr="00F54106">
        <w:rPr>
          <w:lang w:val="en-GB"/>
        </w:rPr>
        <w:t>research</w:t>
      </w:r>
      <w:bookmarkEnd w:id="14"/>
    </w:p>
    <w:p w14:paraId="64F91282" w14:textId="123AFCFD" w:rsidR="00194375" w:rsidRPr="00F54106" w:rsidRDefault="00194375" w:rsidP="002C38C3">
      <w:pPr>
        <w:spacing w:line="276" w:lineRule="auto"/>
        <w:rPr>
          <w:rFonts w:cstheme="minorHAnsi"/>
          <w:lang w:val="en-GB"/>
        </w:rPr>
      </w:pPr>
      <w:r w:rsidRPr="00F54106">
        <w:rPr>
          <w:rFonts w:cstheme="minorHAnsi"/>
          <w:lang w:val="en-GB"/>
        </w:rPr>
        <w:t>The existing literature and reports</w:t>
      </w:r>
      <w:r w:rsidR="006C23B2" w:rsidRPr="00F54106">
        <w:rPr>
          <w:rFonts w:cstheme="minorHAnsi"/>
          <w:lang w:val="en-GB"/>
        </w:rPr>
        <w:t xml:space="preserve"> reveal</w:t>
      </w:r>
      <w:r w:rsidRPr="00F54106">
        <w:rPr>
          <w:rFonts w:cstheme="minorHAnsi"/>
          <w:lang w:val="en-GB"/>
        </w:rPr>
        <w:t xml:space="preserve"> a somewhat contradictory </w:t>
      </w:r>
      <w:r w:rsidR="003B5979" w:rsidRPr="00F54106">
        <w:rPr>
          <w:rFonts w:cstheme="minorHAnsi"/>
          <w:lang w:val="en-GB"/>
        </w:rPr>
        <w:t xml:space="preserve">picture </w:t>
      </w:r>
      <w:r w:rsidRPr="00F54106">
        <w:rPr>
          <w:rFonts w:cstheme="minorHAnsi"/>
          <w:lang w:val="en-GB"/>
        </w:rPr>
        <w:t xml:space="preserve">when it comes to the Netherlands’ role in forum shopping related to competition law damages claims. The Netherlands is, on the one hand, </w:t>
      </w:r>
      <w:r w:rsidR="00E2681D" w:rsidRPr="00F54106">
        <w:rPr>
          <w:rFonts w:cstheme="minorHAnsi"/>
          <w:lang w:val="en-GB"/>
        </w:rPr>
        <w:t>viewed</w:t>
      </w:r>
      <w:r w:rsidRPr="00F54106">
        <w:rPr>
          <w:rFonts w:cstheme="minorHAnsi"/>
          <w:lang w:val="en-GB"/>
        </w:rPr>
        <w:t xml:space="preserve"> as a preferred and suitable forum to stimulate legal proceedings, as </w:t>
      </w:r>
      <w:r w:rsidR="00793DD2" w:rsidRPr="00F54106">
        <w:rPr>
          <w:rFonts w:cstheme="minorHAnsi"/>
          <w:lang w:val="en-GB"/>
        </w:rPr>
        <w:t>claimed</w:t>
      </w:r>
      <w:r w:rsidRPr="00F54106">
        <w:rPr>
          <w:rFonts w:cstheme="minorHAnsi"/>
          <w:lang w:val="en-GB"/>
        </w:rPr>
        <w:t xml:space="preserve"> in </w:t>
      </w:r>
      <w:r w:rsidR="003B5979" w:rsidRPr="00F54106">
        <w:rPr>
          <w:rFonts w:cstheme="minorHAnsi"/>
          <w:lang w:val="en-GB"/>
        </w:rPr>
        <w:t>the context and background of the thesis</w:t>
      </w:r>
      <w:r w:rsidRPr="00F54106">
        <w:rPr>
          <w:rFonts w:cstheme="minorHAnsi"/>
          <w:lang w:val="en-GB"/>
        </w:rPr>
        <w:t>. On the other hand, a</w:t>
      </w:r>
      <w:r w:rsidR="00CC4712" w:rsidRPr="00F54106">
        <w:rPr>
          <w:rFonts w:cstheme="minorHAnsi"/>
          <w:lang w:val="en-GB"/>
        </w:rPr>
        <w:t>n</w:t>
      </w:r>
      <w:r w:rsidRPr="00F54106">
        <w:rPr>
          <w:rFonts w:cstheme="minorHAnsi"/>
          <w:lang w:val="en-GB"/>
        </w:rPr>
        <w:t xml:space="preserve"> </w:t>
      </w:r>
      <w:r w:rsidR="00CC4712" w:rsidRPr="00F54106">
        <w:rPr>
          <w:rFonts w:cstheme="minorHAnsi"/>
          <w:lang w:val="en-GB"/>
        </w:rPr>
        <w:t>e-</w:t>
      </w:r>
      <w:r w:rsidRPr="00F54106">
        <w:rPr>
          <w:rFonts w:cstheme="minorHAnsi"/>
          <w:lang w:val="en-GB"/>
        </w:rPr>
        <w:t>study found that a rather low amount of cases have been judged in the Netherlands compared to other countries</w:t>
      </w:r>
      <w:r w:rsidR="00E2681D" w:rsidRPr="00F54106">
        <w:rPr>
          <w:rFonts w:cstheme="minorHAnsi"/>
          <w:lang w:val="en-GB"/>
        </w:rPr>
        <w:t>,</w:t>
      </w:r>
      <w:r w:rsidRPr="00F54106">
        <w:rPr>
          <w:rStyle w:val="FootnoteReference"/>
          <w:rFonts w:cstheme="minorHAnsi"/>
          <w:lang w:val="en-GB"/>
        </w:rPr>
        <w:footnoteReference w:id="24"/>
      </w:r>
      <w:r w:rsidR="00E2681D" w:rsidRPr="00F54106">
        <w:rPr>
          <w:rFonts w:cstheme="minorHAnsi"/>
          <w:lang w:val="en-GB"/>
        </w:rPr>
        <w:t xml:space="preserve"> which may indicate that the Netherland is, in reality, </w:t>
      </w:r>
      <w:r w:rsidR="00CC4712" w:rsidRPr="00F54106">
        <w:rPr>
          <w:rFonts w:cstheme="minorHAnsi"/>
          <w:lang w:val="en-GB"/>
        </w:rPr>
        <w:t>unfavoured</w:t>
      </w:r>
      <w:r w:rsidR="00E2681D" w:rsidRPr="00F54106">
        <w:rPr>
          <w:rFonts w:cstheme="minorHAnsi"/>
          <w:lang w:val="en-GB"/>
        </w:rPr>
        <w:t>.</w:t>
      </w:r>
      <w:r w:rsidRPr="00F54106">
        <w:rPr>
          <w:rFonts w:cstheme="minorHAnsi"/>
          <w:lang w:val="en-GB"/>
        </w:rPr>
        <w:t xml:space="preserve"> </w:t>
      </w:r>
      <w:r w:rsidR="003B5979" w:rsidRPr="00F54106">
        <w:rPr>
          <w:rFonts w:cstheme="minorHAnsi"/>
          <w:lang w:val="en-GB"/>
        </w:rPr>
        <w:t>Nevertheless</w:t>
      </w:r>
      <w:r w:rsidRPr="00F54106">
        <w:rPr>
          <w:rFonts w:cstheme="minorHAnsi"/>
          <w:lang w:val="en-GB"/>
        </w:rPr>
        <w:t>, one of the key limitations in th</w:t>
      </w:r>
      <w:r w:rsidR="007C53F6" w:rsidRPr="00F54106">
        <w:rPr>
          <w:rFonts w:cstheme="minorHAnsi"/>
          <w:lang w:val="en-GB"/>
        </w:rPr>
        <w:t>is e-</w:t>
      </w:r>
      <w:r w:rsidRPr="00F54106">
        <w:rPr>
          <w:rFonts w:cstheme="minorHAnsi"/>
          <w:lang w:val="en-GB"/>
        </w:rPr>
        <w:t xml:space="preserve">study </w:t>
      </w:r>
      <w:r w:rsidR="007C53F6" w:rsidRPr="00F54106">
        <w:rPr>
          <w:rFonts w:cstheme="minorHAnsi"/>
          <w:lang w:val="en-GB"/>
        </w:rPr>
        <w:t xml:space="preserve">is the fact </w:t>
      </w:r>
      <w:r w:rsidRPr="00F54106">
        <w:rPr>
          <w:rFonts w:cstheme="minorHAnsi"/>
          <w:lang w:val="en-GB"/>
        </w:rPr>
        <w:t>that there were difficulties in obtaining the relevant cases</w:t>
      </w:r>
      <w:r w:rsidR="005140E4" w:rsidRPr="00F54106">
        <w:rPr>
          <w:rFonts w:cstheme="minorHAnsi"/>
          <w:lang w:val="en-GB"/>
        </w:rPr>
        <w:t>, since</w:t>
      </w:r>
      <w:r w:rsidRPr="00F54106">
        <w:rPr>
          <w:rFonts w:cstheme="minorHAnsi"/>
          <w:lang w:val="en-GB"/>
        </w:rPr>
        <w:t xml:space="preserve"> some cases may have received limited attention, were unpublicized or unobtainable, or have still remained unnoticed.</w:t>
      </w:r>
      <w:r w:rsidRPr="00F54106">
        <w:rPr>
          <w:rStyle w:val="FootnoteReference"/>
          <w:rFonts w:cstheme="minorHAnsi"/>
          <w:lang w:val="en-GB"/>
        </w:rPr>
        <w:footnoteReference w:id="25"/>
      </w:r>
      <w:r w:rsidRPr="00F54106">
        <w:rPr>
          <w:rFonts w:cstheme="minorHAnsi"/>
          <w:lang w:val="en-GB"/>
        </w:rPr>
        <w:t xml:space="preserve"> </w:t>
      </w:r>
      <w:r w:rsidR="00CC4712" w:rsidRPr="00F54106">
        <w:rPr>
          <w:rFonts w:cstheme="minorHAnsi"/>
          <w:lang w:val="en-GB"/>
        </w:rPr>
        <w:t>As a result, it is unknown to what extent the Netherlands actually plays a part in the private enforcement of competition law.</w:t>
      </w:r>
      <w:r w:rsidR="002C38C3" w:rsidRPr="00F54106">
        <w:rPr>
          <w:rFonts w:cstheme="minorHAnsi"/>
          <w:lang w:val="en-GB"/>
        </w:rPr>
        <w:t xml:space="preserve"> Furthermore, i</w:t>
      </w:r>
      <w:r w:rsidRPr="00F54106">
        <w:rPr>
          <w:rFonts w:cstheme="minorHAnsi"/>
          <w:lang w:val="en-GB"/>
        </w:rPr>
        <w:t xml:space="preserve">t seems that there is no investigation in the literature about the actual suitability of the Netherlands in </w:t>
      </w:r>
      <w:r w:rsidR="007B194D" w:rsidRPr="00F54106">
        <w:rPr>
          <w:rFonts w:cstheme="minorHAnsi"/>
          <w:lang w:val="en-GB"/>
        </w:rPr>
        <w:t xml:space="preserve">antitrust </w:t>
      </w:r>
      <w:r w:rsidRPr="00F54106">
        <w:rPr>
          <w:rFonts w:cstheme="minorHAnsi"/>
          <w:lang w:val="en-GB"/>
        </w:rPr>
        <w:t>damages claims</w:t>
      </w:r>
      <w:r w:rsidR="007B194D" w:rsidRPr="00F54106">
        <w:rPr>
          <w:rFonts w:cstheme="minorHAnsi"/>
          <w:lang w:val="en-GB"/>
        </w:rPr>
        <w:t>.</w:t>
      </w:r>
      <w:r w:rsidRPr="00F54106">
        <w:rPr>
          <w:rFonts w:cstheme="minorHAnsi"/>
          <w:lang w:val="en-GB"/>
        </w:rPr>
        <w:t xml:space="preserve"> </w:t>
      </w:r>
      <w:r w:rsidR="007B194D" w:rsidRPr="00F54106">
        <w:rPr>
          <w:rFonts w:cstheme="minorHAnsi"/>
          <w:lang w:val="en-GB"/>
        </w:rPr>
        <w:t>I</w:t>
      </w:r>
      <w:r w:rsidRPr="00F54106">
        <w:rPr>
          <w:rFonts w:cstheme="minorHAnsi"/>
          <w:lang w:val="en-GB"/>
        </w:rPr>
        <w:t xml:space="preserve">t is mainly assumed </w:t>
      </w:r>
      <w:r w:rsidR="007B194D" w:rsidRPr="00F54106">
        <w:rPr>
          <w:rFonts w:cstheme="minorHAnsi"/>
          <w:lang w:val="en-GB"/>
        </w:rPr>
        <w:t>that the Netherlands is a</w:t>
      </w:r>
      <w:r w:rsidRPr="00F54106">
        <w:rPr>
          <w:rFonts w:cstheme="minorHAnsi"/>
          <w:lang w:val="en-GB"/>
        </w:rPr>
        <w:t xml:space="preserve"> preferred hub based on the judged number of cases in the Netherlands relative to other Member States,</w:t>
      </w:r>
      <w:r w:rsidR="00125AD5" w:rsidRPr="00F54106">
        <w:rPr>
          <w:rStyle w:val="FootnoteReference"/>
          <w:rFonts w:cstheme="minorHAnsi"/>
          <w:lang w:val="en-GB"/>
        </w:rPr>
        <w:footnoteReference w:id="26"/>
      </w:r>
      <w:r w:rsidRPr="00F54106">
        <w:rPr>
          <w:rFonts w:cstheme="minorHAnsi"/>
          <w:lang w:val="en-GB"/>
        </w:rPr>
        <w:t xml:space="preserve"> while </w:t>
      </w:r>
      <w:r w:rsidRPr="00F54106">
        <w:rPr>
          <w:rFonts w:cstheme="minorHAnsi"/>
          <w:lang w:val="en-GB"/>
        </w:rPr>
        <w:lastRenderedPageBreak/>
        <w:t xml:space="preserve">relevant factors that might support its preferred position have not been </w:t>
      </w:r>
      <w:r w:rsidR="00D7688C" w:rsidRPr="00F54106">
        <w:rPr>
          <w:rFonts w:cstheme="minorHAnsi"/>
          <w:lang w:val="en-GB"/>
        </w:rPr>
        <w:t>(</w:t>
      </w:r>
      <w:r w:rsidR="007D398E" w:rsidRPr="00F54106">
        <w:rPr>
          <w:rFonts w:cstheme="minorHAnsi"/>
          <w:lang w:val="en-GB"/>
        </w:rPr>
        <w:t>credibly</w:t>
      </w:r>
      <w:r w:rsidR="00D7688C" w:rsidRPr="00F54106">
        <w:rPr>
          <w:rFonts w:cstheme="minorHAnsi"/>
          <w:lang w:val="en-GB"/>
        </w:rPr>
        <w:t>)</w:t>
      </w:r>
      <w:r w:rsidR="007D398E" w:rsidRPr="00F54106">
        <w:rPr>
          <w:rFonts w:cstheme="minorHAnsi"/>
          <w:lang w:val="en-GB"/>
        </w:rPr>
        <w:t xml:space="preserve"> confirmed</w:t>
      </w:r>
      <w:r w:rsidRPr="00F54106">
        <w:rPr>
          <w:rFonts w:cstheme="minorHAnsi"/>
          <w:lang w:val="en-GB"/>
        </w:rPr>
        <w:t xml:space="preserve"> or maybe not even discovered. </w:t>
      </w:r>
    </w:p>
    <w:p w14:paraId="5FAEE283" w14:textId="0FDE1DD8" w:rsidR="00194375" w:rsidRPr="00F54106" w:rsidRDefault="00194375" w:rsidP="00FC31D7">
      <w:pPr>
        <w:spacing w:line="276" w:lineRule="auto"/>
        <w:ind w:firstLine="720"/>
        <w:rPr>
          <w:rFonts w:cstheme="minorHAnsi"/>
          <w:lang w:val="en-GB"/>
        </w:rPr>
      </w:pPr>
      <w:r w:rsidRPr="00F54106">
        <w:rPr>
          <w:rFonts w:cstheme="minorHAnsi"/>
          <w:lang w:val="en-GB"/>
        </w:rPr>
        <w:t>Th</w:t>
      </w:r>
      <w:r w:rsidR="007C53F6" w:rsidRPr="00F54106">
        <w:rPr>
          <w:rFonts w:cstheme="minorHAnsi"/>
          <w:lang w:val="en-GB"/>
        </w:rPr>
        <w:t>e foregoing</w:t>
      </w:r>
      <w:r w:rsidRPr="00F54106">
        <w:rPr>
          <w:rFonts w:cstheme="minorHAnsi"/>
          <w:lang w:val="en-GB"/>
        </w:rPr>
        <w:t xml:space="preserve"> indicates </w:t>
      </w:r>
      <w:r w:rsidR="003779AF" w:rsidRPr="00F54106">
        <w:rPr>
          <w:rFonts w:cstheme="minorHAnsi"/>
          <w:lang w:val="en-GB"/>
        </w:rPr>
        <w:t xml:space="preserve">the existence of </w:t>
      </w:r>
      <w:r w:rsidRPr="00F54106">
        <w:rPr>
          <w:rFonts w:cstheme="minorHAnsi"/>
          <w:lang w:val="en-GB"/>
        </w:rPr>
        <w:t xml:space="preserve">a certain ambiguousness </w:t>
      </w:r>
      <w:r w:rsidR="007C53F6" w:rsidRPr="00F54106">
        <w:rPr>
          <w:rFonts w:cstheme="minorHAnsi"/>
          <w:lang w:val="en-GB"/>
        </w:rPr>
        <w:t>regarding</w:t>
      </w:r>
      <w:r w:rsidRPr="00F54106">
        <w:rPr>
          <w:rFonts w:cstheme="minorHAnsi"/>
          <w:lang w:val="en-GB"/>
        </w:rPr>
        <w:t xml:space="preserve"> what is known about forum shopping</w:t>
      </w:r>
      <w:r w:rsidR="0073311D" w:rsidRPr="00F54106">
        <w:rPr>
          <w:rFonts w:cstheme="minorHAnsi"/>
          <w:lang w:val="en-GB"/>
        </w:rPr>
        <w:t xml:space="preserve"> in the Netherlands</w:t>
      </w:r>
      <w:r w:rsidRPr="00F54106">
        <w:rPr>
          <w:rFonts w:cstheme="minorHAnsi"/>
          <w:lang w:val="en-GB"/>
        </w:rPr>
        <w:t xml:space="preserve">. This research, therefore, attempts to highlight or at least </w:t>
      </w:r>
      <w:r w:rsidR="003779AF" w:rsidRPr="00F54106">
        <w:rPr>
          <w:rFonts w:cstheme="minorHAnsi"/>
          <w:lang w:val="en-GB"/>
        </w:rPr>
        <w:t xml:space="preserve">clarify </w:t>
      </w:r>
      <w:r w:rsidRPr="00F54106">
        <w:rPr>
          <w:rFonts w:cstheme="minorHAnsi"/>
          <w:lang w:val="en-GB"/>
        </w:rPr>
        <w:t>a substantial part of the uncertainty surrounding this issue</w:t>
      </w:r>
      <w:r w:rsidR="003779AF" w:rsidRPr="00F54106">
        <w:rPr>
          <w:rFonts w:cstheme="minorHAnsi"/>
          <w:lang w:val="en-GB"/>
        </w:rPr>
        <w:t xml:space="preserve"> by</w:t>
      </w:r>
      <w:r w:rsidRPr="00F54106">
        <w:rPr>
          <w:rFonts w:cstheme="minorHAnsi"/>
          <w:lang w:val="en-GB"/>
        </w:rPr>
        <w:t xml:space="preserve"> taking the Netherlands as its primary focus. </w:t>
      </w:r>
      <w:r w:rsidR="00F073CA" w:rsidRPr="00F54106">
        <w:rPr>
          <w:rFonts w:cstheme="minorHAnsi"/>
          <w:lang w:val="en-GB"/>
        </w:rPr>
        <w:t>Thereby</w:t>
      </w:r>
      <w:r w:rsidRPr="00F54106">
        <w:rPr>
          <w:rFonts w:cstheme="minorHAnsi"/>
          <w:lang w:val="en-GB"/>
        </w:rPr>
        <w:t xml:space="preserve">, </w:t>
      </w:r>
      <w:r w:rsidR="00F073CA" w:rsidRPr="00F54106">
        <w:rPr>
          <w:rFonts w:cstheme="minorHAnsi"/>
          <w:lang w:val="en-GB"/>
        </w:rPr>
        <w:t>this thesis</w:t>
      </w:r>
      <w:r w:rsidRPr="00F54106">
        <w:rPr>
          <w:rFonts w:cstheme="minorHAnsi"/>
          <w:lang w:val="en-GB"/>
        </w:rPr>
        <w:t xml:space="preserve"> may help identifying incentives and factors that contribute to forum shopping and can be especially pertinent for the EU Commission to make implications for future policies aimed at harmonizing damages claims. </w:t>
      </w:r>
      <w:r w:rsidR="00965759" w:rsidRPr="00F54106">
        <w:rPr>
          <w:rFonts w:cstheme="minorHAnsi"/>
          <w:lang w:val="en-GB"/>
        </w:rPr>
        <w:t>Likewise, i</w:t>
      </w:r>
      <w:r w:rsidRPr="00F54106">
        <w:rPr>
          <w:rFonts w:cstheme="minorHAnsi"/>
          <w:lang w:val="en-GB"/>
        </w:rPr>
        <w:t xml:space="preserve">t also provides useful insights </w:t>
      </w:r>
      <w:r w:rsidR="0073311D" w:rsidRPr="00F54106">
        <w:rPr>
          <w:rFonts w:cstheme="minorHAnsi"/>
          <w:lang w:val="en-GB"/>
        </w:rPr>
        <w:t>into</w:t>
      </w:r>
      <w:r w:rsidRPr="00F54106">
        <w:rPr>
          <w:rFonts w:cstheme="minorHAnsi"/>
          <w:lang w:val="en-GB"/>
        </w:rPr>
        <w:t xml:space="preserve"> the private enforcement of</w:t>
      </w:r>
      <w:r w:rsidR="003B27C7" w:rsidRPr="00F54106">
        <w:rPr>
          <w:rFonts w:cstheme="minorHAnsi"/>
          <w:lang w:val="en-GB"/>
        </w:rPr>
        <w:t xml:space="preserve"> cartel</w:t>
      </w:r>
      <w:r w:rsidRPr="00F54106">
        <w:rPr>
          <w:rFonts w:cstheme="minorHAnsi"/>
          <w:lang w:val="en-GB"/>
        </w:rPr>
        <w:t xml:space="preserve"> damages claims in the Netherlands for natural and legal persons alike</w:t>
      </w:r>
      <w:r w:rsidR="003B27C7" w:rsidRPr="00F54106">
        <w:rPr>
          <w:rFonts w:cstheme="minorHAnsi"/>
          <w:lang w:val="en-GB"/>
        </w:rPr>
        <w:t>,</w:t>
      </w:r>
      <w:r w:rsidR="00965759" w:rsidRPr="00F54106">
        <w:rPr>
          <w:rFonts w:cstheme="minorHAnsi"/>
          <w:lang w:val="en-GB"/>
        </w:rPr>
        <w:t xml:space="preserve"> which</w:t>
      </w:r>
      <w:r w:rsidR="00D7688C" w:rsidRPr="00F54106">
        <w:rPr>
          <w:rFonts w:cstheme="minorHAnsi"/>
          <w:lang w:val="en-GB"/>
        </w:rPr>
        <w:t xml:space="preserve"> may help them </w:t>
      </w:r>
      <w:r w:rsidR="00965759" w:rsidRPr="00F54106">
        <w:rPr>
          <w:rFonts w:cstheme="minorHAnsi"/>
          <w:lang w:val="en-GB"/>
        </w:rPr>
        <w:t xml:space="preserve">with the litigation of their claims. </w:t>
      </w:r>
    </w:p>
    <w:p w14:paraId="53349D85" w14:textId="77777777" w:rsidR="00194375" w:rsidRPr="00F54106" w:rsidRDefault="00194375" w:rsidP="00FC31D7">
      <w:pPr>
        <w:spacing w:line="276" w:lineRule="auto"/>
        <w:rPr>
          <w:rFonts w:cstheme="minorHAnsi"/>
          <w:lang w:val="en-GB"/>
        </w:rPr>
      </w:pPr>
    </w:p>
    <w:p w14:paraId="2536C26F" w14:textId="487D02A4" w:rsidR="00194375" w:rsidRPr="00F54106" w:rsidRDefault="0008517E" w:rsidP="00FC31D7">
      <w:pPr>
        <w:pStyle w:val="Heading2"/>
        <w:spacing w:line="276" w:lineRule="auto"/>
        <w:rPr>
          <w:lang w:val="en-GB"/>
        </w:rPr>
      </w:pPr>
      <w:bookmarkStart w:id="15" w:name="_Toc107610213"/>
      <w:r w:rsidRPr="00F54106">
        <w:rPr>
          <w:lang w:val="en-GB"/>
        </w:rPr>
        <w:t>1.</w:t>
      </w:r>
      <w:r w:rsidR="001F39DE" w:rsidRPr="00F54106">
        <w:rPr>
          <w:lang w:val="en-GB"/>
        </w:rPr>
        <w:t>4</w:t>
      </w:r>
      <w:r w:rsidRPr="00F54106">
        <w:rPr>
          <w:lang w:val="en-GB"/>
        </w:rPr>
        <w:t xml:space="preserve"> </w:t>
      </w:r>
      <w:r w:rsidR="00D7013F" w:rsidRPr="00F54106">
        <w:rPr>
          <w:lang w:val="en-GB"/>
        </w:rPr>
        <w:t>The r</w:t>
      </w:r>
      <w:r w:rsidR="00194375" w:rsidRPr="00F54106">
        <w:rPr>
          <w:lang w:val="en-GB"/>
        </w:rPr>
        <w:t>esearch methods and approach</w:t>
      </w:r>
      <w:bookmarkEnd w:id="15"/>
    </w:p>
    <w:p w14:paraId="40CDECA6" w14:textId="41707533" w:rsidR="00194375" w:rsidRPr="00F54106" w:rsidRDefault="00194375" w:rsidP="00FC31D7">
      <w:pPr>
        <w:spacing w:line="276" w:lineRule="auto"/>
        <w:rPr>
          <w:rFonts w:cstheme="minorHAnsi"/>
          <w:lang w:val="en-GB"/>
        </w:rPr>
      </w:pPr>
      <w:r w:rsidRPr="00F54106">
        <w:rPr>
          <w:rFonts w:cstheme="minorHAnsi"/>
          <w:lang w:val="en-GB"/>
        </w:rPr>
        <w:t xml:space="preserve">This </w:t>
      </w:r>
      <w:r w:rsidR="006C680A" w:rsidRPr="00F54106">
        <w:rPr>
          <w:rFonts w:cstheme="minorHAnsi"/>
          <w:lang w:val="en-GB"/>
        </w:rPr>
        <w:t>thesis</w:t>
      </w:r>
      <w:r w:rsidRPr="00F54106">
        <w:rPr>
          <w:rFonts w:cstheme="minorHAnsi"/>
          <w:lang w:val="en-GB"/>
        </w:rPr>
        <w:t xml:space="preserve"> </w:t>
      </w:r>
      <w:r w:rsidR="006C680A" w:rsidRPr="00F54106">
        <w:rPr>
          <w:rFonts w:cstheme="minorHAnsi"/>
          <w:lang w:val="en-GB"/>
        </w:rPr>
        <w:t>employs</w:t>
      </w:r>
      <w:r w:rsidRPr="00F54106">
        <w:rPr>
          <w:rFonts w:cstheme="minorHAnsi"/>
          <w:lang w:val="en-GB"/>
        </w:rPr>
        <w:t xml:space="preserve"> both library-based and </w:t>
      </w:r>
      <w:r w:rsidR="003779AF" w:rsidRPr="00F54106">
        <w:rPr>
          <w:rFonts w:cstheme="minorHAnsi"/>
          <w:lang w:val="en-GB"/>
        </w:rPr>
        <w:t>qualitative</w:t>
      </w:r>
      <w:r w:rsidR="006C680A" w:rsidRPr="00F54106">
        <w:rPr>
          <w:rFonts w:cstheme="minorHAnsi"/>
          <w:lang w:val="en-GB"/>
        </w:rPr>
        <w:t xml:space="preserve"> research.</w:t>
      </w:r>
      <w:r w:rsidRPr="00F54106">
        <w:rPr>
          <w:rFonts w:cstheme="minorHAnsi"/>
          <w:lang w:val="en-GB"/>
        </w:rPr>
        <w:t xml:space="preserve"> </w:t>
      </w:r>
      <w:r w:rsidR="006C680A" w:rsidRPr="00F54106">
        <w:rPr>
          <w:rFonts w:cstheme="minorHAnsi"/>
          <w:lang w:val="en-GB"/>
        </w:rPr>
        <w:t>I</w:t>
      </w:r>
      <w:r w:rsidRPr="00F54106">
        <w:rPr>
          <w:rFonts w:cstheme="minorHAnsi"/>
          <w:lang w:val="en-GB"/>
        </w:rPr>
        <w:t xml:space="preserve">t will </w:t>
      </w:r>
      <w:r w:rsidR="003779AF" w:rsidRPr="00F54106">
        <w:rPr>
          <w:rFonts w:cstheme="minorHAnsi"/>
          <w:lang w:val="en-GB"/>
        </w:rPr>
        <w:t>make use of</w:t>
      </w:r>
      <w:r w:rsidRPr="00F54106">
        <w:rPr>
          <w:rFonts w:cstheme="minorHAnsi"/>
          <w:lang w:val="en-GB"/>
        </w:rPr>
        <w:t xml:space="preserve"> academic articles, Commission working papers, electronic books, EU- and national legislation, and legal jurisprudence. All library-based research will be accessed through internet sources such as the EUR-Lex search tool for obtaining legislation and Curia and Kluwer for acquiring case law. Additionally, </w:t>
      </w:r>
      <w:r w:rsidR="00C74BEA" w:rsidRPr="00F54106">
        <w:rPr>
          <w:rFonts w:cstheme="minorHAnsi"/>
          <w:lang w:val="en-GB"/>
        </w:rPr>
        <w:t xml:space="preserve">it adopts </w:t>
      </w:r>
      <w:r w:rsidRPr="00F54106">
        <w:rPr>
          <w:rFonts w:cstheme="minorHAnsi"/>
          <w:lang w:val="en-GB"/>
        </w:rPr>
        <w:t xml:space="preserve">Google Scholar with UBU link and </w:t>
      </w:r>
      <w:r w:rsidR="004F674D" w:rsidRPr="00F54106">
        <w:rPr>
          <w:rFonts w:cstheme="minorHAnsi"/>
          <w:lang w:val="en-GB"/>
        </w:rPr>
        <w:t>Westlaw</w:t>
      </w:r>
      <w:r w:rsidRPr="00F54106">
        <w:rPr>
          <w:rFonts w:cstheme="minorHAnsi"/>
          <w:lang w:val="en-GB"/>
        </w:rPr>
        <w:t xml:space="preserve"> for scientific articles and papers, while the search engine Google will be utilized to find websites or blogs</w:t>
      </w:r>
      <w:r w:rsidR="00101143" w:rsidRPr="00F54106">
        <w:rPr>
          <w:rFonts w:cstheme="minorHAnsi"/>
          <w:lang w:val="en-GB"/>
        </w:rPr>
        <w:t xml:space="preserve"> that may contribute to the analysis</w:t>
      </w:r>
      <w:r w:rsidRPr="00F54106">
        <w:rPr>
          <w:rFonts w:cstheme="minorHAnsi"/>
          <w:lang w:val="en-GB"/>
        </w:rPr>
        <w:t xml:space="preserve">. Furthermore, </w:t>
      </w:r>
      <w:proofErr w:type="spellStart"/>
      <w:r w:rsidRPr="00F54106">
        <w:rPr>
          <w:rFonts w:cstheme="minorHAnsi"/>
          <w:lang w:val="en-GB"/>
        </w:rPr>
        <w:t>WorldCat</w:t>
      </w:r>
      <w:proofErr w:type="spellEnd"/>
      <w:r w:rsidRPr="00F54106">
        <w:rPr>
          <w:rFonts w:cstheme="minorHAnsi"/>
          <w:lang w:val="en-GB"/>
        </w:rPr>
        <w:t xml:space="preserve"> will be utilized to search</w:t>
      </w:r>
      <w:r w:rsidR="004F674D" w:rsidRPr="00F54106">
        <w:rPr>
          <w:rFonts w:cstheme="minorHAnsi"/>
          <w:lang w:val="en-GB"/>
        </w:rPr>
        <w:t xml:space="preserve"> for</w:t>
      </w:r>
      <w:r w:rsidRPr="00F54106">
        <w:rPr>
          <w:rFonts w:cstheme="minorHAnsi"/>
          <w:lang w:val="en-GB"/>
        </w:rPr>
        <w:t xml:space="preserve"> relevant electronic books.</w:t>
      </w:r>
    </w:p>
    <w:p w14:paraId="45757A63" w14:textId="1AA43ABA" w:rsidR="001878E2" w:rsidRPr="00F54106" w:rsidRDefault="00194375" w:rsidP="005D3E67">
      <w:pPr>
        <w:spacing w:line="276" w:lineRule="auto"/>
        <w:ind w:firstLine="720"/>
        <w:rPr>
          <w:rFonts w:cstheme="minorHAnsi"/>
          <w:lang w:val="en-GB"/>
        </w:rPr>
      </w:pPr>
      <w:r w:rsidRPr="00F54106">
        <w:rPr>
          <w:rFonts w:cstheme="minorHAnsi"/>
          <w:lang w:val="en-GB"/>
        </w:rPr>
        <w:t xml:space="preserve">A legal </w:t>
      </w:r>
      <w:r w:rsidR="00714FB8" w:rsidRPr="00F54106">
        <w:rPr>
          <w:rFonts w:cstheme="minorHAnsi"/>
          <w:lang w:val="en-GB"/>
        </w:rPr>
        <w:t>analysis will be made</w:t>
      </w:r>
      <w:r w:rsidRPr="00F54106">
        <w:rPr>
          <w:rFonts w:cstheme="minorHAnsi"/>
          <w:lang w:val="en-GB"/>
        </w:rPr>
        <w:t xml:space="preserve"> to set out the literature’s view of Germany </w:t>
      </w:r>
      <w:r w:rsidR="005D3E67" w:rsidRPr="00F54106">
        <w:rPr>
          <w:rFonts w:cstheme="minorHAnsi"/>
          <w:lang w:val="en-GB"/>
        </w:rPr>
        <w:t xml:space="preserve">and the United Kingdom </w:t>
      </w:r>
      <w:r w:rsidR="00714FB8" w:rsidRPr="00F54106">
        <w:rPr>
          <w:rFonts w:cstheme="minorHAnsi"/>
          <w:lang w:val="en-GB"/>
        </w:rPr>
        <w:t xml:space="preserve">and </w:t>
      </w:r>
      <w:r w:rsidR="00152E1A">
        <w:rPr>
          <w:rFonts w:cstheme="minorHAnsi"/>
          <w:lang w:val="en-GB"/>
        </w:rPr>
        <w:t xml:space="preserve">to </w:t>
      </w:r>
      <w:r w:rsidRPr="00F54106">
        <w:rPr>
          <w:rFonts w:cstheme="minorHAnsi"/>
          <w:lang w:val="en-GB"/>
        </w:rPr>
        <w:t xml:space="preserve">examine </w:t>
      </w:r>
      <w:r w:rsidR="00714FB8" w:rsidRPr="00F54106">
        <w:rPr>
          <w:rFonts w:cstheme="minorHAnsi"/>
          <w:lang w:val="en-GB"/>
        </w:rPr>
        <w:t>w</w:t>
      </w:r>
      <w:r w:rsidR="006C3962" w:rsidRPr="00F54106">
        <w:rPr>
          <w:rFonts w:cstheme="minorHAnsi"/>
          <w:lang w:val="en-GB"/>
        </w:rPr>
        <w:t>hich characteristics have</w:t>
      </w:r>
      <w:r w:rsidR="00714FB8" w:rsidRPr="00F54106">
        <w:rPr>
          <w:rFonts w:cstheme="minorHAnsi"/>
          <w:lang w:val="en-GB"/>
        </w:rPr>
        <w:t xml:space="preserve"> </w:t>
      </w:r>
      <w:r w:rsidR="006C3962" w:rsidRPr="00F54106">
        <w:rPr>
          <w:rFonts w:cstheme="minorHAnsi"/>
          <w:lang w:val="en-GB"/>
        </w:rPr>
        <w:t>contributed to their</w:t>
      </w:r>
      <w:r w:rsidRPr="00F54106">
        <w:rPr>
          <w:rFonts w:cstheme="minorHAnsi"/>
          <w:lang w:val="en-GB"/>
        </w:rPr>
        <w:t xml:space="preserve"> auspicious</w:t>
      </w:r>
      <w:r w:rsidR="006C3962" w:rsidRPr="00F54106">
        <w:rPr>
          <w:rFonts w:cstheme="minorHAnsi"/>
          <w:lang w:val="en-GB"/>
        </w:rPr>
        <w:t>ness</w:t>
      </w:r>
      <w:r w:rsidRPr="00F54106">
        <w:rPr>
          <w:rFonts w:cstheme="minorHAnsi"/>
          <w:lang w:val="en-GB"/>
        </w:rPr>
        <w:t xml:space="preserve"> </w:t>
      </w:r>
      <w:r w:rsidR="006C3962" w:rsidRPr="00F54106">
        <w:rPr>
          <w:rFonts w:cstheme="minorHAnsi"/>
          <w:lang w:val="en-GB"/>
        </w:rPr>
        <w:t>of</w:t>
      </w:r>
      <w:r w:rsidRPr="00F54106">
        <w:rPr>
          <w:rFonts w:cstheme="minorHAnsi"/>
          <w:lang w:val="en-GB"/>
        </w:rPr>
        <w:t xml:space="preserve"> </w:t>
      </w:r>
      <w:r w:rsidR="006C3962" w:rsidRPr="00F54106">
        <w:rPr>
          <w:rFonts w:cstheme="minorHAnsi"/>
          <w:lang w:val="en-GB"/>
        </w:rPr>
        <w:t xml:space="preserve">cartel </w:t>
      </w:r>
      <w:r w:rsidRPr="00F54106">
        <w:rPr>
          <w:rFonts w:cstheme="minorHAnsi"/>
          <w:lang w:val="en-GB"/>
        </w:rPr>
        <w:t>damages claims</w:t>
      </w:r>
      <w:r w:rsidR="006C3962" w:rsidRPr="00F54106">
        <w:rPr>
          <w:rFonts w:cstheme="minorHAnsi"/>
          <w:lang w:val="en-GB"/>
        </w:rPr>
        <w:t>.</w:t>
      </w:r>
      <w:r w:rsidRPr="00F54106">
        <w:rPr>
          <w:rFonts w:cstheme="minorHAnsi"/>
          <w:lang w:val="en-GB"/>
        </w:rPr>
        <w:t xml:space="preserve"> Next, the research will specifically focus on the Netherlands</w:t>
      </w:r>
      <w:r w:rsidR="005D3E67" w:rsidRPr="00F54106">
        <w:rPr>
          <w:rFonts w:cstheme="minorHAnsi"/>
          <w:lang w:val="en-GB"/>
        </w:rPr>
        <w:t xml:space="preserve"> and </w:t>
      </w:r>
      <w:r w:rsidR="001878E2" w:rsidRPr="00F54106">
        <w:rPr>
          <w:rFonts w:cstheme="minorHAnsi"/>
          <w:lang w:val="en-GB"/>
        </w:rPr>
        <w:t>explore</w:t>
      </w:r>
      <w:r w:rsidR="005D3E67" w:rsidRPr="00F54106">
        <w:rPr>
          <w:rFonts w:cstheme="minorHAnsi"/>
          <w:lang w:val="en-GB"/>
        </w:rPr>
        <w:t xml:space="preserve"> the elements</w:t>
      </w:r>
      <w:r w:rsidR="001878E2" w:rsidRPr="00F54106">
        <w:rPr>
          <w:rFonts w:cstheme="minorHAnsi"/>
          <w:lang w:val="en-GB"/>
        </w:rPr>
        <w:t xml:space="preserve"> of the Dutch legal and judicial system</w:t>
      </w:r>
      <w:r w:rsidR="005D3E67" w:rsidRPr="00F54106">
        <w:rPr>
          <w:rFonts w:cstheme="minorHAnsi"/>
          <w:lang w:val="en-GB"/>
        </w:rPr>
        <w:t xml:space="preserve"> that facilitate private enforcement of cartel damages claims. </w:t>
      </w:r>
      <w:r w:rsidRPr="00F54106">
        <w:rPr>
          <w:rFonts w:cstheme="minorHAnsi"/>
          <w:lang w:val="en-GB"/>
        </w:rPr>
        <w:t>To further inquire into</w:t>
      </w:r>
      <w:r w:rsidR="00BE229E" w:rsidRPr="00F54106">
        <w:rPr>
          <w:rFonts w:cstheme="minorHAnsi"/>
          <w:lang w:val="en-GB"/>
        </w:rPr>
        <w:t xml:space="preserve"> the question</w:t>
      </w:r>
      <w:r w:rsidRPr="00F54106">
        <w:rPr>
          <w:rFonts w:cstheme="minorHAnsi"/>
          <w:lang w:val="en-GB"/>
        </w:rPr>
        <w:t xml:space="preserve"> </w:t>
      </w:r>
      <w:r w:rsidR="00457713" w:rsidRPr="00F54106">
        <w:rPr>
          <w:rFonts w:cstheme="minorHAnsi"/>
          <w:lang w:val="en-GB"/>
        </w:rPr>
        <w:t xml:space="preserve">whether and </w:t>
      </w:r>
      <w:r w:rsidRPr="00F54106">
        <w:rPr>
          <w:rFonts w:cstheme="minorHAnsi"/>
          <w:lang w:val="en-GB"/>
        </w:rPr>
        <w:t xml:space="preserve">why the Netherlands is a preferred forum, </w:t>
      </w:r>
      <w:r w:rsidR="007B083F" w:rsidRPr="00F54106">
        <w:rPr>
          <w:rFonts w:cstheme="minorHAnsi"/>
          <w:lang w:val="en-GB"/>
        </w:rPr>
        <w:t xml:space="preserve">semi-structured </w:t>
      </w:r>
      <w:r w:rsidRPr="00F54106">
        <w:rPr>
          <w:rFonts w:cstheme="minorHAnsi"/>
          <w:lang w:val="en-GB"/>
        </w:rPr>
        <w:t>qualitative interviews with collective redress organizations</w:t>
      </w:r>
      <w:r w:rsidR="00B51D16" w:rsidRPr="00F54106">
        <w:rPr>
          <w:rFonts w:cstheme="minorHAnsi"/>
          <w:lang w:val="en-GB"/>
        </w:rPr>
        <w:t xml:space="preserve">, </w:t>
      </w:r>
      <w:r w:rsidR="00BE229E" w:rsidRPr="00F54106">
        <w:rPr>
          <w:rFonts w:cstheme="minorHAnsi"/>
          <w:lang w:val="en-GB"/>
        </w:rPr>
        <w:t xml:space="preserve">practicing </w:t>
      </w:r>
      <w:r w:rsidRPr="00F54106">
        <w:rPr>
          <w:rFonts w:cstheme="minorHAnsi"/>
          <w:lang w:val="en-GB"/>
        </w:rPr>
        <w:t>lawyers</w:t>
      </w:r>
      <w:r w:rsidR="00B51D16" w:rsidRPr="00F54106">
        <w:rPr>
          <w:rFonts w:cstheme="minorHAnsi"/>
          <w:lang w:val="en-GB"/>
        </w:rPr>
        <w:t xml:space="preserve"> and an experienced judge </w:t>
      </w:r>
      <w:r w:rsidR="00770648" w:rsidRPr="00F54106">
        <w:rPr>
          <w:rFonts w:cstheme="minorHAnsi"/>
          <w:lang w:val="en-GB"/>
        </w:rPr>
        <w:t>have been</w:t>
      </w:r>
      <w:r w:rsidR="00B51D16" w:rsidRPr="00F54106">
        <w:rPr>
          <w:rFonts w:cstheme="minorHAnsi"/>
          <w:lang w:val="en-GB"/>
        </w:rPr>
        <w:t xml:space="preserve"> conducted</w:t>
      </w:r>
      <w:r w:rsidRPr="00F54106">
        <w:rPr>
          <w:rFonts w:cstheme="minorHAnsi"/>
          <w:lang w:val="en-GB"/>
        </w:rPr>
        <w:t xml:space="preserve">. These interviews consequently form an essential element of this thesis as </w:t>
      </w:r>
      <w:r w:rsidR="00BE229E" w:rsidRPr="00F54106">
        <w:rPr>
          <w:rFonts w:cstheme="minorHAnsi"/>
          <w:lang w:val="en-GB"/>
        </w:rPr>
        <w:t>they</w:t>
      </w:r>
      <w:r w:rsidRPr="00F54106">
        <w:rPr>
          <w:rFonts w:cstheme="minorHAnsi"/>
          <w:lang w:val="en-GB"/>
        </w:rPr>
        <w:t xml:space="preserve"> will provide the means to gather information from the practical field about the relevant factors inducing forum shopping and the amount in which it occurs in the Netherlands.</w:t>
      </w:r>
      <w:r w:rsidR="001878E2" w:rsidRPr="00F54106">
        <w:rPr>
          <w:rFonts w:cstheme="minorHAnsi"/>
          <w:lang w:val="en-GB"/>
        </w:rPr>
        <w:t xml:space="preserve"> The findings from the qualitative interviews will then be compared </w:t>
      </w:r>
      <w:r w:rsidR="00965759" w:rsidRPr="00F54106">
        <w:rPr>
          <w:rFonts w:cstheme="minorHAnsi"/>
          <w:lang w:val="en-GB"/>
        </w:rPr>
        <w:t>to</w:t>
      </w:r>
      <w:r w:rsidR="001878E2" w:rsidRPr="00F54106">
        <w:rPr>
          <w:rFonts w:cstheme="minorHAnsi"/>
          <w:lang w:val="en-GB"/>
        </w:rPr>
        <w:t xml:space="preserve"> the expediting factors of the Dutch forum as put forward by the literature.</w:t>
      </w:r>
      <w:r w:rsidR="007B083F" w:rsidRPr="00F54106">
        <w:rPr>
          <w:rFonts w:cstheme="minorHAnsi"/>
          <w:lang w:val="en-GB"/>
        </w:rPr>
        <w:t xml:space="preserve"> </w:t>
      </w:r>
    </w:p>
    <w:p w14:paraId="0CAF4DBD" w14:textId="572BAE5A" w:rsidR="00194375" w:rsidRPr="00F54106" w:rsidRDefault="00BE229E" w:rsidP="003B27C7">
      <w:pPr>
        <w:spacing w:line="276" w:lineRule="auto"/>
        <w:ind w:firstLine="720"/>
        <w:rPr>
          <w:rFonts w:cstheme="minorHAnsi"/>
          <w:lang w:val="en-GB"/>
        </w:rPr>
      </w:pPr>
      <w:r w:rsidRPr="00F54106">
        <w:rPr>
          <w:rFonts w:cstheme="minorHAnsi"/>
          <w:lang w:val="en-GB"/>
        </w:rPr>
        <w:t>For the interviews a broad selection of lawyers have been chosen. These include a claiming lawyer (lawyer A), a defending lawyer (lawyer B), a lawyer with a history of representing both defendants and claimants (lawyer C), a lawyer from a litigation funder (lawyer D)</w:t>
      </w:r>
      <w:r w:rsidR="00B51D16" w:rsidRPr="00F54106">
        <w:rPr>
          <w:rFonts w:cstheme="minorHAnsi"/>
          <w:lang w:val="en-GB"/>
        </w:rPr>
        <w:t>, and a judge with experience in antitrust damages claims (judge X)</w:t>
      </w:r>
      <w:r w:rsidRPr="00F54106">
        <w:rPr>
          <w:rFonts w:cstheme="minorHAnsi"/>
          <w:lang w:val="en-GB"/>
        </w:rPr>
        <w:t xml:space="preserve">. </w:t>
      </w:r>
      <w:r w:rsidR="00B51D16" w:rsidRPr="00F54106">
        <w:rPr>
          <w:rFonts w:cstheme="minorHAnsi"/>
          <w:lang w:val="en-GB"/>
        </w:rPr>
        <w:t xml:space="preserve">The </w:t>
      </w:r>
      <w:r w:rsidRPr="00F54106">
        <w:rPr>
          <w:rFonts w:cstheme="minorHAnsi"/>
          <w:lang w:val="en-GB"/>
        </w:rPr>
        <w:t>lawyer</w:t>
      </w:r>
      <w:r w:rsidR="00B51D16" w:rsidRPr="00F54106">
        <w:rPr>
          <w:rFonts w:cstheme="minorHAnsi"/>
          <w:lang w:val="en-GB"/>
        </w:rPr>
        <w:t>s and the judge</w:t>
      </w:r>
      <w:r w:rsidRPr="00F54106">
        <w:rPr>
          <w:rFonts w:cstheme="minorHAnsi"/>
          <w:lang w:val="en-GB"/>
        </w:rPr>
        <w:t xml:space="preserve"> ha</w:t>
      </w:r>
      <w:r w:rsidR="00B51D16" w:rsidRPr="00F54106">
        <w:rPr>
          <w:rFonts w:cstheme="minorHAnsi"/>
          <w:lang w:val="en-GB"/>
        </w:rPr>
        <w:t>ve</w:t>
      </w:r>
      <w:r w:rsidRPr="00F54106">
        <w:rPr>
          <w:rFonts w:cstheme="minorHAnsi"/>
          <w:lang w:val="en-GB"/>
        </w:rPr>
        <w:t xml:space="preserve"> been asked a total of nine pre-determined questions about specific factors of the Dutch legal system. In addition, several broader questions are included to widen the scope of the interview so that the research can collect all the data thought to be relevant</w:t>
      </w:r>
      <w:r w:rsidR="00B51D16" w:rsidRPr="00F54106">
        <w:rPr>
          <w:rFonts w:cstheme="minorHAnsi"/>
          <w:lang w:val="en-GB"/>
        </w:rPr>
        <w:t xml:space="preserve"> by the interviewees</w:t>
      </w:r>
      <w:r w:rsidRPr="00F54106">
        <w:rPr>
          <w:rFonts w:cstheme="minorHAnsi"/>
          <w:lang w:val="en-GB"/>
        </w:rPr>
        <w:t xml:space="preserve">. The English version of the questionnaire can be found in Appendix A and the Dutch version is presented in Appendix B. </w:t>
      </w:r>
    </w:p>
    <w:p w14:paraId="2CA080C5" w14:textId="3739746B" w:rsidR="00194375" w:rsidRPr="00F54106" w:rsidRDefault="0008517E" w:rsidP="00FC31D7">
      <w:pPr>
        <w:pStyle w:val="Heading2"/>
        <w:spacing w:line="276" w:lineRule="auto"/>
        <w:rPr>
          <w:lang w:val="en-GB"/>
        </w:rPr>
      </w:pPr>
      <w:bookmarkStart w:id="16" w:name="_Toc107610214"/>
      <w:r w:rsidRPr="00F54106">
        <w:rPr>
          <w:lang w:val="en-GB"/>
        </w:rPr>
        <w:lastRenderedPageBreak/>
        <w:t>1.</w:t>
      </w:r>
      <w:r w:rsidR="001F39DE" w:rsidRPr="00F54106">
        <w:rPr>
          <w:lang w:val="en-GB"/>
        </w:rPr>
        <w:t>5</w:t>
      </w:r>
      <w:r w:rsidRPr="00F54106">
        <w:rPr>
          <w:lang w:val="en-GB"/>
        </w:rPr>
        <w:t xml:space="preserve"> </w:t>
      </w:r>
      <w:r w:rsidR="00306747" w:rsidRPr="00F54106">
        <w:rPr>
          <w:lang w:val="en-GB"/>
        </w:rPr>
        <w:t>S</w:t>
      </w:r>
      <w:r w:rsidR="00194375" w:rsidRPr="00F54106">
        <w:rPr>
          <w:lang w:val="en-GB"/>
        </w:rPr>
        <w:t>tructure</w:t>
      </w:r>
      <w:r w:rsidR="00306747" w:rsidRPr="00F54106">
        <w:rPr>
          <w:lang w:val="en-GB"/>
        </w:rPr>
        <w:t xml:space="preserve"> of the thesis</w:t>
      </w:r>
      <w:bookmarkEnd w:id="16"/>
    </w:p>
    <w:p w14:paraId="0D4430FB" w14:textId="553401AF" w:rsidR="00AA3172" w:rsidRPr="00F54106" w:rsidRDefault="00194375" w:rsidP="00FC31D7">
      <w:pPr>
        <w:spacing w:line="276" w:lineRule="auto"/>
        <w:rPr>
          <w:rFonts w:cstheme="minorHAnsi"/>
          <w:lang w:val="en-GB"/>
        </w:rPr>
      </w:pPr>
      <w:r w:rsidRPr="00F54106">
        <w:rPr>
          <w:rFonts w:cstheme="minorHAnsi"/>
          <w:lang w:val="en-GB"/>
        </w:rPr>
        <w:t>This research consist of f</w:t>
      </w:r>
      <w:r w:rsidR="00344C9D" w:rsidRPr="00F54106">
        <w:rPr>
          <w:rFonts w:cstheme="minorHAnsi"/>
          <w:lang w:val="en-GB"/>
        </w:rPr>
        <w:t>our</w:t>
      </w:r>
      <w:r w:rsidRPr="00F54106">
        <w:rPr>
          <w:rFonts w:cstheme="minorHAnsi"/>
          <w:lang w:val="en-GB"/>
        </w:rPr>
        <w:t xml:space="preserve"> chapters. </w:t>
      </w:r>
      <w:r w:rsidR="00442AA2" w:rsidRPr="00F54106">
        <w:rPr>
          <w:rFonts w:cstheme="minorHAnsi"/>
          <w:lang w:val="en-GB"/>
        </w:rPr>
        <w:t xml:space="preserve">In </w:t>
      </w:r>
      <w:r w:rsidR="00010A14" w:rsidRPr="00F54106">
        <w:rPr>
          <w:rFonts w:cstheme="minorHAnsi"/>
          <w:lang w:val="en-GB"/>
        </w:rPr>
        <w:t>this first</w:t>
      </w:r>
      <w:r w:rsidR="00344C9D" w:rsidRPr="00F54106">
        <w:rPr>
          <w:rFonts w:cstheme="minorHAnsi"/>
          <w:lang w:val="en-GB"/>
        </w:rPr>
        <w:t xml:space="preserve"> chapter</w:t>
      </w:r>
      <w:r w:rsidR="00442AA2" w:rsidRPr="00F54106">
        <w:rPr>
          <w:rFonts w:cstheme="minorHAnsi"/>
          <w:lang w:val="en-GB"/>
        </w:rPr>
        <w:t>,</w:t>
      </w:r>
      <w:r w:rsidRPr="00F54106">
        <w:rPr>
          <w:rFonts w:cstheme="minorHAnsi"/>
          <w:lang w:val="en-GB"/>
        </w:rPr>
        <w:t xml:space="preserve"> </w:t>
      </w:r>
      <w:r w:rsidR="006D2330" w:rsidRPr="00F54106">
        <w:rPr>
          <w:rFonts w:cstheme="minorHAnsi"/>
          <w:lang w:val="en-GB"/>
        </w:rPr>
        <w:t xml:space="preserve">the </w:t>
      </w:r>
      <w:r w:rsidR="00010A14" w:rsidRPr="00F54106">
        <w:rPr>
          <w:rFonts w:cstheme="minorHAnsi"/>
          <w:lang w:val="en-GB"/>
        </w:rPr>
        <w:t xml:space="preserve">research </w:t>
      </w:r>
      <w:r w:rsidR="006D2330" w:rsidRPr="00F54106">
        <w:rPr>
          <w:rFonts w:cstheme="minorHAnsi"/>
          <w:lang w:val="en-GB"/>
        </w:rPr>
        <w:t xml:space="preserve">motivation and approach to examine the subject of forum shopping has been established and </w:t>
      </w:r>
      <w:r w:rsidRPr="00F54106">
        <w:rPr>
          <w:rFonts w:cstheme="minorHAnsi"/>
          <w:lang w:val="en-GB"/>
        </w:rPr>
        <w:t>an introduction to subject</w:t>
      </w:r>
      <w:r w:rsidR="00A57614" w:rsidRPr="00F54106">
        <w:rPr>
          <w:rFonts w:cstheme="minorHAnsi"/>
          <w:lang w:val="en-GB"/>
        </w:rPr>
        <w:t xml:space="preserve"> of forum shopping</w:t>
      </w:r>
      <w:r w:rsidR="0036368F" w:rsidRPr="00F54106">
        <w:rPr>
          <w:rFonts w:cstheme="minorHAnsi"/>
          <w:lang w:val="en-GB"/>
        </w:rPr>
        <w:t xml:space="preserve"> </w:t>
      </w:r>
      <w:r w:rsidR="00442AA2" w:rsidRPr="00F54106">
        <w:rPr>
          <w:rFonts w:cstheme="minorHAnsi"/>
          <w:lang w:val="en-GB"/>
        </w:rPr>
        <w:t>has</w:t>
      </w:r>
      <w:r w:rsidR="0087499A" w:rsidRPr="00F54106">
        <w:rPr>
          <w:rFonts w:cstheme="minorHAnsi"/>
          <w:lang w:val="en-GB"/>
        </w:rPr>
        <w:t xml:space="preserve"> already</w:t>
      </w:r>
      <w:r w:rsidR="00344C9D" w:rsidRPr="00F54106">
        <w:rPr>
          <w:rFonts w:cstheme="minorHAnsi"/>
          <w:lang w:val="en-GB"/>
        </w:rPr>
        <w:t xml:space="preserve"> </w:t>
      </w:r>
      <w:r w:rsidR="00442AA2" w:rsidRPr="00F54106">
        <w:rPr>
          <w:rFonts w:cstheme="minorHAnsi"/>
          <w:lang w:val="en-GB"/>
        </w:rPr>
        <w:t>been</w:t>
      </w:r>
      <w:r w:rsidR="0036368F" w:rsidRPr="00F54106">
        <w:rPr>
          <w:rFonts w:cstheme="minorHAnsi"/>
          <w:lang w:val="en-GB"/>
        </w:rPr>
        <w:t xml:space="preserve"> made. </w:t>
      </w:r>
      <w:r w:rsidR="00880CC2" w:rsidRPr="00F54106">
        <w:rPr>
          <w:rFonts w:cstheme="minorHAnsi"/>
          <w:lang w:val="en-GB"/>
        </w:rPr>
        <w:t>Next</w:t>
      </w:r>
      <w:r w:rsidR="00043C0D" w:rsidRPr="00F54106">
        <w:rPr>
          <w:rFonts w:cstheme="minorHAnsi"/>
          <w:lang w:val="en-GB"/>
        </w:rPr>
        <w:t>,</w:t>
      </w:r>
      <w:r w:rsidR="003A2A20" w:rsidRPr="00F54106">
        <w:rPr>
          <w:rFonts w:cstheme="minorHAnsi"/>
          <w:lang w:val="en-GB"/>
        </w:rPr>
        <w:t xml:space="preserve"> </w:t>
      </w:r>
      <w:r w:rsidR="00880CC2" w:rsidRPr="00F54106">
        <w:rPr>
          <w:rFonts w:cstheme="minorHAnsi"/>
          <w:lang w:val="en-GB"/>
        </w:rPr>
        <w:t>chapter 2 will present</w:t>
      </w:r>
      <w:r w:rsidR="0036368F" w:rsidRPr="00F54106">
        <w:rPr>
          <w:rFonts w:cstheme="minorHAnsi"/>
          <w:lang w:val="en-GB"/>
        </w:rPr>
        <w:t xml:space="preserve"> a </w:t>
      </w:r>
      <w:r w:rsidRPr="00F54106">
        <w:rPr>
          <w:rFonts w:cstheme="minorHAnsi"/>
          <w:lang w:val="en-GB"/>
        </w:rPr>
        <w:t xml:space="preserve">legal analysis on the EU countries </w:t>
      </w:r>
      <w:r w:rsidR="006D2330" w:rsidRPr="00F54106">
        <w:rPr>
          <w:rFonts w:cstheme="minorHAnsi"/>
          <w:lang w:val="en-GB"/>
        </w:rPr>
        <w:t>that</w:t>
      </w:r>
      <w:r w:rsidRPr="00F54106">
        <w:rPr>
          <w:rFonts w:cstheme="minorHAnsi"/>
          <w:lang w:val="en-GB"/>
        </w:rPr>
        <w:t xml:space="preserve"> are</w:t>
      </w:r>
      <w:r w:rsidR="006D2330" w:rsidRPr="00F54106">
        <w:rPr>
          <w:rFonts w:cstheme="minorHAnsi"/>
          <w:lang w:val="en-GB"/>
        </w:rPr>
        <w:t xml:space="preserve"> distinguished</w:t>
      </w:r>
      <w:r w:rsidRPr="00F54106">
        <w:rPr>
          <w:rFonts w:cstheme="minorHAnsi"/>
          <w:lang w:val="en-GB"/>
        </w:rPr>
        <w:t xml:space="preserve"> in the literature as preferred for forum shopping, </w:t>
      </w:r>
      <w:r w:rsidR="00F01306" w:rsidRPr="00F54106">
        <w:rPr>
          <w:rFonts w:cstheme="minorHAnsi"/>
          <w:lang w:val="en-GB"/>
        </w:rPr>
        <w:t>i.e.</w:t>
      </w:r>
      <w:r w:rsidRPr="00F54106">
        <w:rPr>
          <w:rFonts w:cstheme="minorHAnsi"/>
          <w:lang w:val="en-GB"/>
        </w:rPr>
        <w:t xml:space="preserve"> Germany</w:t>
      </w:r>
      <w:r w:rsidR="00442AA2" w:rsidRPr="00F54106">
        <w:rPr>
          <w:rFonts w:cstheme="minorHAnsi"/>
          <w:lang w:val="en-GB"/>
        </w:rPr>
        <w:t xml:space="preserve">, </w:t>
      </w:r>
      <w:r w:rsidR="00F01306" w:rsidRPr="00F54106">
        <w:rPr>
          <w:rFonts w:cstheme="minorHAnsi"/>
          <w:lang w:val="en-GB"/>
        </w:rPr>
        <w:t>the United Kingdom</w:t>
      </w:r>
      <w:r w:rsidR="00442AA2" w:rsidRPr="00F54106">
        <w:rPr>
          <w:rFonts w:cstheme="minorHAnsi"/>
          <w:lang w:val="en-GB"/>
        </w:rPr>
        <w:t xml:space="preserve"> and the Netherlands</w:t>
      </w:r>
      <w:r w:rsidR="0048673F" w:rsidRPr="00F54106">
        <w:rPr>
          <w:rFonts w:cstheme="minorHAnsi"/>
          <w:lang w:val="en-GB"/>
        </w:rPr>
        <w:t>, wh</w:t>
      </w:r>
      <w:r w:rsidR="00BF601D" w:rsidRPr="00F54106">
        <w:rPr>
          <w:rFonts w:cstheme="minorHAnsi"/>
          <w:lang w:val="en-GB"/>
        </w:rPr>
        <w:t>ere</w:t>
      </w:r>
      <w:r w:rsidR="0048673F" w:rsidRPr="00F54106">
        <w:rPr>
          <w:rFonts w:cstheme="minorHAnsi"/>
          <w:lang w:val="en-GB"/>
        </w:rPr>
        <w:t xml:space="preserve"> </w:t>
      </w:r>
      <w:r w:rsidR="00043C0D" w:rsidRPr="00F54106">
        <w:rPr>
          <w:rFonts w:cstheme="minorHAnsi"/>
          <w:lang w:val="en-GB"/>
        </w:rPr>
        <w:t>the uncovered</w:t>
      </w:r>
      <w:r w:rsidRPr="00F54106">
        <w:rPr>
          <w:rFonts w:cstheme="minorHAnsi"/>
          <w:lang w:val="en-GB"/>
        </w:rPr>
        <w:t xml:space="preserve"> </w:t>
      </w:r>
      <w:r w:rsidR="00043C0D" w:rsidRPr="00F54106">
        <w:rPr>
          <w:rFonts w:cstheme="minorHAnsi"/>
          <w:lang w:val="en-GB"/>
        </w:rPr>
        <w:t xml:space="preserve">auspicious </w:t>
      </w:r>
      <w:r w:rsidR="00344C9D" w:rsidRPr="00F54106">
        <w:rPr>
          <w:rFonts w:cstheme="minorHAnsi"/>
          <w:lang w:val="en-GB"/>
        </w:rPr>
        <w:t xml:space="preserve">features of their legal and judicial systems </w:t>
      </w:r>
      <w:r w:rsidR="0048673F" w:rsidRPr="00F54106">
        <w:rPr>
          <w:rFonts w:cstheme="minorHAnsi"/>
          <w:lang w:val="en-GB"/>
        </w:rPr>
        <w:t>as</w:t>
      </w:r>
      <w:r w:rsidR="0087499A" w:rsidRPr="00F54106">
        <w:rPr>
          <w:rFonts w:cstheme="minorHAnsi"/>
          <w:lang w:val="en-GB"/>
        </w:rPr>
        <w:t xml:space="preserve"> put forward by the literature</w:t>
      </w:r>
      <w:r w:rsidR="0048673F" w:rsidRPr="00F54106">
        <w:rPr>
          <w:rFonts w:cstheme="minorHAnsi"/>
          <w:lang w:val="en-GB"/>
        </w:rPr>
        <w:t xml:space="preserve"> </w:t>
      </w:r>
      <w:r w:rsidR="00880CC2" w:rsidRPr="00F54106">
        <w:rPr>
          <w:rFonts w:cstheme="minorHAnsi"/>
          <w:lang w:val="en-GB"/>
        </w:rPr>
        <w:t xml:space="preserve">are </w:t>
      </w:r>
      <w:r w:rsidR="0048673F" w:rsidRPr="00F54106">
        <w:rPr>
          <w:rFonts w:cstheme="minorHAnsi"/>
          <w:lang w:val="en-GB"/>
        </w:rPr>
        <w:t>in-depth examined</w:t>
      </w:r>
      <w:r w:rsidRPr="00F54106">
        <w:rPr>
          <w:rFonts w:cstheme="minorHAnsi"/>
          <w:lang w:val="en-GB"/>
        </w:rPr>
        <w:t xml:space="preserve">. </w:t>
      </w:r>
      <w:r w:rsidR="00880CC2" w:rsidRPr="00F54106">
        <w:rPr>
          <w:rFonts w:cstheme="minorHAnsi"/>
          <w:lang w:val="en-GB"/>
        </w:rPr>
        <w:t>Subsequently</w:t>
      </w:r>
      <w:r w:rsidRPr="00F54106">
        <w:rPr>
          <w:rFonts w:cstheme="minorHAnsi"/>
          <w:lang w:val="en-GB"/>
        </w:rPr>
        <w:t xml:space="preserve">, chapter </w:t>
      </w:r>
      <w:r w:rsidR="00344C9D" w:rsidRPr="00F54106">
        <w:rPr>
          <w:rFonts w:cstheme="minorHAnsi"/>
          <w:lang w:val="en-GB"/>
        </w:rPr>
        <w:t>3</w:t>
      </w:r>
      <w:r w:rsidRPr="00F54106">
        <w:rPr>
          <w:rFonts w:cstheme="minorHAnsi"/>
          <w:lang w:val="en-GB"/>
        </w:rPr>
        <w:t xml:space="preserve"> will produce the data obtained from the conducted interviews </w:t>
      </w:r>
      <w:r w:rsidR="0087499A" w:rsidRPr="00F54106">
        <w:rPr>
          <w:rFonts w:cstheme="minorHAnsi"/>
          <w:lang w:val="en-GB"/>
        </w:rPr>
        <w:t xml:space="preserve">on </w:t>
      </w:r>
      <w:r w:rsidR="00BF601D" w:rsidRPr="00F54106">
        <w:rPr>
          <w:rFonts w:cstheme="minorHAnsi"/>
          <w:lang w:val="en-GB"/>
        </w:rPr>
        <w:t xml:space="preserve">the </w:t>
      </w:r>
      <w:r w:rsidR="00052375" w:rsidRPr="00F54106">
        <w:rPr>
          <w:rFonts w:cstheme="minorHAnsi"/>
          <w:lang w:val="en-GB"/>
        </w:rPr>
        <w:t>forum shopping</w:t>
      </w:r>
      <w:r w:rsidR="00BF601D" w:rsidRPr="00F54106">
        <w:rPr>
          <w:rFonts w:cstheme="minorHAnsi"/>
          <w:lang w:val="en-GB"/>
        </w:rPr>
        <w:t xml:space="preserve"> inducing elements</w:t>
      </w:r>
      <w:r w:rsidR="00052375" w:rsidRPr="00F54106">
        <w:rPr>
          <w:rFonts w:cstheme="minorHAnsi"/>
          <w:lang w:val="en-GB"/>
        </w:rPr>
        <w:t xml:space="preserve"> in the Netherlands and </w:t>
      </w:r>
      <w:r w:rsidR="00880CC2" w:rsidRPr="00F54106">
        <w:rPr>
          <w:rFonts w:cstheme="minorHAnsi"/>
          <w:lang w:val="en-GB"/>
        </w:rPr>
        <w:t xml:space="preserve">will </w:t>
      </w:r>
      <w:r w:rsidR="00BF601D" w:rsidRPr="00F54106">
        <w:rPr>
          <w:rFonts w:cstheme="minorHAnsi"/>
          <w:lang w:val="en-GB"/>
        </w:rPr>
        <w:t>scrutinize</w:t>
      </w:r>
      <w:r w:rsidRPr="00F54106">
        <w:rPr>
          <w:rFonts w:cstheme="minorHAnsi"/>
          <w:lang w:val="en-GB"/>
        </w:rPr>
        <w:t xml:space="preserve"> to</w:t>
      </w:r>
      <w:r w:rsidR="00052375" w:rsidRPr="00F54106">
        <w:rPr>
          <w:rFonts w:cstheme="minorHAnsi"/>
          <w:lang w:val="en-GB"/>
        </w:rPr>
        <w:t xml:space="preserve"> </w:t>
      </w:r>
      <w:r w:rsidRPr="00F54106">
        <w:rPr>
          <w:rFonts w:cstheme="minorHAnsi"/>
          <w:lang w:val="en-GB"/>
        </w:rPr>
        <w:t xml:space="preserve">what extent </w:t>
      </w:r>
      <w:r w:rsidR="00052375" w:rsidRPr="00F54106">
        <w:rPr>
          <w:rFonts w:cstheme="minorHAnsi"/>
          <w:lang w:val="en-GB"/>
        </w:rPr>
        <w:t>this data</w:t>
      </w:r>
      <w:r w:rsidRPr="00F54106">
        <w:rPr>
          <w:rFonts w:cstheme="minorHAnsi"/>
          <w:lang w:val="en-GB"/>
        </w:rPr>
        <w:t xml:space="preserve"> is in line with the gathered information</w:t>
      </w:r>
      <w:r w:rsidR="00405D02" w:rsidRPr="00F54106">
        <w:rPr>
          <w:rFonts w:cstheme="minorHAnsi"/>
          <w:lang w:val="en-GB"/>
        </w:rPr>
        <w:t xml:space="preserve"> </w:t>
      </w:r>
      <w:r w:rsidR="00052375" w:rsidRPr="00F54106">
        <w:rPr>
          <w:rFonts w:cstheme="minorHAnsi"/>
          <w:lang w:val="en-GB"/>
        </w:rPr>
        <w:t xml:space="preserve">on the Dutch forum </w:t>
      </w:r>
      <w:r w:rsidR="0087499A" w:rsidRPr="00F54106">
        <w:rPr>
          <w:rFonts w:cstheme="minorHAnsi"/>
          <w:lang w:val="en-GB"/>
        </w:rPr>
        <w:t xml:space="preserve">in </w:t>
      </w:r>
      <w:r w:rsidR="00052375" w:rsidRPr="00F54106">
        <w:rPr>
          <w:rFonts w:cstheme="minorHAnsi"/>
          <w:lang w:val="en-GB"/>
        </w:rPr>
        <w:t>chapter 2</w:t>
      </w:r>
      <w:r w:rsidRPr="00F54106">
        <w:rPr>
          <w:rFonts w:cstheme="minorHAnsi"/>
          <w:lang w:val="en-GB"/>
        </w:rPr>
        <w:t xml:space="preserve">. Finally, chapter </w:t>
      </w:r>
      <w:r w:rsidR="00344C9D" w:rsidRPr="00F54106">
        <w:rPr>
          <w:rFonts w:cstheme="minorHAnsi"/>
          <w:lang w:val="en-GB"/>
        </w:rPr>
        <w:t>4</w:t>
      </w:r>
      <w:r w:rsidRPr="00F54106">
        <w:rPr>
          <w:rFonts w:cstheme="minorHAnsi"/>
          <w:lang w:val="en-GB"/>
        </w:rPr>
        <w:t xml:space="preserve"> will conclude and discuss the findings.</w:t>
      </w:r>
    </w:p>
    <w:p w14:paraId="08379541" w14:textId="576586B3" w:rsidR="006C3962" w:rsidRPr="00F54106" w:rsidRDefault="006C3962" w:rsidP="00FC31D7">
      <w:pPr>
        <w:spacing w:line="276" w:lineRule="auto"/>
        <w:rPr>
          <w:rFonts w:cstheme="minorHAnsi"/>
          <w:lang w:val="en-GB"/>
        </w:rPr>
      </w:pPr>
    </w:p>
    <w:p w14:paraId="6CED61AF" w14:textId="5EEAD442" w:rsidR="006C3962" w:rsidRPr="00F54106" w:rsidRDefault="006C3962" w:rsidP="00FC31D7">
      <w:pPr>
        <w:spacing w:line="276" w:lineRule="auto"/>
        <w:rPr>
          <w:rFonts w:cstheme="minorHAnsi"/>
          <w:lang w:val="en-GB"/>
        </w:rPr>
      </w:pPr>
    </w:p>
    <w:p w14:paraId="71DDC868" w14:textId="7C719E43" w:rsidR="006C3962" w:rsidRPr="00F54106" w:rsidRDefault="006C3962" w:rsidP="00FC31D7">
      <w:pPr>
        <w:spacing w:line="276" w:lineRule="auto"/>
        <w:rPr>
          <w:rFonts w:cstheme="minorHAnsi"/>
          <w:lang w:val="en-GB"/>
        </w:rPr>
      </w:pPr>
    </w:p>
    <w:p w14:paraId="2DD17D95" w14:textId="4DE6F37D" w:rsidR="006C3962" w:rsidRPr="00F54106" w:rsidRDefault="006C3962" w:rsidP="00FC31D7">
      <w:pPr>
        <w:spacing w:line="276" w:lineRule="auto"/>
        <w:rPr>
          <w:rFonts w:cstheme="minorHAnsi"/>
          <w:lang w:val="en-GB"/>
        </w:rPr>
      </w:pPr>
    </w:p>
    <w:p w14:paraId="3017CF96" w14:textId="46159695" w:rsidR="006C3962" w:rsidRPr="00F54106" w:rsidRDefault="006C3962" w:rsidP="00FC31D7">
      <w:pPr>
        <w:spacing w:line="276" w:lineRule="auto"/>
        <w:rPr>
          <w:rFonts w:cstheme="minorHAnsi"/>
          <w:lang w:val="en-GB"/>
        </w:rPr>
      </w:pPr>
    </w:p>
    <w:p w14:paraId="453EB1AA" w14:textId="7ED026DA" w:rsidR="006C3962" w:rsidRPr="00F54106" w:rsidRDefault="006C3962" w:rsidP="00FC31D7">
      <w:pPr>
        <w:spacing w:line="276" w:lineRule="auto"/>
        <w:rPr>
          <w:rFonts w:cstheme="minorHAnsi"/>
          <w:lang w:val="en-GB"/>
        </w:rPr>
      </w:pPr>
    </w:p>
    <w:p w14:paraId="126F6C37" w14:textId="4A1390CC" w:rsidR="006C3962" w:rsidRPr="00F54106" w:rsidRDefault="006C3962" w:rsidP="00FC31D7">
      <w:pPr>
        <w:spacing w:line="276" w:lineRule="auto"/>
        <w:rPr>
          <w:rFonts w:cstheme="minorHAnsi"/>
          <w:lang w:val="en-GB"/>
        </w:rPr>
      </w:pPr>
    </w:p>
    <w:p w14:paraId="6BA6B43A" w14:textId="2CDC5A69" w:rsidR="006C3962" w:rsidRPr="00F54106" w:rsidRDefault="006C3962" w:rsidP="00FC31D7">
      <w:pPr>
        <w:spacing w:line="276" w:lineRule="auto"/>
        <w:rPr>
          <w:rFonts w:cstheme="minorHAnsi"/>
          <w:lang w:val="en-GB"/>
        </w:rPr>
      </w:pPr>
    </w:p>
    <w:p w14:paraId="1C8527D8" w14:textId="22D61C8A" w:rsidR="006C3962" w:rsidRPr="00F54106" w:rsidRDefault="006C3962" w:rsidP="00FC31D7">
      <w:pPr>
        <w:spacing w:line="276" w:lineRule="auto"/>
        <w:rPr>
          <w:rFonts w:cstheme="minorHAnsi"/>
          <w:lang w:val="en-GB"/>
        </w:rPr>
      </w:pPr>
    </w:p>
    <w:p w14:paraId="0B118E36" w14:textId="661D6144" w:rsidR="006C3962" w:rsidRPr="00F54106" w:rsidRDefault="006C3962" w:rsidP="00FC31D7">
      <w:pPr>
        <w:spacing w:line="276" w:lineRule="auto"/>
        <w:rPr>
          <w:rFonts w:cstheme="minorHAnsi"/>
          <w:lang w:val="en-GB"/>
        </w:rPr>
      </w:pPr>
    </w:p>
    <w:p w14:paraId="10296A03" w14:textId="4F915696" w:rsidR="006C3962" w:rsidRPr="00F54106" w:rsidRDefault="006C3962" w:rsidP="00FC31D7">
      <w:pPr>
        <w:spacing w:line="276" w:lineRule="auto"/>
        <w:rPr>
          <w:rFonts w:cstheme="minorHAnsi"/>
          <w:lang w:val="en-GB"/>
        </w:rPr>
      </w:pPr>
    </w:p>
    <w:p w14:paraId="15B3A1EB" w14:textId="5311A96F" w:rsidR="006C3962" w:rsidRPr="00F54106" w:rsidRDefault="006C3962" w:rsidP="00FC31D7">
      <w:pPr>
        <w:spacing w:line="276" w:lineRule="auto"/>
        <w:rPr>
          <w:rFonts w:cstheme="minorHAnsi"/>
          <w:lang w:val="en-GB"/>
        </w:rPr>
      </w:pPr>
    </w:p>
    <w:p w14:paraId="679DF5D7" w14:textId="500FE962" w:rsidR="006C3962" w:rsidRPr="00F54106" w:rsidRDefault="006C3962" w:rsidP="00FC31D7">
      <w:pPr>
        <w:spacing w:line="276" w:lineRule="auto"/>
        <w:rPr>
          <w:rFonts w:cstheme="minorHAnsi"/>
          <w:lang w:val="en-GB"/>
        </w:rPr>
      </w:pPr>
    </w:p>
    <w:p w14:paraId="0D7939D5" w14:textId="4E460AB4" w:rsidR="006C3962" w:rsidRPr="00F54106" w:rsidRDefault="006C3962" w:rsidP="00FC31D7">
      <w:pPr>
        <w:spacing w:line="276" w:lineRule="auto"/>
        <w:rPr>
          <w:rFonts w:cstheme="minorHAnsi"/>
          <w:lang w:val="en-GB"/>
        </w:rPr>
      </w:pPr>
    </w:p>
    <w:p w14:paraId="70156FE8" w14:textId="43A83F3A" w:rsidR="006C3962" w:rsidRPr="00F54106" w:rsidRDefault="006C3962" w:rsidP="00FC31D7">
      <w:pPr>
        <w:spacing w:line="276" w:lineRule="auto"/>
        <w:rPr>
          <w:rFonts w:cstheme="minorHAnsi"/>
          <w:lang w:val="en-GB"/>
        </w:rPr>
      </w:pPr>
    </w:p>
    <w:p w14:paraId="288E7B06" w14:textId="2B093CA3" w:rsidR="006C3962" w:rsidRPr="00F54106" w:rsidRDefault="006C3962" w:rsidP="00FC31D7">
      <w:pPr>
        <w:spacing w:line="276" w:lineRule="auto"/>
        <w:rPr>
          <w:rFonts w:cstheme="minorHAnsi"/>
          <w:lang w:val="en-GB"/>
        </w:rPr>
      </w:pPr>
    </w:p>
    <w:p w14:paraId="1C68027F" w14:textId="36C14E10" w:rsidR="006C3962" w:rsidRPr="00F54106" w:rsidRDefault="006C3962" w:rsidP="00FC31D7">
      <w:pPr>
        <w:spacing w:line="276" w:lineRule="auto"/>
        <w:rPr>
          <w:rFonts w:cstheme="minorHAnsi"/>
          <w:lang w:val="en-GB"/>
        </w:rPr>
      </w:pPr>
    </w:p>
    <w:p w14:paraId="30DC9295" w14:textId="44D2C78C" w:rsidR="006C3962" w:rsidRPr="00F54106" w:rsidRDefault="006C3962" w:rsidP="00FC31D7">
      <w:pPr>
        <w:spacing w:line="276" w:lineRule="auto"/>
        <w:rPr>
          <w:rFonts w:cstheme="minorHAnsi"/>
          <w:lang w:val="en-GB"/>
        </w:rPr>
      </w:pPr>
    </w:p>
    <w:p w14:paraId="653E2EE8" w14:textId="77777777" w:rsidR="006C3962" w:rsidRPr="00F54106" w:rsidRDefault="006C3962" w:rsidP="00FC31D7">
      <w:pPr>
        <w:spacing w:line="276" w:lineRule="auto"/>
        <w:rPr>
          <w:rFonts w:cstheme="minorHAnsi"/>
          <w:lang w:val="en-GB"/>
        </w:rPr>
      </w:pPr>
    </w:p>
    <w:p w14:paraId="3F9039F2" w14:textId="533C8E8D" w:rsidR="00AA3172" w:rsidRPr="00F54106" w:rsidRDefault="00AA3172" w:rsidP="00AA3172">
      <w:pPr>
        <w:pStyle w:val="Heading1"/>
        <w:jc w:val="center"/>
        <w:rPr>
          <w:lang w:val="en-GB"/>
        </w:rPr>
      </w:pPr>
      <w:bookmarkStart w:id="17" w:name="_Toc107610215"/>
      <w:r w:rsidRPr="00F54106">
        <w:rPr>
          <w:lang w:val="en-GB"/>
        </w:rPr>
        <w:lastRenderedPageBreak/>
        <w:t>2. Preferred countries for cartel damages claims: Germany, the UK and the Netherlands</w:t>
      </w:r>
      <w:bookmarkEnd w:id="17"/>
    </w:p>
    <w:p w14:paraId="7E7B6F46" w14:textId="77777777" w:rsidR="00AA3172" w:rsidRPr="00F54106" w:rsidRDefault="00AA3172" w:rsidP="00AA3172">
      <w:pPr>
        <w:rPr>
          <w:lang w:val="en-GB"/>
        </w:rPr>
      </w:pPr>
    </w:p>
    <w:p w14:paraId="0480B789" w14:textId="012E5730" w:rsidR="00AA3172" w:rsidRPr="00F54106" w:rsidRDefault="00D1350B" w:rsidP="00AA3172">
      <w:pPr>
        <w:rPr>
          <w:lang w:val="en-GB"/>
        </w:rPr>
      </w:pPr>
      <w:r w:rsidRPr="00F54106">
        <w:rPr>
          <w:lang w:val="en-GB"/>
        </w:rPr>
        <w:t>As mentioned, t</w:t>
      </w:r>
      <w:r w:rsidR="00AA3172" w:rsidRPr="00F54106">
        <w:rPr>
          <w:lang w:val="en-GB"/>
        </w:rPr>
        <w:t>hree countries are often mentioned to be preferred forums for cartel damages claims, namely Germany, the United Kingdom and the Netherlands.</w:t>
      </w:r>
      <w:r w:rsidR="00AA3172" w:rsidRPr="00F54106">
        <w:rPr>
          <w:rStyle w:val="FootnoteReference"/>
          <w:rFonts w:cstheme="minorHAnsi"/>
          <w:i/>
          <w:iCs/>
          <w:lang w:val="en-GB"/>
        </w:rPr>
        <w:t xml:space="preserve"> </w:t>
      </w:r>
      <w:r w:rsidR="00AA3172" w:rsidRPr="00F54106">
        <w:rPr>
          <w:lang w:val="en-GB"/>
        </w:rPr>
        <w:t>Therefore, this chapter rigorously explores the German, UK and Dutch legal and judicial systems for private enforcement of antitrust damages claims</w:t>
      </w:r>
      <w:r w:rsidR="00913498" w:rsidRPr="00F54106">
        <w:rPr>
          <w:lang w:val="en-GB"/>
        </w:rPr>
        <w:t>.</w:t>
      </w:r>
    </w:p>
    <w:p w14:paraId="7AE869CC" w14:textId="77777777" w:rsidR="00AA3172" w:rsidRPr="00F54106" w:rsidRDefault="00AA3172" w:rsidP="00AA3172">
      <w:pPr>
        <w:rPr>
          <w:lang w:val="en-GB"/>
        </w:rPr>
      </w:pPr>
    </w:p>
    <w:p w14:paraId="3E8F398F" w14:textId="179FEE1B" w:rsidR="001F001E" w:rsidRPr="00F54106" w:rsidRDefault="00A57614" w:rsidP="001F001E">
      <w:pPr>
        <w:pStyle w:val="Heading2"/>
        <w:rPr>
          <w:lang w:val="en-GB"/>
        </w:rPr>
      </w:pPr>
      <w:bookmarkStart w:id="18" w:name="_Toc107610216"/>
      <w:r w:rsidRPr="00F54106">
        <w:rPr>
          <w:lang w:val="en-GB"/>
        </w:rPr>
        <w:t>2</w:t>
      </w:r>
      <w:r w:rsidR="009209AC" w:rsidRPr="00F54106">
        <w:rPr>
          <w:lang w:val="en-GB"/>
        </w:rPr>
        <w:t>.</w:t>
      </w:r>
      <w:r w:rsidR="00AA3172" w:rsidRPr="00F54106">
        <w:rPr>
          <w:lang w:val="en-GB"/>
        </w:rPr>
        <w:t>1</w:t>
      </w:r>
      <w:r w:rsidR="009209AC" w:rsidRPr="00F54106">
        <w:rPr>
          <w:lang w:val="en-GB"/>
        </w:rPr>
        <w:t xml:space="preserve"> Germany</w:t>
      </w:r>
      <w:r w:rsidR="001848FC" w:rsidRPr="00F54106">
        <w:rPr>
          <w:lang w:val="en-GB"/>
        </w:rPr>
        <w:t xml:space="preserve"> as a </w:t>
      </w:r>
      <w:r w:rsidR="00473D82" w:rsidRPr="00F54106">
        <w:rPr>
          <w:lang w:val="en-GB"/>
        </w:rPr>
        <w:t>preferred country for antitrust damages claims</w:t>
      </w:r>
      <w:bookmarkEnd w:id="18"/>
      <w:r w:rsidR="001848FC" w:rsidRPr="00F54106">
        <w:rPr>
          <w:lang w:val="en-GB"/>
        </w:rPr>
        <w:t xml:space="preserve"> </w:t>
      </w:r>
    </w:p>
    <w:p w14:paraId="51E08601" w14:textId="3292A34B" w:rsidR="00B61AD9" w:rsidRPr="00F54106" w:rsidRDefault="00317A51" w:rsidP="00FC31D7">
      <w:pPr>
        <w:spacing w:line="276" w:lineRule="auto"/>
        <w:rPr>
          <w:rFonts w:cstheme="minorHAnsi"/>
          <w:lang w:val="en-GB"/>
        </w:rPr>
      </w:pPr>
      <w:r w:rsidRPr="00F54106">
        <w:rPr>
          <w:rFonts w:cstheme="minorHAnsi"/>
          <w:lang w:val="en-GB"/>
        </w:rPr>
        <w:t>Germany is distinguished as a very attractive country for cartel damages actions with</w:t>
      </w:r>
      <w:r w:rsidR="005E083B" w:rsidRPr="00F54106">
        <w:rPr>
          <w:rFonts w:cstheme="minorHAnsi"/>
          <w:lang w:val="en-GB"/>
        </w:rPr>
        <w:t xml:space="preserve"> unofficial statistics </w:t>
      </w:r>
      <w:r w:rsidR="00BE5ED5" w:rsidRPr="00F54106">
        <w:rPr>
          <w:rFonts w:cstheme="minorHAnsi"/>
          <w:lang w:val="en-GB"/>
        </w:rPr>
        <w:t>showing</w:t>
      </w:r>
      <w:r w:rsidR="005E083B" w:rsidRPr="00F54106">
        <w:rPr>
          <w:rFonts w:cstheme="minorHAnsi"/>
          <w:lang w:val="en-GB"/>
        </w:rPr>
        <w:t xml:space="preserve"> </w:t>
      </w:r>
      <w:r w:rsidR="00DE10E8" w:rsidRPr="00F54106">
        <w:rPr>
          <w:rFonts w:cstheme="minorHAnsi"/>
          <w:lang w:val="en-GB"/>
        </w:rPr>
        <w:t>that roughly 650 cases are pending as of 2020</w:t>
      </w:r>
      <w:r w:rsidR="00DE10E8" w:rsidRPr="00F54106">
        <w:rPr>
          <w:rStyle w:val="FootnoteReference"/>
          <w:rFonts w:cstheme="minorHAnsi"/>
          <w:lang w:val="en-GB"/>
        </w:rPr>
        <w:footnoteReference w:id="27"/>
      </w:r>
      <w:r w:rsidR="00DE10E8" w:rsidRPr="00F54106">
        <w:rPr>
          <w:rFonts w:cstheme="minorHAnsi"/>
          <w:lang w:val="en-GB"/>
        </w:rPr>
        <w:t xml:space="preserve"> and </w:t>
      </w:r>
      <w:r w:rsidR="005E083B" w:rsidRPr="00F54106">
        <w:rPr>
          <w:rFonts w:cstheme="minorHAnsi"/>
          <w:lang w:val="en-GB"/>
        </w:rPr>
        <w:t>that</w:t>
      </w:r>
      <w:r w:rsidRPr="00F54106">
        <w:rPr>
          <w:rFonts w:cstheme="minorHAnsi"/>
          <w:lang w:val="en-GB"/>
        </w:rPr>
        <w:t xml:space="preserve"> 1</w:t>
      </w:r>
      <w:r w:rsidR="00DE10E8" w:rsidRPr="00F54106">
        <w:rPr>
          <w:rFonts w:cstheme="minorHAnsi"/>
          <w:lang w:val="en-GB"/>
        </w:rPr>
        <w:t>77</w:t>
      </w:r>
      <w:r w:rsidRPr="00F54106">
        <w:rPr>
          <w:rFonts w:cstheme="minorHAnsi"/>
          <w:lang w:val="en-GB"/>
        </w:rPr>
        <w:t xml:space="preserve"> </w:t>
      </w:r>
      <w:r w:rsidR="00BE5ED5" w:rsidRPr="00F54106">
        <w:rPr>
          <w:rFonts w:cstheme="minorHAnsi"/>
          <w:lang w:val="en-GB"/>
        </w:rPr>
        <w:t>verdicts</w:t>
      </w:r>
      <w:r w:rsidR="005E083B" w:rsidRPr="00F54106">
        <w:rPr>
          <w:rFonts w:cstheme="minorHAnsi"/>
          <w:lang w:val="en-GB"/>
        </w:rPr>
        <w:t xml:space="preserve"> have been reached</w:t>
      </w:r>
      <w:r w:rsidRPr="00F54106">
        <w:rPr>
          <w:rFonts w:cstheme="minorHAnsi"/>
          <w:lang w:val="en-GB"/>
        </w:rPr>
        <w:t xml:space="preserve"> </w:t>
      </w:r>
      <w:r w:rsidR="00152638" w:rsidRPr="00F54106">
        <w:rPr>
          <w:rFonts w:cstheme="minorHAnsi"/>
          <w:lang w:val="en-GB"/>
        </w:rPr>
        <w:t>up until 20</w:t>
      </w:r>
      <w:r w:rsidR="00DE10E8" w:rsidRPr="00F54106">
        <w:rPr>
          <w:rFonts w:cstheme="minorHAnsi"/>
          <w:lang w:val="en-GB"/>
        </w:rPr>
        <w:t>21.</w:t>
      </w:r>
      <w:r w:rsidR="00DE10E8" w:rsidRPr="00F54106">
        <w:rPr>
          <w:rStyle w:val="FootnoteReference"/>
          <w:rFonts w:cstheme="minorHAnsi"/>
          <w:lang w:val="en-GB"/>
        </w:rPr>
        <w:footnoteReference w:id="28"/>
      </w:r>
      <w:r w:rsidR="00152638" w:rsidRPr="00F54106">
        <w:rPr>
          <w:rFonts w:cstheme="minorHAnsi"/>
          <w:lang w:val="en-GB"/>
        </w:rPr>
        <w:t xml:space="preserve"> </w:t>
      </w:r>
      <w:r w:rsidR="00C23A05" w:rsidRPr="00F54106">
        <w:rPr>
          <w:rFonts w:cstheme="minorHAnsi"/>
          <w:lang w:val="en-GB"/>
        </w:rPr>
        <w:t>Out of all the cartel damages cases, most of them are brought in front of German courts.</w:t>
      </w:r>
      <w:r w:rsidR="00EE2E7A" w:rsidRPr="00F54106">
        <w:rPr>
          <w:rStyle w:val="FootnoteReference"/>
          <w:rFonts w:cstheme="minorHAnsi"/>
          <w:lang w:val="en-GB"/>
        </w:rPr>
        <w:footnoteReference w:id="29"/>
      </w:r>
      <w:r w:rsidR="00152638" w:rsidRPr="00F54106">
        <w:rPr>
          <w:rFonts w:cstheme="minorHAnsi"/>
          <w:lang w:val="en-GB"/>
        </w:rPr>
        <w:t xml:space="preserve"> </w:t>
      </w:r>
      <w:r w:rsidR="00FC0E1C" w:rsidRPr="00F54106">
        <w:rPr>
          <w:rFonts w:cstheme="minorHAnsi"/>
          <w:lang w:val="en-GB"/>
        </w:rPr>
        <w:t>From 2014-2018, t</w:t>
      </w:r>
      <w:r w:rsidR="00275FB8" w:rsidRPr="00F54106">
        <w:rPr>
          <w:rFonts w:cstheme="minorHAnsi"/>
          <w:lang w:val="en-GB"/>
        </w:rPr>
        <w:t xml:space="preserve">he success rate of antitrust cases in Germany </w:t>
      </w:r>
      <w:r w:rsidR="00FC0E1C" w:rsidRPr="00F54106">
        <w:rPr>
          <w:rFonts w:cstheme="minorHAnsi"/>
          <w:lang w:val="en-GB"/>
        </w:rPr>
        <w:t>has amounted to</w:t>
      </w:r>
      <w:r w:rsidR="00275FB8" w:rsidRPr="00F54106">
        <w:rPr>
          <w:rFonts w:cstheme="minorHAnsi"/>
          <w:lang w:val="en-GB"/>
        </w:rPr>
        <w:t xml:space="preserve"> 78 percen</w:t>
      </w:r>
      <w:r w:rsidR="00FC0E1C" w:rsidRPr="00F54106">
        <w:rPr>
          <w:rFonts w:cstheme="minorHAnsi"/>
          <w:lang w:val="en-GB"/>
        </w:rPr>
        <w:t>t</w:t>
      </w:r>
      <w:r w:rsidR="009971E6" w:rsidRPr="00F54106">
        <w:rPr>
          <w:rFonts w:cstheme="minorHAnsi"/>
          <w:lang w:val="en-GB"/>
        </w:rPr>
        <w:t xml:space="preserve"> and</w:t>
      </w:r>
      <w:r w:rsidR="00FC0E1C" w:rsidRPr="00F54106">
        <w:rPr>
          <w:rFonts w:cstheme="minorHAnsi"/>
          <w:lang w:val="en-GB"/>
        </w:rPr>
        <w:t xml:space="preserve"> has been relatively stable within that period,</w:t>
      </w:r>
      <w:r w:rsidR="00275FB8" w:rsidRPr="00F54106">
        <w:rPr>
          <w:rFonts w:cstheme="minorHAnsi"/>
          <w:lang w:val="en-GB"/>
        </w:rPr>
        <w:t xml:space="preserve"> while indirect purchasers’ claims </w:t>
      </w:r>
      <w:r w:rsidR="008D3435" w:rsidRPr="00F54106">
        <w:rPr>
          <w:rFonts w:cstheme="minorHAnsi"/>
          <w:lang w:val="en-GB"/>
        </w:rPr>
        <w:t xml:space="preserve">have </w:t>
      </w:r>
      <w:r w:rsidR="00275FB8" w:rsidRPr="00F54106">
        <w:rPr>
          <w:rFonts w:cstheme="minorHAnsi"/>
          <w:lang w:val="en-GB"/>
        </w:rPr>
        <w:t>succeed</w:t>
      </w:r>
      <w:r w:rsidR="008D3435" w:rsidRPr="00F54106">
        <w:rPr>
          <w:rFonts w:cstheme="minorHAnsi"/>
          <w:lang w:val="en-GB"/>
        </w:rPr>
        <w:t>ed</w:t>
      </w:r>
      <w:r w:rsidR="00275FB8" w:rsidRPr="00F54106">
        <w:rPr>
          <w:rFonts w:cstheme="minorHAnsi"/>
          <w:lang w:val="en-GB"/>
        </w:rPr>
        <w:t xml:space="preserve"> at a rate of 64 percent.</w:t>
      </w:r>
      <w:r w:rsidR="00FC0E1C" w:rsidRPr="00F54106">
        <w:rPr>
          <w:rStyle w:val="FootnoteReference"/>
          <w:rFonts w:cstheme="minorHAnsi"/>
          <w:lang w:val="en-GB"/>
        </w:rPr>
        <w:footnoteReference w:id="30"/>
      </w:r>
      <w:r w:rsidR="00275FB8" w:rsidRPr="00F54106">
        <w:rPr>
          <w:rFonts w:cstheme="minorHAnsi"/>
          <w:lang w:val="en-GB"/>
        </w:rPr>
        <w:t xml:space="preserve"> </w:t>
      </w:r>
      <w:r w:rsidR="00FC2E31" w:rsidRPr="00F54106">
        <w:rPr>
          <w:rFonts w:cstheme="minorHAnsi"/>
          <w:lang w:val="en-GB"/>
        </w:rPr>
        <w:t xml:space="preserve">The literature </w:t>
      </w:r>
      <w:r w:rsidR="00A222D7" w:rsidRPr="00F54106">
        <w:rPr>
          <w:rFonts w:cstheme="minorHAnsi"/>
          <w:lang w:val="en-GB"/>
        </w:rPr>
        <w:t>states</w:t>
      </w:r>
      <w:r w:rsidR="00EB62C9" w:rsidRPr="00F54106">
        <w:rPr>
          <w:rFonts w:cstheme="minorHAnsi"/>
          <w:lang w:val="en-GB"/>
        </w:rPr>
        <w:t xml:space="preserve"> that </w:t>
      </w:r>
      <w:r w:rsidR="00275FB8" w:rsidRPr="00F54106">
        <w:rPr>
          <w:rFonts w:cstheme="minorHAnsi"/>
          <w:lang w:val="en-GB"/>
        </w:rPr>
        <w:t>Germany owes some of its success as a preferred forum to its procedural laws</w:t>
      </w:r>
      <w:r w:rsidR="000D16F5" w:rsidRPr="00F54106">
        <w:rPr>
          <w:rFonts w:cstheme="minorHAnsi"/>
          <w:lang w:val="en-GB"/>
        </w:rPr>
        <w:t xml:space="preserve"> </w:t>
      </w:r>
      <w:r w:rsidR="00FC2E31" w:rsidRPr="00F54106">
        <w:rPr>
          <w:rFonts w:cstheme="minorHAnsi"/>
          <w:lang w:val="en-GB"/>
        </w:rPr>
        <w:t>as</w:t>
      </w:r>
      <w:r w:rsidR="000D16F5" w:rsidRPr="00F54106">
        <w:rPr>
          <w:rFonts w:cstheme="minorHAnsi"/>
          <w:lang w:val="en-GB"/>
        </w:rPr>
        <w:t xml:space="preserve"> </w:t>
      </w:r>
      <w:r w:rsidR="001B73FD" w:rsidRPr="00F54106">
        <w:rPr>
          <w:rFonts w:cstheme="minorHAnsi"/>
          <w:lang w:val="en-GB"/>
        </w:rPr>
        <w:t xml:space="preserve">the </w:t>
      </w:r>
      <w:r w:rsidR="00EB62C9" w:rsidRPr="00F54106">
        <w:rPr>
          <w:rFonts w:cstheme="minorHAnsi"/>
          <w:lang w:val="en-GB"/>
        </w:rPr>
        <w:t>evidentiary presumptions</w:t>
      </w:r>
      <w:r w:rsidR="000D16F5" w:rsidRPr="00F54106">
        <w:rPr>
          <w:rFonts w:cstheme="minorHAnsi"/>
          <w:lang w:val="en-GB"/>
        </w:rPr>
        <w:t xml:space="preserve"> </w:t>
      </w:r>
      <w:r w:rsidR="00EB62C9" w:rsidRPr="00F54106">
        <w:rPr>
          <w:rFonts w:cstheme="minorHAnsi"/>
          <w:lang w:val="en-GB"/>
        </w:rPr>
        <w:t xml:space="preserve">are </w:t>
      </w:r>
      <w:r w:rsidR="000D16F5" w:rsidRPr="00F54106">
        <w:rPr>
          <w:rFonts w:cstheme="minorHAnsi"/>
          <w:lang w:val="en-GB"/>
        </w:rPr>
        <w:t xml:space="preserve">in the </w:t>
      </w:r>
      <w:r w:rsidR="00EB62C9" w:rsidRPr="00F54106">
        <w:rPr>
          <w:rFonts w:cstheme="minorHAnsi"/>
          <w:lang w:val="en-GB"/>
        </w:rPr>
        <w:t>favour</w:t>
      </w:r>
      <w:r w:rsidR="000D16F5" w:rsidRPr="00F54106">
        <w:rPr>
          <w:rFonts w:cstheme="minorHAnsi"/>
          <w:lang w:val="en-GB"/>
        </w:rPr>
        <w:t xml:space="preserve"> of </w:t>
      </w:r>
      <w:r w:rsidR="00EB62C9" w:rsidRPr="00F54106">
        <w:rPr>
          <w:rFonts w:cstheme="minorHAnsi"/>
          <w:lang w:val="en-GB"/>
        </w:rPr>
        <w:t>plaintiffs</w:t>
      </w:r>
      <w:r w:rsidR="00FC2E31" w:rsidRPr="00F54106">
        <w:rPr>
          <w:rFonts w:cstheme="minorHAnsi"/>
          <w:lang w:val="en-GB"/>
        </w:rPr>
        <w:t xml:space="preserve"> and </w:t>
      </w:r>
      <w:r w:rsidR="00EB62C9" w:rsidRPr="00F54106">
        <w:rPr>
          <w:rFonts w:cstheme="minorHAnsi"/>
          <w:lang w:val="en-GB"/>
        </w:rPr>
        <w:t>trial</w:t>
      </w:r>
      <w:r w:rsidR="00FC2E31" w:rsidRPr="00F54106">
        <w:rPr>
          <w:rFonts w:cstheme="minorHAnsi"/>
          <w:lang w:val="en-GB"/>
        </w:rPr>
        <w:t>s</w:t>
      </w:r>
      <w:r w:rsidR="00EB62C9" w:rsidRPr="00F54106">
        <w:rPr>
          <w:rFonts w:cstheme="minorHAnsi"/>
          <w:lang w:val="en-GB"/>
        </w:rPr>
        <w:t xml:space="preserve"> </w:t>
      </w:r>
      <w:r w:rsidR="00FC2E31" w:rsidRPr="00F54106">
        <w:rPr>
          <w:rFonts w:cstheme="minorHAnsi"/>
          <w:lang w:val="en-GB"/>
        </w:rPr>
        <w:t xml:space="preserve">commence </w:t>
      </w:r>
      <w:r w:rsidR="00EB62C9" w:rsidRPr="00F54106">
        <w:rPr>
          <w:rFonts w:cstheme="minorHAnsi"/>
          <w:lang w:val="en-GB"/>
        </w:rPr>
        <w:t>relatively fast.</w:t>
      </w:r>
      <w:r w:rsidR="001B73FD" w:rsidRPr="00F54106">
        <w:rPr>
          <w:rStyle w:val="FootnoteReference"/>
          <w:rFonts w:cstheme="minorHAnsi"/>
          <w:lang w:val="en-GB"/>
        </w:rPr>
        <w:footnoteReference w:id="31"/>
      </w:r>
      <w:r w:rsidR="00EB62C9" w:rsidRPr="00F54106">
        <w:rPr>
          <w:rFonts w:cstheme="minorHAnsi"/>
          <w:lang w:val="en-GB"/>
        </w:rPr>
        <w:t xml:space="preserve"> In addition, </w:t>
      </w:r>
      <w:r w:rsidR="009209AC" w:rsidRPr="00F54106">
        <w:rPr>
          <w:rFonts w:cstheme="minorHAnsi"/>
          <w:lang w:val="en-GB"/>
        </w:rPr>
        <w:t xml:space="preserve">the abundance of precedents and the German courts’ experience with antitrust damages claims </w:t>
      </w:r>
      <w:r w:rsidR="001B73FD" w:rsidRPr="00F54106">
        <w:rPr>
          <w:rFonts w:cstheme="minorHAnsi"/>
          <w:lang w:val="en-GB"/>
        </w:rPr>
        <w:t>are</w:t>
      </w:r>
      <w:r w:rsidR="009209AC" w:rsidRPr="00F54106">
        <w:rPr>
          <w:rFonts w:cstheme="minorHAnsi"/>
          <w:lang w:val="en-GB"/>
        </w:rPr>
        <w:t xml:space="preserve"> also mentioned as key factor</w:t>
      </w:r>
      <w:r w:rsidR="001B73FD" w:rsidRPr="00F54106">
        <w:rPr>
          <w:rFonts w:cstheme="minorHAnsi"/>
          <w:lang w:val="en-GB"/>
        </w:rPr>
        <w:t>s</w:t>
      </w:r>
      <w:r w:rsidR="009209AC" w:rsidRPr="00F54106">
        <w:rPr>
          <w:rFonts w:cstheme="minorHAnsi"/>
          <w:lang w:val="en-GB"/>
        </w:rPr>
        <w:t xml:space="preserve">, contributing to the legal certainty that the </w:t>
      </w:r>
      <w:r w:rsidR="001B73FD" w:rsidRPr="00F54106">
        <w:rPr>
          <w:rFonts w:cstheme="minorHAnsi"/>
          <w:lang w:val="en-GB"/>
        </w:rPr>
        <w:t xml:space="preserve">German </w:t>
      </w:r>
      <w:r w:rsidR="009209AC" w:rsidRPr="00F54106">
        <w:rPr>
          <w:rFonts w:cstheme="minorHAnsi"/>
          <w:lang w:val="en-GB"/>
        </w:rPr>
        <w:t>jurisdiction provides.</w:t>
      </w:r>
      <w:r w:rsidR="001B73FD" w:rsidRPr="00F54106">
        <w:rPr>
          <w:rStyle w:val="FootnoteReference"/>
          <w:rFonts w:cstheme="minorHAnsi"/>
          <w:lang w:val="en-GB"/>
        </w:rPr>
        <w:footnoteReference w:id="32"/>
      </w:r>
      <w:r w:rsidR="00FC0E1C" w:rsidRPr="00F54106">
        <w:rPr>
          <w:rFonts w:cstheme="minorHAnsi"/>
          <w:lang w:val="en-GB"/>
        </w:rPr>
        <w:t xml:space="preserve"> </w:t>
      </w:r>
      <w:r w:rsidR="007343F1" w:rsidRPr="00F54106">
        <w:rPr>
          <w:rFonts w:cstheme="minorHAnsi"/>
          <w:lang w:val="en-GB"/>
        </w:rPr>
        <w:t>Germany</w:t>
      </w:r>
      <w:r w:rsidR="00DB5EEA" w:rsidRPr="00F54106">
        <w:rPr>
          <w:rFonts w:cstheme="minorHAnsi"/>
          <w:lang w:val="en-GB"/>
        </w:rPr>
        <w:t xml:space="preserve"> also</w:t>
      </w:r>
      <w:r w:rsidR="007343F1" w:rsidRPr="00F54106">
        <w:rPr>
          <w:rFonts w:cstheme="minorHAnsi"/>
          <w:lang w:val="en-GB"/>
        </w:rPr>
        <w:t xml:space="preserve"> has an active claim</w:t>
      </w:r>
      <w:r w:rsidR="00AC0217" w:rsidRPr="00F54106">
        <w:rPr>
          <w:rFonts w:cstheme="minorHAnsi"/>
          <w:lang w:val="en-GB"/>
        </w:rPr>
        <w:t>s</w:t>
      </w:r>
      <w:r w:rsidR="007343F1" w:rsidRPr="00F54106">
        <w:rPr>
          <w:rFonts w:cstheme="minorHAnsi"/>
          <w:lang w:val="en-GB"/>
        </w:rPr>
        <w:t xml:space="preserve"> vehicle called the Cartel Damage Claims which has brought numerous claims in front of German courts</w:t>
      </w:r>
      <w:r w:rsidR="00987191" w:rsidRPr="00F54106">
        <w:rPr>
          <w:rFonts w:cstheme="minorHAnsi"/>
          <w:lang w:val="en-GB"/>
        </w:rPr>
        <w:t xml:space="preserve"> and</w:t>
      </w:r>
      <w:r w:rsidR="00FA3E06" w:rsidRPr="00F54106">
        <w:rPr>
          <w:rFonts w:cstheme="minorHAnsi"/>
          <w:lang w:val="en-GB"/>
        </w:rPr>
        <w:t xml:space="preserve"> German courts have </w:t>
      </w:r>
      <w:r w:rsidR="00987191" w:rsidRPr="00F54106">
        <w:rPr>
          <w:rFonts w:cstheme="minorHAnsi"/>
          <w:lang w:val="en-GB"/>
        </w:rPr>
        <w:t xml:space="preserve">also </w:t>
      </w:r>
      <w:r w:rsidR="00FA3E06" w:rsidRPr="00F54106">
        <w:rPr>
          <w:rFonts w:cstheme="minorHAnsi"/>
          <w:lang w:val="en-GB"/>
        </w:rPr>
        <w:t xml:space="preserve">adopted </w:t>
      </w:r>
      <w:r w:rsidR="002C061D" w:rsidRPr="00F54106">
        <w:rPr>
          <w:rFonts w:cstheme="minorHAnsi"/>
          <w:lang w:val="en-GB"/>
        </w:rPr>
        <w:t>jurisdiction</w:t>
      </w:r>
      <w:r w:rsidR="00FA3E06" w:rsidRPr="00F54106">
        <w:rPr>
          <w:rFonts w:cstheme="minorHAnsi"/>
          <w:lang w:val="en-GB"/>
        </w:rPr>
        <w:t xml:space="preserve"> </w:t>
      </w:r>
      <w:r w:rsidR="002C061D" w:rsidRPr="00F54106">
        <w:rPr>
          <w:rFonts w:cstheme="minorHAnsi"/>
          <w:lang w:val="en-GB"/>
        </w:rPr>
        <w:t xml:space="preserve">by virtue of </w:t>
      </w:r>
      <w:r w:rsidR="00FA3E06" w:rsidRPr="00F54106">
        <w:rPr>
          <w:rFonts w:cstheme="minorHAnsi"/>
          <w:lang w:val="en-GB"/>
        </w:rPr>
        <w:t xml:space="preserve">the exception contained in articles 2 and 6 in </w:t>
      </w:r>
      <w:r w:rsidR="00A0068C" w:rsidRPr="00F54106">
        <w:rPr>
          <w:rFonts w:cstheme="minorHAnsi"/>
          <w:lang w:val="en-GB"/>
        </w:rPr>
        <w:t>the</w:t>
      </w:r>
      <w:r w:rsidR="00651DCD" w:rsidRPr="00F54106">
        <w:rPr>
          <w:rFonts w:cstheme="minorHAnsi"/>
          <w:lang w:val="en-GB"/>
        </w:rPr>
        <w:t xml:space="preserve"> previous</w:t>
      </w:r>
      <w:r w:rsidR="00A0068C" w:rsidRPr="00F54106">
        <w:rPr>
          <w:rFonts w:cstheme="minorHAnsi"/>
          <w:lang w:val="en-GB"/>
        </w:rPr>
        <w:t xml:space="preserve"> </w:t>
      </w:r>
      <w:r w:rsidR="00FA3E06" w:rsidRPr="00F54106">
        <w:rPr>
          <w:rFonts w:cstheme="minorHAnsi"/>
          <w:lang w:val="en-GB"/>
        </w:rPr>
        <w:t>Brussels I.</w:t>
      </w:r>
      <w:r w:rsidR="00FA3E06" w:rsidRPr="00F54106">
        <w:rPr>
          <w:rStyle w:val="FootnoteReference"/>
          <w:rFonts w:cstheme="minorHAnsi"/>
          <w:lang w:val="en-GB"/>
        </w:rPr>
        <w:footnoteReference w:id="33"/>
      </w:r>
      <w:r w:rsidR="00971452" w:rsidRPr="00F54106">
        <w:rPr>
          <w:rFonts w:cstheme="minorHAnsi"/>
          <w:lang w:val="en-GB"/>
        </w:rPr>
        <w:t xml:space="preserve"> Furthermore, there is an apparent hostility towards the passing-on defence which is also to the benefit of claimants.</w:t>
      </w:r>
      <w:r w:rsidR="00971452" w:rsidRPr="00F54106">
        <w:rPr>
          <w:rStyle w:val="FootnoteReference"/>
          <w:rFonts w:cstheme="minorHAnsi"/>
          <w:lang w:val="en-GB"/>
        </w:rPr>
        <w:footnoteReference w:id="34"/>
      </w:r>
      <w:r w:rsidR="002C061D" w:rsidRPr="00F54106">
        <w:rPr>
          <w:rFonts w:cstheme="minorHAnsi"/>
          <w:lang w:val="en-GB"/>
        </w:rPr>
        <w:t xml:space="preserve"> </w:t>
      </w:r>
    </w:p>
    <w:p w14:paraId="6C300CE0" w14:textId="4430AF4C" w:rsidR="00EE1D13" w:rsidRPr="00F54106" w:rsidRDefault="00726479" w:rsidP="00FC31D7">
      <w:pPr>
        <w:spacing w:line="276" w:lineRule="auto"/>
        <w:ind w:firstLine="720"/>
        <w:rPr>
          <w:rFonts w:cstheme="minorHAnsi"/>
          <w:lang w:val="en-GB"/>
        </w:rPr>
      </w:pPr>
      <w:r w:rsidRPr="00F54106">
        <w:rPr>
          <w:rFonts w:cstheme="minorHAnsi"/>
          <w:lang w:val="en-GB"/>
        </w:rPr>
        <w:t>German courts were generally sceptical towards claims for damages prior to 2005, while some</w:t>
      </w:r>
      <w:r w:rsidR="00344743" w:rsidRPr="00F54106">
        <w:rPr>
          <w:rFonts w:cstheme="minorHAnsi"/>
          <w:lang w:val="en-GB"/>
        </w:rPr>
        <w:t xml:space="preserve"> courts</w:t>
      </w:r>
      <w:r w:rsidRPr="00F54106">
        <w:rPr>
          <w:rFonts w:cstheme="minorHAnsi"/>
          <w:lang w:val="en-GB"/>
        </w:rPr>
        <w:t xml:space="preserve"> required claimants to prove that the infringement specifically affected them.</w:t>
      </w:r>
      <w:r w:rsidRPr="00F54106">
        <w:rPr>
          <w:rStyle w:val="FootnoteReference"/>
          <w:rFonts w:cstheme="minorHAnsi"/>
          <w:lang w:val="en-GB"/>
        </w:rPr>
        <w:footnoteReference w:id="35"/>
      </w:r>
      <w:r w:rsidRPr="00F54106">
        <w:rPr>
          <w:rFonts w:cstheme="minorHAnsi"/>
          <w:lang w:val="en-GB"/>
        </w:rPr>
        <w:t xml:space="preserve"> This </w:t>
      </w:r>
      <w:r w:rsidR="00A82125" w:rsidRPr="00F54106">
        <w:rPr>
          <w:rFonts w:cstheme="minorHAnsi"/>
          <w:lang w:val="en-GB"/>
        </w:rPr>
        <w:t>resulted in</w:t>
      </w:r>
      <w:r w:rsidRPr="00F54106">
        <w:rPr>
          <w:rFonts w:cstheme="minorHAnsi"/>
          <w:lang w:val="en-GB"/>
        </w:rPr>
        <w:t xml:space="preserve"> a very low success rate </w:t>
      </w:r>
      <w:r w:rsidR="00A82125" w:rsidRPr="00F54106">
        <w:rPr>
          <w:rFonts w:cstheme="minorHAnsi"/>
          <w:lang w:val="en-GB"/>
        </w:rPr>
        <w:t xml:space="preserve">for claimants </w:t>
      </w:r>
      <w:r w:rsidRPr="00F54106">
        <w:rPr>
          <w:rFonts w:cstheme="minorHAnsi"/>
          <w:lang w:val="en-GB"/>
        </w:rPr>
        <w:t>and</w:t>
      </w:r>
      <w:r w:rsidR="00C312C3" w:rsidRPr="00F54106">
        <w:rPr>
          <w:rFonts w:cstheme="minorHAnsi"/>
          <w:lang w:val="en-GB"/>
        </w:rPr>
        <w:t xml:space="preserve">, therefore, led to </w:t>
      </w:r>
      <w:r w:rsidR="00F472F2" w:rsidRPr="00F54106">
        <w:rPr>
          <w:rFonts w:cstheme="minorHAnsi"/>
          <w:lang w:val="en-GB"/>
        </w:rPr>
        <w:t xml:space="preserve">a </w:t>
      </w:r>
      <w:r w:rsidR="00C312C3" w:rsidRPr="00F54106">
        <w:rPr>
          <w:rFonts w:cstheme="minorHAnsi"/>
          <w:lang w:val="en-GB"/>
        </w:rPr>
        <w:t xml:space="preserve">general discouragement to bring cartel </w:t>
      </w:r>
      <w:r w:rsidR="00C312C3" w:rsidRPr="00F54106">
        <w:rPr>
          <w:rFonts w:cstheme="minorHAnsi"/>
          <w:lang w:val="en-GB"/>
        </w:rPr>
        <w:lastRenderedPageBreak/>
        <w:t>damages claims.</w:t>
      </w:r>
      <w:r w:rsidR="00C312C3" w:rsidRPr="00F54106">
        <w:rPr>
          <w:rStyle w:val="FootnoteReference"/>
          <w:rFonts w:cstheme="minorHAnsi"/>
          <w:lang w:val="en-GB"/>
        </w:rPr>
        <w:footnoteReference w:id="36"/>
      </w:r>
      <w:r w:rsidRPr="00F54106">
        <w:rPr>
          <w:rFonts w:cstheme="minorHAnsi"/>
          <w:lang w:val="en-GB"/>
        </w:rPr>
        <w:t xml:space="preserve"> However,</w:t>
      </w:r>
      <w:r w:rsidR="00C312C3" w:rsidRPr="00F54106">
        <w:rPr>
          <w:rFonts w:cstheme="minorHAnsi"/>
          <w:lang w:val="en-GB"/>
        </w:rPr>
        <w:t xml:space="preserve"> the</w:t>
      </w:r>
      <w:r w:rsidR="00683256" w:rsidRPr="00F54106">
        <w:rPr>
          <w:rFonts w:cstheme="minorHAnsi"/>
          <w:lang w:val="en-GB"/>
        </w:rPr>
        <w:t xml:space="preserve"> literature </w:t>
      </w:r>
      <w:r w:rsidR="00F512A6" w:rsidRPr="00F54106">
        <w:rPr>
          <w:rFonts w:cstheme="minorHAnsi"/>
          <w:lang w:val="en-GB"/>
        </w:rPr>
        <w:t>argues</w:t>
      </w:r>
      <w:r w:rsidR="00683256" w:rsidRPr="00F54106">
        <w:rPr>
          <w:rFonts w:cstheme="minorHAnsi"/>
          <w:lang w:val="en-GB"/>
        </w:rPr>
        <w:t xml:space="preserve"> that Germany has </w:t>
      </w:r>
      <w:r w:rsidR="005B7ED5" w:rsidRPr="00F54106">
        <w:rPr>
          <w:rFonts w:cstheme="minorHAnsi"/>
          <w:lang w:val="en-GB"/>
        </w:rPr>
        <w:t>become</w:t>
      </w:r>
      <w:r w:rsidR="00683256" w:rsidRPr="00F54106">
        <w:rPr>
          <w:rFonts w:cstheme="minorHAnsi"/>
          <w:lang w:val="en-GB"/>
        </w:rPr>
        <w:t xml:space="preserve"> a</w:t>
      </w:r>
      <w:r w:rsidR="00344743" w:rsidRPr="00F54106">
        <w:rPr>
          <w:rFonts w:cstheme="minorHAnsi"/>
          <w:lang w:val="en-GB"/>
        </w:rPr>
        <w:t>n</w:t>
      </w:r>
      <w:r w:rsidR="00683256" w:rsidRPr="00F54106">
        <w:rPr>
          <w:rFonts w:cstheme="minorHAnsi"/>
          <w:lang w:val="en-GB"/>
        </w:rPr>
        <w:t xml:space="preserve"> </w:t>
      </w:r>
      <w:r w:rsidR="00A82125" w:rsidRPr="00F54106">
        <w:rPr>
          <w:rFonts w:cstheme="minorHAnsi"/>
          <w:lang w:val="en-GB"/>
        </w:rPr>
        <w:t xml:space="preserve">increasingly </w:t>
      </w:r>
      <w:r w:rsidR="00683256" w:rsidRPr="00F54106">
        <w:rPr>
          <w:rFonts w:cstheme="minorHAnsi"/>
          <w:lang w:val="en-GB"/>
        </w:rPr>
        <w:t>claimant-friendly jurisdiction from 2005 onwards.</w:t>
      </w:r>
      <w:r w:rsidR="00224DD3" w:rsidRPr="00F54106">
        <w:rPr>
          <w:rStyle w:val="FootnoteReference"/>
          <w:rFonts w:cstheme="minorHAnsi"/>
          <w:lang w:val="en-GB"/>
        </w:rPr>
        <w:footnoteReference w:id="37"/>
      </w:r>
      <w:r w:rsidR="00683256" w:rsidRPr="00F54106">
        <w:rPr>
          <w:rFonts w:cstheme="minorHAnsi"/>
          <w:lang w:val="en-GB"/>
        </w:rPr>
        <w:t xml:space="preserve"> </w:t>
      </w:r>
      <w:r w:rsidRPr="00F54106">
        <w:rPr>
          <w:rFonts w:cstheme="minorHAnsi"/>
          <w:lang w:val="en-GB"/>
        </w:rPr>
        <w:t>This i</w:t>
      </w:r>
      <w:r w:rsidR="00CD70A7" w:rsidRPr="00F54106">
        <w:rPr>
          <w:rFonts w:cstheme="minorHAnsi"/>
          <w:lang w:val="en-GB"/>
        </w:rPr>
        <w:t>s the result of the</w:t>
      </w:r>
      <w:r w:rsidR="001918E2" w:rsidRPr="00F54106">
        <w:rPr>
          <w:rFonts w:cstheme="minorHAnsi"/>
          <w:lang w:val="en-GB"/>
        </w:rPr>
        <w:t xml:space="preserve"> seventh amendment to the </w:t>
      </w:r>
      <w:bookmarkStart w:id="24" w:name="_Hlk107453142"/>
      <w:r w:rsidR="001918E2" w:rsidRPr="00F54106">
        <w:rPr>
          <w:rFonts w:cstheme="minorHAnsi"/>
          <w:lang w:val="en-GB"/>
        </w:rPr>
        <w:t xml:space="preserve">German Act against Restraints of Competition </w:t>
      </w:r>
      <w:bookmarkEnd w:id="24"/>
      <w:r w:rsidR="001918E2" w:rsidRPr="00F54106">
        <w:rPr>
          <w:rFonts w:cstheme="minorHAnsi"/>
          <w:lang w:val="en-GB"/>
        </w:rPr>
        <w:t>(</w:t>
      </w:r>
      <w:bookmarkStart w:id="25" w:name="_Hlk107452807"/>
      <w:proofErr w:type="spellStart"/>
      <w:r w:rsidR="001918E2" w:rsidRPr="00F54106">
        <w:rPr>
          <w:rFonts w:cstheme="minorHAnsi"/>
          <w:i/>
          <w:iCs/>
          <w:lang w:val="en-GB"/>
        </w:rPr>
        <w:t>Gesetz</w:t>
      </w:r>
      <w:proofErr w:type="spellEnd"/>
      <w:r w:rsidR="001918E2" w:rsidRPr="00F54106">
        <w:rPr>
          <w:rFonts w:cstheme="minorHAnsi"/>
          <w:i/>
          <w:iCs/>
          <w:lang w:val="en-GB"/>
        </w:rPr>
        <w:t xml:space="preserve"> </w:t>
      </w:r>
      <w:proofErr w:type="spellStart"/>
      <w:r w:rsidR="001918E2" w:rsidRPr="00F54106">
        <w:rPr>
          <w:rFonts w:cstheme="minorHAnsi"/>
          <w:i/>
          <w:iCs/>
          <w:lang w:val="en-GB"/>
        </w:rPr>
        <w:t>gegen</w:t>
      </w:r>
      <w:proofErr w:type="spellEnd"/>
      <w:r w:rsidR="001918E2" w:rsidRPr="00F54106">
        <w:rPr>
          <w:rFonts w:cstheme="minorHAnsi"/>
          <w:i/>
          <w:iCs/>
          <w:lang w:val="en-GB"/>
        </w:rPr>
        <w:t xml:space="preserve"> </w:t>
      </w:r>
      <w:proofErr w:type="spellStart"/>
      <w:r w:rsidR="001918E2" w:rsidRPr="00F54106">
        <w:rPr>
          <w:rFonts w:cstheme="minorHAnsi"/>
          <w:i/>
          <w:iCs/>
          <w:lang w:val="en-GB"/>
        </w:rPr>
        <w:t>Wettbewerbsbeschränkungen</w:t>
      </w:r>
      <w:proofErr w:type="spellEnd"/>
      <w:r w:rsidR="001918E2" w:rsidRPr="00F54106">
        <w:rPr>
          <w:rFonts w:cstheme="minorHAnsi"/>
          <w:i/>
          <w:iCs/>
          <w:lang w:val="en-GB"/>
        </w:rPr>
        <w:t xml:space="preserve"> </w:t>
      </w:r>
      <w:bookmarkEnd w:id="25"/>
      <w:r w:rsidR="001918E2" w:rsidRPr="00F54106">
        <w:rPr>
          <w:rFonts w:cstheme="minorHAnsi"/>
          <w:lang w:val="en-GB"/>
        </w:rPr>
        <w:t>(henceforth: GWB)</w:t>
      </w:r>
      <w:r w:rsidR="00836C25" w:rsidRPr="00F54106">
        <w:rPr>
          <w:rFonts w:cstheme="minorHAnsi"/>
          <w:lang w:val="en-GB"/>
        </w:rPr>
        <w:t>)</w:t>
      </w:r>
      <w:r w:rsidR="00F472F2" w:rsidRPr="00F54106">
        <w:rPr>
          <w:rFonts w:cstheme="minorHAnsi"/>
          <w:lang w:val="en-GB"/>
        </w:rPr>
        <w:t>,</w:t>
      </w:r>
      <w:r w:rsidR="00F512A6" w:rsidRPr="00F54106">
        <w:rPr>
          <w:rFonts w:cstheme="minorHAnsi"/>
          <w:lang w:val="en-GB"/>
        </w:rPr>
        <w:t xml:space="preserve"> which was amended as </w:t>
      </w:r>
      <w:r w:rsidR="0051230F" w:rsidRPr="00F54106">
        <w:rPr>
          <w:rFonts w:cstheme="minorHAnsi"/>
          <w:lang w:val="en-GB"/>
        </w:rPr>
        <w:t>a consequence of</w:t>
      </w:r>
      <w:r w:rsidR="00F512A6" w:rsidRPr="00F54106">
        <w:rPr>
          <w:rFonts w:cstheme="minorHAnsi"/>
          <w:lang w:val="en-GB"/>
        </w:rPr>
        <w:t xml:space="preserve"> the </w:t>
      </w:r>
      <w:r w:rsidR="00CD70A7" w:rsidRPr="00F54106">
        <w:rPr>
          <w:rFonts w:cstheme="minorHAnsi"/>
          <w:lang w:val="en-GB"/>
        </w:rPr>
        <w:t xml:space="preserve">decision of the European Court of Justice in </w:t>
      </w:r>
      <w:r w:rsidR="00CD70A7" w:rsidRPr="00F54106">
        <w:rPr>
          <w:rFonts w:cstheme="minorHAnsi"/>
          <w:i/>
          <w:iCs/>
          <w:lang w:val="en-GB"/>
        </w:rPr>
        <w:t xml:space="preserve">Courage v. </w:t>
      </w:r>
      <w:proofErr w:type="spellStart"/>
      <w:r w:rsidR="00CD70A7" w:rsidRPr="00F54106">
        <w:rPr>
          <w:rFonts w:cstheme="minorHAnsi"/>
          <w:i/>
          <w:iCs/>
          <w:lang w:val="en-GB"/>
        </w:rPr>
        <w:t>Crehan</w:t>
      </w:r>
      <w:proofErr w:type="spellEnd"/>
      <w:r w:rsidR="00F472F2" w:rsidRPr="00F54106">
        <w:rPr>
          <w:rFonts w:cstheme="minorHAnsi"/>
          <w:lang w:val="en-GB"/>
        </w:rPr>
        <w:t xml:space="preserve"> and has contributed to the facilitation of private damages actions in Germany</w:t>
      </w:r>
      <w:r w:rsidR="00BF7A73" w:rsidRPr="00F54106">
        <w:rPr>
          <w:rFonts w:cstheme="minorHAnsi"/>
          <w:lang w:val="en-GB"/>
        </w:rPr>
        <w:t>.</w:t>
      </w:r>
      <w:r w:rsidR="00F512A6" w:rsidRPr="00F54106">
        <w:rPr>
          <w:rStyle w:val="FootnoteReference"/>
          <w:rFonts w:cstheme="minorHAnsi"/>
          <w:lang w:val="en-GB"/>
        </w:rPr>
        <w:footnoteReference w:id="38"/>
      </w:r>
      <w:r w:rsidR="00BF7A73" w:rsidRPr="00F54106">
        <w:rPr>
          <w:rFonts w:cstheme="minorHAnsi"/>
          <w:lang w:val="en-GB"/>
        </w:rPr>
        <w:t xml:space="preserve"> </w:t>
      </w:r>
      <w:r w:rsidR="00F472F2" w:rsidRPr="00F54106">
        <w:rPr>
          <w:rFonts w:cstheme="minorHAnsi"/>
          <w:lang w:val="en-GB"/>
        </w:rPr>
        <w:t xml:space="preserve">For example, the amendment specified that it was no longer necessary </w:t>
      </w:r>
      <w:r w:rsidR="001A7243" w:rsidRPr="00F54106">
        <w:rPr>
          <w:rFonts w:cstheme="minorHAnsi"/>
          <w:lang w:val="en-GB"/>
        </w:rPr>
        <w:t xml:space="preserve">for a claimant </w:t>
      </w:r>
      <w:r w:rsidR="00F472F2" w:rsidRPr="00F54106">
        <w:rPr>
          <w:rFonts w:cstheme="minorHAnsi"/>
          <w:lang w:val="en-GB"/>
        </w:rPr>
        <w:t xml:space="preserve">to </w:t>
      </w:r>
      <w:r w:rsidR="001A7243" w:rsidRPr="00F54106">
        <w:rPr>
          <w:rFonts w:cstheme="minorHAnsi"/>
          <w:lang w:val="en-GB"/>
        </w:rPr>
        <w:t>be targeted specifically by an antitrust infringement</w:t>
      </w:r>
      <w:r w:rsidR="00A82125" w:rsidRPr="00F54106">
        <w:rPr>
          <w:rFonts w:cstheme="minorHAnsi"/>
          <w:lang w:val="en-GB"/>
        </w:rPr>
        <w:t xml:space="preserve">, while it </w:t>
      </w:r>
      <w:r w:rsidR="00836C25" w:rsidRPr="00F54106">
        <w:rPr>
          <w:rFonts w:cstheme="minorHAnsi"/>
          <w:lang w:val="en-GB"/>
        </w:rPr>
        <w:t xml:space="preserve">also </w:t>
      </w:r>
      <w:r w:rsidR="00A82125" w:rsidRPr="00F54106">
        <w:rPr>
          <w:rFonts w:cstheme="minorHAnsi"/>
          <w:lang w:val="en-GB"/>
        </w:rPr>
        <w:t>“introduced, inter alia, a suspension of the statute of limitations pending investigations by competition authorities and provided for a binding effect of decisions of the European Commission as well as the German Federal Cartel Office (</w:t>
      </w:r>
      <w:proofErr w:type="spellStart"/>
      <w:r w:rsidR="00A82125" w:rsidRPr="00F54106">
        <w:rPr>
          <w:rFonts w:cstheme="minorHAnsi"/>
          <w:i/>
          <w:iCs/>
          <w:lang w:val="en-GB"/>
        </w:rPr>
        <w:t>Bundeskartellamt</w:t>
      </w:r>
      <w:proofErr w:type="spellEnd"/>
      <w:r w:rsidR="000877B4" w:rsidRPr="00F54106">
        <w:rPr>
          <w:rFonts w:cstheme="minorHAnsi"/>
          <w:lang w:val="en-GB"/>
        </w:rPr>
        <w:t xml:space="preserve">) </w:t>
      </w:r>
      <w:r w:rsidR="00A82125" w:rsidRPr="00F54106">
        <w:rPr>
          <w:rFonts w:cstheme="minorHAnsi"/>
          <w:lang w:val="en-GB"/>
        </w:rPr>
        <w:t>and the competition authorities of other EU Member States”.</w:t>
      </w:r>
      <w:r w:rsidR="00A82125" w:rsidRPr="00F54106">
        <w:rPr>
          <w:rStyle w:val="FootnoteReference"/>
          <w:rFonts w:cstheme="minorHAnsi"/>
          <w:lang w:val="en-GB"/>
        </w:rPr>
        <w:footnoteReference w:id="39"/>
      </w:r>
      <w:r w:rsidR="000C5712" w:rsidRPr="00F54106">
        <w:rPr>
          <w:rFonts w:cstheme="minorHAnsi"/>
          <w:lang w:val="en-GB"/>
        </w:rPr>
        <w:t xml:space="preserve"> As</w:t>
      </w:r>
      <w:r w:rsidR="008624DD" w:rsidRPr="00F54106">
        <w:rPr>
          <w:rFonts w:cstheme="minorHAnsi"/>
          <w:lang w:val="en-GB"/>
        </w:rPr>
        <w:t xml:space="preserve"> a</w:t>
      </w:r>
      <w:r w:rsidR="000C5712" w:rsidRPr="00F54106">
        <w:rPr>
          <w:rFonts w:cstheme="minorHAnsi"/>
          <w:lang w:val="en-GB"/>
        </w:rPr>
        <w:t xml:space="preserve"> direct result of the huge increase in cases, the German courts have </w:t>
      </w:r>
      <w:r w:rsidR="008D16CC" w:rsidRPr="00F54106">
        <w:rPr>
          <w:rFonts w:cstheme="minorHAnsi"/>
          <w:lang w:val="en-GB"/>
        </w:rPr>
        <w:t xml:space="preserve">also </w:t>
      </w:r>
      <w:r w:rsidR="000C5712" w:rsidRPr="00F54106">
        <w:rPr>
          <w:rFonts w:cstheme="minorHAnsi"/>
          <w:lang w:val="en-GB"/>
        </w:rPr>
        <w:t xml:space="preserve">established a wide array of relevant </w:t>
      </w:r>
      <w:r w:rsidR="00BF7A73" w:rsidRPr="00F54106">
        <w:rPr>
          <w:rFonts w:cstheme="minorHAnsi"/>
          <w:lang w:val="en-GB"/>
        </w:rPr>
        <w:t>case-law</w:t>
      </w:r>
      <w:r w:rsidR="000C5712" w:rsidRPr="00F54106">
        <w:rPr>
          <w:rFonts w:cstheme="minorHAnsi"/>
          <w:lang w:val="en-GB"/>
        </w:rPr>
        <w:t xml:space="preserve"> over the last two decades on numerous issues which required </w:t>
      </w:r>
      <w:r w:rsidR="00923EFF" w:rsidRPr="00F54106">
        <w:rPr>
          <w:rFonts w:cstheme="minorHAnsi"/>
          <w:lang w:val="en-GB"/>
        </w:rPr>
        <w:t xml:space="preserve">further </w:t>
      </w:r>
      <w:r w:rsidR="000C5712" w:rsidRPr="00F54106">
        <w:rPr>
          <w:rFonts w:cstheme="minorHAnsi"/>
          <w:lang w:val="en-GB"/>
        </w:rPr>
        <w:t>clarification, while a verdict has been reached for a substantial amount of them by the German Federal Court of Justice (BGH)</w:t>
      </w:r>
      <w:r w:rsidR="00923EFF" w:rsidRPr="00F54106">
        <w:rPr>
          <w:rFonts w:cstheme="minorHAnsi"/>
          <w:lang w:val="en-GB"/>
        </w:rPr>
        <w:t>.</w:t>
      </w:r>
      <w:r w:rsidR="00923EFF" w:rsidRPr="00F54106">
        <w:rPr>
          <w:rStyle w:val="FootnoteReference"/>
          <w:rFonts w:cstheme="minorHAnsi"/>
          <w:lang w:val="en-GB"/>
        </w:rPr>
        <w:footnoteReference w:id="40"/>
      </w:r>
    </w:p>
    <w:p w14:paraId="5DA70021" w14:textId="483311EB" w:rsidR="006A5A5B" w:rsidRPr="00F54106" w:rsidRDefault="00683256" w:rsidP="00FC31D7">
      <w:pPr>
        <w:spacing w:line="276" w:lineRule="auto"/>
        <w:ind w:firstLine="720"/>
        <w:rPr>
          <w:rFonts w:cstheme="minorHAnsi"/>
          <w:lang w:val="en-GB"/>
        </w:rPr>
      </w:pPr>
      <w:r w:rsidRPr="00F54106">
        <w:rPr>
          <w:rFonts w:cstheme="minorHAnsi"/>
          <w:lang w:val="en-GB"/>
        </w:rPr>
        <w:t xml:space="preserve">The Damages Directive was implemented through the ninth amendment to the </w:t>
      </w:r>
      <w:r w:rsidR="0037193B" w:rsidRPr="00F54106">
        <w:rPr>
          <w:rFonts w:cstheme="minorHAnsi"/>
          <w:lang w:val="en-GB"/>
        </w:rPr>
        <w:t>GWB</w:t>
      </w:r>
      <w:r w:rsidR="009B6F58" w:rsidRPr="00F54106">
        <w:rPr>
          <w:rStyle w:val="FootnoteReference"/>
          <w:rFonts w:cstheme="minorHAnsi"/>
          <w:lang w:val="en-GB"/>
        </w:rPr>
        <w:footnoteReference w:id="41"/>
      </w:r>
      <w:r w:rsidRPr="00F54106">
        <w:rPr>
          <w:rFonts w:cstheme="minorHAnsi"/>
          <w:lang w:val="en-GB"/>
        </w:rPr>
        <w:t xml:space="preserve"> and </w:t>
      </w:r>
      <w:r w:rsidR="00487FA9" w:rsidRPr="00F54106">
        <w:rPr>
          <w:rFonts w:cstheme="minorHAnsi"/>
          <w:lang w:val="en-GB"/>
        </w:rPr>
        <w:t>the literature s</w:t>
      </w:r>
      <w:r w:rsidR="006A5A5B" w:rsidRPr="00F54106">
        <w:rPr>
          <w:rFonts w:cstheme="minorHAnsi"/>
          <w:lang w:val="en-GB"/>
        </w:rPr>
        <w:t>tates</w:t>
      </w:r>
      <w:r w:rsidR="00487FA9" w:rsidRPr="00F54106">
        <w:rPr>
          <w:rFonts w:cstheme="minorHAnsi"/>
          <w:lang w:val="en-GB"/>
        </w:rPr>
        <w:t xml:space="preserve"> that this </w:t>
      </w:r>
      <w:r w:rsidR="009B6F58" w:rsidRPr="00F54106">
        <w:rPr>
          <w:rFonts w:cstheme="minorHAnsi"/>
          <w:lang w:val="en-GB"/>
        </w:rPr>
        <w:t xml:space="preserve">has </w:t>
      </w:r>
      <w:r w:rsidRPr="00F54106">
        <w:rPr>
          <w:rFonts w:cstheme="minorHAnsi"/>
          <w:lang w:val="en-GB"/>
        </w:rPr>
        <w:t>strengthen</w:t>
      </w:r>
      <w:r w:rsidR="009B6F58" w:rsidRPr="00F54106">
        <w:rPr>
          <w:rFonts w:cstheme="minorHAnsi"/>
          <w:lang w:val="en-GB"/>
        </w:rPr>
        <w:t>ed</w:t>
      </w:r>
      <w:r w:rsidRPr="00F54106">
        <w:rPr>
          <w:rFonts w:cstheme="minorHAnsi"/>
          <w:lang w:val="en-GB"/>
        </w:rPr>
        <w:t xml:space="preserve"> a claimants position even further</w:t>
      </w:r>
      <w:r w:rsidR="00B424E9" w:rsidRPr="00F54106">
        <w:rPr>
          <w:rFonts w:cstheme="minorHAnsi"/>
          <w:lang w:val="en-GB"/>
        </w:rPr>
        <w:t>.</w:t>
      </w:r>
      <w:r w:rsidR="00224DD3" w:rsidRPr="00F54106">
        <w:rPr>
          <w:rStyle w:val="FootnoteReference"/>
          <w:rFonts w:cstheme="minorHAnsi"/>
          <w:lang w:val="en-GB"/>
        </w:rPr>
        <w:footnoteReference w:id="42"/>
      </w:r>
      <w:r w:rsidR="00B424E9" w:rsidRPr="00F54106">
        <w:rPr>
          <w:rFonts w:cstheme="minorHAnsi"/>
          <w:lang w:val="en-GB"/>
        </w:rPr>
        <w:t xml:space="preserve"> Particularly three changes are most notable, namely (1) a </w:t>
      </w:r>
      <w:r w:rsidR="008C43C2" w:rsidRPr="00F54106">
        <w:rPr>
          <w:rFonts w:cstheme="minorHAnsi"/>
          <w:lang w:val="en-GB"/>
        </w:rPr>
        <w:t xml:space="preserve">new </w:t>
      </w:r>
      <w:r w:rsidR="00B424E9" w:rsidRPr="00F54106">
        <w:rPr>
          <w:rFonts w:cstheme="minorHAnsi"/>
          <w:lang w:val="en-GB"/>
        </w:rPr>
        <w:t>system of disclosure of evidence, (2) an extended</w:t>
      </w:r>
      <w:r w:rsidR="008C43C2" w:rsidRPr="00F54106">
        <w:rPr>
          <w:rFonts w:cstheme="minorHAnsi"/>
          <w:lang w:val="en-GB"/>
        </w:rPr>
        <w:t xml:space="preserve"> knowledge-dependent</w:t>
      </w:r>
      <w:r w:rsidR="00B424E9" w:rsidRPr="00F54106">
        <w:rPr>
          <w:rFonts w:cstheme="minorHAnsi"/>
          <w:lang w:val="en-GB"/>
        </w:rPr>
        <w:t xml:space="preserve"> limitation period from three to the current five years</w:t>
      </w:r>
      <w:r w:rsidR="008C43C2" w:rsidRPr="00F54106">
        <w:rPr>
          <w:rFonts w:cstheme="minorHAnsi"/>
          <w:lang w:val="en-GB"/>
        </w:rPr>
        <w:t>, and (3) a rebuttable presumption that cartels result in harm to victims</w:t>
      </w:r>
      <w:r w:rsidR="00B424E9" w:rsidRPr="00F54106">
        <w:rPr>
          <w:rFonts w:cstheme="minorHAnsi"/>
          <w:lang w:val="en-GB"/>
        </w:rPr>
        <w:t>.</w:t>
      </w:r>
      <w:r w:rsidR="008C43C2" w:rsidRPr="00F54106">
        <w:rPr>
          <w:rStyle w:val="FootnoteReference"/>
          <w:rFonts w:cstheme="minorHAnsi"/>
          <w:lang w:val="en-GB"/>
        </w:rPr>
        <w:footnoteReference w:id="43"/>
      </w:r>
      <w:r w:rsidR="00B424E9" w:rsidRPr="00F54106">
        <w:rPr>
          <w:rFonts w:cstheme="minorHAnsi"/>
          <w:lang w:val="en-GB"/>
        </w:rPr>
        <w:t xml:space="preserve"> In addition,</w:t>
      </w:r>
      <w:r w:rsidR="006A5A5B" w:rsidRPr="00F54106">
        <w:rPr>
          <w:rFonts w:cstheme="minorHAnsi"/>
          <w:lang w:val="en-GB"/>
        </w:rPr>
        <w:t xml:space="preserve"> the</w:t>
      </w:r>
      <w:r w:rsidR="00670B03" w:rsidRPr="00F54106">
        <w:rPr>
          <w:rFonts w:cstheme="minorHAnsi"/>
          <w:lang w:val="en-GB"/>
        </w:rPr>
        <w:t xml:space="preserve"> </w:t>
      </w:r>
      <w:r w:rsidR="006A5A5B" w:rsidRPr="00F54106">
        <w:rPr>
          <w:rFonts w:cstheme="minorHAnsi"/>
          <w:lang w:val="en-GB"/>
        </w:rPr>
        <w:t>tenth amendment to the GWB</w:t>
      </w:r>
      <w:r w:rsidR="00670B03" w:rsidRPr="00F54106">
        <w:rPr>
          <w:rFonts w:cstheme="minorHAnsi"/>
          <w:lang w:val="en-GB"/>
        </w:rPr>
        <w:t xml:space="preserve">, which is in force as of </w:t>
      </w:r>
      <w:r w:rsidR="00617381" w:rsidRPr="00F54106">
        <w:rPr>
          <w:rFonts w:cstheme="minorHAnsi"/>
          <w:lang w:val="en-GB"/>
        </w:rPr>
        <w:t xml:space="preserve">19 </w:t>
      </w:r>
      <w:r w:rsidR="00670B03" w:rsidRPr="00F54106">
        <w:rPr>
          <w:rFonts w:cstheme="minorHAnsi"/>
          <w:lang w:val="en-GB"/>
        </w:rPr>
        <w:t>January 2021,</w:t>
      </w:r>
      <w:r w:rsidR="006A5A5B" w:rsidRPr="00F54106">
        <w:rPr>
          <w:rFonts w:cstheme="minorHAnsi"/>
          <w:lang w:val="en-GB"/>
        </w:rPr>
        <w:t xml:space="preserve"> is also mentioned</w:t>
      </w:r>
      <w:r w:rsidR="00B424E9" w:rsidRPr="00F54106">
        <w:rPr>
          <w:rFonts w:cstheme="minorHAnsi"/>
          <w:lang w:val="en-GB"/>
        </w:rPr>
        <w:t xml:space="preserve"> </w:t>
      </w:r>
      <w:r w:rsidR="006A5A5B" w:rsidRPr="00F54106">
        <w:rPr>
          <w:rFonts w:cstheme="minorHAnsi"/>
          <w:lang w:val="en-GB"/>
        </w:rPr>
        <w:t>as beneficial to cartel victims.</w:t>
      </w:r>
      <w:r w:rsidR="006A5A5B" w:rsidRPr="00F54106">
        <w:rPr>
          <w:rStyle w:val="FootnoteReference"/>
          <w:rFonts w:cstheme="minorHAnsi"/>
          <w:lang w:val="en-GB"/>
        </w:rPr>
        <w:footnoteReference w:id="44"/>
      </w:r>
      <w:r w:rsidRPr="00F54106">
        <w:rPr>
          <w:rFonts w:cstheme="minorHAnsi"/>
          <w:lang w:val="en-GB"/>
        </w:rPr>
        <w:t xml:space="preserve"> </w:t>
      </w:r>
      <w:r w:rsidR="006A5A5B" w:rsidRPr="00F54106">
        <w:rPr>
          <w:rFonts w:cstheme="minorHAnsi"/>
          <w:lang w:val="en-GB"/>
        </w:rPr>
        <w:t xml:space="preserve">Together with the case law guidelines provided by the BGH and the evolution of the approach towards cartel damages’ claims bundling, the effectiveness of private enforcement in Germany </w:t>
      </w:r>
      <w:r w:rsidR="00670B03" w:rsidRPr="00F54106">
        <w:rPr>
          <w:rFonts w:cstheme="minorHAnsi"/>
          <w:lang w:val="en-GB"/>
        </w:rPr>
        <w:t xml:space="preserve">is expected to </w:t>
      </w:r>
      <w:r w:rsidR="006A5A5B" w:rsidRPr="00F54106">
        <w:rPr>
          <w:rFonts w:cstheme="minorHAnsi"/>
          <w:lang w:val="en-GB"/>
        </w:rPr>
        <w:t>considerably increase</w:t>
      </w:r>
      <w:r w:rsidR="00670B03" w:rsidRPr="00F54106">
        <w:rPr>
          <w:rFonts w:cstheme="minorHAnsi"/>
          <w:lang w:val="en-GB"/>
        </w:rPr>
        <w:t xml:space="preserve"> </w:t>
      </w:r>
      <w:r w:rsidR="00B424E9" w:rsidRPr="00F54106">
        <w:rPr>
          <w:rFonts w:cstheme="minorHAnsi"/>
          <w:lang w:val="en-GB"/>
        </w:rPr>
        <w:t>from 2022 onwards</w:t>
      </w:r>
      <w:r w:rsidR="006A5A5B" w:rsidRPr="00F54106">
        <w:rPr>
          <w:rFonts w:cstheme="minorHAnsi"/>
          <w:lang w:val="en-GB"/>
        </w:rPr>
        <w:t>.</w:t>
      </w:r>
      <w:r w:rsidR="006A5A5B" w:rsidRPr="00F54106">
        <w:rPr>
          <w:rStyle w:val="FootnoteReference"/>
          <w:rFonts w:cstheme="minorHAnsi"/>
          <w:lang w:val="en-GB"/>
        </w:rPr>
        <w:footnoteReference w:id="45"/>
      </w:r>
    </w:p>
    <w:p w14:paraId="5C0BC6E0" w14:textId="5F38E664" w:rsidR="00DE10E8" w:rsidRPr="00F54106" w:rsidRDefault="00836C25" w:rsidP="00AA3172">
      <w:pPr>
        <w:spacing w:line="276" w:lineRule="auto"/>
        <w:ind w:firstLine="720"/>
        <w:rPr>
          <w:rFonts w:cstheme="minorHAnsi"/>
          <w:lang w:val="en-GB"/>
        </w:rPr>
      </w:pPr>
      <w:r w:rsidRPr="00F54106">
        <w:rPr>
          <w:rFonts w:cstheme="minorHAnsi"/>
          <w:lang w:val="en-GB"/>
        </w:rPr>
        <w:lastRenderedPageBreak/>
        <w:t>Below</w:t>
      </w:r>
      <w:r w:rsidR="00876792" w:rsidRPr="00F54106">
        <w:rPr>
          <w:rFonts w:cstheme="minorHAnsi"/>
          <w:lang w:val="en-GB"/>
        </w:rPr>
        <w:t>,</w:t>
      </w:r>
      <w:r w:rsidRPr="00F54106">
        <w:rPr>
          <w:rFonts w:cstheme="minorHAnsi"/>
          <w:lang w:val="en-GB"/>
        </w:rPr>
        <w:t xml:space="preserve"> it </w:t>
      </w:r>
      <w:r w:rsidR="00EE2711" w:rsidRPr="00F54106">
        <w:rPr>
          <w:rFonts w:cstheme="minorHAnsi"/>
          <w:lang w:val="en-GB"/>
        </w:rPr>
        <w:t>will be inquired into the</w:t>
      </w:r>
      <w:r w:rsidR="009B6F58" w:rsidRPr="00F54106">
        <w:rPr>
          <w:rFonts w:cstheme="minorHAnsi"/>
          <w:lang w:val="en-GB"/>
        </w:rPr>
        <w:t xml:space="preserve"> </w:t>
      </w:r>
      <w:r w:rsidR="00F138E8" w:rsidRPr="00F54106">
        <w:rPr>
          <w:rFonts w:cstheme="minorHAnsi"/>
          <w:lang w:val="en-GB"/>
        </w:rPr>
        <w:t>specific</w:t>
      </w:r>
      <w:r w:rsidR="009B6F58" w:rsidRPr="00F54106">
        <w:rPr>
          <w:rFonts w:cstheme="minorHAnsi"/>
          <w:lang w:val="en-GB"/>
        </w:rPr>
        <w:t xml:space="preserve"> provisions of the GWB</w:t>
      </w:r>
      <w:r w:rsidR="00B84119" w:rsidRPr="00F54106">
        <w:rPr>
          <w:rFonts w:cstheme="minorHAnsi"/>
          <w:lang w:val="en-GB"/>
        </w:rPr>
        <w:t xml:space="preserve">, the implementation of the Damages Directive into German law </w:t>
      </w:r>
      <w:r w:rsidR="009B6F58" w:rsidRPr="00F54106">
        <w:rPr>
          <w:rFonts w:cstheme="minorHAnsi"/>
          <w:lang w:val="en-GB"/>
        </w:rPr>
        <w:t xml:space="preserve">and </w:t>
      </w:r>
      <w:r w:rsidR="00287D48" w:rsidRPr="00F54106">
        <w:rPr>
          <w:rFonts w:cstheme="minorHAnsi"/>
          <w:lang w:val="en-GB"/>
        </w:rPr>
        <w:t>other</w:t>
      </w:r>
      <w:r w:rsidR="004A2C34" w:rsidRPr="00F54106">
        <w:rPr>
          <w:rFonts w:cstheme="minorHAnsi"/>
          <w:lang w:val="en-GB"/>
        </w:rPr>
        <w:t xml:space="preserve"> </w:t>
      </w:r>
      <w:r w:rsidR="00D53777" w:rsidRPr="00F54106">
        <w:rPr>
          <w:rFonts w:cstheme="minorHAnsi"/>
          <w:lang w:val="en-GB"/>
        </w:rPr>
        <w:t xml:space="preserve">factors </w:t>
      </w:r>
      <w:r w:rsidR="00F91FC3" w:rsidRPr="00F54106">
        <w:rPr>
          <w:rFonts w:cstheme="minorHAnsi"/>
          <w:lang w:val="en-GB"/>
        </w:rPr>
        <w:t>mentioned in the</w:t>
      </w:r>
      <w:r w:rsidR="00287D48" w:rsidRPr="00F54106">
        <w:rPr>
          <w:rFonts w:cstheme="minorHAnsi"/>
          <w:lang w:val="en-GB"/>
        </w:rPr>
        <w:t xml:space="preserve"> literature</w:t>
      </w:r>
      <w:r w:rsidR="00F91FC3" w:rsidRPr="00F54106">
        <w:rPr>
          <w:rFonts w:cstheme="minorHAnsi"/>
          <w:lang w:val="en-GB"/>
        </w:rPr>
        <w:t xml:space="preserve"> that </w:t>
      </w:r>
      <w:r w:rsidR="000D0869" w:rsidRPr="00F54106">
        <w:rPr>
          <w:rFonts w:cstheme="minorHAnsi"/>
          <w:lang w:val="en-GB"/>
        </w:rPr>
        <w:t>affect the</w:t>
      </w:r>
      <w:r w:rsidR="00D53777" w:rsidRPr="00F54106">
        <w:rPr>
          <w:rFonts w:cstheme="minorHAnsi"/>
          <w:lang w:val="en-GB"/>
        </w:rPr>
        <w:t xml:space="preserve"> attractive</w:t>
      </w:r>
      <w:r w:rsidR="000D0869" w:rsidRPr="00F54106">
        <w:rPr>
          <w:rFonts w:cstheme="minorHAnsi"/>
          <w:lang w:val="en-GB"/>
        </w:rPr>
        <w:t>ness of Germany as a</w:t>
      </w:r>
      <w:r w:rsidR="00D53777" w:rsidRPr="00F54106">
        <w:rPr>
          <w:rFonts w:cstheme="minorHAnsi"/>
          <w:lang w:val="en-GB"/>
        </w:rPr>
        <w:t xml:space="preserve"> forum for</w:t>
      </w:r>
      <w:r w:rsidR="004A2C34" w:rsidRPr="00F54106">
        <w:rPr>
          <w:rFonts w:cstheme="minorHAnsi"/>
          <w:lang w:val="en-GB"/>
        </w:rPr>
        <w:t xml:space="preserve"> damages</w:t>
      </w:r>
      <w:r w:rsidR="00D53777" w:rsidRPr="00F54106">
        <w:rPr>
          <w:rFonts w:cstheme="minorHAnsi"/>
          <w:lang w:val="en-GB"/>
        </w:rPr>
        <w:t xml:space="preserve"> </w:t>
      </w:r>
      <w:r w:rsidR="00287D48" w:rsidRPr="00F54106">
        <w:rPr>
          <w:rFonts w:cstheme="minorHAnsi"/>
          <w:lang w:val="en-GB"/>
        </w:rPr>
        <w:t xml:space="preserve">claims </w:t>
      </w:r>
      <w:r w:rsidR="004A2C34" w:rsidRPr="00F54106">
        <w:rPr>
          <w:rFonts w:cstheme="minorHAnsi"/>
          <w:lang w:val="en-GB"/>
        </w:rPr>
        <w:t>of antitrust</w:t>
      </w:r>
      <w:r w:rsidR="00D53777" w:rsidRPr="00F54106">
        <w:rPr>
          <w:rFonts w:cstheme="minorHAnsi"/>
          <w:lang w:val="en-GB"/>
        </w:rPr>
        <w:t xml:space="preserve"> infringements</w:t>
      </w:r>
      <w:r w:rsidR="000D0869" w:rsidRPr="00F54106">
        <w:rPr>
          <w:rFonts w:cstheme="minorHAnsi"/>
          <w:lang w:val="en-GB"/>
        </w:rPr>
        <w:t>.</w:t>
      </w:r>
    </w:p>
    <w:p w14:paraId="43386C37" w14:textId="77777777" w:rsidR="00E06526" w:rsidRPr="00F54106" w:rsidRDefault="00E06526" w:rsidP="00FC31D7">
      <w:pPr>
        <w:spacing w:line="276" w:lineRule="auto"/>
        <w:rPr>
          <w:rFonts w:cstheme="minorHAnsi"/>
          <w:lang w:val="en-GB"/>
        </w:rPr>
      </w:pPr>
    </w:p>
    <w:p w14:paraId="327C24F5" w14:textId="1BC0E60D" w:rsidR="00177015" w:rsidRPr="00F54106" w:rsidRDefault="00177015" w:rsidP="00AA3172">
      <w:pPr>
        <w:pStyle w:val="Heading3"/>
        <w:rPr>
          <w:lang w:val="en-GB"/>
        </w:rPr>
      </w:pPr>
      <w:bookmarkStart w:id="27" w:name="_Toc107610217"/>
      <w:r w:rsidRPr="00F54106">
        <w:rPr>
          <w:lang w:val="en-GB"/>
        </w:rPr>
        <w:t>2.</w:t>
      </w:r>
      <w:r w:rsidR="00FF058F" w:rsidRPr="00F54106">
        <w:rPr>
          <w:lang w:val="en-GB"/>
        </w:rPr>
        <w:t>1</w:t>
      </w:r>
      <w:r w:rsidR="001F001E" w:rsidRPr="00F54106">
        <w:rPr>
          <w:lang w:val="en-GB"/>
        </w:rPr>
        <w:t>.1</w:t>
      </w:r>
      <w:r w:rsidRPr="00F54106">
        <w:rPr>
          <w:lang w:val="en-GB"/>
        </w:rPr>
        <w:t xml:space="preserve"> </w:t>
      </w:r>
      <w:r w:rsidR="008073DF" w:rsidRPr="00F54106">
        <w:rPr>
          <w:lang w:val="en-GB"/>
        </w:rPr>
        <w:t>The s</w:t>
      </w:r>
      <w:r w:rsidRPr="00F54106">
        <w:rPr>
          <w:lang w:val="en-GB"/>
        </w:rPr>
        <w:t>pecialization of German courts</w:t>
      </w:r>
      <w:bookmarkEnd w:id="27"/>
    </w:p>
    <w:p w14:paraId="46AE2BDE" w14:textId="33E0A040" w:rsidR="00A779AB" w:rsidRPr="00F54106" w:rsidRDefault="00177015" w:rsidP="00177015">
      <w:pPr>
        <w:spacing w:line="276" w:lineRule="auto"/>
        <w:rPr>
          <w:rFonts w:cstheme="minorHAnsi"/>
          <w:lang w:val="en-GB"/>
        </w:rPr>
      </w:pPr>
      <w:bookmarkStart w:id="28" w:name="_Hlk107361247"/>
      <w:r w:rsidRPr="00F54106">
        <w:rPr>
          <w:rFonts w:cstheme="minorHAnsi"/>
          <w:lang w:val="en-GB"/>
        </w:rPr>
        <w:t>Actions for damages resulting from antitrust infringements are brought before regular civil courts and, more specifically, to regional courts due to the high costs of antitrust litigations, which normally exceed the limit for local courts (5000 euro). Hence, there are no specialized courts or tribunals for antitrust litigation in Germany. However, specific German courts can be designated by German federal states in order to reduce administrative burdens and, in particular, to ensure uniform case law.</w:t>
      </w:r>
      <w:r w:rsidRPr="00F54106">
        <w:rPr>
          <w:rStyle w:val="FootnoteReference"/>
          <w:rFonts w:cstheme="minorHAnsi"/>
          <w:lang w:val="en-GB"/>
        </w:rPr>
        <w:footnoteReference w:id="46"/>
      </w:r>
      <w:r w:rsidRPr="00F54106">
        <w:rPr>
          <w:rFonts w:cstheme="minorHAnsi"/>
          <w:lang w:val="en-GB"/>
        </w:rPr>
        <w:t xml:space="preserve"> Since the German federal states often make use of this right,</w:t>
      </w:r>
      <w:r w:rsidRPr="00F54106">
        <w:rPr>
          <w:rStyle w:val="FootnoteReference"/>
          <w:rFonts w:cstheme="minorHAnsi"/>
          <w:lang w:val="en-GB"/>
        </w:rPr>
        <w:footnoteReference w:id="47"/>
      </w:r>
      <w:r w:rsidRPr="00F54106">
        <w:rPr>
          <w:rFonts w:cstheme="minorHAnsi"/>
          <w:lang w:val="en-GB"/>
        </w:rPr>
        <w:t xml:space="preserve"> relatively few German courts handle antitrust cases</w:t>
      </w:r>
      <w:r w:rsidR="00B14082">
        <w:rPr>
          <w:rFonts w:cstheme="minorHAnsi"/>
          <w:lang w:val="en-GB"/>
        </w:rPr>
        <w:t>, while</w:t>
      </w:r>
      <w:r w:rsidRPr="00F54106">
        <w:rPr>
          <w:rFonts w:cstheme="minorHAnsi"/>
          <w:lang w:val="en-GB"/>
        </w:rPr>
        <w:t xml:space="preserve"> the ones that do have consequently become specialized in these matters.</w:t>
      </w:r>
      <w:r w:rsidRPr="00F54106">
        <w:rPr>
          <w:rStyle w:val="FootnoteReference"/>
          <w:rFonts w:cstheme="minorHAnsi"/>
          <w:lang w:val="en-GB"/>
        </w:rPr>
        <w:footnoteReference w:id="48"/>
      </w:r>
      <w:r w:rsidRPr="00F54106">
        <w:rPr>
          <w:rFonts w:cstheme="minorHAnsi"/>
          <w:lang w:val="en-GB"/>
        </w:rPr>
        <w:t xml:space="preserve"> Moreover, one or a limited number of panels within these courts are assigned, while the panels that are assigned are practically specialized as a result thereof</w:t>
      </w:r>
      <w:r w:rsidR="00370C68" w:rsidRPr="00F54106">
        <w:rPr>
          <w:rFonts w:cstheme="minorHAnsi"/>
          <w:lang w:val="en-GB"/>
        </w:rPr>
        <w:t>.</w:t>
      </w:r>
      <w:r w:rsidRPr="00F54106">
        <w:rPr>
          <w:rFonts w:cstheme="minorHAnsi"/>
          <w:lang w:val="en-GB"/>
        </w:rPr>
        <w:t xml:space="preserve"> </w:t>
      </w:r>
      <w:r w:rsidR="00EB0FAE" w:rsidRPr="00F54106">
        <w:rPr>
          <w:rFonts w:cstheme="minorHAnsi"/>
          <w:lang w:val="en-GB"/>
        </w:rPr>
        <w:t>Concludingly, t</w:t>
      </w:r>
      <w:r w:rsidR="00370C68" w:rsidRPr="00F54106">
        <w:rPr>
          <w:rFonts w:cstheme="minorHAnsi"/>
          <w:lang w:val="en-GB"/>
        </w:rPr>
        <w:t>his means</w:t>
      </w:r>
      <w:r w:rsidRPr="00F54106">
        <w:rPr>
          <w:rFonts w:cstheme="minorHAnsi"/>
          <w:lang w:val="en-GB"/>
        </w:rPr>
        <w:t xml:space="preserve"> th</w:t>
      </w:r>
      <w:r w:rsidR="00370C68" w:rsidRPr="00F54106">
        <w:rPr>
          <w:rFonts w:cstheme="minorHAnsi"/>
          <w:lang w:val="en-GB"/>
        </w:rPr>
        <w:t>at the German courts</w:t>
      </w:r>
      <w:r w:rsidRPr="00F54106">
        <w:rPr>
          <w:rFonts w:cstheme="minorHAnsi"/>
          <w:lang w:val="en-GB"/>
        </w:rPr>
        <w:t xml:space="preserve"> have a widespread knowledge and experience in </w:t>
      </w:r>
      <w:r w:rsidR="00EB0FAE" w:rsidRPr="00F54106">
        <w:rPr>
          <w:rFonts w:cstheme="minorHAnsi"/>
          <w:lang w:val="en-GB"/>
        </w:rPr>
        <w:t>cartel damages actions</w:t>
      </w:r>
      <w:r w:rsidRPr="00F54106">
        <w:rPr>
          <w:rFonts w:cstheme="minorHAnsi"/>
          <w:lang w:val="en-GB"/>
        </w:rPr>
        <w:t xml:space="preserve"> and the literature claims that this is reflected in the large number of antitrust litigations before German courts.</w:t>
      </w:r>
      <w:r w:rsidRPr="00F54106">
        <w:rPr>
          <w:rStyle w:val="FootnoteReference"/>
          <w:rFonts w:cstheme="minorHAnsi"/>
          <w:lang w:val="en-GB"/>
        </w:rPr>
        <w:footnoteReference w:id="49"/>
      </w:r>
    </w:p>
    <w:bookmarkEnd w:id="28"/>
    <w:p w14:paraId="4EF20D3A" w14:textId="77777777" w:rsidR="00BC63AF" w:rsidRPr="00F54106" w:rsidRDefault="00BC63AF" w:rsidP="00177015">
      <w:pPr>
        <w:spacing w:line="276" w:lineRule="auto"/>
        <w:rPr>
          <w:rFonts w:cstheme="minorHAnsi"/>
          <w:lang w:val="en-GB"/>
        </w:rPr>
      </w:pPr>
    </w:p>
    <w:p w14:paraId="69340E52" w14:textId="6AA39651" w:rsidR="00BC63AF" w:rsidRPr="00F54106" w:rsidRDefault="00BC63AF" w:rsidP="00AA3172">
      <w:pPr>
        <w:pStyle w:val="Heading3"/>
        <w:rPr>
          <w:lang w:val="en-GB"/>
        </w:rPr>
      </w:pPr>
      <w:bookmarkStart w:id="31" w:name="_Toc107610218"/>
      <w:r w:rsidRPr="00F54106">
        <w:rPr>
          <w:lang w:val="en-GB"/>
        </w:rPr>
        <w:t>2.</w:t>
      </w:r>
      <w:r w:rsidR="001F001E" w:rsidRPr="00F54106">
        <w:rPr>
          <w:lang w:val="en-GB"/>
        </w:rPr>
        <w:t>1.</w:t>
      </w:r>
      <w:r w:rsidR="00FF058F" w:rsidRPr="00F54106">
        <w:rPr>
          <w:lang w:val="en-GB"/>
        </w:rPr>
        <w:t>2</w:t>
      </w:r>
      <w:r w:rsidRPr="00F54106">
        <w:rPr>
          <w:lang w:val="en-GB"/>
        </w:rPr>
        <w:t xml:space="preserve"> </w:t>
      </w:r>
      <w:r w:rsidR="008073DF" w:rsidRPr="00F54106">
        <w:rPr>
          <w:lang w:val="en-GB"/>
        </w:rPr>
        <w:t>The c</w:t>
      </w:r>
      <w:r w:rsidRPr="00F54106">
        <w:rPr>
          <w:lang w:val="en-GB"/>
        </w:rPr>
        <w:t>osts of litigation</w:t>
      </w:r>
      <w:r w:rsidR="008073DF" w:rsidRPr="00F54106">
        <w:rPr>
          <w:lang w:val="en-GB"/>
        </w:rPr>
        <w:t xml:space="preserve"> in Germany</w:t>
      </w:r>
      <w:bookmarkEnd w:id="31"/>
    </w:p>
    <w:p w14:paraId="0D163F2D" w14:textId="77777777" w:rsidR="00BC63AF" w:rsidRPr="00F54106" w:rsidRDefault="00BC63AF" w:rsidP="00BC63AF">
      <w:pPr>
        <w:spacing w:line="276" w:lineRule="auto"/>
        <w:rPr>
          <w:rFonts w:cstheme="minorHAnsi"/>
          <w:lang w:val="en-GB"/>
        </w:rPr>
      </w:pPr>
      <w:r w:rsidRPr="00F54106">
        <w:rPr>
          <w:rFonts w:cstheme="minorHAnsi"/>
          <w:lang w:val="en-GB"/>
        </w:rPr>
        <w:t>In general, the costs of the legal dispute have to be paid by the losing party under German law,</w:t>
      </w:r>
      <w:r w:rsidRPr="00F54106">
        <w:rPr>
          <w:rStyle w:val="FootnoteReference"/>
          <w:rFonts w:cstheme="minorHAnsi"/>
          <w:lang w:val="en-GB"/>
        </w:rPr>
        <w:footnoteReference w:id="50"/>
      </w:r>
      <w:r w:rsidRPr="00F54106">
        <w:rPr>
          <w:rFonts w:cstheme="minorHAnsi"/>
          <w:lang w:val="en-GB"/>
        </w:rPr>
        <w:t xml:space="preserve"> which include court proceedings, statutory lawyers’ fees, economic experts that have been appointed by the court</w:t>
      </w:r>
      <w:r w:rsidRPr="00F54106">
        <w:rPr>
          <w:rStyle w:val="FootnoteReference"/>
          <w:rFonts w:cstheme="minorHAnsi"/>
          <w:lang w:val="en-GB"/>
        </w:rPr>
        <w:footnoteReference w:id="51"/>
      </w:r>
      <w:r w:rsidRPr="00F54106">
        <w:rPr>
          <w:rFonts w:cstheme="minorHAnsi"/>
          <w:lang w:val="en-GB"/>
        </w:rPr>
        <w:t xml:space="preserve"> and also third party interventions.</w:t>
      </w:r>
      <w:r w:rsidRPr="00F54106">
        <w:rPr>
          <w:rStyle w:val="FootnoteReference"/>
          <w:rFonts w:cstheme="minorHAnsi"/>
          <w:lang w:val="en-GB"/>
        </w:rPr>
        <w:footnoteReference w:id="52"/>
      </w:r>
      <w:r w:rsidRPr="00F54106">
        <w:rPr>
          <w:rFonts w:cstheme="minorHAnsi"/>
          <w:lang w:val="en-GB"/>
        </w:rPr>
        <w:t xml:space="preserve"> The dispute value is at a maximum of thirty million euro.</w:t>
      </w:r>
      <w:r w:rsidRPr="00F54106">
        <w:rPr>
          <w:rStyle w:val="FootnoteReference"/>
          <w:rFonts w:cstheme="minorHAnsi"/>
          <w:lang w:val="en-GB"/>
        </w:rPr>
        <w:footnoteReference w:id="53"/>
      </w:r>
      <w:r w:rsidRPr="00F54106">
        <w:rPr>
          <w:rFonts w:cstheme="minorHAnsi"/>
          <w:lang w:val="en-GB"/>
        </w:rPr>
        <w:t xml:space="preserve"> Usually, the winning party still bears costs as the actual legal fees often (largely) exceed the statutory lawyers’ fees,</w:t>
      </w:r>
      <w:r w:rsidRPr="00F54106">
        <w:rPr>
          <w:rStyle w:val="FootnoteReference"/>
          <w:rFonts w:cstheme="minorHAnsi"/>
          <w:lang w:val="en-GB"/>
        </w:rPr>
        <w:footnoteReference w:id="54"/>
      </w:r>
      <w:r w:rsidRPr="00F54106">
        <w:rPr>
          <w:rFonts w:cstheme="minorHAnsi"/>
          <w:lang w:val="en-GB"/>
        </w:rPr>
        <w:t xml:space="preserve"> of which the excess costs need to be paid by the winning party in accordance with the </w:t>
      </w:r>
      <w:r w:rsidRPr="00F54106">
        <w:rPr>
          <w:rFonts w:cstheme="minorHAnsi"/>
          <w:lang w:val="en-GB"/>
        </w:rPr>
        <w:lastRenderedPageBreak/>
        <w:t>German Lawyer’s Fees Act.</w:t>
      </w:r>
      <w:r w:rsidRPr="00F54106">
        <w:rPr>
          <w:rStyle w:val="FootnoteReference"/>
          <w:rFonts w:cstheme="minorHAnsi"/>
          <w:lang w:val="en-GB"/>
        </w:rPr>
        <w:footnoteReference w:id="55"/>
      </w:r>
      <w:r w:rsidRPr="00F54106">
        <w:rPr>
          <w:rFonts w:cstheme="minorHAnsi"/>
          <w:lang w:val="en-GB"/>
        </w:rPr>
        <w:t xml:space="preserve"> In addition, proceedings with low dispute values are relatively more expensive, while actions for damages often involve a minimum of 100,000 euro dedicated solely to economic expertise.</w:t>
      </w:r>
      <w:r w:rsidRPr="00F54106">
        <w:rPr>
          <w:rStyle w:val="FootnoteReference"/>
          <w:rFonts w:cstheme="minorHAnsi"/>
          <w:lang w:val="en-GB"/>
        </w:rPr>
        <w:footnoteReference w:id="56"/>
      </w:r>
      <w:r w:rsidRPr="00F54106">
        <w:rPr>
          <w:rFonts w:cstheme="minorHAnsi"/>
          <w:lang w:val="en-GB"/>
        </w:rPr>
        <w:t xml:space="preserve"> As a result, claimants may be deterred due to the many costs that are nonetheless involved.</w:t>
      </w:r>
      <w:r w:rsidRPr="00F54106">
        <w:rPr>
          <w:rStyle w:val="FootnoteReference"/>
          <w:rFonts w:cstheme="minorHAnsi"/>
          <w:lang w:val="en-GB"/>
        </w:rPr>
        <w:footnoteReference w:id="57"/>
      </w:r>
      <w:r w:rsidRPr="00F54106">
        <w:rPr>
          <w:rFonts w:cstheme="minorHAnsi"/>
          <w:lang w:val="en-GB"/>
        </w:rPr>
        <w:t xml:space="preserve"> </w:t>
      </w:r>
    </w:p>
    <w:p w14:paraId="25BB8DEF" w14:textId="77777777" w:rsidR="00966EF9" w:rsidRPr="00F54106" w:rsidRDefault="00BC63AF" w:rsidP="00BC63AF">
      <w:pPr>
        <w:spacing w:line="276" w:lineRule="auto"/>
        <w:ind w:firstLine="720"/>
        <w:rPr>
          <w:rFonts w:cstheme="minorHAnsi"/>
          <w:lang w:val="en-GB"/>
        </w:rPr>
      </w:pPr>
      <w:r w:rsidRPr="00F54106">
        <w:rPr>
          <w:rFonts w:cstheme="minorHAnsi"/>
          <w:lang w:val="en-GB"/>
        </w:rPr>
        <w:t xml:space="preserve">However, the </w:t>
      </w:r>
      <w:r w:rsidR="00FE0250" w:rsidRPr="00F54106">
        <w:rPr>
          <w:rFonts w:cstheme="minorHAnsi"/>
          <w:lang w:val="en-GB"/>
        </w:rPr>
        <w:t xml:space="preserve">findings in the </w:t>
      </w:r>
      <w:r w:rsidRPr="00F54106">
        <w:rPr>
          <w:rFonts w:cstheme="minorHAnsi"/>
          <w:lang w:val="en-GB"/>
        </w:rPr>
        <w:t xml:space="preserve">literature </w:t>
      </w:r>
      <w:r w:rsidR="00FE0250" w:rsidRPr="00F54106">
        <w:rPr>
          <w:rFonts w:cstheme="minorHAnsi"/>
          <w:lang w:val="en-GB"/>
        </w:rPr>
        <w:t>are</w:t>
      </w:r>
      <w:r w:rsidRPr="00F54106">
        <w:rPr>
          <w:rFonts w:cstheme="minorHAnsi"/>
          <w:lang w:val="en-GB"/>
        </w:rPr>
        <w:t xml:space="preserve"> somewhat contradictory</w:t>
      </w:r>
      <w:r w:rsidR="00FE0250" w:rsidRPr="00F54106">
        <w:rPr>
          <w:rFonts w:cstheme="minorHAnsi"/>
          <w:lang w:val="en-GB"/>
        </w:rPr>
        <w:t xml:space="preserve"> when it comes</w:t>
      </w:r>
      <w:r w:rsidRPr="00F54106">
        <w:rPr>
          <w:rFonts w:cstheme="minorHAnsi"/>
          <w:lang w:val="en-GB"/>
        </w:rPr>
        <w:t xml:space="preserve"> to the issue of costs as the overall costs of antitrust private damages claims before German courts are said to be moderate and should therefore have contributed to the substantial increase of cartel damages claims in Germany.</w:t>
      </w:r>
      <w:r w:rsidRPr="00F54106">
        <w:rPr>
          <w:rStyle w:val="FootnoteReference"/>
          <w:rFonts w:cstheme="minorHAnsi"/>
          <w:lang w:val="en-GB"/>
        </w:rPr>
        <w:footnoteReference w:id="58"/>
      </w:r>
      <w:r w:rsidRPr="00F54106">
        <w:rPr>
          <w:rFonts w:cstheme="minorHAnsi"/>
          <w:lang w:val="en-GB"/>
        </w:rPr>
        <w:t xml:space="preserve"> Arguments in favour of this have argued that, since the legal fees are calculated on the basis of statutory fees, the cost risk for claimants is relatively low and can be distinguished up front.</w:t>
      </w:r>
      <w:r w:rsidRPr="00F54106">
        <w:rPr>
          <w:rStyle w:val="FootnoteReference"/>
          <w:rFonts w:cstheme="minorHAnsi"/>
          <w:lang w:val="en-GB"/>
        </w:rPr>
        <w:footnoteReference w:id="59"/>
      </w:r>
      <w:r w:rsidRPr="00F54106">
        <w:rPr>
          <w:rFonts w:cstheme="minorHAnsi"/>
          <w:lang w:val="en-GB"/>
        </w:rPr>
        <w:t xml:space="preserve"> Additionally, it is mentioned that courts can also adjust the value of the dispute to the benefit of parties that have sufficiently demonstrated that their economic situation would be jeopardized if the costs were calculated based on the full value in dispute.</w:t>
      </w:r>
      <w:r w:rsidRPr="00F54106">
        <w:rPr>
          <w:rStyle w:val="FootnoteReference"/>
          <w:rFonts w:cstheme="minorHAnsi"/>
          <w:lang w:val="en-GB"/>
        </w:rPr>
        <w:footnoteReference w:id="60"/>
      </w:r>
      <w:r w:rsidRPr="00F54106">
        <w:rPr>
          <w:rFonts w:cstheme="minorHAnsi"/>
          <w:lang w:val="en-GB"/>
        </w:rPr>
        <w:t xml:space="preserve"> As a result, the court- and lawyers’ fees are effectively reduced, but the practical effects of this provision have not yet materialized and are still unknown.</w:t>
      </w:r>
      <w:r w:rsidRPr="00F54106">
        <w:rPr>
          <w:rStyle w:val="FootnoteReference"/>
          <w:rFonts w:cstheme="minorHAnsi"/>
          <w:lang w:val="en-GB"/>
        </w:rPr>
        <w:footnoteReference w:id="61"/>
      </w:r>
      <w:r w:rsidRPr="00F54106">
        <w:rPr>
          <w:rFonts w:cstheme="minorHAnsi"/>
          <w:lang w:val="en-GB"/>
        </w:rPr>
        <w:t xml:space="preserve"> </w:t>
      </w:r>
    </w:p>
    <w:p w14:paraId="29825D97" w14:textId="5491546B" w:rsidR="00BC63AF" w:rsidRPr="00F54106" w:rsidRDefault="006E1E98" w:rsidP="00BC63AF">
      <w:pPr>
        <w:spacing w:line="276" w:lineRule="auto"/>
        <w:ind w:firstLine="720"/>
        <w:rPr>
          <w:rFonts w:cstheme="minorHAnsi"/>
          <w:lang w:val="en-GB"/>
        </w:rPr>
      </w:pPr>
      <w:r w:rsidRPr="00F54106">
        <w:rPr>
          <w:rFonts w:cstheme="minorHAnsi"/>
          <w:lang w:val="en-GB"/>
        </w:rPr>
        <w:t>T</w:t>
      </w:r>
      <w:r w:rsidR="00BC63AF" w:rsidRPr="00F54106">
        <w:rPr>
          <w:rFonts w:cstheme="minorHAnsi"/>
          <w:lang w:val="en-GB"/>
        </w:rPr>
        <w:t>he principle of ‘effectiveness’ is also a principle strongly adhered to by the German legislature even beyond the implementation of the Damages Directive.</w:t>
      </w:r>
      <w:r w:rsidR="00BC63AF" w:rsidRPr="00F54106">
        <w:rPr>
          <w:rStyle w:val="FootnoteReference"/>
          <w:rFonts w:cstheme="minorHAnsi"/>
          <w:lang w:val="en-GB"/>
        </w:rPr>
        <w:footnoteReference w:id="62"/>
      </w:r>
      <w:r w:rsidR="00BC63AF" w:rsidRPr="00F54106">
        <w:rPr>
          <w:rFonts w:cstheme="minorHAnsi"/>
          <w:lang w:val="en-GB"/>
        </w:rPr>
        <w:t xml:space="preserve"> This can, for example, be seen in amendments to the costs involved in cases with third-party interventions. Initially, significant cost risks were bestowed onto plaintiffs since costs of third-party intervenors were also included in the costs of the losing party.</w:t>
      </w:r>
      <w:r w:rsidR="00BC63AF" w:rsidRPr="00F54106">
        <w:rPr>
          <w:rStyle w:val="FootnoteReference"/>
          <w:rFonts w:cstheme="minorHAnsi"/>
          <w:lang w:val="en-GB"/>
        </w:rPr>
        <w:footnoteReference w:id="63"/>
      </w:r>
      <w:r w:rsidR="00BC63AF" w:rsidRPr="00F54106">
        <w:rPr>
          <w:rFonts w:cstheme="minorHAnsi"/>
          <w:lang w:val="en-GB"/>
        </w:rPr>
        <w:t xml:space="preserve"> These costs are quite large and are also hard to quantify beforehand as the plaintiff does not know how many intervenors exist in total.</w:t>
      </w:r>
      <w:r w:rsidR="00BC63AF" w:rsidRPr="00F54106">
        <w:rPr>
          <w:rStyle w:val="FootnoteReference"/>
          <w:rFonts w:cstheme="minorHAnsi"/>
          <w:lang w:val="en-GB"/>
        </w:rPr>
        <w:footnoteReference w:id="64"/>
      </w:r>
      <w:r w:rsidR="00BC63AF" w:rsidRPr="00F54106">
        <w:rPr>
          <w:rFonts w:cstheme="minorHAnsi"/>
          <w:lang w:val="en-GB"/>
        </w:rPr>
        <w:t xml:space="preserve"> As a result of the unpredictable and significant costs, there was a significant possibility that plaintiffs would become discouraged to bring an action for damages. The German legislator took notice of this issue and consequently introduced section 89a(3) which specifies that “the reimbursement of costs shall only cover the intervener’s legal assistance costs on the basis of the value in dispute which the court determines at its own discretion. In the case of several intervenors, the total amount of the values in dispute of all individual interventions shall not </w:t>
      </w:r>
      <w:r w:rsidR="00BC63AF" w:rsidRPr="00F54106">
        <w:rPr>
          <w:rFonts w:cstheme="minorHAnsi"/>
          <w:lang w:val="en-GB"/>
        </w:rPr>
        <w:lastRenderedPageBreak/>
        <w:t>exceed the value in dispute in the main action.”</w:t>
      </w:r>
      <w:r w:rsidR="00BC63AF" w:rsidRPr="00F54106">
        <w:rPr>
          <w:rStyle w:val="FootnoteReference"/>
          <w:rFonts w:cstheme="minorHAnsi"/>
          <w:lang w:val="en-GB"/>
        </w:rPr>
        <w:footnoteReference w:id="65"/>
      </w:r>
      <w:r w:rsidR="00BC63AF" w:rsidRPr="00F54106">
        <w:rPr>
          <w:rFonts w:cstheme="minorHAnsi"/>
          <w:lang w:val="en-GB"/>
        </w:rPr>
        <w:t xml:space="preserve"> Hence, it is up to the court to decide the value of dispute and the maximum cost risk with respect to third-party interventions was substantially reduced,</w:t>
      </w:r>
      <w:r w:rsidR="00BC63AF" w:rsidRPr="00F54106">
        <w:rPr>
          <w:rStyle w:val="FootnoteReference"/>
          <w:rFonts w:cstheme="minorHAnsi"/>
          <w:lang w:val="en-GB"/>
        </w:rPr>
        <w:footnoteReference w:id="66"/>
      </w:r>
      <w:r w:rsidR="00BC63AF" w:rsidRPr="00F54106">
        <w:rPr>
          <w:rFonts w:cstheme="minorHAnsi"/>
          <w:lang w:val="en-GB"/>
        </w:rPr>
        <w:t xml:space="preserve"> which is very significant from a practical point of view</w:t>
      </w:r>
      <w:r w:rsidR="00CB2A14" w:rsidRPr="00F54106">
        <w:rPr>
          <w:rFonts w:cstheme="minorHAnsi"/>
          <w:lang w:val="en-GB"/>
        </w:rPr>
        <w:t>,</w:t>
      </w:r>
      <w:r w:rsidR="00BC63AF" w:rsidRPr="00F54106">
        <w:rPr>
          <w:rStyle w:val="FootnoteReference"/>
          <w:rFonts w:cstheme="minorHAnsi"/>
          <w:lang w:val="en-GB"/>
        </w:rPr>
        <w:footnoteReference w:id="67"/>
      </w:r>
      <w:r w:rsidR="00CB2A14" w:rsidRPr="00F54106">
        <w:rPr>
          <w:rFonts w:cstheme="minorHAnsi"/>
          <w:lang w:val="en-GB"/>
        </w:rPr>
        <w:t xml:space="preserve"> and is mentioned as one of the most significant changes to German law in favour of claimants.</w:t>
      </w:r>
      <w:r w:rsidR="00CB2A14" w:rsidRPr="00F54106">
        <w:rPr>
          <w:rStyle w:val="FootnoteReference"/>
          <w:rFonts w:cstheme="minorHAnsi"/>
          <w:lang w:val="en-GB"/>
        </w:rPr>
        <w:footnoteReference w:id="68"/>
      </w:r>
    </w:p>
    <w:p w14:paraId="401BF1C9" w14:textId="77777777" w:rsidR="00BC63AF" w:rsidRPr="00F54106" w:rsidRDefault="00BC63AF" w:rsidP="00BC63AF">
      <w:pPr>
        <w:spacing w:line="276" w:lineRule="auto"/>
        <w:rPr>
          <w:rFonts w:cstheme="minorHAnsi"/>
          <w:lang w:val="en-GB"/>
        </w:rPr>
      </w:pPr>
    </w:p>
    <w:p w14:paraId="2D35B161" w14:textId="174E7EAF" w:rsidR="00BC63AF" w:rsidRPr="00F54106" w:rsidRDefault="00BC63AF" w:rsidP="00AA3172">
      <w:pPr>
        <w:pStyle w:val="Heading3"/>
        <w:rPr>
          <w:lang w:val="en-GB"/>
        </w:rPr>
      </w:pPr>
      <w:bookmarkStart w:id="36" w:name="_Toc107610219"/>
      <w:r w:rsidRPr="00F54106">
        <w:rPr>
          <w:lang w:val="en-GB"/>
        </w:rPr>
        <w:t>2.</w:t>
      </w:r>
      <w:r w:rsidR="001F001E" w:rsidRPr="00F54106">
        <w:rPr>
          <w:lang w:val="en-GB"/>
        </w:rPr>
        <w:t>1.</w:t>
      </w:r>
      <w:r w:rsidR="00FF058F" w:rsidRPr="00F54106">
        <w:rPr>
          <w:lang w:val="en-GB"/>
        </w:rPr>
        <w:t>3</w:t>
      </w:r>
      <w:r w:rsidRPr="00F54106">
        <w:rPr>
          <w:lang w:val="en-GB"/>
        </w:rPr>
        <w:t xml:space="preserve"> </w:t>
      </w:r>
      <w:r w:rsidR="00F03C3B" w:rsidRPr="00F54106">
        <w:rPr>
          <w:lang w:val="en-GB"/>
        </w:rPr>
        <w:t>The l</w:t>
      </w:r>
      <w:r w:rsidR="007A7F2B" w:rsidRPr="00F54106">
        <w:rPr>
          <w:lang w:val="en-GB"/>
        </w:rPr>
        <w:t>ack of a c</w:t>
      </w:r>
      <w:r w:rsidRPr="00F54106">
        <w:rPr>
          <w:lang w:val="en-GB"/>
        </w:rPr>
        <w:t>ollective redress</w:t>
      </w:r>
      <w:r w:rsidR="007A7F2B" w:rsidRPr="00F54106">
        <w:rPr>
          <w:lang w:val="en-GB"/>
        </w:rPr>
        <w:t xml:space="preserve"> mechanism</w:t>
      </w:r>
      <w:r w:rsidR="00F03C3B" w:rsidRPr="00F54106">
        <w:rPr>
          <w:lang w:val="en-GB"/>
        </w:rPr>
        <w:t xml:space="preserve"> in Germany</w:t>
      </w:r>
      <w:bookmarkEnd w:id="36"/>
    </w:p>
    <w:p w14:paraId="7FE2ABBA" w14:textId="27D75605" w:rsidR="00BC63AF" w:rsidRPr="00F54106" w:rsidRDefault="00BC63AF" w:rsidP="00BC63AF">
      <w:pPr>
        <w:spacing w:line="276" w:lineRule="auto"/>
        <w:rPr>
          <w:rFonts w:cstheme="minorHAnsi"/>
          <w:lang w:val="en-GB"/>
        </w:rPr>
      </w:pPr>
      <w:r w:rsidRPr="00F54106">
        <w:rPr>
          <w:rFonts w:cstheme="minorHAnsi"/>
          <w:lang w:val="en-GB"/>
        </w:rPr>
        <w:t>The lack of a collective redress mechanism in Germany is mentioned as a major flaw in the German legal framework because it leaves a substantial enforcement gap.</w:t>
      </w:r>
      <w:r w:rsidRPr="00F54106">
        <w:rPr>
          <w:rStyle w:val="FootnoteReference"/>
          <w:rFonts w:cstheme="minorHAnsi"/>
          <w:lang w:val="en-GB"/>
        </w:rPr>
        <w:footnoteReference w:id="69"/>
      </w:r>
      <w:r w:rsidRPr="00F54106">
        <w:rPr>
          <w:rFonts w:cstheme="minorHAnsi"/>
          <w:lang w:val="en-GB"/>
        </w:rPr>
        <w:t xml:space="preserve"> Since the Damages Directive facilitates a passing-on defence, this enforcement gap becomes problematic as there is now a </w:t>
      </w:r>
      <w:r w:rsidR="006E1E98" w:rsidRPr="00F54106">
        <w:rPr>
          <w:rFonts w:cstheme="minorHAnsi"/>
          <w:lang w:val="en-GB"/>
        </w:rPr>
        <w:t xml:space="preserve">considerable </w:t>
      </w:r>
      <w:r w:rsidRPr="00F54106">
        <w:rPr>
          <w:rFonts w:cstheme="minorHAnsi"/>
          <w:lang w:val="en-GB"/>
        </w:rPr>
        <w:t>possibility that the courts will determine a passing-on to final consumers.</w:t>
      </w:r>
      <w:r w:rsidRPr="00F54106">
        <w:rPr>
          <w:rStyle w:val="FootnoteReference"/>
          <w:rFonts w:cstheme="minorHAnsi"/>
          <w:lang w:val="en-GB"/>
        </w:rPr>
        <w:footnoteReference w:id="70"/>
      </w:r>
      <w:r w:rsidRPr="00F54106">
        <w:rPr>
          <w:rFonts w:cstheme="minorHAnsi"/>
          <w:lang w:val="en-GB"/>
        </w:rPr>
        <w:t xml:space="preserve"> As a result, the role of cartel damages claims as an enforcement mechanism is jeopardized due to the absence of a collective redress mechanism, which is deemed essential in this scenario.</w:t>
      </w:r>
      <w:r w:rsidRPr="00F54106">
        <w:rPr>
          <w:rStyle w:val="FootnoteReference"/>
          <w:rFonts w:cstheme="minorHAnsi"/>
          <w:lang w:val="en-GB"/>
        </w:rPr>
        <w:footnoteReference w:id="71"/>
      </w:r>
      <w:r w:rsidRPr="00F54106">
        <w:rPr>
          <w:rFonts w:cstheme="minorHAnsi"/>
          <w:lang w:val="en-GB"/>
        </w:rPr>
        <w:t xml:space="preserve"> </w:t>
      </w:r>
    </w:p>
    <w:p w14:paraId="31DE9AD0" w14:textId="7400705A" w:rsidR="00A227A4" w:rsidRPr="00F54106" w:rsidRDefault="00BC63AF" w:rsidP="005D589E">
      <w:pPr>
        <w:spacing w:line="276" w:lineRule="auto"/>
        <w:ind w:firstLine="720"/>
        <w:rPr>
          <w:rFonts w:cstheme="minorHAnsi"/>
          <w:lang w:val="en-GB"/>
        </w:rPr>
      </w:pPr>
      <w:r w:rsidRPr="00F54106">
        <w:rPr>
          <w:rFonts w:cstheme="minorHAnsi"/>
          <w:lang w:val="en-GB"/>
        </w:rPr>
        <w:t>Claimants have attempted to compensate for the lack of collective redress by using claim vehicles or bundling through the assignment model.</w:t>
      </w:r>
      <w:r w:rsidRPr="00F54106">
        <w:rPr>
          <w:rStyle w:val="FootnoteReference"/>
          <w:rFonts w:cstheme="minorHAnsi"/>
          <w:lang w:val="en-GB"/>
        </w:rPr>
        <w:footnoteReference w:id="72"/>
      </w:r>
      <w:r w:rsidRPr="00F54106">
        <w:rPr>
          <w:rFonts w:cstheme="minorHAnsi"/>
          <w:lang w:val="en-GB"/>
        </w:rPr>
        <w:t xml:space="preserve"> However, there are certain requirements that must be met or else an assignment is rendered null and void, namely (1) the authorization for a special purpose vehicle to offer legal services, (2) the lawyers representing the special purpose vehicle may not hold a share in it in order to safeguard independence of lawyers, and (3) the assignment cannot be made to shift the financial risks of litigation to the defendant.</w:t>
      </w:r>
      <w:r w:rsidRPr="00F54106">
        <w:rPr>
          <w:rStyle w:val="FootnoteReference"/>
          <w:rFonts w:cstheme="minorHAnsi"/>
          <w:lang w:val="en-GB"/>
        </w:rPr>
        <w:footnoteReference w:id="73"/>
      </w:r>
      <w:r w:rsidRPr="00F54106">
        <w:rPr>
          <w:rFonts w:cstheme="minorHAnsi"/>
          <w:lang w:val="en-GB"/>
        </w:rPr>
        <w:t xml:space="preserve"> Even though the exact requirements regarding assignments are not entirely clear and meeting them does seem attainable, it does create difficulties for the bundling of claims and also adds to total costs involved.</w:t>
      </w:r>
      <w:r w:rsidRPr="00F54106">
        <w:rPr>
          <w:rStyle w:val="FootnoteReference"/>
          <w:rFonts w:cstheme="minorHAnsi"/>
          <w:lang w:val="en-GB"/>
        </w:rPr>
        <w:footnoteReference w:id="74"/>
      </w:r>
      <w:r w:rsidR="00A227A4" w:rsidRPr="00F54106">
        <w:rPr>
          <w:rFonts w:cstheme="minorHAnsi"/>
          <w:lang w:val="en-GB"/>
        </w:rPr>
        <w:t xml:space="preserve"> </w:t>
      </w:r>
      <w:r w:rsidR="002E1277" w:rsidRPr="00F54106">
        <w:rPr>
          <w:rFonts w:cstheme="minorHAnsi"/>
          <w:lang w:val="en-GB"/>
        </w:rPr>
        <w:t xml:space="preserve">Furthermore, the regional court of Munich had previously judged that it was illegal under the </w:t>
      </w:r>
      <w:bookmarkStart w:id="38" w:name="_Hlk107453277"/>
      <w:r w:rsidR="002E1277" w:rsidRPr="00F54106">
        <w:rPr>
          <w:rFonts w:cstheme="minorHAnsi"/>
          <w:lang w:val="en-GB"/>
        </w:rPr>
        <w:t>German Legal Services Act (</w:t>
      </w:r>
      <w:r w:rsidR="002E1277" w:rsidRPr="00F54106">
        <w:rPr>
          <w:rFonts w:cstheme="minorHAnsi"/>
          <w:i/>
          <w:iCs/>
          <w:lang w:val="en-GB"/>
        </w:rPr>
        <w:t>Rechtsdienstleistungsgesetz</w:t>
      </w:r>
      <w:r w:rsidR="002E1277" w:rsidRPr="00F54106">
        <w:rPr>
          <w:rFonts w:cstheme="minorHAnsi"/>
          <w:lang w:val="en-GB"/>
        </w:rPr>
        <w:t xml:space="preserve"> – RDG) </w:t>
      </w:r>
      <w:bookmarkEnd w:id="38"/>
      <w:r w:rsidR="002E1277" w:rsidRPr="00F54106">
        <w:rPr>
          <w:rFonts w:cstheme="minorHAnsi"/>
          <w:lang w:val="en-GB"/>
        </w:rPr>
        <w:t>due to, inter alia, conflicting interests by the claim vehicle.</w:t>
      </w:r>
      <w:r w:rsidR="002E1277" w:rsidRPr="00F54106">
        <w:rPr>
          <w:rStyle w:val="FootnoteReference"/>
          <w:rFonts w:cstheme="minorHAnsi"/>
          <w:lang w:val="en-GB"/>
        </w:rPr>
        <w:footnoteReference w:id="75"/>
      </w:r>
      <w:r w:rsidR="005D589E" w:rsidRPr="00F54106">
        <w:rPr>
          <w:rFonts w:cstheme="minorHAnsi"/>
          <w:lang w:val="en-GB"/>
        </w:rPr>
        <w:t xml:space="preserve"> </w:t>
      </w:r>
      <w:r w:rsidR="002E1277" w:rsidRPr="00F54106">
        <w:rPr>
          <w:rFonts w:cstheme="minorHAnsi"/>
          <w:lang w:val="en-GB"/>
        </w:rPr>
        <w:lastRenderedPageBreak/>
        <w:t xml:space="preserve">However, </w:t>
      </w:r>
      <w:r w:rsidR="00A227A4" w:rsidRPr="00F54106">
        <w:rPr>
          <w:rFonts w:cstheme="minorHAnsi"/>
          <w:lang w:val="en-GB"/>
        </w:rPr>
        <w:t xml:space="preserve">the BGH held </w:t>
      </w:r>
      <w:r w:rsidR="002E1277" w:rsidRPr="00F54106">
        <w:rPr>
          <w:rFonts w:cstheme="minorHAnsi"/>
          <w:lang w:val="en-GB"/>
        </w:rPr>
        <w:t xml:space="preserve">in the recent the </w:t>
      </w:r>
      <w:r w:rsidR="002E1277" w:rsidRPr="00F54106">
        <w:rPr>
          <w:rFonts w:cstheme="minorHAnsi"/>
          <w:i/>
          <w:iCs/>
          <w:lang w:val="en-GB"/>
        </w:rPr>
        <w:t>Air Deal</w:t>
      </w:r>
      <w:r w:rsidR="009F4562" w:rsidRPr="00F54106">
        <w:rPr>
          <w:rStyle w:val="FootnoteReference"/>
          <w:rFonts w:cstheme="minorHAnsi"/>
          <w:lang w:val="en-GB"/>
        </w:rPr>
        <w:footnoteReference w:id="76"/>
      </w:r>
      <w:r w:rsidR="009F4562" w:rsidRPr="00F54106">
        <w:rPr>
          <w:rFonts w:cstheme="minorHAnsi"/>
          <w:lang w:val="en-GB"/>
        </w:rPr>
        <w:t xml:space="preserve"> </w:t>
      </w:r>
      <w:r w:rsidR="002E1277" w:rsidRPr="00F54106">
        <w:rPr>
          <w:rFonts w:cstheme="minorHAnsi"/>
          <w:lang w:val="en-GB"/>
        </w:rPr>
        <w:t>judgement</w:t>
      </w:r>
      <w:r w:rsidR="009F4562" w:rsidRPr="00F54106">
        <w:rPr>
          <w:rFonts w:cstheme="minorHAnsi"/>
          <w:lang w:val="en-GB"/>
        </w:rPr>
        <w:t xml:space="preserve"> </w:t>
      </w:r>
      <w:r w:rsidR="00A227A4" w:rsidRPr="00F54106">
        <w:rPr>
          <w:rFonts w:cstheme="minorHAnsi"/>
          <w:lang w:val="en-GB"/>
        </w:rPr>
        <w:t xml:space="preserve">that the opt-in assignment model is valid under German law </w:t>
      </w:r>
      <w:r w:rsidR="00D81103" w:rsidRPr="00F54106">
        <w:rPr>
          <w:rFonts w:cstheme="minorHAnsi"/>
          <w:lang w:val="en-GB"/>
        </w:rPr>
        <w:t>and</w:t>
      </w:r>
      <w:r w:rsidR="00A227A4" w:rsidRPr="00F54106">
        <w:rPr>
          <w:rFonts w:cstheme="minorHAnsi"/>
          <w:lang w:val="en-GB"/>
        </w:rPr>
        <w:t xml:space="preserve"> recognized that the assignment model may embody the only way for claimants to have access to justice</w:t>
      </w:r>
      <w:r w:rsidR="00D81103" w:rsidRPr="00F54106">
        <w:rPr>
          <w:rFonts w:cstheme="minorHAnsi"/>
          <w:lang w:val="en-GB"/>
        </w:rPr>
        <w:t>. Accordingly, the BG</w:t>
      </w:r>
      <w:r w:rsidR="00CB7612" w:rsidRPr="00F54106">
        <w:rPr>
          <w:rFonts w:cstheme="minorHAnsi"/>
          <w:lang w:val="en-GB"/>
        </w:rPr>
        <w:t>H</w:t>
      </w:r>
      <w:r w:rsidR="00D81103" w:rsidRPr="00F54106">
        <w:rPr>
          <w:rFonts w:cstheme="minorHAnsi"/>
          <w:lang w:val="en-GB"/>
        </w:rPr>
        <w:t xml:space="preserve"> subsequently </w:t>
      </w:r>
      <w:r w:rsidR="00A227A4" w:rsidRPr="00F54106">
        <w:rPr>
          <w:rFonts w:cstheme="minorHAnsi"/>
          <w:lang w:val="en-GB"/>
        </w:rPr>
        <w:t>ruled that the conflicts of interested are not disproportionate for claim vehicles.</w:t>
      </w:r>
      <w:r w:rsidR="00A227A4" w:rsidRPr="00F54106">
        <w:rPr>
          <w:rStyle w:val="FootnoteReference"/>
          <w:rFonts w:cstheme="minorHAnsi"/>
          <w:lang w:val="en-GB"/>
        </w:rPr>
        <w:footnoteReference w:id="77"/>
      </w:r>
      <w:r w:rsidR="00A227A4" w:rsidRPr="00F54106">
        <w:rPr>
          <w:rFonts w:cstheme="minorHAnsi"/>
          <w:lang w:val="en-GB"/>
        </w:rPr>
        <w:t xml:space="preserve"> </w:t>
      </w:r>
      <w:r w:rsidR="005D589E" w:rsidRPr="00F54106">
        <w:rPr>
          <w:rFonts w:cstheme="minorHAnsi"/>
          <w:lang w:val="en-GB"/>
        </w:rPr>
        <w:t>Moreover</w:t>
      </w:r>
      <w:r w:rsidR="00A227A4" w:rsidRPr="00F54106">
        <w:rPr>
          <w:rFonts w:cstheme="minorHAnsi"/>
          <w:lang w:val="en-GB"/>
        </w:rPr>
        <w:t>, it was specified that, for the purposes of the RDG, claim vehicles are allowed to accumulate and enforce cartel damages claims, provide complex legal advice, agree on contingency fees and assume litigation costs.</w:t>
      </w:r>
      <w:r w:rsidR="00A227A4" w:rsidRPr="00F54106">
        <w:rPr>
          <w:rStyle w:val="FootnoteReference"/>
          <w:rFonts w:cstheme="minorHAnsi"/>
          <w:lang w:val="en-GB"/>
        </w:rPr>
        <w:footnoteReference w:id="78"/>
      </w:r>
      <w:r w:rsidR="00A227A4" w:rsidRPr="00F54106">
        <w:rPr>
          <w:rFonts w:cstheme="minorHAnsi"/>
          <w:lang w:val="en-GB"/>
        </w:rPr>
        <w:t xml:space="preserve"> As a result, </w:t>
      </w:r>
      <w:r w:rsidR="001D2AF9" w:rsidRPr="00F54106">
        <w:rPr>
          <w:rFonts w:cstheme="minorHAnsi"/>
          <w:lang w:val="en-GB"/>
        </w:rPr>
        <w:t xml:space="preserve">the requirements are more likely to be met and it is argued that </w:t>
      </w:r>
      <w:r w:rsidR="001616DA" w:rsidRPr="00F54106">
        <w:rPr>
          <w:rFonts w:cstheme="minorHAnsi"/>
          <w:lang w:val="en-GB"/>
        </w:rPr>
        <w:t xml:space="preserve">the </w:t>
      </w:r>
      <w:r w:rsidR="001616DA" w:rsidRPr="00F54106">
        <w:rPr>
          <w:rFonts w:cstheme="minorHAnsi"/>
          <w:i/>
          <w:iCs/>
          <w:lang w:val="en-GB"/>
        </w:rPr>
        <w:t>Air Deal</w:t>
      </w:r>
      <w:r w:rsidR="0021531C" w:rsidRPr="00F54106">
        <w:rPr>
          <w:rFonts w:cstheme="minorHAnsi"/>
          <w:lang w:val="en-GB"/>
        </w:rPr>
        <w:t xml:space="preserve"> </w:t>
      </w:r>
      <w:r w:rsidR="001D2AF9" w:rsidRPr="00F54106">
        <w:rPr>
          <w:rFonts w:cstheme="minorHAnsi"/>
          <w:lang w:val="en-GB"/>
        </w:rPr>
        <w:t>judgement</w:t>
      </w:r>
      <w:r w:rsidR="00925EE0" w:rsidRPr="00F54106">
        <w:rPr>
          <w:rFonts w:cstheme="minorHAnsi"/>
          <w:lang w:val="en-GB"/>
        </w:rPr>
        <w:t xml:space="preserve"> </w:t>
      </w:r>
      <w:r w:rsidR="001616DA" w:rsidRPr="00F54106">
        <w:rPr>
          <w:rFonts w:cstheme="minorHAnsi"/>
          <w:lang w:val="en-GB"/>
        </w:rPr>
        <w:t>make</w:t>
      </w:r>
      <w:r w:rsidR="001D2AF9" w:rsidRPr="00F54106">
        <w:rPr>
          <w:rFonts w:cstheme="minorHAnsi"/>
          <w:lang w:val="en-GB"/>
        </w:rPr>
        <w:t>s</w:t>
      </w:r>
      <w:r w:rsidR="001616DA" w:rsidRPr="00F54106">
        <w:rPr>
          <w:rFonts w:cstheme="minorHAnsi"/>
          <w:lang w:val="en-GB"/>
        </w:rPr>
        <w:t xml:space="preserve"> Germany further claimant-friendly</w:t>
      </w:r>
      <w:r w:rsidR="00236485" w:rsidRPr="00F54106">
        <w:rPr>
          <w:rFonts w:cstheme="minorHAnsi"/>
          <w:lang w:val="en-GB"/>
        </w:rPr>
        <w:t xml:space="preserve"> in this respect</w:t>
      </w:r>
      <w:r w:rsidR="005D589E" w:rsidRPr="00F54106">
        <w:rPr>
          <w:rFonts w:cstheme="minorHAnsi"/>
          <w:lang w:val="en-GB"/>
        </w:rPr>
        <w:t>.</w:t>
      </w:r>
      <w:r w:rsidR="001616DA" w:rsidRPr="00F54106">
        <w:rPr>
          <w:rStyle w:val="FootnoteReference"/>
          <w:rFonts w:cstheme="minorHAnsi"/>
          <w:lang w:val="en-GB"/>
        </w:rPr>
        <w:footnoteReference w:id="79"/>
      </w:r>
    </w:p>
    <w:p w14:paraId="2FE3947D" w14:textId="77777777" w:rsidR="00793076" w:rsidRPr="00F54106" w:rsidRDefault="00793076" w:rsidP="002E1277">
      <w:pPr>
        <w:spacing w:line="276" w:lineRule="auto"/>
        <w:rPr>
          <w:rFonts w:cstheme="minorHAnsi"/>
          <w:lang w:val="en-GB"/>
        </w:rPr>
      </w:pPr>
    </w:p>
    <w:p w14:paraId="635EF7B9" w14:textId="0055936B" w:rsidR="00BC63AF" w:rsidRPr="00F54106" w:rsidRDefault="00BC63AF" w:rsidP="00AA3172">
      <w:pPr>
        <w:pStyle w:val="Heading3"/>
        <w:rPr>
          <w:lang w:val="en-GB"/>
        </w:rPr>
      </w:pPr>
      <w:bookmarkStart w:id="42" w:name="_Toc107610220"/>
      <w:r w:rsidRPr="00F54106">
        <w:rPr>
          <w:lang w:val="en-GB"/>
        </w:rPr>
        <w:t>2.</w:t>
      </w:r>
      <w:r w:rsidR="001F001E" w:rsidRPr="00F54106">
        <w:rPr>
          <w:lang w:val="en-GB"/>
        </w:rPr>
        <w:t>1.</w:t>
      </w:r>
      <w:r w:rsidR="00FF058F" w:rsidRPr="00F54106">
        <w:rPr>
          <w:lang w:val="en-GB"/>
        </w:rPr>
        <w:t>4</w:t>
      </w:r>
      <w:r w:rsidRPr="00F54106">
        <w:rPr>
          <w:lang w:val="en-GB"/>
        </w:rPr>
        <w:t xml:space="preserve"> </w:t>
      </w:r>
      <w:r w:rsidR="007A7F2B" w:rsidRPr="00F54106">
        <w:rPr>
          <w:lang w:val="en-GB"/>
        </w:rPr>
        <w:t>The right to request</w:t>
      </w:r>
      <w:r w:rsidRPr="00F54106">
        <w:rPr>
          <w:lang w:val="en-GB"/>
        </w:rPr>
        <w:t xml:space="preserve"> </w:t>
      </w:r>
      <w:r w:rsidR="007A7F2B" w:rsidRPr="00F54106">
        <w:rPr>
          <w:lang w:val="en-GB"/>
        </w:rPr>
        <w:t>d</w:t>
      </w:r>
      <w:r w:rsidRPr="00F54106">
        <w:rPr>
          <w:lang w:val="en-GB"/>
        </w:rPr>
        <w:t>isclosure of evidence</w:t>
      </w:r>
      <w:r w:rsidR="00F03C3B" w:rsidRPr="00F54106">
        <w:rPr>
          <w:lang w:val="en-GB"/>
        </w:rPr>
        <w:t xml:space="preserve"> under German law</w:t>
      </w:r>
      <w:bookmarkEnd w:id="42"/>
    </w:p>
    <w:p w14:paraId="4D52540A" w14:textId="6893E189" w:rsidR="00BC63AF" w:rsidRPr="00F54106" w:rsidRDefault="00BC63AF" w:rsidP="00BC63AF">
      <w:pPr>
        <w:spacing w:line="276" w:lineRule="auto"/>
        <w:rPr>
          <w:rFonts w:cstheme="minorHAnsi"/>
          <w:lang w:val="en-GB"/>
        </w:rPr>
      </w:pPr>
      <w:bookmarkStart w:id="43" w:name="_Hlk107524955"/>
      <w:r w:rsidRPr="00F54106">
        <w:rPr>
          <w:rFonts w:cstheme="minorHAnsi"/>
          <w:lang w:val="en-GB"/>
        </w:rPr>
        <w:t>Until the implementation of the Damages Directive into German law, ordering the disclosure of legal material by defendants or third parties is an area where German Courts have traditionally made little use of their competence.</w:t>
      </w:r>
      <w:r w:rsidRPr="00F54106">
        <w:rPr>
          <w:rStyle w:val="FootnoteReference"/>
          <w:rFonts w:cstheme="minorHAnsi"/>
          <w:lang w:val="en-GB"/>
        </w:rPr>
        <w:footnoteReference w:id="80"/>
      </w:r>
      <w:r w:rsidRPr="00F54106">
        <w:rPr>
          <w:rFonts w:cstheme="minorHAnsi"/>
          <w:lang w:val="en-GB"/>
        </w:rPr>
        <w:t xml:space="preserve"> However, German competition law now exceeds the provisions of the Damages Directive with respect to disclosur</w:t>
      </w:r>
      <w:r w:rsidR="009C0699" w:rsidRPr="00F54106">
        <w:rPr>
          <w:rFonts w:cstheme="minorHAnsi"/>
          <w:lang w:val="en-GB"/>
        </w:rPr>
        <w:t>e</w:t>
      </w:r>
      <w:r w:rsidRPr="00F54106">
        <w:rPr>
          <w:rFonts w:cstheme="minorHAnsi"/>
          <w:lang w:val="en-GB"/>
        </w:rPr>
        <w:t>. Where the Damages Directive specified that disclosure can be mandated during proceedings,</w:t>
      </w:r>
      <w:r w:rsidRPr="00F54106">
        <w:rPr>
          <w:rStyle w:val="FootnoteReference"/>
          <w:rFonts w:cstheme="minorHAnsi"/>
          <w:lang w:val="en-GB"/>
        </w:rPr>
        <w:footnoteReference w:id="81"/>
      </w:r>
      <w:r w:rsidRPr="00F54106">
        <w:rPr>
          <w:rFonts w:cstheme="minorHAnsi"/>
          <w:lang w:val="en-GB"/>
        </w:rPr>
        <w:t xml:space="preserve"> claimants are instead given a substantive right to request disclosure from defendants or third parties under German competition law</w:t>
      </w:r>
      <w:r w:rsidR="009C0699" w:rsidRPr="00F54106">
        <w:rPr>
          <w:rFonts w:cstheme="minorHAnsi"/>
          <w:lang w:val="en-GB"/>
        </w:rPr>
        <w:t>.</w:t>
      </w:r>
      <w:r w:rsidRPr="00F54106">
        <w:rPr>
          <w:rStyle w:val="FootnoteReference"/>
          <w:rFonts w:cstheme="minorHAnsi"/>
          <w:lang w:val="en-GB"/>
        </w:rPr>
        <w:footnoteReference w:id="82"/>
      </w:r>
      <w:r w:rsidRPr="00F54106">
        <w:rPr>
          <w:rFonts w:cstheme="minorHAnsi"/>
          <w:lang w:val="en-GB"/>
        </w:rPr>
        <w:t xml:space="preserve"> As a result, disclosure of evidence can be mandated even though an action for damages has not been brought, while stand-alone actions for the disclosure of evidence can also be made independently from the action for damages, which is less expensive and also suspends the limitation period.</w:t>
      </w:r>
      <w:r w:rsidRPr="00F54106">
        <w:rPr>
          <w:rStyle w:val="FootnoteReference"/>
          <w:rFonts w:cstheme="minorHAnsi"/>
          <w:lang w:val="en-GB"/>
        </w:rPr>
        <w:footnoteReference w:id="83"/>
      </w:r>
      <w:r w:rsidRPr="00F54106">
        <w:rPr>
          <w:rFonts w:cstheme="minorHAnsi"/>
          <w:lang w:val="en-GB"/>
        </w:rPr>
        <w:t xml:space="preserve"> This results in substantial benefits for claimants in terms of costs and time</w:t>
      </w:r>
      <w:r w:rsidR="009C0699" w:rsidRPr="00F54106">
        <w:rPr>
          <w:rFonts w:cstheme="minorHAnsi"/>
          <w:lang w:val="en-GB"/>
        </w:rPr>
        <w:t>, and facilitates</w:t>
      </w:r>
      <w:r w:rsidRPr="00F54106">
        <w:rPr>
          <w:rFonts w:cstheme="minorHAnsi"/>
          <w:lang w:val="en-GB"/>
        </w:rPr>
        <w:t xml:space="preserve"> early settlement. Moreover, because time-barring is no longer an issue, it is therefore possible to collect and assess the evidence without having to file an action before the limitation period has expired, while abusive behaviour by the defendant such as delaying the disclosure past the time limit is also averted.</w:t>
      </w:r>
      <w:r w:rsidRPr="00F54106">
        <w:rPr>
          <w:rStyle w:val="FootnoteReference"/>
          <w:rFonts w:cstheme="minorHAnsi"/>
          <w:lang w:val="en-GB"/>
        </w:rPr>
        <w:footnoteReference w:id="84"/>
      </w:r>
      <w:r w:rsidRPr="00F54106">
        <w:rPr>
          <w:rFonts w:cstheme="minorHAnsi"/>
          <w:lang w:val="en-GB"/>
        </w:rPr>
        <w:t xml:space="preserve"> Furthermore, by virtue of section 89b(5) GWB, it is also possible for a claimant to demand disclosure of a binding decision of a competition authority through a preliminary injunction. However, even though the preliminary injunction may have the same effect in terms of disclosure, unlike an action for disclosure, it does not suspend the limitation </w:t>
      </w:r>
      <w:r w:rsidRPr="00F54106">
        <w:rPr>
          <w:rFonts w:cstheme="minorHAnsi"/>
          <w:lang w:val="en-GB"/>
        </w:rPr>
        <w:lastRenderedPageBreak/>
        <w:t>period.</w:t>
      </w:r>
      <w:r w:rsidRPr="00F54106">
        <w:rPr>
          <w:rStyle w:val="FootnoteReference"/>
          <w:rFonts w:cstheme="minorHAnsi"/>
          <w:lang w:val="en-GB"/>
        </w:rPr>
        <w:footnoteReference w:id="85"/>
      </w:r>
      <w:r w:rsidRPr="00F54106">
        <w:rPr>
          <w:rFonts w:cstheme="minorHAnsi"/>
          <w:lang w:val="en-GB"/>
        </w:rPr>
        <w:t xml:space="preserve"> </w:t>
      </w:r>
      <w:r w:rsidR="009C0699" w:rsidRPr="00F54106">
        <w:rPr>
          <w:rFonts w:cstheme="minorHAnsi"/>
          <w:lang w:val="en-GB"/>
        </w:rPr>
        <w:t>Concludingly, the right to claim</w:t>
      </w:r>
      <w:r w:rsidR="00236485" w:rsidRPr="00F54106">
        <w:rPr>
          <w:rFonts w:cstheme="minorHAnsi"/>
          <w:lang w:val="en-GB"/>
        </w:rPr>
        <w:t xml:space="preserve"> the</w:t>
      </w:r>
      <w:r w:rsidR="009C0699" w:rsidRPr="00F54106">
        <w:rPr>
          <w:rFonts w:cstheme="minorHAnsi"/>
          <w:lang w:val="en-GB"/>
        </w:rPr>
        <w:t xml:space="preserve"> </w:t>
      </w:r>
      <w:r w:rsidR="00236485" w:rsidRPr="00F54106">
        <w:rPr>
          <w:rFonts w:cstheme="minorHAnsi"/>
          <w:lang w:val="en-GB"/>
        </w:rPr>
        <w:t>disclosure of evidence by claimants is considered an important factor</w:t>
      </w:r>
      <w:r w:rsidR="009C0699" w:rsidRPr="00F54106">
        <w:rPr>
          <w:rFonts w:cstheme="minorHAnsi"/>
          <w:lang w:val="en-GB"/>
        </w:rPr>
        <w:t xml:space="preserve"> that </w:t>
      </w:r>
      <w:r w:rsidR="00236485" w:rsidRPr="00F54106">
        <w:rPr>
          <w:rFonts w:cstheme="minorHAnsi"/>
          <w:lang w:val="en-GB"/>
        </w:rPr>
        <w:t xml:space="preserve">has increased </w:t>
      </w:r>
      <w:r w:rsidR="009C0699" w:rsidRPr="00F54106">
        <w:rPr>
          <w:rFonts w:cstheme="minorHAnsi"/>
          <w:lang w:val="en-GB"/>
        </w:rPr>
        <w:t>Germany’s attractiveness as a forum</w:t>
      </w:r>
      <w:r w:rsidR="00236485" w:rsidRPr="00F54106">
        <w:rPr>
          <w:rFonts w:cstheme="minorHAnsi"/>
          <w:lang w:val="en-GB"/>
        </w:rPr>
        <w:t>.</w:t>
      </w:r>
      <w:r w:rsidR="00236485" w:rsidRPr="00F54106">
        <w:rPr>
          <w:rStyle w:val="FootnoteReference"/>
          <w:rFonts w:cstheme="minorHAnsi"/>
          <w:lang w:val="en-GB"/>
        </w:rPr>
        <w:footnoteReference w:id="86"/>
      </w:r>
    </w:p>
    <w:bookmarkEnd w:id="43"/>
    <w:p w14:paraId="1FF3BBCB" w14:textId="77777777" w:rsidR="00177015" w:rsidRPr="00F54106" w:rsidRDefault="00177015" w:rsidP="00177015">
      <w:pPr>
        <w:spacing w:line="276" w:lineRule="auto"/>
        <w:rPr>
          <w:rFonts w:cstheme="minorHAnsi"/>
          <w:b/>
          <w:bCs/>
          <w:lang w:val="en-GB"/>
        </w:rPr>
      </w:pPr>
    </w:p>
    <w:p w14:paraId="1EA6F245" w14:textId="54247648" w:rsidR="000E2274" w:rsidRPr="00F54106" w:rsidRDefault="00A57614" w:rsidP="00AA3172">
      <w:pPr>
        <w:pStyle w:val="Heading3"/>
        <w:rPr>
          <w:lang w:val="en-GB"/>
        </w:rPr>
      </w:pPr>
      <w:bookmarkStart w:id="46" w:name="_Toc107610221"/>
      <w:r w:rsidRPr="00F54106">
        <w:rPr>
          <w:lang w:val="en-GB"/>
        </w:rPr>
        <w:t>2</w:t>
      </w:r>
      <w:r w:rsidR="00DF5A51" w:rsidRPr="00F54106">
        <w:rPr>
          <w:lang w:val="en-GB"/>
        </w:rPr>
        <w:t>.</w:t>
      </w:r>
      <w:r w:rsidR="001F001E" w:rsidRPr="00F54106">
        <w:rPr>
          <w:lang w:val="en-GB"/>
        </w:rPr>
        <w:t>1.</w:t>
      </w:r>
      <w:r w:rsidR="00FF058F" w:rsidRPr="00F54106">
        <w:rPr>
          <w:lang w:val="en-GB"/>
        </w:rPr>
        <w:t>5</w:t>
      </w:r>
      <w:r w:rsidR="00DF5A51" w:rsidRPr="00F54106">
        <w:rPr>
          <w:lang w:val="en-GB"/>
        </w:rPr>
        <w:t xml:space="preserve"> </w:t>
      </w:r>
      <w:r w:rsidR="0006785E" w:rsidRPr="00F54106">
        <w:rPr>
          <w:lang w:val="en-GB"/>
        </w:rPr>
        <w:t>Presumptions that</w:t>
      </w:r>
      <w:r w:rsidR="008073DF" w:rsidRPr="00F54106">
        <w:rPr>
          <w:lang w:val="en-GB"/>
        </w:rPr>
        <w:t xml:space="preserve"> have</w:t>
      </w:r>
      <w:r w:rsidR="0006785E" w:rsidRPr="00F54106">
        <w:rPr>
          <w:lang w:val="en-GB"/>
        </w:rPr>
        <w:t xml:space="preserve"> lower</w:t>
      </w:r>
      <w:r w:rsidR="008073DF" w:rsidRPr="00F54106">
        <w:rPr>
          <w:lang w:val="en-GB"/>
        </w:rPr>
        <w:t>ed</w:t>
      </w:r>
      <w:r w:rsidR="0006785E" w:rsidRPr="00F54106">
        <w:rPr>
          <w:lang w:val="en-GB"/>
        </w:rPr>
        <w:t xml:space="preserve"> the burden of proof</w:t>
      </w:r>
      <w:r w:rsidR="00A76413" w:rsidRPr="00F54106">
        <w:rPr>
          <w:lang w:val="en-GB"/>
        </w:rPr>
        <w:t xml:space="preserve"> for claimants</w:t>
      </w:r>
      <w:bookmarkEnd w:id="46"/>
    </w:p>
    <w:p w14:paraId="1AD065DD" w14:textId="0D13931E" w:rsidR="00DF5A51" w:rsidRPr="00F54106" w:rsidRDefault="00DF5A51" w:rsidP="00FC31D7">
      <w:pPr>
        <w:spacing w:line="276" w:lineRule="auto"/>
        <w:rPr>
          <w:rFonts w:cstheme="minorHAnsi"/>
          <w:lang w:val="en-GB"/>
        </w:rPr>
      </w:pPr>
      <w:r w:rsidRPr="00F54106">
        <w:rPr>
          <w:rFonts w:cstheme="minorHAnsi"/>
          <w:lang w:val="en-GB"/>
        </w:rPr>
        <w:t xml:space="preserve">Due to the difficulty for claimants to prove the extent to which they have suffered damages, Germany has established several presumptions </w:t>
      </w:r>
      <w:r w:rsidR="00CB68A5" w:rsidRPr="00F54106">
        <w:rPr>
          <w:rFonts w:cstheme="minorHAnsi"/>
          <w:lang w:val="en-GB"/>
        </w:rPr>
        <w:t xml:space="preserve">in prima facie cases </w:t>
      </w:r>
      <w:r w:rsidRPr="00F54106">
        <w:rPr>
          <w:rFonts w:cstheme="minorHAnsi"/>
          <w:lang w:val="en-GB"/>
        </w:rPr>
        <w:t xml:space="preserve">that have </w:t>
      </w:r>
      <w:r w:rsidR="00FA273A" w:rsidRPr="00F54106">
        <w:rPr>
          <w:rFonts w:cstheme="minorHAnsi"/>
          <w:lang w:val="en-GB"/>
        </w:rPr>
        <w:t xml:space="preserve">greatly </w:t>
      </w:r>
      <w:r w:rsidRPr="00F54106">
        <w:rPr>
          <w:rFonts w:cstheme="minorHAnsi"/>
          <w:lang w:val="en-GB"/>
        </w:rPr>
        <w:t>lowered the burden of proof for claimants and</w:t>
      </w:r>
      <w:r w:rsidR="003F5C1D" w:rsidRPr="00F54106">
        <w:rPr>
          <w:rFonts w:cstheme="minorHAnsi"/>
          <w:lang w:val="en-GB"/>
        </w:rPr>
        <w:t xml:space="preserve"> are said to</w:t>
      </w:r>
      <w:r w:rsidRPr="00F54106">
        <w:rPr>
          <w:rFonts w:cstheme="minorHAnsi"/>
          <w:lang w:val="en-GB"/>
        </w:rPr>
        <w:t xml:space="preserve"> further facilitate </w:t>
      </w:r>
      <w:r w:rsidR="00CB68A5" w:rsidRPr="00F54106">
        <w:rPr>
          <w:rFonts w:cstheme="minorHAnsi"/>
          <w:lang w:val="en-GB"/>
        </w:rPr>
        <w:t>private enforcement in Germany.</w:t>
      </w:r>
      <w:r w:rsidR="005D323E" w:rsidRPr="00F54106">
        <w:rPr>
          <w:rStyle w:val="FootnoteReference"/>
          <w:rFonts w:cstheme="minorHAnsi"/>
          <w:lang w:val="en-GB"/>
        </w:rPr>
        <w:footnoteReference w:id="87"/>
      </w:r>
    </w:p>
    <w:p w14:paraId="42FF963A" w14:textId="77777777" w:rsidR="00AA3172" w:rsidRPr="00F54106" w:rsidRDefault="00AA3172" w:rsidP="00FC31D7">
      <w:pPr>
        <w:spacing w:line="276" w:lineRule="auto"/>
        <w:rPr>
          <w:rFonts w:cstheme="minorHAnsi"/>
          <w:lang w:val="en-GB"/>
        </w:rPr>
      </w:pPr>
    </w:p>
    <w:p w14:paraId="67B3565E" w14:textId="7EBEF702" w:rsidR="00441D24" w:rsidRPr="00F54106" w:rsidRDefault="00A57614" w:rsidP="00AA3172">
      <w:pPr>
        <w:pStyle w:val="Heading4"/>
        <w:rPr>
          <w:lang w:val="en-GB"/>
        </w:rPr>
      </w:pPr>
      <w:r w:rsidRPr="00F54106">
        <w:rPr>
          <w:lang w:val="en-GB"/>
        </w:rPr>
        <w:t>2</w:t>
      </w:r>
      <w:r w:rsidR="00441D24" w:rsidRPr="00F54106">
        <w:rPr>
          <w:lang w:val="en-GB"/>
        </w:rPr>
        <w:t>.</w:t>
      </w:r>
      <w:r w:rsidR="001F001E" w:rsidRPr="00F54106">
        <w:rPr>
          <w:lang w:val="en-GB"/>
        </w:rPr>
        <w:t>1.</w:t>
      </w:r>
      <w:r w:rsidR="00FF058F" w:rsidRPr="00F54106">
        <w:rPr>
          <w:lang w:val="en-GB"/>
        </w:rPr>
        <w:t>5</w:t>
      </w:r>
      <w:r w:rsidR="00DF5A51" w:rsidRPr="00F54106">
        <w:rPr>
          <w:lang w:val="en-GB"/>
        </w:rPr>
        <w:t>.1</w:t>
      </w:r>
      <w:r w:rsidR="00441D24" w:rsidRPr="00F54106">
        <w:rPr>
          <w:lang w:val="en-GB"/>
        </w:rPr>
        <w:t xml:space="preserve"> </w:t>
      </w:r>
      <w:r w:rsidR="00A76413" w:rsidRPr="00F54106">
        <w:rPr>
          <w:lang w:val="en-GB"/>
        </w:rPr>
        <w:t>The l</w:t>
      </w:r>
      <w:r w:rsidR="00441D24" w:rsidRPr="00F54106">
        <w:rPr>
          <w:lang w:val="en-GB"/>
        </w:rPr>
        <w:t>iability</w:t>
      </w:r>
      <w:r w:rsidR="00812BDC" w:rsidRPr="00F54106">
        <w:rPr>
          <w:lang w:val="en-GB"/>
        </w:rPr>
        <w:t xml:space="preserve"> for-</w:t>
      </w:r>
      <w:r w:rsidR="00441D24" w:rsidRPr="00F54106">
        <w:rPr>
          <w:lang w:val="en-GB"/>
        </w:rPr>
        <w:t xml:space="preserve"> </w:t>
      </w:r>
      <w:r w:rsidR="00812BDC" w:rsidRPr="00F54106">
        <w:rPr>
          <w:lang w:val="en-GB"/>
        </w:rPr>
        <w:t>and quantification of damages</w:t>
      </w:r>
    </w:p>
    <w:p w14:paraId="35DD6FEF" w14:textId="186A1199" w:rsidR="0097523C" w:rsidRPr="00F54106" w:rsidRDefault="00DE3B43" w:rsidP="00FC31D7">
      <w:pPr>
        <w:spacing w:line="276" w:lineRule="auto"/>
        <w:rPr>
          <w:rFonts w:cstheme="minorHAnsi"/>
          <w:lang w:val="en-GB"/>
        </w:rPr>
      </w:pPr>
      <w:r w:rsidRPr="00F54106">
        <w:rPr>
          <w:rFonts w:cstheme="minorHAnsi"/>
          <w:lang w:val="en-GB"/>
        </w:rPr>
        <w:t>German courts ha</w:t>
      </w:r>
      <w:r w:rsidR="003D31C9" w:rsidRPr="00F54106">
        <w:rPr>
          <w:rFonts w:cstheme="minorHAnsi"/>
          <w:lang w:val="en-GB"/>
        </w:rPr>
        <w:t>d already</w:t>
      </w:r>
      <w:r w:rsidRPr="00F54106">
        <w:rPr>
          <w:rFonts w:cstheme="minorHAnsi"/>
          <w:lang w:val="en-GB"/>
        </w:rPr>
        <w:t xml:space="preserve"> established that cartels lead to higher prices even</w:t>
      </w:r>
      <w:r w:rsidR="007B6C94" w:rsidRPr="00F54106">
        <w:rPr>
          <w:rFonts w:cstheme="minorHAnsi"/>
          <w:lang w:val="en-GB"/>
        </w:rPr>
        <w:t xml:space="preserve"> before the implementation of the Damages Directive</w:t>
      </w:r>
      <w:r w:rsidRPr="00F54106">
        <w:rPr>
          <w:rFonts w:cstheme="minorHAnsi"/>
          <w:lang w:val="en-GB"/>
        </w:rPr>
        <w:t>.</w:t>
      </w:r>
      <w:r w:rsidR="00984A9A" w:rsidRPr="00F54106">
        <w:rPr>
          <w:rStyle w:val="FootnoteReference"/>
          <w:rFonts w:cstheme="minorHAnsi"/>
          <w:lang w:val="en-GB"/>
        </w:rPr>
        <w:footnoteReference w:id="88"/>
      </w:r>
      <w:r w:rsidR="00984A9A" w:rsidRPr="00F54106">
        <w:rPr>
          <w:rFonts w:cstheme="minorHAnsi"/>
          <w:lang w:val="en-GB"/>
        </w:rPr>
        <w:t xml:space="preserve"> As a result</w:t>
      </w:r>
      <w:r w:rsidR="00FD22FD" w:rsidRPr="00F54106">
        <w:rPr>
          <w:rFonts w:cstheme="minorHAnsi"/>
          <w:lang w:val="en-GB"/>
        </w:rPr>
        <w:t>,</w:t>
      </w:r>
      <w:r w:rsidR="00984A9A" w:rsidRPr="00F54106">
        <w:rPr>
          <w:rFonts w:cstheme="minorHAnsi"/>
          <w:lang w:val="en-GB"/>
        </w:rPr>
        <w:t xml:space="preserve"> it was unnecessary to fully show and prove your damages as a claimant as courts found it natural that cartels would lead to damages.</w:t>
      </w:r>
      <w:r w:rsidR="00984A9A" w:rsidRPr="00F54106">
        <w:rPr>
          <w:rStyle w:val="FootnoteReference"/>
          <w:rFonts w:cstheme="minorHAnsi"/>
          <w:lang w:val="en-GB"/>
        </w:rPr>
        <w:footnoteReference w:id="89"/>
      </w:r>
      <w:r w:rsidR="00984A9A" w:rsidRPr="00F54106">
        <w:rPr>
          <w:rFonts w:cstheme="minorHAnsi"/>
          <w:lang w:val="en-GB"/>
        </w:rPr>
        <w:t xml:space="preserve"> </w:t>
      </w:r>
      <w:r w:rsidR="00E66F27" w:rsidRPr="00F54106">
        <w:rPr>
          <w:rFonts w:cstheme="minorHAnsi"/>
          <w:lang w:val="en-GB"/>
        </w:rPr>
        <w:t>However, the transposition of Article 17(2) of the Damages Directive brings an important change as there is now a rebuttable presumption</w:t>
      </w:r>
      <w:r w:rsidR="003D31C9" w:rsidRPr="00F54106">
        <w:rPr>
          <w:rFonts w:cstheme="minorHAnsi"/>
          <w:lang w:val="en-GB"/>
        </w:rPr>
        <w:t>,</w:t>
      </w:r>
      <w:r w:rsidR="00E66F27" w:rsidRPr="00F54106">
        <w:rPr>
          <w:rFonts w:cstheme="minorHAnsi"/>
          <w:lang w:val="en-GB"/>
        </w:rPr>
        <w:t xml:space="preserve"> </w:t>
      </w:r>
      <w:r w:rsidR="003D31C9" w:rsidRPr="00F54106">
        <w:rPr>
          <w:rFonts w:cstheme="minorHAnsi"/>
          <w:lang w:val="en-GB"/>
        </w:rPr>
        <w:t>contained in section 33a(2)</w:t>
      </w:r>
      <w:r w:rsidR="00261674" w:rsidRPr="00F54106">
        <w:rPr>
          <w:rFonts w:cstheme="minorHAnsi"/>
          <w:lang w:val="en-GB"/>
        </w:rPr>
        <w:t xml:space="preserve"> of the GWB</w:t>
      </w:r>
      <w:r w:rsidR="003D31C9" w:rsidRPr="00F54106">
        <w:rPr>
          <w:rFonts w:cstheme="minorHAnsi"/>
          <w:lang w:val="en-GB"/>
        </w:rPr>
        <w:t xml:space="preserve">, </w:t>
      </w:r>
      <w:r w:rsidR="00E66F27" w:rsidRPr="00F54106">
        <w:rPr>
          <w:rFonts w:cstheme="minorHAnsi"/>
          <w:lang w:val="en-GB"/>
        </w:rPr>
        <w:t>that a cartel results in harm</w:t>
      </w:r>
      <w:r w:rsidR="003D31C9" w:rsidRPr="00F54106">
        <w:rPr>
          <w:rFonts w:cstheme="minorHAnsi"/>
          <w:lang w:val="en-GB"/>
        </w:rPr>
        <w:t xml:space="preserve">. </w:t>
      </w:r>
      <w:r w:rsidR="004E5E22" w:rsidRPr="00F54106">
        <w:rPr>
          <w:rFonts w:cstheme="minorHAnsi"/>
          <w:lang w:val="en-GB"/>
        </w:rPr>
        <w:t>Thus, the burden of proof has shifted from claimants to defendants and, i</w:t>
      </w:r>
      <w:r w:rsidR="003D31C9" w:rsidRPr="00F54106">
        <w:rPr>
          <w:rFonts w:cstheme="minorHAnsi"/>
          <w:lang w:val="en-GB"/>
        </w:rPr>
        <w:t xml:space="preserve">n conformity with section 292 of the </w:t>
      </w:r>
      <w:r w:rsidR="000727D9" w:rsidRPr="00F54106">
        <w:rPr>
          <w:rFonts w:cstheme="minorHAnsi"/>
          <w:lang w:val="en-GB"/>
        </w:rPr>
        <w:t>ZPO</w:t>
      </w:r>
      <w:r w:rsidR="003D31C9" w:rsidRPr="00F54106">
        <w:rPr>
          <w:rFonts w:cstheme="minorHAnsi"/>
          <w:lang w:val="en-GB"/>
        </w:rPr>
        <w:t xml:space="preserve">, </w:t>
      </w:r>
      <w:r w:rsidR="00293090" w:rsidRPr="00F54106">
        <w:rPr>
          <w:rFonts w:cstheme="minorHAnsi"/>
          <w:lang w:val="en-GB"/>
        </w:rPr>
        <w:t xml:space="preserve">the opposite of the presumption </w:t>
      </w:r>
      <w:r w:rsidR="004E5E22" w:rsidRPr="00F54106">
        <w:rPr>
          <w:rFonts w:cstheme="minorHAnsi"/>
          <w:lang w:val="en-GB"/>
        </w:rPr>
        <w:t>now needs to</w:t>
      </w:r>
      <w:r w:rsidR="00293090" w:rsidRPr="00F54106">
        <w:rPr>
          <w:rFonts w:cstheme="minorHAnsi"/>
          <w:lang w:val="en-GB"/>
        </w:rPr>
        <w:t xml:space="preserve"> be proven</w:t>
      </w:r>
      <w:r w:rsidR="000A3356" w:rsidRPr="00F54106">
        <w:rPr>
          <w:rFonts w:cstheme="minorHAnsi"/>
          <w:lang w:val="en-GB"/>
        </w:rPr>
        <w:t>.</w:t>
      </w:r>
      <w:r w:rsidR="004E5E22" w:rsidRPr="00F54106">
        <w:rPr>
          <w:rFonts w:cstheme="minorHAnsi"/>
          <w:lang w:val="en-GB"/>
        </w:rPr>
        <w:t xml:space="preserve"> </w:t>
      </w:r>
      <w:r w:rsidR="00C95623" w:rsidRPr="00F54106">
        <w:rPr>
          <w:rFonts w:cstheme="minorHAnsi"/>
          <w:lang w:val="en-GB"/>
        </w:rPr>
        <w:t>Hence,</w:t>
      </w:r>
      <w:r w:rsidR="00293090" w:rsidRPr="00F54106">
        <w:rPr>
          <w:rFonts w:cstheme="minorHAnsi"/>
          <w:lang w:val="en-GB"/>
        </w:rPr>
        <w:t xml:space="preserve"> </w:t>
      </w:r>
      <w:r w:rsidR="00C95623" w:rsidRPr="00F54106">
        <w:rPr>
          <w:rFonts w:cstheme="minorHAnsi"/>
          <w:lang w:val="en-GB"/>
        </w:rPr>
        <w:t xml:space="preserve">to the benefit of plaintiffs, </w:t>
      </w:r>
      <w:r w:rsidR="00293090" w:rsidRPr="00F54106">
        <w:rPr>
          <w:rFonts w:cstheme="minorHAnsi"/>
          <w:lang w:val="en-GB"/>
        </w:rPr>
        <w:t>defendants</w:t>
      </w:r>
      <w:r w:rsidR="004E5E22" w:rsidRPr="00F54106">
        <w:rPr>
          <w:rFonts w:cstheme="minorHAnsi"/>
          <w:lang w:val="en-GB"/>
        </w:rPr>
        <w:t xml:space="preserve"> </w:t>
      </w:r>
      <w:r w:rsidR="00293090" w:rsidRPr="00F54106">
        <w:rPr>
          <w:rFonts w:cstheme="minorHAnsi"/>
          <w:lang w:val="en-GB"/>
        </w:rPr>
        <w:t>need</w:t>
      </w:r>
      <w:r w:rsidR="004E5E22" w:rsidRPr="00F54106">
        <w:rPr>
          <w:rFonts w:cstheme="minorHAnsi"/>
          <w:lang w:val="en-GB"/>
        </w:rPr>
        <w:t xml:space="preserve"> </w:t>
      </w:r>
      <w:r w:rsidR="00293090" w:rsidRPr="00F54106">
        <w:rPr>
          <w:rFonts w:cstheme="minorHAnsi"/>
          <w:lang w:val="en-GB"/>
        </w:rPr>
        <w:t xml:space="preserve">to prove that the cartel has not resulted in </w:t>
      </w:r>
      <w:r w:rsidR="003D31C9" w:rsidRPr="00F54106">
        <w:rPr>
          <w:rFonts w:cstheme="minorHAnsi"/>
          <w:lang w:val="en-GB"/>
        </w:rPr>
        <w:t xml:space="preserve">any </w:t>
      </w:r>
      <w:r w:rsidR="00293090" w:rsidRPr="00F54106">
        <w:rPr>
          <w:rFonts w:cstheme="minorHAnsi"/>
          <w:lang w:val="en-GB"/>
        </w:rPr>
        <w:t>harm</w:t>
      </w:r>
      <w:r w:rsidR="00F74513" w:rsidRPr="00F54106">
        <w:rPr>
          <w:rFonts w:cstheme="minorHAnsi"/>
          <w:lang w:val="en-GB"/>
        </w:rPr>
        <w:t xml:space="preserve"> or that claimants have passed-on the damages further downstream.</w:t>
      </w:r>
      <w:r w:rsidR="009D543F" w:rsidRPr="00F54106">
        <w:rPr>
          <w:rFonts w:cstheme="minorHAnsi"/>
          <w:lang w:val="en-GB"/>
        </w:rPr>
        <w:t xml:space="preserve"> Nevertheless</w:t>
      </w:r>
      <w:r w:rsidR="00136092" w:rsidRPr="00F54106">
        <w:rPr>
          <w:rFonts w:cstheme="minorHAnsi"/>
          <w:lang w:val="en-GB"/>
        </w:rPr>
        <w:t>, this does not mean that the plaintiff does not need to prove that his individual transaction has been affected by the cartel.</w:t>
      </w:r>
      <w:r w:rsidR="00D07AE2" w:rsidRPr="00F54106">
        <w:rPr>
          <w:rStyle w:val="FootnoteReference"/>
          <w:rFonts w:cstheme="minorHAnsi"/>
          <w:lang w:val="en-GB"/>
        </w:rPr>
        <w:footnoteReference w:id="90"/>
      </w:r>
      <w:r w:rsidR="00136092" w:rsidRPr="00F54106">
        <w:rPr>
          <w:rFonts w:cstheme="minorHAnsi"/>
          <w:lang w:val="en-GB"/>
        </w:rPr>
        <w:t xml:space="preserve"> </w:t>
      </w:r>
      <w:r w:rsidR="0063070C" w:rsidRPr="00F54106">
        <w:rPr>
          <w:rFonts w:cstheme="minorHAnsi"/>
          <w:lang w:val="en-GB"/>
        </w:rPr>
        <w:t xml:space="preserve">In this regard, Higher Regional Courts </w:t>
      </w:r>
      <w:r w:rsidR="00D07AE2" w:rsidRPr="00F54106">
        <w:rPr>
          <w:rFonts w:cstheme="minorHAnsi"/>
          <w:lang w:val="en-GB"/>
        </w:rPr>
        <w:t xml:space="preserve">had previously </w:t>
      </w:r>
      <w:r w:rsidR="0063070C" w:rsidRPr="00F54106">
        <w:rPr>
          <w:rFonts w:cstheme="minorHAnsi"/>
          <w:lang w:val="en-GB"/>
        </w:rPr>
        <w:t>established a prima facie evidence rule that would satisfy the requirement if the transaction fell within the objective, geographical and temporal scope of the cartel agreement.</w:t>
      </w:r>
      <w:r w:rsidR="0063070C" w:rsidRPr="00F54106">
        <w:rPr>
          <w:rStyle w:val="FootnoteReference"/>
          <w:rFonts w:cstheme="minorHAnsi"/>
          <w:lang w:val="en-GB"/>
        </w:rPr>
        <w:footnoteReference w:id="91"/>
      </w:r>
      <w:r w:rsidR="0063070C" w:rsidRPr="00F54106">
        <w:rPr>
          <w:rFonts w:cstheme="minorHAnsi"/>
          <w:lang w:val="en-GB"/>
        </w:rPr>
        <w:t xml:space="preserve"> </w:t>
      </w:r>
      <w:r w:rsidR="00D07AE2" w:rsidRPr="00F54106">
        <w:rPr>
          <w:rFonts w:cstheme="minorHAnsi"/>
          <w:lang w:val="en-GB"/>
        </w:rPr>
        <w:t>However</w:t>
      </w:r>
      <w:r w:rsidR="00FF73BE" w:rsidRPr="00F54106">
        <w:rPr>
          <w:rFonts w:cstheme="minorHAnsi"/>
          <w:lang w:val="en-GB"/>
        </w:rPr>
        <w:t>,</w:t>
      </w:r>
      <w:r w:rsidR="00DC5506" w:rsidRPr="00F54106">
        <w:rPr>
          <w:rFonts w:cstheme="minorHAnsi"/>
          <w:lang w:val="en-GB"/>
        </w:rPr>
        <w:t xml:space="preserve"> </w:t>
      </w:r>
      <w:r w:rsidR="00D07AE2" w:rsidRPr="00F54106">
        <w:rPr>
          <w:rFonts w:cstheme="minorHAnsi"/>
          <w:lang w:val="en-GB"/>
        </w:rPr>
        <w:t xml:space="preserve">the Federal Court of Justice held </w:t>
      </w:r>
      <w:r w:rsidR="00812BDC" w:rsidRPr="00F54106">
        <w:rPr>
          <w:rFonts w:cstheme="minorHAnsi"/>
          <w:lang w:val="en-GB"/>
        </w:rPr>
        <w:t xml:space="preserve">in a more recent judgement </w:t>
      </w:r>
      <w:r w:rsidR="00D07AE2" w:rsidRPr="00F54106">
        <w:rPr>
          <w:rFonts w:cstheme="minorHAnsi"/>
          <w:lang w:val="en-GB"/>
        </w:rPr>
        <w:t xml:space="preserve">that the </w:t>
      </w:r>
      <w:r w:rsidR="00B352D7" w:rsidRPr="00F54106">
        <w:rPr>
          <w:rFonts w:cstheme="minorHAnsi"/>
          <w:lang w:val="en-GB"/>
        </w:rPr>
        <w:t xml:space="preserve">prima facie evidence </w:t>
      </w:r>
      <w:r w:rsidR="00D07AE2" w:rsidRPr="00F54106">
        <w:rPr>
          <w:rFonts w:cstheme="minorHAnsi"/>
          <w:lang w:val="en-GB"/>
        </w:rPr>
        <w:t xml:space="preserve">rule was developed by lower courts and </w:t>
      </w:r>
      <w:r w:rsidR="00FF73BE" w:rsidRPr="00F54106">
        <w:rPr>
          <w:rFonts w:cstheme="minorHAnsi"/>
          <w:lang w:val="en-GB"/>
        </w:rPr>
        <w:t xml:space="preserve">hence </w:t>
      </w:r>
      <w:r w:rsidR="00DC5506" w:rsidRPr="00F54106">
        <w:rPr>
          <w:rFonts w:cstheme="minorHAnsi"/>
          <w:lang w:val="en-GB"/>
        </w:rPr>
        <w:t>did not accept it</w:t>
      </w:r>
      <w:r w:rsidR="00FF73BE" w:rsidRPr="00F54106">
        <w:rPr>
          <w:rFonts w:cstheme="minorHAnsi"/>
          <w:lang w:val="en-GB"/>
        </w:rPr>
        <w:t>.</w:t>
      </w:r>
      <w:r w:rsidR="00FF73BE" w:rsidRPr="00F54106">
        <w:rPr>
          <w:rStyle w:val="FootnoteReference"/>
          <w:rFonts w:cstheme="minorHAnsi"/>
          <w:lang w:val="en-GB"/>
        </w:rPr>
        <w:footnoteReference w:id="92"/>
      </w:r>
      <w:r w:rsidR="00FF73BE" w:rsidRPr="00F54106">
        <w:rPr>
          <w:rFonts w:cstheme="minorHAnsi"/>
          <w:lang w:val="en-GB"/>
        </w:rPr>
        <w:t xml:space="preserve"> B</w:t>
      </w:r>
      <w:r w:rsidR="00DC5506" w:rsidRPr="00F54106">
        <w:rPr>
          <w:rFonts w:cstheme="minorHAnsi"/>
          <w:lang w:val="en-GB"/>
        </w:rPr>
        <w:t>ut</w:t>
      </w:r>
      <w:r w:rsidR="00FF73BE" w:rsidRPr="00F54106">
        <w:rPr>
          <w:rFonts w:cstheme="minorHAnsi"/>
          <w:lang w:val="en-GB"/>
        </w:rPr>
        <w:t>,</w:t>
      </w:r>
      <w:r w:rsidR="00DC5506" w:rsidRPr="00F54106">
        <w:rPr>
          <w:rFonts w:cstheme="minorHAnsi"/>
          <w:lang w:val="en-GB"/>
        </w:rPr>
        <w:t xml:space="preserve"> </w:t>
      </w:r>
      <w:r w:rsidR="00FF73BE" w:rsidRPr="00F54106">
        <w:rPr>
          <w:rFonts w:cstheme="minorHAnsi"/>
          <w:lang w:val="en-GB"/>
        </w:rPr>
        <w:t xml:space="preserve">the Federal Court of Justice </w:t>
      </w:r>
      <w:r w:rsidR="00DC5506" w:rsidRPr="00F54106">
        <w:rPr>
          <w:rFonts w:cstheme="minorHAnsi"/>
          <w:lang w:val="en-GB"/>
        </w:rPr>
        <w:t>nevertheless held that</w:t>
      </w:r>
      <w:r w:rsidR="00FF73BE" w:rsidRPr="00F54106">
        <w:rPr>
          <w:rFonts w:cstheme="minorHAnsi"/>
          <w:lang w:val="en-GB"/>
        </w:rPr>
        <w:t>,</w:t>
      </w:r>
      <w:r w:rsidR="00DC5506" w:rsidRPr="00F54106">
        <w:rPr>
          <w:rFonts w:cstheme="minorHAnsi"/>
          <w:lang w:val="en-GB"/>
        </w:rPr>
        <w:t xml:space="preserve"> if the transaction falls within the objective, geographical and temporal scope of </w:t>
      </w:r>
      <w:r w:rsidR="00DC5506" w:rsidRPr="00F54106">
        <w:rPr>
          <w:rFonts w:cstheme="minorHAnsi"/>
          <w:lang w:val="en-GB"/>
        </w:rPr>
        <w:lastRenderedPageBreak/>
        <w:t>the agreement, it constitutes strong circumstantial evidence</w:t>
      </w:r>
      <w:r w:rsidR="00FF73BE" w:rsidRPr="00F54106">
        <w:rPr>
          <w:rFonts w:cstheme="minorHAnsi"/>
          <w:lang w:val="en-GB"/>
        </w:rPr>
        <w:t xml:space="preserve"> that the terms of a contract are affected.</w:t>
      </w:r>
      <w:r w:rsidR="00125C48" w:rsidRPr="00F54106">
        <w:rPr>
          <w:rStyle w:val="FootnoteReference"/>
          <w:rFonts w:cstheme="minorHAnsi"/>
          <w:lang w:val="en-GB"/>
        </w:rPr>
        <w:footnoteReference w:id="93"/>
      </w:r>
      <w:r w:rsidR="00AC14B2" w:rsidRPr="00F54106">
        <w:rPr>
          <w:rFonts w:cstheme="minorHAnsi"/>
          <w:lang w:val="en-GB"/>
        </w:rPr>
        <w:t xml:space="preserve"> </w:t>
      </w:r>
      <w:r w:rsidR="00A92677" w:rsidRPr="00F54106">
        <w:rPr>
          <w:rFonts w:cstheme="minorHAnsi"/>
          <w:lang w:val="en-GB"/>
        </w:rPr>
        <w:t xml:space="preserve">In any event, the perception is created </w:t>
      </w:r>
      <w:r w:rsidR="00AC14B2" w:rsidRPr="00F54106">
        <w:rPr>
          <w:rFonts w:cstheme="minorHAnsi"/>
          <w:lang w:val="en-GB"/>
        </w:rPr>
        <w:t xml:space="preserve">that German courts </w:t>
      </w:r>
      <w:r w:rsidR="00A92677" w:rsidRPr="00F54106">
        <w:rPr>
          <w:rFonts w:cstheme="minorHAnsi"/>
          <w:lang w:val="en-GB"/>
        </w:rPr>
        <w:t xml:space="preserve">are likely to put in place reasonable standards that do not demand a lot from the plaintiff, </w:t>
      </w:r>
      <w:r w:rsidR="00485443" w:rsidRPr="00F54106">
        <w:rPr>
          <w:rFonts w:cstheme="minorHAnsi"/>
          <w:lang w:val="en-GB"/>
        </w:rPr>
        <w:t xml:space="preserve">which </w:t>
      </w:r>
      <w:r w:rsidR="00C93BFE" w:rsidRPr="00F54106">
        <w:rPr>
          <w:rFonts w:cstheme="minorHAnsi"/>
          <w:lang w:val="en-GB"/>
        </w:rPr>
        <w:t xml:space="preserve">is likely to </w:t>
      </w:r>
      <w:r w:rsidR="00485443" w:rsidRPr="00F54106">
        <w:rPr>
          <w:rFonts w:cstheme="minorHAnsi"/>
          <w:lang w:val="en-GB"/>
        </w:rPr>
        <w:t>give rise to positive expectations for future claimants.</w:t>
      </w:r>
      <w:r w:rsidR="00485443" w:rsidRPr="00F54106">
        <w:rPr>
          <w:rStyle w:val="FootnoteReference"/>
          <w:rFonts w:cstheme="minorHAnsi"/>
          <w:lang w:val="en-GB"/>
        </w:rPr>
        <w:footnoteReference w:id="94"/>
      </w:r>
    </w:p>
    <w:p w14:paraId="6E525B1D" w14:textId="2F29EDF0" w:rsidR="006E1E98" w:rsidRPr="00F54106" w:rsidRDefault="00812BDC" w:rsidP="000939A3">
      <w:pPr>
        <w:spacing w:line="276" w:lineRule="auto"/>
        <w:ind w:firstLine="720"/>
        <w:rPr>
          <w:rFonts w:cstheme="minorHAnsi"/>
          <w:lang w:val="en-GB"/>
        </w:rPr>
      </w:pPr>
      <w:r w:rsidRPr="00F54106">
        <w:rPr>
          <w:rFonts w:cstheme="minorHAnsi"/>
          <w:lang w:val="en-GB"/>
        </w:rPr>
        <w:t>It is only possible to claim actual loss under the German system, but lost profits and statutory interest are incorporated into the losses as well.</w:t>
      </w:r>
      <w:r w:rsidRPr="00F54106">
        <w:rPr>
          <w:rStyle w:val="FootnoteReference"/>
          <w:rFonts w:cstheme="minorHAnsi"/>
          <w:lang w:val="en-GB"/>
        </w:rPr>
        <w:footnoteReference w:id="95"/>
      </w:r>
      <w:r w:rsidRPr="00F54106">
        <w:rPr>
          <w:rFonts w:cstheme="minorHAnsi"/>
          <w:lang w:val="en-GB"/>
        </w:rPr>
        <w:t xml:space="preserve"> This means that a claim increasingly grows over the years, as defendants are obliged to pay interest from the date on which the damage has commenced, and can double in size after several years.</w:t>
      </w:r>
      <w:r w:rsidRPr="00F54106">
        <w:rPr>
          <w:rStyle w:val="FootnoteReference"/>
          <w:rFonts w:cstheme="minorHAnsi"/>
          <w:lang w:val="en-GB"/>
        </w:rPr>
        <w:footnoteReference w:id="96"/>
      </w:r>
      <w:r w:rsidRPr="00F54106">
        <w:rPr>
          <w:rFonts w:cstheme="minorHAnsi"/>
          <w:lang w:val="en-GB"/>
        </w:rPr>
        <w:t xml:space="preserve"> Under German law, claimants only need to prove on the basis of reliable facts that there is harm done to them and are not required to calculate the exact amount of damage.</w:t>
      </w:r>
      <w:r w:rsidRPr="00F54106">
        <w:rPr>
          <w:rStyle w:val="FootnoteReference"/>
          <w:rFonts w:cstheme="minorHAnsi"/>
          <w:lang w:val="en-GB"/>
        </w:rPr>
        <w:footnoteReference w:id="97"/>
      </w:r>
      <w:r w:rsidRPr="00F54106">
        <w:rPr>
          <w:rFonts w:cstheme="minorHAnsi"/>
          <w:lang w:val="en-GB"/>
        </w:rPr>
        <w:t xml:space="preserve"> In addition, The illegitimate profits of cartelists that were made during the infringement period may also be incorporated in the estimation of damages by German courts,</w:t>
      </w:r>
      <w:r w:rsidRPr="00F54106">
        <w:rPr>
          <w:rStyle w:val="FootnoteReference"/>
          <w:rFonts w:cstheme="minorHAnsi"/>
          <w:lang w:val="en-GB"/>
        </w:rPr>
        <w:footnoteReference w:id="98"/>
      </w:r>
      <w:r w:rsidRPr="00F54106">
        <w:rPr>
          <w:rFonts w:cstheme="minorHAnsi"/>
          <w:lang w:val="en-GB"/>
        </w:rPr>
        <w:t xml:space="preserve"> while the burden of proof for claiming lost profits by plaintiffs are further eased by section 252 of the </w:t>
      </w:r>
      <w:bookmarkStart w:id="52" w:name="_Hlk107453034"/>
      <w:r w:rsidR="00271038" w:rsidRPr="00F54106">
        <w:rPr>
          <w:rFonts w:cstheme="minorHAnsi"/>
          <w:lang w:val="en-GB"/>
        </w:rPr>
        <w:t>German Civil Code (</w:t>
      </w:r>
      <w:proofErr w:type="spellStart"/>
      <w:r w:rsidR="00915107" w:rsidRPr="00F54106">
        <w:rPr>
          <w:rFonts w:cstheme="minorHAnsi"/>
          <w:lang w:val="en-GB"/>
        </w:rPr>
        <w:t>Bürgerliches</w:t>
      </w:r>
      <w:proofErr w:type="spellEnd"/>
      <w:r w:rsidR="00915107" w:rsidRPr="00F54106">
        <w:rPr>
          <w:rFonts w:cstheme="minorHAnsi"/>
          <w:lang w:val="en-GB"/>
        </w:rPr>
        <w:t xml:space="preserve"> </w:t>
      </w:r>
      <w:proofErr w:type="spellStart"/>
      <w:r w:rsidR="00915107" w:rsidRPr="00F54106">
        <w:rPr>
          <w:rFonts w:cstheme="minorHAnsi"/>
          <w:lang w:val="en-GB"/>
        </w:rPr>
        <w:t>Gesetzbuch</w:t>
      </w:r>
      <w:proofErr w:type="spellEnd"/>
      <w:r w:rsidR="00915107" w:rsidRPr="00F54106">
        <w:rPr>
          <w:rFonts w:cstheme="minorHAnsi"/>
          <w:lang w:val="en-GB"/>
        </w:rPr>
        <w:t xml:space="preserve"> – </w:t>
      </w:r>
      <w:r w:rsidRPr="00F54106">
        <w:rPr>
          <w:rFonts w:cstheme="minorHAnsi"/>
          <w:lang w:val="en-GB"/>
        </w:rPr>
        <w:t>BGB</w:t>
      </w:r>
      <w:r w:rsidR="00271038" w:rsidRPr="00F54106">
        <w:rPr>
          <w:rFonts w:cstheme="minorHAnsi"/>
          <w:lang w:val="en-GB"/>
        </w:rPr>
        <w:t>)</w:t>
      </w:r>
      <w:r w:rsidRPr="00F54106">
        <w:rPr>
          <w:rFonts w:cstheme="minorHAnsi"/>
          <w:lang w:val="en-GB"/>
        </w:rPr>
        <w:t xml:space="preserve"> </w:t>
      </w:r>
      <w:bookmarkEnd w:id="52"/>
      <w:r w:rsidRPr="00F54106">
        <w:rPr>
          <w:rFonts w:cstheme="minorHAnsi"/>
          <w:lang w:val="en-GB"/>
        </w:rPr>
        <w:t>which stipulates that lost profit are profits that could be expected to be made under normal circumstances.</w:t>
      </w:r>
      <w:r w:rsidRPr="00F54106">
        <w:rPr>
          <w:rStyle w:val="FootnoteReference"/>
          <w:rFonts w:cstheme="minorHAnsi"/>
          <w:lang w:val="en-GB"/>
        </w:rPr>
        <w:footnoteReference w:id="99"/>
      </w:r>
      <w:r w:rsidRPr="00F54106">
        <w:rPr>
          <w:rFonts w:cstheme="minorHAnsi"/>
          <w:lang w:val="en-GB"/>
        </w:rPr>
        <w:t xml:space="preserve"> Furthermore,</w:t>
      </w:r>
      <w:r w:rsidR="00863332" w:rsidRPr="00F54106">
        <w:rPr>
          <w:rFonts w:cstheme="minorHAnsi"/>
          <w:lang w:val="en-GB"/>
        </w:rPr>
        <w:t xml:space="preserve"> The Federal Court of Justice and s</w:t>
      </w:r>
      <w:r w:rsidR="00733C57" w:rsidRPr="00F54106">
        <w:rPr>
          <w:rFonts w:cstheme="minorHAnsi"/>
          <w:lang w:val="en-GB"/>
        </w:rPr>
        <w:t>everal</w:t>
      </w:r>
      <w:r w:rsidR="00863332" w:rsidRPr="00F54106">
        <w:rPr>
          <w:rFonts w:cstheme="minorHAnsi"/>
          <w:lang w:val="en-GB"/>
        </w:rPr>
        <w:t xml:space="preserve"> </w:t>
      </w:r>
      <w:r w:rsidR="00733C57" w:rsidRPr="00F54106">
        <w:rPr>
          <w:rFonts w:cstheme="minorHAnsi"/>
          <w:lang w:val="en-GB"/>
        </w:rPr>
        <w:t xml:space="preserve">German </w:t>
      </w:r>
      <w:r w:rsidR="00863332" w:rsidRPr="00F54106">
        <w:rPr>
          <w:rFonts w:cstheme="minorHAnsi"/>
          <w:lang w:val="en-GB"/>
        </w:rPr>
        <w:t>Courts of Appeal have acknowledged a prima facie case of cartel-after effects for at least one year after the cartel has ended</w:t>
      </w:r>
      <w:r w:rsidR="00396205" w:rsidRPr="00F54106">
        <w:rPr>
          <w:rFonts w:cstheme="minorHAnsi"/>
          <w:lang w:val="en-GB"/>
        </w:rPr>
        <w:t>,</w:t>
      </w:r>
      <w:r w:rsidR="00396205" w:rsidRPr="00F54106">
        <w:rPr>
          <w:rStyle w:val="FootnoteReference"/>
          <w:rFonts w:cstheme="minorHAnsi"/>
          <w:lang w:val="en-GB"/>
        </w:rPr>
        <w:footnoteReference w:id="100"/>
      </w:r>
      <w:r w:rsidR="00863332" w:rsidRPr="00F54106">
        <w:rPr>
          <w:rFonts w:cstheme="minorHAnsi"/>
          <w:lang w:val="en-GB"/>
        </w:rPr>
        <w:t xml:space="preserve"> </w:t>
      </w:r>
      <w:r w:rsidR="00396205" w:rsidRPr="00F54106">
        <w:rPr>
          <w:rFonts w:cstheme="minorHAnsi"/>
          <w:lang w:val="en-GB"/>
        </w:rPr>
        <w:t>while</w:t>
      </w:r>
      <w:r w:rsidRPr="00F54106">
        <w:rPr>
          <w:rFonts w:cstheme="minorHAnsi"/>
          <w:lang w:val="en-GB"/>
        </w:rPr>
        <w:t xml:space="preserve"> claimants </w:t>
      </w:r>
      <w:r w:rsidR="00863332" w:rsidRPr="00F54106">
        <w:rPr>
          <w:rFonts w:cstheme="minorHAnsi"/>
          <w:lang w:val="en-GB"/>
        </w:rPr>
        <w:t>are able to</w:t>
      </w:r>
      <w:r w:rsidRPr="00F54106">
        <w:rPr>
          <w:rFonts w:cstheme="minorHAnsi"/>
          <w:lang w:val="en-GB"/>
        </w:rPr>
        <w:t xml:space="preserve"> claim damages for a</w:t>
      </w:r>
      <w:r w:rsidR="00863332" w:rsidRPr="00F54106">
        <w:rPr>
          <w:rFonts w:cstheme="minorHAnsi"/>
          <w:lang w:val="en-GB"/>
        </w:rPr>
        <w:t>n even</w:t>
      </w:r>
      <w:r w:rsidRPr="00F54106">
        <w:rPr>
          <w:rFonts w:cstheme="minorHAnsi"/>
          <w:lang w:val="en-GB"/>
        </w:rPr>
        <w:t xml:space="preserve"> longer period </w:t>
      </w:r>
      <w:r w:rsidR="00863332" w:rsidRPr="00F54106">
        <w:rPr>
          <w:rFonts w:cstheme="minorHAnsi"/>
          <w:lang w:val="en-GB"/>
        </w:rPr>
        <w:t xml:space="preserve">if they can </w:t>
      </w:r>
      <w:r w:rsidRPr="00F54106">
        <w:rPr>
          <w:rFonts w:cstheme="minorHAnsi"/>
          <w:lang w:val="en-GB"/>
        </w:rPr>
        <w:t xml:space="preserve">show that </w:t>
      </w:r>
      <w:r w:rsidR="00863332" w:rsidRPr="00F54106">
        <w:rPr>
          <w:rFonts w:cstheme="minorHAnsi"/>
          <w:lang w:val="en-GB"/>
        </w:rPr>
        <w:t xml:space="preserve">the cartel effects remain in existence for more than a single year. As a result, it is argued that this prima facie case significantly </w:t>
      </w:r>
      <w:r w:rsidR="0020469A" w:rsidRPr="00F54106">
        <w:rPr>
          <w:rFonts w:cstheme="minorHAnsi"/>
          <w:lang w:val="en-GB"/>
        </w:rPr>
        <w:t>aids</w:t>
      </w:r>
      <w:r w:rsidR="00863332" w:rsidRPr="00F54106">
        <w:rPr>
          <w:rFonts w:cstheme="minorHAnsi"/>
          <w:lang w:val="en-GB"/>
        </w:rPr>
        <w:t xml:space="preserve"> claimants.</w:t>
      </w:r>
      <w:r w:rsidR="0020469A" w:rsidRPr="00F54106">
        <w:rPr>
          <w:rStyle w:val="FootnoteReference"/>
          <w:rFonts w:cstheme="minorHAnsi"/>
          <w:lang w:val="en-GB"/>
        </w:rPr>
        <w:footnoteReference w:id="101"/>
      </w:r>
      <w:r w:rsidR="0020469A" w:rsidRPr="00F54106">
        <w:rPr>
          <w:rFonts w:cstheme="minorHAnsi"/>
          <w:lang w:val="en-GB"/>
        </w:rPr>
        <w:t xml:space="preserve"> Moreover, some German courts have</w:t>
      </w:r>
      <w:r w:rsidR="00FE29B9" w:rsidRPr="00F54106">
        <w:rPr>
          <w:rFonts w:cstheme="minorHAnsi"/>
          <w:lang w:val="en-GB"/>
        </w:rPr>
        <w:t xml:space="preserve"> also proven to be claimant friendly with respect to </w:t>
      </w:r>
      <w:r w:rsidR="00CB2773" w:rsidRPr="00F54106">
        <w:rPr>
          <w:rFonts w:cstheme="minorHAnsi"/>
          <w:lang w:val="en-GB"/>
        </w:rPr>
        <w:t>umbrella effects and have</w:t>
      </w:r>
      <w:r w:rsidR="0020469A" w:rsidRPr="00F54106">
        <w:rPr>
          <w:rFonts w:cstheme="minorHAnsi"/>
          <w:lang w:val="en-GB"/>
        </w:rPr>
        <w:t xml:space="preserve"> acknowledged that umbrella effect</w:t>
      </w:r>
      <w:r w:rsidR="00F5427E">
        <w:rPr>
          <w:rFonts w:cstheme="minorHAnsi"/>
          <w:lang w:val="en-GB"/>
        </w:rPr>
        <w:t>s</w:t>
      </w:r>
      <w:r w:rsidR="0020469A" w:rsidRPr="00F54106">
        <w:rPr>
          <w:rFonts w:cstheme="minorHAnsi"/>
          <w:lang w:val="en-GB"/>
        </w:rPr>
        <w:t xml:space="preserve"> </w:t>
      </w:r>
      <w:r w:rsidR="00CB2773" w:rsidRPr="00F54106">
        <w:rPr>
          <w:rFonts w:cstheme="minorHAnsi"/>
          <w:lang w:val="en-GB"/>
        </w:rPr>
        <w:t>lead to higher prices of cartel outsiders,</w:t>
      </w:r>
      <w:r w:rsidR="004D4BF9" w:rsidRPr="00F54106">
        <w:rPr>
          <w:rStyle w:val="FootnoteReference"/>
          <w:rFonts w:cstheme="minorHAnsi"/>
          <w:lang w:val="en-GB"/>
        </w:rPr>
        <w:footnoteReference w:id="102"/>
      </w:r>
      <w:r w:rsidR="00CB2773" w:rsidRPr="00F54106">
        <w:rPr>
          <w:rFonts w:cstheme="minorHAnsi"/>
          <w:lang w:val="en-GB"/>
        </w:rPr>
        <w:t xml:space="preserve"> and have sometimes already awarded damages for purchases from them.</w:t>
      </w:r>
      <w:r w:rsidR="00CB2773" w:rsidRPr="00F54106">
        <w:rPr>
          <w:rStyle w:val="FootnoteReference"/>
          <w:rFonts w:cstheme="minorHAnsi"/>
          <w:lang w:val="en-GB"/>
        </w:rPr>
        <w:footnoteReference w:id="103"/>
      </w:r>
    </w:p>
    <w:p w14:paraId="09C70607" w14:textId="77777777" w:rsidR="00812BDC" w:rsidRPr="00F54106" w:rsidRDefault="00812BDC" w:rsidP="00FC31D7">
      <w:pPr>
        <w:spacing w:line="276" w:lineRule="auto"/>
        <w:rPr>
          <w:rFonts w:cstheme="minorHAnsi"/>
          <w:lang w:val="en-GB"/>
        </w:rPr>
      </w:pPr>
    </w:p>
    <w:p w14:paraId="738815F7" w14:textId="2EE6263F" w:rsidR="0033545F" w:rsidRPr="00F54106" w:rsidRDefault="00A57614" w:rsidP="00AA3172">
      <w:pPr>
        <w:pStyle w:val="Heading4"/>
        <w:rPr>
          <w:lang w:val="en-GB"/>
        </w:rPr>
      </w:pPr>
      <w:r w:rsidRPr="00F54106">
        <w:rPr>
          <w:lang w:val="en-GB"/>
        </w:rPr>
        <w:t>2</w:t>
      </w:r>
      <w:r w:rsidR="00DF5A51" w:rsidRPr="00F54106">
        <w:rPr>
          <w:lang w:val="en-GB"/>
        </w:rPr>
        <w:t>.</w:t>
      </w:r>
      <w:r w:rsidR="001F001E" w:rsidRPr="00F54106">
        <w:rPr>
          <w:lang w:val="en-GB"/>
        </w:rPr>
        <w:t>1.</w:t>
      </w:r>
      <w:r w:rsidR="00FF058F" w:rsidRPr="00F54106">
        <w:rPr>
          <w:lang w:val="en-GB"/>
        </w:rPr>
        <w:t>5</w:t>
      </w:r>
      <w:r w:rsidR="00DF5A51" w:rsidRPr="00F54106">
        <w:rPr>
          <w:lang w:val="en-GB"/>
        </w:rPr>
        <w:t xml:space="preserve">.2 </w:t>
      </w:r>
      <w:r w:rsidR="00A76413" w:rsidRPr="00F54106">
        <w:rPr>
          <w:lang w:val="en-GB"/>
        </w:rPr>
        <w:t>The p</w:t>
      </w:r>
      <w:r w:rsidR="00DF5A51" w:rsidRPr="00F54106">
        <w:rPr>
          <w:lang w:val="en-GB"/>
        </w:rPr>
        <w:t>assing-on of overcharges</w:t>
      </w:r>
    </w:p>
    <w:p w14:paraId="3199D791" w14:textId="2C4DE13B" w:rsidR="00CF7518" w:rsidRPr="00F54106" w:rsidRDefault="0006277F" w:rsidP="00FC31D7">
      <w:pPr>
        <w:spacing w:line="276" w:lineRule="auto"/>
        <w:rPr>
          <w:rFonts w:cstheme="minorHAnsi"/>
          <w:lang w:val="en-GB"/>
        </w:rPr>
      </w:pPr>
      <w:r w:rsidRPr="00F54106">
        <w:rPr>
          <w:rFonts w:cstheme="minorHAnsi"/>
          <w:lang w:val="en-GB"/>
        </w:rPr>
        <w:t>Before the implementation of the Damages Directive, i</w:t>
      </w:r>
      <w:r w:rsidR="0033545F" w:rsidRPr="00F54106">
        <w:rPr>
          <w:rFonts w:cstheme="minorHAnsi"/>
          <w:lang w:val="en-GB"/>
        </w:rPr>
        <w:t xml:space="preserve">ndirect purchasers initially had to prove that there </w:t>
      </w:r>
      <w:r w:rsidRPr="00F54106">
        <w:rPr>
          <w:rFonts w:cstheme="minorHAnsi"/>
          <w:lang w:val="en-GB"/>
        </w:rPr>
        <w:t>has</w:t>
      </w:r>
      <w:r w:rsidR="006D2664" w:rsidRPr="00F54106">
        <w:rPr>
          <w:rFonts w:cstheme="minorHAnsi"/>
          <w:lang w:val="en-GB"/>
        </w:rPr>
        <w:t xml:space="preserve"> been a</w:t>
      </w:r>
      <w:r w:rsidRPr="00F54106">
        <w:rPr>
          <w:rFonts w:cstheme="minorHAnsi"/>
          <w:lang w:val="en-GB"/>
        </w:rPr>
        <w:t xml:space="preserve"> pass-on of cartel overcharges to them.</w:t>
      </w:r>
      <w:r w:rsidRPr="00F54106">
        <w:rPr>
          <w:rStyle w:val="FootnoteReference"/>
          <w:rFonts w:cstheme="minorHAnsi"/>
          <w:lang w:val="en-GB"/>
        </w:rPr>
        <w:footnoteReference w:id="104"/>
      </w:r>
      <w:r w:rsidRPr="00F54106">
        <w:rPr>
          <w:rFonts w:cstheme="minorHAnsi"/>
          <w:lang w:val="en-GB"/>
        </w:rPr>
        <w:t xml:space="preserve"> However, a rebuttable presumption was introduced with the ninth amendment to the GWB where section 33c(2) stipulates that higher prices for direct purchasers are presumed to have resulted in an overcharge to indirect purchasers. </w:t>
      </w:r>
      <w:r w:rsidR="0033545F" w:rsidRPr="00F54106">
        <w:rPr>
          <w:rFonts w:cstheme="minorHAnsi"/>
          <w:lang w:val="en-GB"/>
        </w:rPr>
        <w:t>This presumption is said to be detrimental to cartel participants but in favo</w:t>
      </w:r>
      <w:r w:rsidR="00037E4B" w:rsidRPr="00F54106">
        <w:rPr>
          <w:rFonts w:cstheme="minorHAnsi"/>
          <w:lang w:val="en-GB"/>
        </w:rPr>
        <w:t>u</w:t>
      </w:r>
      <w:r w:rsidR="0033545F" w:rsidRPr="00F54106">
        <w:rPr>
          <w:rFonts w:cstheme="minorHAnsi"/>
          <w:lang w:val="en-GB"/>
        </w:rPr>
        <w:t>r of indirect purchasers.</w:t>
      </w:r>
      <w:r w:rsidR="0033545F" w:rsidRPr="00F54106">
        <w:rPr>
          <w:rStyle w:val="FootnoteReference"/>
          <w:rFonts w:cstheme="minorHAnsi"/>
          <w:lang w:val="en-GB"/>
        </w:rPr>
        <w:footnoteReference w:id="105"/>
      </w:r>
      <w:r w:rsidR="0033545F" w:rsidRPr="00F54106">
        <w:rPr>
          <w:rFonts w:cstheme="minorHAnsi"/>
          <w:lang w:val="en-GB"/>
        </w:rPr>
        <w:t xml:space="preserve"> Interestingly</w:t>
      </w:r>
      <w:r w:rsidRPr="00F54106">
        <w:rPr>
          <w:rFonts w:cstheme="minorHAnsi"/>
          <w:lang w:val="en-GB"/>
        </w:rPr>
        <w:t xml:space="preserve"> though</w:t>
      </w:r>
      <w:r w:rsidR="0033545F" w:rsidRPr="00F54106">
        <w:rPr>
          <w:rFonts w:cstheme="minorHAnsi"/>
          <w:lang w:val="en-GB"/>
        </w:rPr>
        <w:t xml:space="preserve">, </w:t>
      </w:r>
      <w:r w:rsidR="0038386B" w:rsidRPr="00F54106">
        <w:rPr>
          <w:rFonts w:cstheme="minorHAnsi"/>
          <w:lang w:val="en-GB"/>
        </w:rPr>
        <w:t>even though a passing-on is a major defen</w:t>
      </w:r>
      <w:r w:rsidR="00ED1E88" w:rsidRPr="00F54106">
        <w:rPr>
          <w:rFonts w:cstheme="minorHAnsi"/>
          <w:lang w:val="en-GB"/>
        </w:rPr>
        <w:t>ce</w:t>
      </w:r>
      <w:r w:rsidR="0038386B" w:rsidRPr="00F54106">
        <w:rPr>
          <w:rFonts w:cstheme="minorHAnsi"/>
          <w:lang w:val="en-GB"/>
        </w:rPr>
        <w:t xml:space="preserve"> for defendants</w:t>
      </w:r>
      <w:r w:rsidR="002F1CEA" w:rsidRPr="00F54106">
        <w:rPr>
          <w:rFonts w:cstheme="minorHAnsi"/>
          <w:lang w:val="en-GB"/>
        </w:rPr>
        <w:t>,</w:t>
      </w:r>
      <w:r w:rsidR="0038386B" w:rsidRPr="00F54106">
        <w:rPr>
          <w:rFonts w:cstheme="minorHAnsi"/>
          <w:lang w:val="en-GB"/>
        </w:rPr>
        <w:t xml:space="preserve"> </w:t>
      </w:r>
      <w:r w:rsidR="000939A3" w:rsidRPr="00F54106">
        <w:rPr>
          <w:rFonts w:cstheme="minorHAnsi"/>
          <w:lang w:val="en-GB"/>
        </w:rPr>
        <w:t>the requirements for proving that there is a passing-on also rest with the cartel participants and are said to be near impossible to meet,</w:t>
      </w:r>
      <w:r w:rsidR="000939A3" w:rsidRPr="00F54106">
        <w:rPr>
          <w:rStyle w:val="FootnoteReference"/>
          <w:rFonts w:cstheme="minorHAnsi"/>
          <w:lang w:val="en-GB"/>
        </w:rPr>
        <w:footnoteReference w:id="106"/>
      </w:r>
      <w:r w:rsidR="000939A3" w:rsidRPr="00F54106">
        <w:rPr>
          <w:rFonts w:cstheme="minorHAnsi"/>
          <w:lang w:val="en-GB"/>
        </w:rPr>
        <w:t xml:space="preserve"> while </w:t>
      </w:r>
      <w:r w:rsidR="0033545F" w:rsidRPr="00F54106">
        <w:rPr>
          <w:rFonts w:cstheme="minorHAnsi"/>
          <w:lang w:val="en-GB"/>
        </w:rPr>
        <w:t>almost no German courts have recognized the passing-on defen</w:t>
      </w:r>
      <w:r w:rsidR="00ED1E88" w:rsidRPr="00F54106">
        <w:rPr>
          <w:rFonts w:cstheme="minorHAnsi"/>
          <w:lang w:val="en-GB"/>
        </w:rPr>
        <w:t>c</w:t>
      </w:r>
      <w:r w:rsidR="0033545F" w:rsidRPr="00F54106">
        <w:rPr>
          <w:rFonts w:cstheme="minorHAnsi"/>
          <w:lang w:val="en-GB"/>
        </w:rPr>
        <w:t>e yet</w:t>
      </w:r>
      <w:r w:rsidR="000939A3" w:rsidRPr="00F54106">
        <w:rPr>
          <w:rFonts w:cstheme="minorHAnsi"/>
          <w:lang w:val="en-GB"/>
        </w:rPr>
        <w:t>.</w:t>
      </w:r>
      <w:r w:rsidR="0033545F" w:rsidRPr="00F54106">
        <w:rPr>
          <w:rStyle w:val="FootnoteReference"/>
          <w:rFonts w:cstheme="minorHAnsi"/>
          <w:lang w:val="en-GB"/>
        </w:rPr>
        <w:footnoteReference w:id="107"/>
      </w:r>
      <w:r w:rsidR="0033545F" w:rsidRPr="00F54106">
        <w:rPr>
          <w:rFonts w:cstheme="minorHAnsi"/>
          <w:lang w:val="en-GB"/>
        </w:rPr>
        <w:t xml:space="preserve"> </w:t>
      </w:r>
      <w:r w:rsidR="0038386B" w:rsidRPr="00F54106">
        <w:rPr>
          <w:rFonts w:cstheme="minorHAnsi"/>
          <w:lang w:val="en-GB"/>
        </w:rPr>
        <w:t>Instead</w:t>
      </w:r>
      <w:r w:rsidR="00D01364" w:rsidRPr="00F54106">
        <w:rPr>
          <w:rFonts w:cstheme="minorHAnsi"/>
          <w:lang w:val="en-GB"/>
        </w:rPr>
        <w:t>,</w:t>
      </w:r>
      <w:r w:rsidR="0038386B" w:rsidRPr="00F54106">
        <w:rPr>
          <w:rFonts w:cstheme="minorHAnsi"/>
          <w:lang w:val="en-GB"/>
        </w:rPr>
        <w:t xml:space="preserve"> </w:t>
      </w:r>
      <w:r w:rsidR="00D01364" w:rsidRPr="00F54106">
        <w:rPr>
          <w:rFonts w:cstheme="minorHAnsi"/>
          <w:lang w:val="en-GB"/>
        </w:rPr>
        <w:t>German courts have argued</w:t>
      </w:r>
      <w:r w:rsidR="0038386B" w:rsidRPr="00F54106">
        <w:rPr>
          <w:rFonts w:cstheme="minorHAnsi"/>
          <w:lang w:val="en-GB"/>
        </w:rPr>
        <w:t xml:space="preserve"> that there is either no downstream market, insignificant damage in a downstream market</w:t>
      </w:r>
      <w:r w:rsidR="00D01364" w:rsidRPr="00F54106">
        <w:rPr>
          <w:rFonts w:cstheme="minorHAnsi"/>
          <w:lang w:val="en-GB"/>
        </w:rPr>
        <w:t xml:space="preserve"> </w:t>
      </w:r>
      <w:r w:rsidR="00980B44" w:rsidRPr="00F54106">
        <w:rPr>
          <w:rFonts w:cstheme="minorHAnsi"/>
          <w:lang w:val="en-GB"/>
        </w:rPr>
        <w:t>(</w:t>
      </w:r>
      <w:r w:rsidR="00974EB9" w:rsidRPr="00F54106">
        <w:rPr>
          <w:rFonts w:cstheme="minorHAnsi"/>
          <w:lang w:val="en-GB"/>
        </w:rPr>
        <w:t>in which</w:t>
      </w:r>
      <w:r w:rsidR="003F5C1D" w:rsidRPr="00F54106">
        <w:rPr>
          <w:rFonts w:cstheme="minorHAnsi"/>
          <w:lang w:val="en-GB"/>
        </w:rPr>
        <w:t xml:space="preserve"> </w:t>
      </w:r>
      <w:r w:rsidR="00974EB9" w:rsidRPr="00F54106">
        <w:rPr>
          <w:rFonts w:cstheme="minorHAnsi"/>
          <w:lang w:val="en-GB"/>
        </w:rPr>
        <w:t>recognizing a passing-on would</w:t>
      </w:r>
      <w:r w:rsidR="003F5C1D" w:rsidRPr="00F54106">
        <w:rPr>
          <w:rFonts w:cstheme="minorHAnsi"/>
          <w:lang w:val="en-GB"/>
        </w:rPr>
        <w:t xml:space="preserve"> unfairly benefit the infringer</w:t>
      </w:r>
      <w:r w:rsidR="00980B44" w:rsidRPr="00F54106">
        <w:rPr>
          <w:rFonts w:cstheme="minorHAnsi"/>
          <w:lang w:val="en-GB"/>
        </w:rPr>
        <w:t>)</w:t>
      </w:r>
      <w:r w:rsidR="0038386B" w:rsidRPr="00F54106">
        <w:rPr>
          <w:rFonts w:cstheme="minorHAnsi"/>
          <w:lang w:val="en-GB"/>
        </w:rPr>
        <w:t xml:space="preserve"> or a passing-on by freight forwarders</w:t>
      </w:r>
      <w:r w:rsidR="00F678BE" w:rsidRPr="00F54106">
        <w:rPr>
          <w:rFonts w:cstheme="minorHAnsi"/>
          <w:lang w:val="en-GB"/>
        </w:rPr>
        <w:t xml:space="preserve"> as seen</w:t>
      </w:r>
      <w:r w:rsidR="00974EB9" w:rsidRPr="00F54106">
        <w:rPr>
          <w:rFonts w:cstheme="minorHAnsi"/>
          <w:lang w:val="en-GB"/>
        </w:rPr>
        <w:t xml:space="preserve"> in</w:t>
      </w:r>
      <w:r w:rsidR="00D01364" w:rsidRPr="00F54106">
        <w:rPr>
          <w:rFonts w:cstheme="minorHAnsi"/>
          <w:lang w:val="en-GB"/>
        </w:rPr>
        <w:t xml:space="preserve"> the</w:t>
      </w:r>
      <w:r w:rsidR="005672E7" w:rsidRPr="00F54106">
        <w:rPr>
          <w:rFonts w:cstheme="minorHAnsi"/>
          <w:lang w:val="en-GB"/>
        </w:rPr>
        <w:t xml:space="preserve"> trucks cartel </w:t>
      </w:r>
      <w:r w:rsidR="00F678BE" w:rsidRPr="00F54106">
        <w:rPr>
          <w:rFonts w:cstheme="minorHAnsi"/>
          <w:lang w:val="en-GB"/>
        </w:rPr>
        <w:t>where</w:t>
      </w:r>
      <w:r w:rsidR="00974EB9" w:rsidRPr="00F54106">
        <w:rPr>
          <w:rFonts w:cstheme="minorHAnsi"/>
          <w:lang w:val="en-GB"/>
        </w:rPr>
        <w:t xml:space="preserve"> </w:t>
      </w:r>
      <w:r w:rsidR="00D01364" w:rsidRPr="00F54106">
        <w:rPr>
          <w:rFonts w:cstheme="minorHAnsi"/>
          <w:lang w:val="en-GB"/>
        </w:rPr>
        <w:t>it</w:t>
      </w:r>
      <w:r w:rsidR="005672E7" w:rsidRPr="00F54106">
        <w:rPr>
          <w:rFonts w:cstheme="minorHAnsi"/>
          <w:lang w:val="en-GB"/>
        </w:rPr>
        <w:t xml:space="preserve"> was held that the trucks essentially</w:t>
      </w:r>
      <w:r w:rsidR="003F5C1D" w:rsidRPr="00F54106">
        <w:rPr>
          <w:rFonts w:cstheme="minorHAnsi"/>
          <w:lang w:val="en-GB"/>
        </w:rPr>
        <w:t xml:space="preserve"> qualify</w:t>
      </w:r>
      <w:r w:rsidR="005672E7" w:rsidRPr="00F54106">
        <w:rPr>
          <w:rFonts w:cstheme="minorHAnsi"/>
          <w:lang w:val="en-GB"/>
        </w:rPr>
        <w:t xml:space="preserve"> as a service and are not sold or used as input material</w:t>
      </w:r>
      <w:r w:rsidR="0038386B" w:rsidRPr="00F54106">
        <w:rPr>
          <w:rFonts w:cstheme="minorHAnsi"/>
          <w:lang w:val="en-GB"/>
        </w:rPr>
        <w:t>.</w:t>
      </w:r>
      <w:r w:rsidR="0038386B" w:rsidRPr="00F54106">
        <w:rPr>
          <w:rStyle w:val="FootnoteReference"/>
          <w:rFonts w:cstheme="minorHAnsi"/>
          <w:lang w:val="en-GB"/>
        </w:rPr>
        <w:footnoteReference w:id="108"/>
      </w:r>
      <w:r w:rsidR="0038386B" w:rsidRPr="00F54106">
        <w:rPr>
          <w:rFonts w:cstheme="minorHAnsi"/>
          <w:lang w:val="en-GB"/>
        </w:rPr>
        <w:t xml:space="preserve"> </w:t>
      </w:r>
      <w:r w:rsidR="006E6B2D" w:rsidRPr="00F54106">
        <w:rPr>
          <w:rFonts w:cstheme="minorHAnsi"/>
          <w:lang w:val="en-GB"/>
        </w:rPr>
        <w:t>Moreover,</w:t>
      </w:r>
      <w:r w:rsidR="006023BF" w:rsidRPr="00F54106">
        <w:rPr>
          <w:rFonts w:cstheme="minorHAnsi"/>
          <w:lang w:val="en-GB"/>
        </w:rPr>
        <w:t xml:space="preserve"> </w:t>
      </w:r>
      <w:r w:rsidR="005415DC" w:rsidRPr="00F54106">
        <w:rPr>
          <w:rFonts w:cstheme="minorHAnsi"/>
          <w:lang w:val="en-GB"/>
        </w:rPr>
        <w:t>d</w:t>
      </w:r>
      <w:r w:rsidR="006023BF" w:rsidRPr="00F54106">
        <w:rPr>
          <w:rFonts w:cstheme="minorHAnsi"/>
          <w:lang w:val="en-GB"/>
        </w:rPr>
        <w:t>ue to the presumptions of harm for direct purchasers and the presumption of a passing-on for indirect purchasers,</w:t>
      </w:r>
      <w:r w:rsidR="00A309D6" w:rsidRPr="00F54106">
        <w:rPr>
          <w:rFonts w:cstheme="minorHAnsi"/>
          <w:lang w:val="en-GB"/>
        </w:rPr>
        <w:t xml:space="preserve"> both to their </w:t>
      </w:r>
      <w:r w:rsidR="00E45642" w:rsidRPr="00F54106">
        <w:rPr>
          <w:rFonts w:cstheme="minorHAnsi"/>
          <w:lang w:val="en-GB"/>
        </w:rPr>
        <w:t xml:space="preserve">respective </w:t>
      </w:r>
      <w:r w:rsidR="00A309D6" w:rsidRPr="00F54106">
        <w:rPr>
          <w:rFonts w:cstheme="minorHAnsi"/>
          <w:lang w:val="en-GB"/>
        </w:rPr>
        <w:t>advantage,</w:t>
      </w:r>
      <w:r w:rsidR="00A309D6" w:rsidRPr="00F54106">
        <w:rPr>
          <w:rStyle w:val="FootnoteReference"/>
          <w:rFonts w:cstheme="minorHAnsi"/>
          <w:lang w:val="en-GB"/>
        </w:rPr>
        <w:footnoteReference w:id="109"/>
      </w:r>
      <w:r w:rsidR="006023BF" w:rsidRPr="00F54106">
        <w:rPr>
          <w:rFonts w:cstheme="minorHAnsi"/>
          <w:lang w:val="en-GB"/>
        </w:rPr>
        <w:t xml:space="preserve"> </w:t>
      </w:r>
      <w:r w:rsidR="00A309D6" w:rsidRPr="00F54106">
        <w:rPr>
          <w:rFonts w:cstheme="minorHAnsi"/>
          <w:lang w:val="en-GB"/>
        </w:rPr>
        <w:t>there were concerns for overcompensation</w:t>
      </w:r>
      <w:r w:rsidR="00332E2D" w:rsidRPr="00F54106">
        <w:rPr>
          <w:rFonts w:cstheme="minorHAnsi"/>
          <w:lang w:val="en-GB"/>
        </w:rPr>
        <w:t>,</w:t>
      </w:r>
      <w:r w:rsidR="00A309D6" w:rsidRPr="00F54106">
        <w:rPr>
          <w:rStyle w:val="FootnoteReference"/>
          <w:rFonts w:cstheme="minorHAnsi"/>
          <w:lang w:val="en-GB"/>
        </w:rPr>
        <w:footnoteReference w:id="110"/>
      </w:r>
      <w:r w:rsidR="00A309D6" w:rsidRPr="00F54106">
        <w:rPr>
          <w:rFonts w:cstheme="minorHAnsi"/>
          <w:lang w:val="en-GB"/>
        </w:rPr>
        <w:t xml:space="preserve"> which is not allowed under Article 3(3) of the Damages Directive. </w:t>
      </w:r>
      <w:r w:rsidR="00B00825" w:rsidRPr="00F54106">
        <w:rPr>
          <w:rFonts w:cstheme="minorHAnsi"/>
          <w:lang w:val="en-GB"/>
        </w:rPr>
        <w:t>To deal with this issue</w:t>
      </w:r>
      <w:r w:rsidR="00332E2D" w:rsidRPr="00F54106">
        <w:rPr>
          <w:rFonts w:cstheme="minorHAnsi"/>
          <w:lang w:val="en-GB"/>
        </w:rPr>
        <w:t xml:space="preserve"> the German legislature has refrained from adopting a presumption of a specific (minimum) amount of harm,</w:t>
      </w:r>
      <w:r w:rsidR="00416EB6" w:rsidRPr="00F54106">
        <w:rPr>
          <w:rStyle w:val="FootnoteReference"/>
          <w:rFonts w:cstheme="minorHAnsi"/>
          <w:lang w:val="en-GB"/>
        </w:rPr>
        <w:footnoteReference w:id="111"/>
      </w:r>
      <w:r w:rsidR="00332E2D" w:rsidRPr="00F54106">
        <w:rPr>
          <w:rFonts w:cstheme="minorHAnsi"/>
          <w:lang w:val="en-GB"/>
        </w:rPr>
        <w:t xml:space="preserve"> </w:t>
      </w:r>
      <w:r w:rsidR="00416EB6" w:rsidRPr="00F54106">
        <w:rPr>
          <w:rFonts w:cstheme="minorHAnsi"/>
          <w:lang w:val="en-GB"/>
        </w:rPr>
        <w:t>which is generally thought to be beneficial to claimants</w:t>
      </w:r>
      <w:r w:rsidR="00F82139" w:rsidRPr="00F54106">
        <w:rPr>
          <w:rFonts w:cstheme="minorHAnsi"/>
          <w:lang w:val="en-GB"/>
        </w:rPr>
        <w:t>.</w:t>
      </w:r>
      <w:r w:rsidR="00B00825" w:rsidRPr="00F54106">
        <w:rPr>
          <w:rStyle w:val="FootnoteReference"/>
          <w:rFonts w:cstheme="minorHAnsi"/>
          <w:lang w:val="en-GB"/>
        </w:rPr>
        <w:footnoteReference w:id="112"/>
      </w:r>
      <w:r w:rsidR="006E6B2D" w:rsidRPr="00F54106">
        <w:rPr>
          <w:rFonts w:cstheme="minorHAnsi"/>
          <w:lang w:val="en-GB"/>
        </w:rPr>
        <w:t xml:space="preserve"> However</w:t>
      </w:r>
      <w:r w:rsidR="00F82139" w:rsidRPr="00F54106">
        <w:rPr>
          <w:rFonts w:cstheme="minorHAnsi"/>
          <w:lang w:val="en-GB"/>
        </w:rPr>
        <w:t xml:space="preserve">, </w:t>
      </w:r>
      <w:r w:rsidR="006E6B2D" w:rsidRPr="00F54106">
        <w:rPr>
          <w:rFonts w:cstheme="minorHAnsi"/>
          <w:lang w:val="en-GB"/>
        </w:rPr>
        <w:t xml:space="preserve">an issue that still needs to be addressed is the </w:t>
      </w:r>
      <w:r w:rsidR="00F82139" w:rsidRPr="00F54106">
        <w:rPr>
          <w:rFonts w:cstheme="minorHAnsi"/>
          <w:lang w:val="en-GB"/>
        </w:rPr>
        <w:t xml:space="preserve">possibility for </w:t>
      </w:r>
      <w:r w:rsidR="00E921C5" w:rsidRPr="00F54106">
        <w:rPr>
          <w:rFonts w:cstheme="minorHAnsi"/>
          <w:lang w:val="en-GB"/>
        </w:rPr>
        <w:t xml:space="preserve">a </w:t>
      </w:r>
      <w:r w:rsidR="00F82139" w:rsidRPr="00F54106">
        <w:rPr>
          <w:rFonts w:cstheme="minorHAnsi"/>
          <w:lang w:val="en-GB"/>
        </w:rPr>
        <w:t xml:space="preserve">double compensation when the defendant is unable to rebut the presumption of a passing-on to </w:t>
      </w:r>
      <w:r w:rsidR="00F82139" w:rsidRPr="00F54106">
        <w:rPr>
          <w:rFonts w:cstheme="minorHAnsi"/>
          <w:lang w:val="en-GB"/>
        </w:rPr>
        <w:lastRenderedPageBreak/>
        <w:t>indirect purchasers.</w:t>
      </w:r>
      <w:r w:rsidR="006E6B2D" w:rsidRPr="00F54106">
        <w:rPr>
          <w:rStyle w:val="FootnoteReference"/>
          <w:rFonts w:cstheme="minorHAnsi"/>
          <w:lang w:val="en-GB"/>
        </w:rPr>
        <w:footnoteReference w:id="113"/>
      </w:r>
      <w:r w:rsidR="00F82139" w:rsidRPr="00F54106">
        <w:rPr>
          <w:rFonts w:cstheme="minorHAnsi"/>
          <w:lang w:val="en-GB"/>
        </w:rPr>
        <w:t xml:space="preserve"> </w:t>
      </w:r>
      <w:r w:rsidR="006E6B2D" w:rsidRPr="00F54106">
        <w:rPr>
          <w:rFonts w:cstheme="minorHAnsi"/>
          <w:lang w:val="en-GB"/>
        </w:rPr>
        <w:t>Nevertheless</w:t>
      </w:r>
      <w:r w:rsidR="00E45642" w:rsidRPr="00F54106">
        <w:rPr>
          <w:rFonts w:cstheme="minorHAnsi"/>
          <w:lang w:val="en-GB"/>
        </w:rPr>
        <w:t xml:space="preserve">, it is mentioned that the ninth amendment to the GWB </w:t>
      </w:r>
      <w:r w:rsidR="006E6B2D" w:rsidRPr="00F54106">
        <w:rPr>
          <w:rFonts w:cstheme="minorHAnsi"/>
          <w:lang w:val="en-GB"/>
        </w:rPr>
        <w:t>with</w:t>
      </w:r>
      <w:r w:rsidR="00E45642" w:rsidRPr="00F54106">
        <w:rPr>
          <w:rFonts w:cstheme="minorHAnsi"/>
          <w:lang w:val="en-GB"/>
        </w:rPr>
        <w:t xml:space="preserve"> respect to </w:t>
      </w:r>
      <w:r w:rsidR="006E6B2D" w:rsidRPr="00F54106">
        <w:rPr>
          <w:rFonts w:cstheme="minorHAnsi"/>
          <w:lang w:val="en-GB"/>
        </w:rPr>
        <w:t xml:space="preserve">the </w:t>
      </w:r>
      <w:r w:rsidR="00E45642" w:rsidRPr="00F54106">
        <w:rPr>
          <w:rFonts w:cstheme="minorHAnsi"/>
          <w:lang w:val="en-GB"/>
        </w:rPr>
        <w:t>passing-on of overcharges has likely contributed to the popularity of Germany as a forum.</w:t>
      </w:r>
      <w:r w:rsidR="00413014" w:rsidRPr="00F54106">
        <w:rPr>
          <w:rStyle w:val="FootnoteReference"/>
          <w:rFonts w:cstheme="minorHAnsi"/>
          <w:lang w:val="en-GB"/>
        </w:rPr>
        <w:footnoteReference w:id="114"/>
      </w:r>
    </w:p>
    <w:p w14:paraId="408B9DF5" w14:textId="77777777" w:rsidR="008F2C83" w:rsidRPr="00F54106" w:rsidRDefault="008F2C83" w:rsidP="00FC31D7">
      <w:pPr>
        <w:spacing w:line="276" w:lineRule="auto"/>
        <w:rPr>
          <w:rFonts w:cstheme="minorHAnsi"/>
          <w:lang w:val="en-GB"/>
        </w:rPr>
      </w:pPr>
    </w:p>
    <w:p w14:paraId="3BECE745" w14:textId="59DA3B98" w:rsidR="00441D24" w:rsidRPr="00F54106" w:rsidRDefault="00A57614" w:rsidP="00AA3172">
      <w:pPr>
        <w:pStyle w:val="Heading3"/>
        <w:rPr>
          <w:lang w:val="en-GB"/>
        </w:rPr>
      </w:pPr>
      <w:bookmarkStart w:id="59" w:name="_Toc107610222"/>
      <w:r w:rsidRPr="00F54106">
        <w:rPr>
          <w:lang w:val="en-GB"/>
        </w:rPr>
        <w:t>2</w:t>
      </w:r>
      <w:r w:rsidR="00441D24" w:rsidRPr="00F54106">
        <w:rPr>
          <w:lang w:val="en-GB"/>
        </w:rPr>
        <w:t>.</w:t>
      </w:r>
      <w:r w:rsidR="001F001E" w:rsidRPr="00F54106">
        <w:rPr>
          <w:lang w:val="en-GB"/>
        </w:rPr>
        <w:t>1.</w:t>
      </w:r>
      <w:r w:rsidR="00FF058F" w:rsidRPr="00F54106">
        <w:rPr>
          <w:lang w:val="en-GB"/>
        </w:rPr>
        <w:t>6</w:t>
      </w:r>
      <w:r w:rsidR="00441D24" w:rsidRPr="00F54106">
        <w:rPr>
          <w:lang w:val="en-GB"/>
        </w:rPr>
        <w:t xml:space="preserve"> </w:t>
      </w:r>
      <w:r w:rsidR="0077734C" w:rsidRPr="00F54106">
        <w:rPr>
          <w:lang w:val="en-GB"/>
        </w:rPr>
        <w:t>The</w:t>
      </w:r>
      <w:r w:rsidR="00441D24" w:rsidRPr="00F54106">
        <w:rPr>
          <w:lang w:val="en-GB"/>
        </w:rPr>
        <w:t xml:space="preserve"> </w:t>
      </w:r>
      <w:r w:rsidR="0046655E" w:rsidRPr="00F54106">
        <w:rPr>
          <w:lang w:val="en-GB"/>
        </w:rPr>
        <w:t>b</w:t>
      </w:r>
      <w:r w:rsidR="00441D24" w:rsidRPr="00F54106">
        <w:rPr>
          <w:lang w:val="en-GB"/>
        </w:rPr>
        <w:t>inding effect of decisions of</w:t>
      </w:r>
      <w:r w:rsidR="00AA1A97" w:rsidRPr="00F54106">
        <w:rPr>
          <w:lang w:val="en-GB"/>
        </w:rPr>
        <w:t xml:space="preserve"> other </w:t>
      </w:r>
      <w:r w:rsidR="00441D24" w:rsidRPr="00F54106">
        <w:rPr>
          <w:lang w:val="en-GB"/>
        </w:rPr>
        <w:t>competition authorities</w:t>
      </w:r>
      <w:bookmarkEnd w:id="59"/>
    </w:p>
    <w:p w14:paraId="31662F05" w14:textId="7DC92039" w:rsidR="007B070F" w:rsidRPr="00F54106" w:rsidRDefault="00C4262F" w:rsidP="00FC31D7">
      <w:pPr>
        <w:spacing w:line="276" w:lineRule="auto"/>
        <w:rPr>
          <w:rFonts w:cstheme="minorHAnsi"/>
          <w:lang w:val="en-GB"/>
        </w:rPr>
      </w:pPr>
      <w:r w:rsidRPr="00F54106">
        <w:rPr>
          <w:rFonts w:cstheme="minorHAnsi"/>
          <w:lang w:val="en-GB"/>
        </w:rPr>
        <w:t xml:space="preserve">Section 33b </w:t>
      </w:r>
      <w:r w:rsidR="00C04189" w:rsidRPr="00F54106">
        <w:rPr>
          <w:rFonts w:cstheme="minorHAnsi"/>
          <w:lang w:val="en-GB"/>
        </w:rPr>
        <w:t xml:space="preserve">binds the German court to the final decision of the German competition authority, the European Commission or a competition authority </w:t>
      </w:r>
      <w:r w:rsidR="00F5427E">
        <w:rPr>
          <w:rFonts w:cstheme="minorHAnsi"/>
          <w:lang w:val="en-GB"/>
        </w:rPr>
        <w:t>–</w:t>
      </w:r>
      <w:r w:rsidR="00C04189" w:rsidRPr="00F54106">
        <w:rPr>
          <w:rFonts w:cstheme="minorHAnsi"/>
          <w:lang w:val="en-GB"/>
        </w:rPr>
        <w:t xml:space="preserve"> or court acting as such – in another Member State </w:t>
      </w:r>
      <w:r w:rsidR="00344AA0" w:rsidRPr="00F54106">
        <w:rPr>
          <w:rFonts w:cstheme="minorHAnsi"/>
          <w:lang w:val="en-GB"/>
        </w:rPr>
        <w:t>when it concerns</w:t>
      </w:r>
      <w:r w:rsidR="00C04189" w:rsidRPr="00F54106">
        <w:rPr>
          <w:rFonts w:cstheme="minorHAnsi"/>
          <w:lang w:val="en-GB"/>
        </w:rPr>
        <w:t xml:space="preserve"> an infringement of Articles 101 and 102 TFEU or German competition law.</w:t>
      </w:r>
      <w:r w:rsidR="00344AA0" w:rsidRPr="00F54106">
        <w:rPr>
          <w:rFonts w:cstheme="minorHAnsi"/>
          <w:lang w:val="en-GB"/>
        </w:rPr>
        <w:t xml:space="preserve"> The binding effect was implemented with the seventh amendment to the GWB, while the rationale for implementation concerned consistent application of competition law and the facilitation of follow-on actions for damages.</w:t>
      </w:r>
      <w:r w:rsidR="00344AA0" w:rsidRPr="00F54106">
        <w:rPr>
          <w:rStyle w:val="FootnoteReference"/>
          <w:rFonts w:cstheme="minorHAnsi"/>
          <w:lang w:val="en-GB"/>
        </w:rPr>
        <w:footnoteReference w:id="115"/>
      </w:r>
      <w:r w:rsidR="00B410F7" w:rsidRPr="00F54106">
        <w:rPr>
          <w:rFonts w:cstheme="minorHAnsi"/>
          <w:lang w:val="en-GB"/>
        </w:rPr>
        <w:t xml:space="preserve"> Since decisions of national courts on Article 101 or 102 infringements are also considered as binding instead of </w:t>
      </w:r>
      <w:r w:rsidR="0099208B" w:rsidRPr="00F54106">
        <w:rPr>
          <w:rFonts w:cstheme="minorHAnsi"/>
          <w:lang w:val="en-GB"/>
        </w:rPr>
        <w:t xml:space="preserve">being considered </w:t>
      </w:r>
      <w:r w:rsidR="00B410F7" w:rsidRPr="00F54106">
        <w:rPr>
          <w:rFonts w:cstheme="minorHAnsi"/>
          <w:lang w:val="en-GB"/>
        </w:rPr>
        <w:t xml:space="preserve">prima facie evidence under Article 9(2) of the Damages Directive, </w:t>
      </w:r>
      <w:r w:rsidR="0099208B" w:rsidRPr="00F54106">
        <w:rPr>
          <w:rFonts w:cstheme="minorHAnsi"/>
          <w:lang w:val="en-GB"/>
        </w:rPr>
        <w:t>German competition law</w:t>
      </w:r>
      <w:r w:rsidR="00B410F7" w:rsidRPr="00F54106">
        <w:rPr>
          <w:rFonts w:cstheme="minorHAnsi"/>
          <w:lang w:val="en-GB"/>
        </w:rPr>
        <w:t xml:space="preserve"> </w:t>
      </w:r>
      <w:r w:rsidR="0099208B" w:rsidRPr="00F54106">
        <w:rPr>
          <w:rFonts w:cstheme="minorHAnsi"/>
          <w:lang w:val="en-GB"/>
        </w:rPr>
        <w:t>again went</w:t>
      </w:r>
      <w:r w:rsidR="00B410F7" w:rsidRPr="00F54106">
        <w:rPr>
          <w:rFonts w:cstheme="minorHAnsi"/>
          <w:lang w:val="en-GB"/>
        </w:rPr>
        <w:t xml:space="preserve"> beyond </w:t>
      </w:r>
      <w:r w:rsidR="0099208B" w:rsidRPr="00F54106">
        <w:rPr>
          <w:rFonts w:cstheme="minorHAnsi"/>
          <w:lang w:val="en-GB"/>
        </w:rPr>
        <w:t>a</w:t>
      </w:r>
      <w:r w:rsidR="00B410F7" w:rsidRPr="00F54106">
        <w:rPr>
          <w:rFonts w:cstheme="minorHAnsi"/>
          <w:lang w:val="en-GB"/>
        </w:rPr>
        <w:t xml:space="preserve"> provision of the Damages Directive</w:t>
      </w:r>
      <w:r w:rsidR="0099208B" w:rsidRPr="00F54106">
        <w:rPr>
          <w:rFonts w:cstheme="minorHAnsi"/>
          <w:lang w:val="en-GB"/>
        </w:rPr>
        <w:t>.</w:t>
      </w:r>
      <w:r w:rsidR="001C7396" w:rsidRPr="00F54106">
        <w:rPr>
          <w:rStyle w:val="FootnoteReference"/>
          <w:rFonts w:cstheme="minorHAnsi"/>
          <w:lang w:val="en-GB"/>
        </w:rPr>
        <w:footnoteReference w:id="116"/>
      </w:r>
      <w:r w:rsidR="001C7396" w:rsidRPr="00F54106">
        <w:rPr>
          <w:rFonts w:cstheme="minorHAnsi"/>
          <w:lang w:val="en-GB"/>
        </w:rPr>
        <w:t xml:space="preserve"> This is mentioned to create significant advantages for Germany </w:t>
      </w:r>
      <w:r w:rsidR="00E15FB2" w:rsidRPr="00F54106">
        <w:rPr>
          <w:rFonts w:cstheme="minorHAnsi"/>
          <w:lang w:val="en-GB"/>
        </w:rPr>
        <w:t>a forum for cartel damages actions since,</w:t>
      </w:r>
      <w:r w:rsidR="001C7396" w:rsidRPr="00F54106">
        <w:rPr>
          <w:rFonts w:cstheme="minorHAnsi"/>
          <w:lang w:val="en-GB"/>
        </w:rPr>
        <w:t xml:space="preserve"> </w:t>
      </w:r>
      <w:r w:rsidR="00E15FB2" w:rsidRPr="00F54106">
        <w:rPr>
          <w:rFonts w:cstheme="minorHAnsi"/>
          <w:lang w:val="en-GB"/>
        </w:rPr>
        <w:t>if this provision did not exist,</w:t>
      </w:r>
      <w:r w:rsidR="001C7396" w:rsidRPr="00F54106">
        <w:rPr>
          <w:rFonts w:cstheme="minorHAnsi"/>
          <w:lang w:val="en-GB"/>
        </w:rPr>
        <w:t xml:space="preserve"> claimants would be incentivized to </w:t>
      </w:r>
      <w:r w:rsidR="00E15FB2" w:rsidRPr="00F54106">
        <w:rPr>
          <w:rFonts w:cstheme="minorHAnsi"/>
          <w:lang w:val="en-GB"/>
        </w:rPr>
        <w:t xml:space="preserve">only </w:t>
      </w:r>
      <w:r w:rsidR="001C7396" w:rsidRPr="00F54106">
        <w:rPr>
          <w:rFonts w:cstheme="minorHAnsi"/>
          <w:lang w:val="en-GB"/>
        </w:rPr>
        <w:t xml:space="preserve">bring an action for damages before courts </w:t>
      </w:r>
      <w:r w:rsidR="00E15FB2" w:rsidRPr="00F54106">
        <w:rPr>
          <w:rFonts w:cstheme="minorHAnsi"/>
          <w:lang w:val="en-GB"/>
        </w:rPr>
        <w:t xml:space="preserve">in </w:t>
      </w:r>
      <w:r w:rsidR="001C7396" w:rsidRPr="00F54106">
        <w:rPr>
          <w:rFonts w:cstheme="minorHAnsi"/>
          <w:lang w:val="en-GB"/>
        </w:rPr>
        <w:t xml:space="preserve">Member States </w:t>
      </w:r>
      <w:r w:rsidR="00E15FB2" w:rsidRPr="00F54106">
        <w:rPr>
          <w:rFonts w:cstheme="minorHAnsi"/>
          <w:lang w:val="en-GB"/>
        </w:rPr>
        <w:t>where the breach of competition law has originally occurred, while the inclusion of this provision makes it possible to sue in Germany as well.</w:t>
      </w:r>
      <w:r w:rsidR="00E15FB2" w:rsidRPr="00F54106">
        <w:rPr>
          <w:rStyle w:val="FootnoteReference"/>
          <w:rFonts w:cstheme="minorHAnsi"/>
          <w:lang w:val="en-GB"/>
        </w:rPr>
        <w:footnoteReference w:id="117"/>
      </w:r>
    </w:p>
    <w:p w14:paraId="2657AD46" w14:textId="1B57D90E" w:rsidR="00EE2E7A" w:rsidRPr="00F54106" w:rsidRDefault="00EE2E7A" w:rsidP="00FC31D7">
      <w:pPr>
        <w:spacing w:line="276" w:lineRule="auto"/>
        <w:rPr>
          <w:rFonts w:cstheme="minorHAnsi"/>
          <w:lang w:val="en-GB"/>
        </w:rPr>
      </w:pPr>
    </w:p>
    <w:p w14:paraId="2BFDEC41" w14:textId="6B53825D" w:rsidR="00E415A5" w:rsidRPr="00F54106" w:rsidRDefault="00A57614" w:rsidP="00AA3172">
      <w:pPr>
        <w:pStyle w:val="Heading3"/>
        <w:rPr>
          <w:lang w:val="en-GB"/>
        </w:rPr>
      </w:pPr>
      <w:bookmarkStart w:id="60" w:name="_Toc107610223"/>
      <w:r w:rsidRPr="00F54106">
        <w:rPr>
          <w:lang w:val="en-GB"/>
        </w:rPr>
        <w:t>2</w:t>
      </w:r>
      <w:r w:rsidR="00A11273" w:rsidRPr="00F54106">
        <w:rPr>
          <w:lang w:val="en-GB"/>
        </w:rPr>
        <w:t>.</w:t>
      </w:r>
      <w:r w:rsidR="001F001E" w:rsidRPr="00F54106">
        <w:rPr>
          <w:lang w:val="en-GB"/>
        </w:rPr>
        <w:t>1.</w:t>
      </w:r>
      <w:r w:rsidR="00FF058F" w:rsidRPr="00F54106">
        <w:rPr>
          <w:lang w:val="en-GB"/>
        </w:rPr>
        <w:t>7</w:t>
      </w:r>
      <w:r w:rsidR="00A11273" w:rsidRPr="00F54106">
        <w:rPr>
          <w:lang w:val="en-GB"/>
        </w:rPr>
        <w:t xml:space="preserve"> </w:t>
      </w:r>
      <w:r w:rsidR="008073DF" w:rsidRPr="00F54106">
        <w:rPr>
          <w:lang w:val="en-GB"/>
        </w:rPr>
        <w:t>Increas</w:t>
      </w:r>
      <w:r w:rsidR="00857143" w:rsidRPr="00F54106">
        <w:rPr>
          <w:lang w:val="en-GB"/>
        </w:rPr>
        <w:t xml:space="preserve">ed </w:t>
      </w:r>
      <w:r w:rsidR="008073DF" w:rsidRPr="00F54106">
        <w:rPr>
          <w:lang w:val="en-GB"/>
        </w:rPr>
        <w:t>l</w:t>
      </w:r>
      <w:r w:rsidR="00A11273" w:rsidRPr="00F54106">
        <w:rPr>
          <w:lang w:val="en-GB"/>
        </w:rPr>
        <w:t>imitation periods</w:t>
      </w:r>
      <w:r w:rsidR="008073DF" w:rsidRPr="00F54106">
        <w:rPr>
          <w:lang w:val="en-GB"/>
        </w:rPr>
        <w:t xml:space="preserve"> under German</w:t>
      </w:r>
      <w:r w:rsidR="007A4D61" w:rsidRPr="00F54106">
        <w:rPr>
          <w:lang w:val="en-GB"/>
        </w:rPr>
        <w:t xml:space="preserve"> </w:t>
      </w:r>
      <w:r w:rsidR="008073DF" w:rsidRPr="00F54106">
        <w:rPr>
          <w:lang w:val="en-GB"/>
        </w:rPr>
        <w:t>law</w:t>
      </w:r>
      <w:bookmarkEnd w:id="60"/>
    </w:p>
    <w:p w14:paraId="5C59BEB8" w14:textId="36E61D5C" w:rsidR="00A11273" w:rsidRPr="00F54106" w:rsidRDefault="00334FC8" w:rsidP="00FC31D7">
      <w:pPr>
        <w:spacing w:line="276" w:lineRule="auto"/>
        <w:rPr>
          <w:rFonts w:cstheme="minorHAnsi"/>
          <w:lang w:val="en-GB"/>
        </w:rPr>
      </w:pPr>
      <w:r w:rsidRPr="00F54106">
        <w:rPr>
          <w:rFonts w:cstheme="minorHAnsi"/>
          <w:lang w:val="en-GB"/>
        </w:rPr>
        <w:t xml:space="preserve">Limitation periods are transposed into German law under section 33h. </w:t>
      </w:r>
      <w:r w:rsidR="00A11273" w:rsidRPr="00F54106">
        <w:rPr>
          <w:rFonts w:cstheme="minorHAnsi"/>
          <w:lang w:val="en-GB"/>
        </w:rPr>
        <w:t>Due to the fact that the German legislation was already more or less in line with the requirements in the Damages Directive</w:t>
      </w:r>
      <w:r w:rsidR="00FA7248" w:rsidRPr="00F54106">
        <w:rPr>
          <w:rFonts w:cstheme="minorHAnsi"/>
          <w:lang w:val="en-GB"/>
        </w:rPr>
        <w:t xml:space="preserve"> regarding the statute of limitation</w:t>
      </w:r>
      <w:r w:rsidR="00A11273" w:rsidRPr="00F54106">
        <w:rPr>
          <w:rFonts w:cstheme="minorHAnsi"/>
          <w:lang w:val="en-GB"/>
        </w:rPr>
        <w:t>, relatively small changes were made when the Damages Directive was implemented into German law.</w:t>
      </w:r>
      <w:r w:rsidR="009945B6" w:rsidRPr="00F54106">
        <w:rPr>
          <w:rStyle w:val="FootnoteReference"/>
          <w:rFonts w:cstheme="minorHAnsi"/>
          <w:lang w:val="en-GB"/>
        </w:rPr>
        <w:footnoteReference w:id="118"/>
      </w:r>
      <w:r w:rsidR="00A11273" w:rsidRPr="00F54106">
        <w:rPr>
          <w:rFonts w:cstheme="minorHAnsi"/>
          <w:lang w:val="en-GB"/>
        </w:rPr>
        <w:t xml:space="preserve"> However, this </w:t>
      </w:r>
      <w:r w:rsidR="009945B6" w:rsidRPr="00F54106">
        <w:rPr>
          <w:rFonts w:cstheme="minorHAnsi"/>
          <w:lang w:val="en-GB"/>
        </w:rPr>
        <w:t>does not detract from</w:t>
      </w:r>
      <w:r w:rsidR="00A11273" w:rsidRPr="00F54106">
        <w:rPr>
          <w:rFonts w:cstheme="minorHAnsi"/>
          <w:lang w:val="en-GB"/>
        </w:rPr>
        <w:t xml:space="preserve"> the significant effects that the implementation had</w:t>
      </w:r>
      <w:r w:rsidR="00905958" w:rsidRPr="00F54106">
        <w:rPr>
          <w:rFonts w:cstheme="minorHAnsi"/>
          <w:lang w:val="en-GB"/>
        </w:rPr>
        <w:t xml:space="preserve"> and have suggested that they increase Germany’s appeal</w:t>
      </w:r>
      <w:r w:rsidR="00771155" w:rsidRPr="00F54106">
        <w:rPr>
          <w:rFonts w:cstheme="minorHAnsi"/>
          <w:lang w:val="en-GB"/>
        </w:rPr>
        <w:t>.</w:t>
      </w:r>
      <w:r w:rsidR="00771155" w:rsidRPr="00F54106">
        <w:rPr>
          <w:rStyle w:val="FootnoteReference"/>
          <w:rFonts w:cstheme="minorHAnsi"/>
          <w:lang w:val="en-GB"/>
        </w:rPr>
        <w:footnoteReference w:id="119"/>
      </w:r>
    </w:p>
    <w:p w14:paraId="69D02CD4" w14:textId="016F1607" w:rsidR="00FA7248" w:rsidRPr="00F54106" w:rsidRDefault="00C14E86" w:rsidP="00C14E86">
      <w:pPr>
        <w:spacing w:line="276" w:lineRule="auto"/>
        <w:ind w:firstLine="720"/>
        <w:rPr>
          <w:rFonts w:cstheme="minorHAnsi"/>
          <w:lang w:val="en-GB"/>
        </w:rPr>
      </w:pPr>
      <w:r w:rsidRPr="00F54106">
        <w:rPr>
          <w:rFonts w:cstheme="minorHAnsi"/>
          <w:lang w:val="en-GB"/>
        </w:rPr>
        <w:t>Under German law, the</w:t>
      </w:r>
      <w:r w:rsidR="00656790" w:rsidRPr="00F54106">
        <w:rPr>
          <w:rFonts w:cstheme="minorHAnsi"/>
          <w:lang w:val="en-GB"/>
        </w:rPr>
        <w:t xml:space="preserve"> knowledge dependant limitation period has been </w:t>
      </w:r>
      <w:r w:rsidR="00857143" w:rsidRPr="00F54106">
        <w:rPr>
          <w:rFonts w:cstheme="minorHAnsi"/>
          <w:lang w:val="en-GB"/>
        </w:rPr>
        <w:t>increased from three years</w:t>
      </w:r>
      <w:r w:rsidR="00656790" w:rsidRPr="00F54106">
        <w:rPr>
          <w:rFonts w:cstheme="minorHAnsi"/>
          <w:lang w:val="en-GB"/>
        </w:rPr>
        <w:t xml:space="preserve"> to five years under section 33h(1)</w:t>
      </w:r>
      <w:r w:rsidR="00057DED" w:rsidRPr="00F54106">
        <w:rPr>
          <w:rFonts w:cstheme="minorHAnsi"/>
          <w:lang w:val="en-GB"/>
        </w:rPr>
        <w:t xml:space="preserve"> of the GWB</w:t>
      </w:r>
      <w:r w:rsidRPr="00F54106">
        <w:rPr>
          <w:rFonts w:cstheme="minorHAnsi"/>
          <w:lang w:val="en-GB"/>
        </w:rPr>
        <w:t>, while t</w:t>
      </w:r>
      <w:r w:rsidR="00F931EE" w:rsidRPr="00F54106">
        <w:rPr>
          <w:rFonts w:cstheme="minorHAnsi"/>
          <w:lang w:val="en-GB"/>
        </w:rPr>
        <w:t xml:space="preserve">he knowledge independent limitation period </w:t>
      </w:r>
      <w:r w:rsidR="00404BA4" w:rsidRPr="00F54106">
        <w:rPr>
          <w:rFonts w:cstheme="minorHAnsi"/>
          <w:lang w:val="en-GB"/>
        </w:rPr>
        <w:lastRenderedPageBreak/>
        <w:t>has been set to 10 years</w:t>
      </w:r>
      <w:r w:rsidR="00066287" w:rsidRPr="00F54106">
        <w:rPr>
          <w:rFonts w:cstheme="minorHAnsi"/>
          <w:lang w:val="en-GB"/>
        </w:rPr>
        <w:t xml:space="preserve"> </w:t>
      </w:r>
      <w:r w:rsidR="00F260A3" w:rsidRPr="00F54106">
        <w:rPr>
          <w:rFonts w:cstheme="minorHAnsi"/>
          <w:lang w:val="en-GB"/>
        </w:rPr>
        <w:t>u</w:t>
      </w:r>
      <w:r w:rsidR="00066287" w:rsidRPr="00F54106">
        <w:rPr>
          <w:rFonts w:cstheme="minorHAnsi"/>
          <w:lang w:val="en-GB"/>
        </w:rPr>
        <w:t>nder section 33h(3)</w:t>
      </w:r>
      <w:r w:rsidRPr="00F54106">
        <w:rPr>
          <w:rFonts w:cstheme="minorHAnsi"/>
          <w:lang w:val="en-GB"/>
        </w:rPr>
        <w:t xml:space="preserve"> of the GWB</w:t>
      </w:r>
      <w:r w:rsidR="005247E7" w:rsidRPr="00F54106">
        <w:rPr>
          <w:rFonts w:cstheme="minorHAnsi"/>
          <w:lang w:val="en-GB"/>
        </w:rPr>
        <w:t xml:space="preserve">. </w:t>
      </w:r>
      <w:r w:rsidR="00066287" w:rsidRPr="00F54106">
        <w:rPr>
          <w:rFonts w:cstheme="minorHAnsi"/>
          <w:lang w:val="en-GB"/>
        </w:rPr>
        <w:t xml:space="preserve">In all other instances, claims are statute-barred after 30 years </w:t>
      </w:r>
      <w:r w:rsidR="002F5B79" w:rsidRPr="00F54106">
        <w:rPr>
          <w:rFonts w:cstheme="minorHAnsi"/>
          <w:lang w:val="en-GB"/>
        </w:rPr>
        <w:t>starting from the date on which the damaging event has occurred.</w:t>
      </w:r>
      <w:r w:rsidR="002F5B79" w:rsidRPr="00F54106">
        <w:rPr>
          <w:rStyle w:val="FootnoteReference"/>
          <w:rFonts w:cstheme="minorHAnsi"/>
          <w:lang w:val="en-GB"/>
        </w:rPr>
        <w:footnoteReference w:id="120"/>
      </w:r>
      <w:r w:rsidRPr="00F54106">
        <w:rPr>
          <w:rFonts w:cstheme="minorHAnsi"/>
          <w:lang w:val="en-GB"/>
        </w:rPr>
        <w:t xml:space="preserve"> </w:t>
      </w:r>
      <w:r w:rsidR="009E3BEA" w:rsidRPr="00F54106">
        <w:rPr>
          <w:rFonts w:cstheme="minorHAnsi"/>
          <w:lang w:val="en-GB"/>
        </w:rPr>
        <w:t>I</w:t>
      </w:r>
      <w:r w:rsidR="007E353F" w:rsidRPr="00F54106">
        <w:rPr>
          <w:rFonts w:cstheme="minorHAnsi"/>
          <w:lang w:val="en-GB"/>
        </w:rPr>
        <w:t xml:space="preserve">n contrast to the Damages Directive, the legislator has added </w:t>
      </w:r>
      <w:r w:rsidR="009E3BEA" w:rsidRPr="00F54106">
        <w:rPr>
          <w:rFonts w:cstheme="minorHAnsi"/>
          <w:lang w:val="en-GB"/>
        </w:rPr>
        <w:t xml:space="preserve">an </w:t>
      </w:r>
      <w:r w:rsidR="00057DED" w:rsidRPr="00F54106">
        <w:rPr>
          <w:rFonts w:cstheme="minorHAnsi"/>
          <w:lang w:val="en-GB"/>
        </w:rPr>
        <w:t>additional</w:t>
      </w:r>
      <w:r w:rsidR="007E353F" w:rsidRPr="00F54106">
        <w:rPr>
          <w:rFonts w:cstheme="minorHAnsi"/>
          <w:lang w:val="en-GB"/>
        </w:rPr>
        <w:t xml:space="preserve"> </w:t>
      </w:r>
      <w:r w:rsidR="009257C7" w:rsidRPr="00F54106">
        <w:rPr>
          <w:rFonts w:cstheme="minorHAnsi"/>
          <w:lang w:val="en-GB"/>
        </w:rPr>
        <w:t>requirement</w:t>
      </w:r>
      <w:r w:rsidR="009E3BEA" w:rsidRPr="00F54106">
        <w:rPr>
          <w:rFonts w:cstheme="minorHAnsi"/>
          <w:lang w:val="en-GB"/>
        </w:rPr>
        <w:t xml:space="preserve"> to the GWB</w:t>
      </w:r>
      <w:r w:rsidR="00905958" w:rsidRPr="00F54106">
        <w:rPr>
          <w:rFonts w:cstheme="minorHAnsi"/>
          <w:lang w:val="en-GB"/>
        </w:rPr>
        <w:t xml:space="preserve">. </w:t>
      </w:r>
      <w:r w:rsidR="007E353F" w:rsidRPr="00F54106">
        <w:rPr>
          <w:rFonts w:cstheme="minorHAnsi"/>
          <w:lang w:val="en-GB"/>
        </w:rPr>
        <w:t>This</w:t>
      </w:r>
      <w:r w:rsidR="009257C7" w:rsidRPr="00F54106">
        <w:rPr>
          <w:rFonts w:cstheme="minorHAnsi"/>
          <w:lang w:val="en-GB"/>
        </w:rPr>
        <w:t xml:space="preserve"> </w:t>
      </w:r>
      <w:r w:rsidR="00501BBB" w:rsidRPr="00F54106">
        <w:rPr>
          <w:rFonts w:cstheme="minorHAnsi"/>
          <w:lang w:val="en-GB"/>
        </w:rPr>
        <w:t>refers to</w:t>
      </w:r>
      <w:r w:rsidR="007E353F" w:rsidRPr="00F54106">
        <w:rPr>
          <w:rFonts w:cstheme="minorHAnsi"/>
          <w:lang w:val="en-GB"/>
        </w:rPr>
        <w:t xml:space="preserve"> section</w:t>
      </w:r>
      <w:r w:rsidR="00404BA4" w:rsidRPr="00F54106">
        <w:rPr>
          <w:rFonts w:cstheme="minorHAnsi"/>
          <w:lang w:val="en-GB"/>
        </w:rPr>
        <w:t>s</w:t>
      </w:r>
      <w:r w:rsidR="007E353F" w:rsidRPr="00F54106">
        <w:rPr>
          <w:rFonts w:cstheme="minorHAnsi"/>
          <w:lang w:val="en-GB"/>
        </w:rPr>
        <w:t xml:space="preserve"> 33h(2)</w:t>
      </w:r>
      <w:r w:rsidR="00404BA4" w:rsidRPr="00F54106">
        <w:rPr>
          <w:rFonts w:cstheme="minorHAnsi"/>
          <w:lang w:val="en-GB"/>
        </w:rPr>
        <w:t>(3) and 33h(3)(2)</w:t>
      </w:r>
      <w:r w:rsidR="007E353F" w:rsidRPr="00F54106">
        <w:rPr>
          <w:rFonts w:cstheme="minorHAnsi"/>
          <w:lang w:val="en-GB"/>
        </w:rPr>
        <w:t xml:space="preserve"> which stipulate that </w:t>
      </w:r>
      <w:r w:rsidR="00501BBB" w:rsidRPr="00F54106">
        <w:rPr>
          <w:rFonts w:cstheme="minorHAnsi"/>
          <w:lang w:val="en-GB"/>
        </w:rPr>
        <w:t xml:space="preserve">both the knowledge dependent and knowledge independent limitation periods </w:t>
      </w:r>
      <w:r w:rsidR="007E353F" w:rsidRPr="00F54106">
        <w:rPr>
          <w:rFonts w:cstheme="minorHAnsi"/>
          <w:lang w:val="en-GB"/>
        </w:rPr>
        <w:t xml:space="preserve">start to run at the end of the of the year when </w:t>
      </w:r>
      <w:r w:rsidR="00404BA4" w:rsidRPr="00F54106">
        <w:rPr>
          <w:rFonts w:cstheme="minorHAnsi"/>
          <w:lang w:val="en-GB"/>
        </w:rPr>
        <w:t>the infringement pursuant to section 33(1) has ceased</w:t>
      </w:r>
      <w:r w:rsidR="007E353F" w:rsidRPr="00F54106">
        <w:rPr>
          <w:rFonts w:cstheme="minorHAnsi"/>
          <w:lang w:val="en-GB"/>
        </w:rPr>
        <w:t>. As a res</w:t>
      </w:r>
      <w:r w:rsidR="009257C7" w:rsidRPr="00F54106">
        <w:rPr>
          <w:rFonts w:cstheme="minorHAnsi"/>
          <w:lang w:val="en-GB"/>
        </w:rPr>
        <w:t xml:space="preserve">ult, the important question </w:t>
      </w:r>
      <w:r w:rsidR="00A30103" w:rsidRPr="00F54106">
        <w:rPr>
          <w:rFonts w:cstheme="minorHAnsi"/>
          <w:lang w:val="en-GB"/>
        </w:rPr>
        <w:t xml:space="preserve">of at </w:t>
      </w:r>
      <w:r w:rsidR="009257C7" w:rsidRPr="00F54106">
        <w:rPr>
          <w:rFonts w:cstheme="minorHAnsi"/>
          <w:lang w:val="en-GB"/>
        </w:rPr>
        <w:t xml:space="preserve">which exact moment a cartel damages claim arises is resolved, while the prospects of success </w:t>
      </w:r>
      <w:r w:rsidR="002C7D55" w:rsidRPr="00F54106">
        <w:rPr>
          <w:rFonts w:cstheme="minorHAnsi"/>
          <w:lang w:val="en-GB"/>
        </w:rPr>
        <w:t>should be</w:t>
      </w:r>
      <w:r w:rsidR="009257C7" w:rsidRPr="00F54106">
        <w:rPr>
          <w:rFonts w:cstheme="minorHAnsi"/>
          <w:lang w:val="en-GB"/>
        </w:rPr>
        <w:t xml:space="preserve"> substantially increased for cartel damages claims </w:t>
      </w:r>
      <w:r w:rsidR="00A30103" w:rsidRPr="00F54106">
        <w:rPr>
          <w:rFonts w:cstheme="minorHAnsi"/>
          <w:lang w:val="en-GB"/>
        </w:rPr>
        <w:t>that involve</w:t>
      </w:r>
      <w:r w:rsidR="009257C7" w:rsidRPr="00F54106">
        <w:rPr>
          <w:rFonts w:cstheme="minorHAnsi"/>
          <w:lang w:val="en-GB"/>
        </w:rPr>
        <w:t xml:space="preserve"> long-lasting infringements</w:t>
      </w:r>
      <w:r w:rsidR="00501BBB" w:rsidRPr="00F54106">
        <w:rPr>
          <w:rFonts w:cstheme="minorHAnsi"/>
          <w:lang w:val="en-GB"/>
        </w:rPr>
        <w:t xml:space="preserve"> and fall under the knowledge independent limitation period</w:t>
      </w:r>
      <w:r w:rsidR="009257C7" w:rsidRPr="00F54106">
        <w:rPr>
          <w:rFonts w:cstheme="minorHAnsi"/>
          <w:lang w:val="en-GB"/>
        </w:rPr>
        <w:t>.</w:t>
      </w:r>
      <w:r w:rsidR="00874B0C" w:rsidRPr="00F54106">
        <w:rPr>
          <w:rStyle w:val="FootnoteReference"/>
          <w:rFonts w:cstheme="minorHAnsi"/>
          <w:lang w:val="en-GB"/>
        </w:rPr>
        <w:footnoteReference w:id="121"/>
      </w:r>
      <w:r w:rsidR="009257C7" w:rsidRPr="00F54106">
        <w:rPr>
          <w:rFonts w:cstheme="minorHAnsi"/>
          <w:lang w:val="en-GB"/>
        </w:rPr>
        <w:t xml:space="preserve"> </w:t>
      </w:r>
      <w:r w:rsidR="00874B0C" w:rsidRPr="00F54106">
        <w:rPr>
          <w:rFonts w:cstheme="minorHAnsi"/>
          <w:lang w:val="en-GB"/>
        </w:rPr>
        <w:t>Hence, cartel members will tread on thin ice if they opt to simply wait until claims for damages become time-barred.</w:t>
      </w:r>
      <w:r w:rsidR="00874B0C" w:rsidRPr="00F54106">
        <w:rPr>
          <w:rStyle w:val="FootnoteReference"/>
          <w:rFonts w:cstheme="minorHAnsi"/>
          <w:lang w:val="en-GB"/>
        </w:rPr>
        <w:footnoteReference w:id="122"/>
      </w:r>
      <w:r w:rsidR="00874B0C" w:rsidRPr="00F54106">
        <w:rPr>
          <w:rFonts w:cstheme="minorHAnsi"/>
          <w:lang w:val="en-GB"/>
        </w:rPr>
        <w:t xml:space="preserve"> Moreover, </w:t>
      </w:r>
      <w:r w:rsidR="002B51D4" w:rsidRPr="00F54106">
        <w:rPr>
          <w:rFonts w:cstheme="minorHAnsi"/>
          <w:lang w:val="en-GB"/>
        </w:rPr>
        <w:t>if cartel members intend to adopt the statute of limitation defence</w:t>
      </w:r>
      <w:r w:rsidRPr="00F54106">
        <w:rPr>
          <w:rFonts w:cstheme="minorHAnsi"/>
          <w:lang w:val="en-GB"/>
        </w:rPr>
        <w:t>,</w:t>
      </w:r>
      <w:r w:rsidR="002F5B79" w:rsidRPr="00F54106">
        <w:rPr>
          <w:rFonts w:cstheme="minorHAnsi"/>
          <w:lang w:val="en-GB"/>
        </w:rPr>
        <w:t xml:space="preserve"> then</w:t>
      </w:r>
      <w:r w:rsidR="002B51D4" w:rsidRPr="00F54106">
        <w:rPr>
          <w:rFonts w:cstheme="minorHAnsi"/>
          <w:lang w:val="en-GB"/>
        </w:rPr>
        <w:t xml:space="preserve"> proving when a cartel infringement has ended is conferred onto </w:t>
      </w:r>
      <w:r w:rsidR="009A47DB" w:rsidRPr="00F54106">
        <w:rPr>
          <w:rFonts w:cstheme="minorHAnsi"/>
          <w:lang w:val="en-GB"/>
        </w:rPr>
        <w:t>them</w:t>
      </w:r>
      <w:r w:rsidR="002B51D4" w:rsidRPr="00F54106">
        <w:rPr>
          <w:rFonts w:cstheme="minorHAnsi"/>
          <w:lang w:val="en-GB"/>
        </w:rPr>
        <w:t xml:space="preserve">, </w:t>
      </w:r>
      <w:r w:rsidR="009A47DB" w:rsidRPr="00F54106">
        <w:rPr>
          <w:rFonts w:cstheme="minorHAnsi"/>
          <w:lang w:val="en-GB"/>
        </w:rPr>
        <w:t>which could also mean that they would have to prove that the infringement has not created any further market effects.</w:t>
      </w:r>
      <w:r w:rsidR="009A47DB" w:rsidRPr="00F54106">
        <w:rPr>
          <w:rStyle w:val="FootnoteReference"/>
          <w:rFonts w:cstheme="minorHAnsi"/>
          <w:lang w:val="en-GB"/>
        </w:rPr>
        <w:footnoteReference w:id="123"/>
      </w:r>
      <w:r w:rsidR="002B51D4" w:rsidRPr="00F54106">
        <w:rPr>
          <w:rFonts w:cstheme="minorHAnsi"/>
          <w:lang w:val="en-GB"/>
        </w:rPr>
        <w:t xml:space="preserve"> </w:t>
      </w:r>
    </w:p>
    <w:p w14:paraId="7C7C44C4" w14:textId="77777777" w:rsidR="00CA5183" w:rsidRPr="00F54106" w:rsidRDefault="00CA5183" w:rsidP="00FC31D7">
      <w:pPr>
        <w:spacing w:line="276" w:lineRule="auto"/>
        <w:rPr>
          <w:rFonts w:cstheme="minorHAnsi"/>
          <w:lang w:val="en-GB"/>
        </w:rPr>
      </w:pPr>
    </w:p>
    <w:p w14:paraId="2884A523" w14:textId="5C0F2B85" w:rsidR="00224DD3" w:rsidRPr="00F54106" w:rsidRDefault="00A57614" w:rsidP="00AA3172">
      <w:pPr>
        <w:pStyle w:val="Heading3"/>
        <w:rPr>
          <w:lang w:val="en-GB"/>
        </w:rPr>
      </w:pPr>
      <w:bookmarkStart w:id="62" w:name="_Toc107610224"/>
      <w:r w:rsidRPr="00F54106">
        <w:rPr>
          <w:lang w:val="en-GB"/>
        </w:rPr>
        <w:t>2</w:t>
      </w:r>
      <w:r w:rsidR="008F6BBC" w:rsidRPr="00F54106">
        <w:rPr>
          <w:lang w:val="en-GB"/>
        </w:rPr>
        <w:t>.</w:t>
      </w:r>
      <w:r w:rsidR="001F001E" w:rsidRPr="00F54106">
        <w:rPr>
          <w:lang w:val="en-GB"/>
        </w:rPr>
        <w:t>1.</w:t>
      </w:r>
      <w:r w:rsidR="00FF058F" w:rsidRPr="00F54106">
        <w:rPr>
          <w:lang w:val="en-GB"/>
        </w:rPr>
        <w:t>8</w:t>
      </w:r>
      <w:r w:rsidR="008F6BBC" w:rsidRPr="00F54106">
        <w:rPr>
          <w:lang w:val="en-GB"/>
        </w:rPr>
        <w:t xml:space="preserve"> </w:t>
      </w:r>
      <w:r w:rsidR="00DD57E8" w:rsidRPr="00F54106">
        <w:rPr>
          <w:lang w:val="en-GB"/>
        </w:rPr>
        <w:t>Recent c</w:t>
      </w:r>
      <w:r w:rsidR="008F6BBC" w:rsidRPr="00F54106">
        <w:rPr>
          <w:lang w:val="en-GB"/>
        </w:rPr>
        <w:t>ase law</w:t>
      </w:r>
      <w:r w:rsidR="00FE0250" w:rsidRPr="00F54106">
        <w:rPr>
          <w:lang w:val="en-GB"/>
        </w:rPr>
        <w:t xml:space="preserve"> </w:t>
      </w:r>
      <w:r w:rsidR="009D543F" w:rsidRPr="00F54106">
        <w:rPr>
          <w:lang w:val="en-GB"/>
        </w:rPr>
        <w:t>regarding further</w:t>
      </w:r>
      <w:r w:rsidR="00FE0250" w:rsidRPr="00F54106">
        <w:rPr>
          <w:lang w:val="en-GB"/>
        </w:rPr>
        <w:t xml:space="preserve"> </w:t>
      </w:r>
      <w:r w:rsidR="001848FC" w:rsidRPr="00F54106">
        <w:rPr>
          <w:lang w:val="en-GB"/>
        </w:rPr>
        <w:t>claimant-friendly verdicts</w:t>
      </w:r>
      <w:bookmarkEnd w:id="62"/>
    </w:p>
    <w:p w14:paraId="4A572755" w14:textId="7B6433FA" w:rsidR="000567A1" w:rsidRPr="00F54106" w:rsidRDefault="00D65F5F" w:rsidP="00FC31D7">
      <w:pPr>
        <w:spacing w:line="276" w:lineRule="auto"/>
        <w:rPr>
          <w:rFonts w:cstheme="minorHAnsi"/>
          <w:lang w:val="en-GB"/>
        </w:rPr>
      </w:pPr>
      <w:r w:rsidRPr="00F54106">
        <w:rPr>
          <w:rFonts w:cstheme="minorHAnsi"/>
          <w:lang w:val="en-GB"/>
        </w:rPr>
        <w:t xml:space="preserve">As stated before, the large amount of case law in Germany is seen as a contributor to private enforcement of cartel damages in Germany. </w:t>
      </w:r>
      <w:r w:rsidR="00E56FD7" w:rsidRPr="00F54106">
        <w:rPr>
          <w:rFonts w:cstheme="minorHAnsi"/>
          <w:lang w:val="en-GB"/>
        </w:rPr>
        <w:t>Very recently</w:t>
      </w:r>
      <w:r w:rsidR="00345120" w:rsidRPr="00F54106">
        <w:rPr>
          <w:rFonts w:cstheme="minorHAnsi"/>
          <w:lang w:val="en-GB"/>
        </w:rPr>
        <w:t>,</w:t>
      </w:r>
      <w:r w:rsidR="008D7C14" w:rsidRPr="00F54106">
        <w:rPr>
          <w:rFonts w:cstheme="minorHAnsi"/>
          <w:lang w:val="en-GB"/>
        </w:rPr>
        <w:t xml:space="preserve"> further claimant-friendly verdicts</w:t>
      </w:r>
      <w:r w:rsidRPr="00F54106">
        <w:rPr>
          <w:rFonts w:cstheme="minorHAnsi"/>
          <w:lang w:val="en-GB"/>
        </w:rPr>
        <w:t xml:space="preserve"> are said to have </w:t>
      </w:r>
      <w:r w:rsidR="008D7C14" w:rsidRPr="00F54106">
        <w:rPr>
          <w:rFonts w:cstheme="minorHAnsi"/>
          <w:lang w:val="en-GB"/>
        </w:rPr>
        <w:t xml:space="preserve">been made </w:t>
      </w:r>
      <w:r w:rsidR="003D2A05" w:rsidRPr="00F54106">
        <w:rPr>
          <w:rFonts w:cstheme="minorHAnsi"/>
          <w:lang w:val="en-GB"/>
        </w:rPr>
        <w:t>as well, while</w:t>
      </w:r>
      <w:r w:rsidR="008D7C14" w:rsidRPr="00F54106">
        <w:rPr>
          <w:rFonts w:cstheme="minorHAnsi"/>
          <w:lang w:val="en-GB"/>
        </w:rPr>
        <w:t xml:space="preserve"> several key questions for the purposes of private enforcement in Germany have</w:t>
      </w:r>
      <w:r w:rsidR="003D2A05" w:rsidRPr="00F54106">
        <w:rPr>
          <w:rFonts w:cstheme="minorHAnsi"/>
          <w:lang w:val="en-GB"/>
        </w:rPr>
        <w:t xml:space="preserve"> also</w:t>
      </w:r>
      <w:r w:rsidR="008D7C14" w:rsidRPr="00F54106">
        <w:rPr>
          <w:rFonts w:cstheme="minorHAnsi"/>
          <w:lang w:val="en-GB"/>
        </w:rPr>
        <w:t xml:space="preserve"> been answered.</w:t>
      </w:r>
      <w:r w:rsidR="008D7C14" w:rsidRPr="00F54106">
        <w:rPr>
          <w:rStyle w:val="FootnoteReference"/>
          <w:rFonts w:cstheme="minorHAnsi"/>
          <w:lang w:val="en-GB"/>
        </w:rPr>
        <w:footnoteReference w:id="124"/>
      </w:r>
      <w:r w:rsidR="00345120" w:rsidRPr="00F54106">
        <w:rPr>
          <w:rFonts w:cstheme="minorHAnsi"/>
          <w:lang w:val="en-GB"/>
        </w:rPr>
        <w:t xml:space="preserve"> In this respect, the BGH delivered </w:t>
      </w:r>
      <w:r w:rsidR="000567A1" w:rsidRPr="00F54106">
        <w:rPr>
          <w:rFonts w:cstheme="minorHAnsi"/>
          <w:lang w:val="en-GB"/>
        </w:rPr>
        <w:t>three</w:t>
      </w:r>
      <w:r w:rsidR="00453286" w:rsidRPr="00F54106">
        <w:rPr>
          <w:rFonts w:cstheme="minorHAnsi"/>
          <w:lang w:val="en-GB"/>
        </w:rPr>
        <w:t xml:space="preserve"> claimant-friendly</w:t>
      </w:r>
      <w:r w:rsidR="00345120" w:rsidRPr="00F54106">
        <w:rPr>
          <w:rFonts w:cstheme="minorHAnsi"/>
          <w:lang w:val="en-GB"/>
        </w:rPr>
        <w:t xml:space="preserve"> rulings</w:t>
      </w:r>
      <w:r w:rsidR="00CE007E" w:rsidRPr="00F54106">
        <w:rPr>
          <w:rFonts w:cstheme="minorHAnsi"/>
          <w:lang w:val="en-GB"/>
        </w:rPr>
        <w:t>, namely</w:t>
      </w:r>
      <w:r w:rsidR="00345120" w:rsidRPr="00F54106">
        <w:rPr>
          <w:rFonts w:cstheme="minorHAnsi"/>
          <w:lang w:val="en-GB"/>
        </w:rPr>
        <w:t xml:space="preserve"> the</w:t>
      </w:r>
      <w:r w:rsidR="00453286" w:rsidRPr="00F54106">
        <w:rPr>
          <w:rFonts w:cstheme="minorHAnsi"/>
          <w:lang w:val="en-GB"/>
        </w:rPr>
        <w:t xml:space="preserve"> </w:t>
      </w:r>
      <w:r w:rsidR="00A748FA" w:rsidRPr="00F54106">
        <w:rPr>
          <w:rFonts w:cstheme="minorHAnsi"/>
          <w:lang w:val="en-GB"/>
        </w:rPr>
        <w:t xml:space="preserve">previously mentioned </w:t>
      </w:r>
      <w:r w:rsidR="00A748FA" w:rsidRPr="00F54106">
        <w:rPr>
          <w:rFonts w:cstheme="minorHAnsi"/>
          <w:i/>
          <w:iCs/>
          <w:lang w:val="en-GB"/>
        </w:rPr>
        <w:t>Air Deal</w:t>
      </w:r>
      <w:r w:rsidR="00A748FA" w:rsidRPr="00F54106">
        <w:rPr>
          <w:rFonts w:cstheme="minorHAnsi"/>
          <w:lang w:val="en-GB"/>
        </w:rPr>
        <w:t xml:space="preserve"> judgement, and the </w:t>
      </w:r>
      <w:r w:rsidR="00453286" w:rsidRPr="00F54106">
        <w:rPr>
          <w:rFonts w:cstheme="minorHAnsi"/>
          <w:i/>
          <w:iCs/>
          <w:lang w:val="en-GB"/>
        </w:rPr>
        <w:t>Rail II</w:t>
      </w:r>
      <w:r w:rsidR="00937DC5" w:rsidRPr="00F54106">
        <w:rPr>
          <w:rStyle w:val="FootnoteReference"/>
          <w:rFonts w:cstheme="minorHAnsi"/>
          <w:lang w:val="en-GB"/>
        </w:rPr>
        <w:footnoteReference w:id="125"/>
      </w:r>
      <w:r w:rsidR="00453286" w:rsidRPr="00F54106">
        <w:rPr>
          <w:rFonts w:cstheme="minorHAnsi"/>
          <w:lang w:val="en-GB"/>
        </w:rPr>
        <w:t xml:space="preserve"> </w:t>
      </w:r>
      <w:r w:rsidR="00345120" w:rsidRPr="00F54106">
        <w:rPr>
          <w:rFonts w:cstheme="minorHAnsi"/>
          <w:lang w:val="en-GB"/>
        </w:rPr>
        <w:t xml:space="preserve">and </w:t>
      </w:r>
      <w:r w:rsidR="00345120" w:rsidRPr="00F54106">
        <w:rPr>
          <w:rFonts w:cstheme="minorHAnsi"/>
          <w:i/>
          <w:iCs/>
          <w:lang w:val="en-GB"/>
        </w:rPr>
        <w:t>Trucks II</w:t>
      </w:r>
      <w:r w:rsidR="00937DC5" w:rsidRPr="00F54106">
        <w:rPr>
          <w:rStyle w:val="FootnoteReference"/>
          <w:rFonts w:cstheme="minorHAnsi"/>
          <w:lang w:val="en-GB"/>
        </w:rPr>
        <w:footnoteReference w:id="126"/>
      </w:r>
      <w:r w:rsidR="00345120" w:rsidRPr="00F54106">
        <w:rPr>
          <w:rFonts w:cstheme="minorHAnsi"/>
          <w:lang w:val="en-GB"/>
        </w:rPr>
        <w:t xml:space="preserve"> judgement</w:t>
      </w:r>
      <w:r w:rsidR="005869C6" w:rsidRPr="00F54106">
        <w:rPr>
          <w:rFonts w:cstheme="minorHAnsi"/>
          <w:lang w:val="en-GB"/>
        </w:rPr>
        <w:t>s</w:t>
      </w:r>
      <w:r w:rsidR="00345120" w:rsidRPr="00F54106">
        <w:rPr>
          <w:rFonts w:cstheme="minorHAnsi"/>
          <w:lang w:val="en-GB"/>
        </w:rPr>
        <w:t xml:space="preserve"> in </w:t>
      </w:r>
      <w:r w:rsidR="00A748FA" w:rsidRPr="00F54106">
        <w:rPr>
          <w:rFonts w:cstheme="minorHAnsi"/>
          <w:lang w:val="en-GB"/>
        </w:rPr>
        <w:t xml:space="preserve">2020 and </w:t>
      </w:r>
      <w:r w:rsidR="00345120" w:rsidRPr="00F54106">
        <w:rPr>
          <w:rFonts w:cstheme="minorHAnsi"/>
          <w:lang w:val="en-GB"/>
        </w:rPr>
        <w:t>2021</w:t>
      </w:r>
      <w:r w:rsidR="00A748FA" w:rsidRPr="00F54106">
        <w:rPr>
          <w:rFonts w:cstheme="minorHAnsi"/>
          <w:lang w:val="en-GB"/>
        </w:rPr>
        <w:t xml:space="preserve"> respectively</w:t>
      </w:r>
      <w:r w:rsidR="00345120" w:rsidRPr="00F54106">
        <w:rPr>
          <w:rFonts w:cstheme="minorHAnsi"/>
          <w:lang w:val="en-GB"/>
        </w:rPr>
        <w:t xml:space="preserve">. </w:t>
      </w:r>
    </w:p>
    <w:p w14:paraId="04E4252A" w14:textId="546816E9" w:rsidR="00EC298D" w:rsidRPr="00F54106" w:rsidRDefault="00E56FD7" w:rsidP="00FC31D7">
      <w:pPr>
        <w:spacing w:line="276" w:lineRule="auto"/>
        <w:ind w:firstLine="720"/>
        <w:rPr>
          <w:rFonts w:cstheme="minorHAnsi"/>
          <w:lang w:val="en-GB"/>
        </w:rPr>
      </w:pPr>
      <w:r w:rsidRPr="00F54106">
        <w:rPr>
          <w:rFonts w:cstheme="minorHAnsi"/>
          <w:lang w:val="en-GB"/>
        </w:rPr>
        <w:t xml:space="preserve">In the </w:t>
      </w:r>
      <w:r w:rsidRPr="00F54106">
        <w:rPr>
          <w:rFonts w:cstheme="minorHAnsi"/>
          <w:i/>
          <w:iCs/>
          <w:lang w:val="en-GB"/>
        </w:rPr>
        <w:t>Rail II</w:t>
      </w:r>
      <w:r w:rsidRPr="00F54106">
        <w:rPr>
          <w:rFonts w:cstheme="minorHAnsi"/>
          <w:lang w:val="en-GB"/>
        </w:rPr>
        <w:t xml:space="preserve"> judgement, the BGH </w:t>
      </w:r>
      <w:r w:rsidR="00532CA5" w:rsidRPr="00F54106">
        <w:rPr>
          <w:rFonts w:cstheme="minorHAnsi"/>
          <w:lang w:val="en-GB"/>
        </w:rPr>
        <w:t>held that a claimant is harmed if the defendant is guilty of anticompetitive conduct</w:t>
      </w:r>
      <w:r w:rsidR="000F7A20" w:rsidRPr="00F54106">
        <w:rPr>
          <w:rFonts w:cstheme="minorHAnsi"/>
          <w:lang w:val="en-GB"/>
        </w:rPr>
        <w:t xml:space="preserve"> that is able to indirectly or directly justify that harm, </w:t>
      </w:r>
      <w:r w:rsidR="005217E5" w:rsidRPr="00F54106">
        <w:rPr>
          <w:rFonts w:cstheme="minorHAnsi"/>
          <w:lang w:val="en-GB"/>
        </w:rPr>
        <w:t>which</w:t>
      </w:r>
      <w:r w:rsidR="00B371CA" w:rsidRPr="00F54106">
        <w:rPr>
          <w:rFonts w:cstheme="minorHAnsi"/>
          <w:lang w:val="en-GB"/>
        </w:rPr>
        <w:t xml:space="preserve"> </w:t>
      </w:r>
      <w:r w:rsidR="00C52E7D" w:rsidRPr="00F54106">
        <w:rPr>
          <w:rFonts w:cstheme="minorHAnsi"/>
          <w:lang w:val="en-GB"/>
        </w:rPr>
        <w:t>is immediately proven if the purchases fall within the objective, geographical and temporal scope</w:t>
      </w:r>
      <w:r w:rsidR="000F7A20" w:rsidRPr="00F54106">
        <w:rPr>
          <w:rFonts w:cstheme="minorHAnsi"/>
          <w:lang w:val="en-GB"/>
        </w:rPr>
        <w:t xml:space="preserve"> of the agreement</w:t>
      </w:r>
      <w:r w:rsidR="00C52E7D" w:rsidRPr="00F54106">
        <w:rPr>
          <w:rFonts w:cstheme="minorHAnsi"/>
          <w:lang w:val="en-GB"/>
        </w:rPr>
        <w:t>.</w:t>
      </w:r>
      <w:r w:rsidR="00B371CA" w:rsidRPr="00F54106">
        <w:rPr>
          <w:rStyle w:val="FootnoteReference"/>
          <w:rFonts w:cstheme="minorHAnsi"/>
          <w:lang w:val="en-GB"/>
        </w:rPr>
        <w:footnoteReference w:id="127"/>
      </w:r>
      <w:r w:rsidR="000B3677" w:rsidRPr="00F54106">
        <w:rPr>
          <w:rFonts w:cstheme="minorHAnsi"/>
          <w:lang w:val="en-GB"/>
        </w:rPr>
        <w:t xml:space="preserve"> </w:t>
      </w:r>
      <w:r w:rsidR="009417A0" w:rsidRPr="00F54106">
        <w:rPr>
          <w:rFonts w:cstheme="minorHAnsi"/>
          <w:lang w:val="en-GB"/>
        </w:rPr>
        <w:t xml:space="preserve">Furthermore, assessing if there is a causal link in each individual transaction in order to establish liability was also held as unnecessary, while </w:t>
      </w:r>
      <w:r w:rsidR="000B3677" w:rsidRPr="00F54106">
        <w:rPr>
          <w:rFonts w:cstheme="minorHAnsi"/>
          <w:lang w:val="en-GB"/>
        </w:rPr>
        <w:t xml:space="preserve">it </w:t>
      </w:r>
      <w:r w:rsidR="009417A0" w:rsidRPr="00F54106">
        <w:rPr>
          <w:rFonts w:cstheme="minorHAnsi"/>
          <w:lang w:val="en-GB"/>
        </w:rPr>
        <w:t xml:space="preserve">further </w:t>
      </w:r>
      <w:r w:rsidR="000B3677" w:rsidRPr="00F54106">
        <w:rPr>
          <w:rFonts w:cstheme="minorHAnsi"/>
          <w:lang w:val="en-GB"/>
        </w:rPr>
        <w:t xml:space="preserve">clarified that </w:t>
      </w:r>
      <w:r w:rsidR="009808DC" w:rsidRPr="00F54106">
        <w:rPr>
          <w:rFonts w:cstheme="minorHAnsi"/>
          <w:lang w:val="en-GB"/>
        </w:rPr>
        <w:t>courts</w:t>
      </w:r>
      <w:r w:rsidR="000B3677" w:rsidRPr="00F54106">
        <w:rPr>
          <w:rFonts w:cstheme="minorHAnsi"/>
          <w:lang w:val="en-GB"/>
        </w:rPr>
        <w:t xml:space="preserve"> should be able to assume a causal link between the antitrust violation and the </w:t>
      </w:r>
      <w:r w:rsidR="009808DC" w:rsidRPr="00F54106">
        <w:rPr>
          <w:rFonts w:cstheme="minorHAnsi"/>
          <w:lang w:val="en-GB"/>
        </w:rPr>
        <w:t xml:space="preserve">claimed damages </w:t>
      </w:r>
      <w:r w:rsidR="000B3677" w:rsidRPr="00F54106">
        <w:rPr>
          <w:rFonts w:cstheme="minorHAnsi"/>
          <w:lang w:val="en-GB"/>
        </w:rPr>
        <w:t xml:space="preserve">if it is </w:t>
      </w:r>
      <w:r w:rsidR="009808DC" w:rsidRPr="00F54106">
        <w:rPr>
          <w:rFonts w:cstheme="minorHAnsi"/>
          <w:lang w:val="en-GB"/>
        </w:rPr>
        <w:t xml:space="preserve">“predominantly probable” that </w:t>
      </w:r>
      <w:r w:rsidR="00C25010" w:rsidRPr="00F54106">
        <w:rPr>
          <w:rFonts w:cstheme="minorHAnsi"/>
          <w:lang w:val="en-GB"/>
        </w:rPr>
        <w:t>the antitrust violation</w:t>
      </w:r>
      <w:r w:rsidR="009808DC" w:rsidRPr="00F54106">
        <w:rPr>
          <w:rFonts w:cstheme="minorHAnsi"/>
          <w:lang w:val="en-GB"/>
        </w:rPr>
        <w:t xml:space="preserve"> has caused the</w:t>
      </w:r>
      <w:r w:rsidR="00C25010" w:rsidRPr="00F54106">
        <w:rPr>
          <w:rFonts w:cstheme="minorHAnsi"/>
          <w:lang w:val="en-GB"/>
        </w:rPr>
        <w:t xml:space="preserve"> </w:t>
      </w:r>
      <w:r w:rsidR="009808DC" w:rsidRPr="00F54106">
        <w:rPr>
          <w:rFonts w:cstheme="minorHAnsi"/>
          <w:lang w:val="en-GB"/>
        </w:rPr>
        <w:t>harm.</w:t>
      </w:r>
      <w:r w:rsidR="0083615B" w:rsidRPr="00F54106">
        <w:rPr>
          <w:rStyle w:val="FootnoteReference"/>
          <w:rFonts w:cstheme="minorHAnsi"/>
          <w:lang w:val="en-GB"/>
        </w:rPr>
        <w:footnoteReference w:id="128"/>
      </w:r>
      <w:r w:rsidR="009808DC" w:rsidRPr="00F54106">
        <w:rPr>
          <w:rFonts w:cstheme="minorHAnsi"/>
          <w:lang w:val="en-GB"/>
        </w:rPr>
        <w:t xml:space="preserve"> As a result</w:t>
      </w:r>
      <w:r w:rsidR="00C25010" w:rsidRPr="00F54106">
        <w:rPr>
          <w:rFonts w:cstheme="minorHAnsi"/>
          <w:lang w:val="en-GB"/>
        </w:rPr>
        <w:t>,</w:t>
      </w:r>
      <w:r w:rsidR="009808DC" w:rsidRPr="00F54106">
        <w:rPr>
          <w:rFonts w:cstheme="minorHAnsi"/>
          <w:lang w:val="en-GB"/>
        </w:rPr>
        <w:t xml:space="preserve"> it </w:t>
      </w:r>
      <w:r w:rsidR="00C25010" w:rsidRPr="00F54106">
        <w:rPr>
          <w:rFonts w:cstheme="minorHAnsi"/>
          <w:lang w:val="en-GB"/>
        </w:rPr>
        <w:t xml:space="preserve">stated that the lower standards of proof </w:t>
      </w:r>
      <w:r w:rsidR="009417A0" w:rsidRPr="00F54106">
        <w:rPr>
          <w:rFonts w:cstheme="minorHAnsi"/>
          <w:lang w:val="en-GB"/>
        </w:rPr>
        <w:lastRenderedPageBreak/>
        <w:t>pursuant to section 287 of the ZPO should be employed instead of the general standards of proof under</w:t>
      </w:r>
      <w:r w:rsidR="005217E5" w:rsidRPr="00F54106">
        <w:rPr>
          <w:rFonts w:cstheme="minorHAnsi"/>
          <w:lang w:val="en-GB"/>
        </w:rPr>
        <w:t xml:space="preserve"> section 286 of the ZPO</w:t>
      </w:r>
      <w:r w:rsidR="00C25010" w:rsidRPr="00F54106">
        <w:rPr>
          <w:rFonts w:cstheme="minorHAnsi"/>
          <w:lang w:val="en-GB"/>
        </w:rPr>
        <w:t>,</w:t>
      </w:r>
      <w:r w:rsidR="009417A0" w:rsidRPr="00F54106">
        <w:rPr>
          <w:rFonts w:cstheme="minorHAnsi"/>
          <w:lang w:val="en-GB"/>
        </w:rPr>
        <w:t xml:space="preserve"> which requires plaintiff</w:t>
      </w:r>
      <w:r w:rsidR="00D5043A" w:rsidRPr="00F54106">
        <w:rPr>
          <w:rFonts w:cstheme="minorHAnsi"/>
          <w:lang w:val="en-GB"/>
        </w:rPr>
        <w:t>s</w:t>
      </w:r>
      <w:r w:rsidR="009417A0" w:rsidRPr="00F54106">
        <w:rPr>
          <w:rFonts w:cstheme="minorHAnsi"/>
          <w:lang w:val="en-GB"/>
        </w:rPr>
        <w:t xml:space="preserve"> to proof the causal connection</w:t>
      </w:r>
      <w:r w:rsidR="00D5043A" w:rsidRPr="00F54106">
        <w:rPr>
          <w:rFonts w:cstheme="minorHAnsi"/>
          <w:lang w:val="en-GB"/>
        </w:rPr>
        <w:t xml:space="preserve"> between the damage and the infringement</w:t>
      </w:r>
      <w:r w:rsidR="009417A0" w:rsidRPr="00F54106">
        <w:rPr>
          <w:rFonts w:cstheme="minorHAnsi"/>
          <w:lang w:val="en-GB"/>
        </w:rPr>
        <w:t xml:space="preserve"> </w:t>
      </w:r>
      <w:r w:rsidR="00D5043A" w:rsidRPr="00F54106">
        <w:rPr>
          <w:rFonts w:cstheme="minorHAnsi"/>
          <w:lang w:val="en-GB"/>
        </w:rPr>
        <w:t>“</w:t>
      </w:r>
      <w:r w:rsidR="009417A0" w:rsidRPr="00F54106">
        <w:rPr>
          <w:rFonts w:cstheme="minorHAnsi"/>
          <w:lang w:val="en-GB"/>
        </w:rPr>
        <w:t>beyond a reasonable doubt</w:t>
      </w:r>
      <w:r w:rsidR="00D5043A" w:rsidRPr="00F54106">
        <w:rPr>
          <w:rFonts w:cstheme="minorHAnsi"/>
          <w:lang w:val="en-GB"/>
        </w:rPr>
        <w:t>”</w:t>
      </w:r>
      <w:r w:rsidR="009417A0" w:rsidRPr="00F54106">
        <w:rPr>
          <w:rFonts w:cstheme="minorHAnsi"/>
          <w:lang w:val="en-GB"/>
        </w:rPr>
        <w:t>.</w:t>
      </w:r>
      <w:r w:rsidR="009417A0" w:rsidRPr="00F54106">
        <w:rPr>
          <w:rStyle w:val="FootnoteReference"/>
          <w:rFonts w:cstheme="minorHAnsi"/>
          <w:lang w:val="en-GB"/>
        </w:rPr>
        <w:footnoteReference w:id="129"/>
      </w:r>
      <w:r w:rsidR="009417A0" w:rsidRPr="00F54106">
        <w:rPr>
          <w:rFonts w:cstheme="minorHAnsi"/>
          <w:lang w:val="en-GB"/>
        </w:rPr>
        <w:t xml:space="preserve"> </w:t>
      </w:r>
    </w:p>
    <w:p w14:paraId="2643CB70" w14:textId="47D23FF1" w:rsidR="00FF058F" w:rsidRPr="00F54106" w:rsidRDefault="00CE007E" w:rsidP="0077734C">
      <w:pPr>
        <w:spacing w:line="276" w:lineRule="auto"/>
        <w:ind w:firstLine="720"/>
        <w:rPr>
          <w:rFonts w:cstheme="minorHAnsi"/>
          <w:lang w:val="en-GB"/>
        </w:rPr>
      </w:pPr>
      <w:r w:rsidRPr="00F54106">
        <w:rPr>
          <w:rFonts w:cstheme="minorHAnsi"/>
          <w:lang w:val="en-GB"/>
        </w:rPr>
        <w:t xml:space="preserve">In the </w:t>
      </w:r>
      <w:r w:rsidRPr="00F54106">
        <w:rPr>
          <w:rFonts w:cstheme="minorHAnsi"/>
          <w:i/>
          <w:iCs/>
          <w:lang w:val="en-GB"/>
        </w:rPr>
        <w:t>Trucks I</w:t>
      </w:r>
      <w:r w:rsidR="000567A1" w:rsidRPr="00F54106">
        <w:rPr>
          <w:rFonts w:cstheme="minorHAnsi"/>
          <w:i/>
          <w:iCs/>
          <w:lang w:val="en-GB"/>
        </w:rPr>
        <w:t>I</w:t>
      </w:r>
      <w:r w:rsidRPr="00F54106">
        <w:rPr>
          <w:rFonts w:cstheme="minorHAnsi"/>
          <w:lang w:val="en-GB"/>
        </w:rPr>
        <w:t xml:space="preserve"> judgement, </w:t>
      </w:r>
      <w:r w:rsidR="000567A1" w:rsidRPr="00F54106">
        <w:rPr>
          <w:rFonts w:cstheme="minorHAnsi"/>
          <w:lang w:val="en-GB"/>
        </w:rPr>
        <w:t xml:space="preserve">private enforcement </w:t>
      </w:r>
      <w:r w:rsidR="00A10544" w:rsidRPr="00F54106">
        <w:rPr>
          <w:rFonts w:cstheme="minorHAnsi"/>
          <w:lang w:val="en-GB"/>
        </w:rPr>
        <w:t xml:space="preserve">in Germany </w:t>
      </w:r>
      <w:r w:rsidR="000567A1" w:rsidRPr="00F54106">
        <w:rPr>
          <w:rFonts w:cstheme="minorHAnsi"/>
          <w:lang w:val="en-GB"/>
        </w:rPr>
        <w:t xml:space="preserve">was further facilitated as the BGH </w:t>
      </w:r>
      <w:r w:rsidR="00EC298D" w:rsidRPr="00F54106">
        <w:rPr>
          <w:rFonts w:cstheme="minorHAnsi"/>
          <w:lang w:val="en-GB"/>
        </w:rPr>
        <w:t xml:space="preserve">clarified some uncertainty surrounding the limitation periods, the passing-on </w:t>
      </w:r>
      <w:r w:rsidR="00ED1E88" w:rsidRPr="00F54106">
        <w:rPr>
          <w:rFonts w:cstheme="minorHAnsi"/>
          <w:lang w:val="en-GB"/>
        </w:rPr>
        <w:t>defence</w:t>
      </w:r>
      <w:r w:rsidR="00EC298D" w:rsidRPr="00F54106">
        <w:rPr>
          <w:rFonts w:cstheme="minorHAnsi"/>
          <w:lang w:val="en-GB"/>
        </w:rPr>
        <w:t xml:space="preserve"> and the role of economic expert opinions.</w:t>
      </w:r>
      <w:r w:rsidR="00EC298D" w:rsidRPr="00F54106">
        <w:rPr>
          <w:rStyle w:val="FootnoteReference"/>
          <w:rFonts w:cstheme="minorHAnsi"/>
          <w:lang w:val="en-GB"/>
        </w:rPr>
        <w:footnoteReference w:id="130"/>
      </w:r>
      <w:r w:rsidR="00A10544" w:rsidRPr="00F54106">
        <w:rPr>
          <w:rFonts w:cstheme="minorHAnsi"/>
          <w:lang w:val="en-GB"/>
        </w:rPr>
        <w:t xml:space="preserve"> </w:t>
      </w:r>
      <w:r w:rsidR="00564256" w:rsidRPr="00F54106">
        <w:rPr>
          <w:rFonts w:cstheme="minorHAnsi"/>
          <w:lang w:val="en-GB"/>
        </w:rPr>
        <w:t xml:space="preserve">For the limitation periods, </w:t>
      </w:r>
      <w:r w:rsidR="00A10544" w:rsidRPr="00F54106">
        <w:rPr>
          <w:rFonts w:cstheme="minorHAnsi"/>
          <w:lang w:val="en-GB"/>
        </w:rPr>
        <w:t xml:space="preserve">the BGH stated that the grace period after a concluded investigation </w:t>
      </w:r>
      <w:r w:rsidR="00564256" w:rsidRPr="00F54106">
        <w:rPr>
          <w:rFonts w:cstheme="minorHAnsi"/>
          <w:lang w:val="en-GB"/>
        </w:rPr>
        <w:t>“does not begin with the notification of the fining decision, but with the expiry of the 2-month period for filing an action for annulment pursuant to art.263(4) TFEU”.</w:t>
      </w:r>
      <w:r w:rsidR="00564256" w:rsidRPr="00F54106">
        <w:rPr>
          <w:rStyle w:val="FootnoteReference"/>
          <w:rFonts w:cstheme="minorHAnsi"/>
          <w:lang w:val="en-GB"/>
        </w:rPr>
        <w:footnoteReference w:id="131"/>
      </w:r>
      <w:r w:rsidR="00564256" w:rsidRPr="00F54106">
        <w:rPr>
          <w:rFonts w:cstheme="minorHAnsi"/>
          <w:lang w:val="en-GB"/>
        </w:rPr>
        <w:t xml:space="preserve"> </w:t>
      </w:r>
      <w:r w:rsidR="00070F7B" w:rsidRPr="00F54106">
        <w:rPr>
          <w:rFonts w:cstheme="minorHAnsi"/>
          <w:lang w:val="en-GB"/>
        </w:rPr>
        <w:t>The BGH</w:t>
      </w:r>
      <w:r w:rsidR="00383F20" w:rsidRPr="00F54106">
        <w:rPr>
          <w:rFonts w:cstheme="minorHAnsi"/>
          <w:lang w:val="en-GB"/>
        </w:rPr>
        <w:t xml:space="preserve"> also recognized that private enforcement is an essential element for the </w:t>
      </w:r>
      <w:r w:rsidR="009175D0" w:rsidRPr="00F54106">
        <w:rPr>
          <w:rFonts w:cstheme="minorHAnsi"/>
          <w:lang w:val="en-GB"/>
        </w:rPr>
        <w:t>complete and successful enforcement of competition law.</w:t>
      </w:r>
      <w:r w:rsidR="00BC623A" w:rsidRPr="00F54106">
        <w:rPr>
          <w:rStyle w:val="FootnoteReference"/>
          <w:rFonts w:cstheme="minorHAnsi"/>
          <w:lang w:val="en-GB"/>
        </w:rPr>
        <w:footnoteReference w:id="132"/>
      </w:r>
      <w:r w:rsidR="00070F7B" w:rsidRPr="00F54106">
        <w:rPr>
          <w:rFonts w:cstheme="minorHAnsi"/>
          <w:lang w:val="en-GB"/>
        </w:rPr>
        <w:t xml:space="preserve"> </w:t>
      </w:r>
      <w:r w:rsidR="0027655F" w:rsidRPr="00F54106">
        <w:rPr>
          <w:rFonts w:cstheme="minorHAnsi"/>
          <w:lang w:val="en-GB"/>
        </w:rPr>
        <w:t>I</w:t>
      </w:r>
      <w:r w:rsidR="00D57C8A" w:rsidRPr="00F54106">
        <w:rPr>
          <w:rFonts w:cstheme="minorHAnsi"/>
          <w:lang w:val="en-GB"/>
        </w:rPr>
        <w:t>n light of this, it</w:t>
      </w:r>
      <w:r w:rsidR="00070F7B" w:rsidRPr="00F54106">
        <w:rPr>
          <w:rFonts w:cstheme="minorHAnsi"/>
          <w:lang w:val="en-GB"/>
        </w:rPr>
        <w:t xml:space="preserve"> concluded that the passing-on defen</w:t>
      </w:r>
      <w:r w:rsidR="00ED1E88" w:rsidRPr="00F54106">
        <w:rPr>
          <w:rFonts w:cstheme="minorHAnsi"/>
          <w:lang w:val="en-GB"/>
        </w:rPr>
        <w:t>c</w:t>
      </w:r>
      <w:r w:rsidR="00070F7B" w:rsidRPr="00F54106">
        <w:rPr>
          <w:rFonts w:cstheme="minorHAnsi"/>
          <w:lang w:val="en-GB"/>
        </w:rPr>
        <w:t>e may be disregarded if the prospect</w:t>
      </w:r>
      <w:r w:rsidR="00383F20" w:rsidRPr="00F54106">
        <w:rPr>
          <w:rFonts w:cstheme="minorHAnsi"/>
          <w:lang w:val="en-GB"/>
        </w:rPr>
        <w:t>s</w:t>
      </w:r>
      <w:r w:rsidR="00070F7B" w:rsidRPr="00F54106">
        <w:rPr>
          <w:rFonts w:cstheme="minorHAnsi"/>
          <w:lang w:val="en-GB"/>
        </w:rPr>
        <w:t xml:space="preserve"> on eventual compensation </w:t>
      </w:r>
      <w:r w:rsidR="00383F20" w:rsidRPr="00F54106">
        <w:rPr>
          <w:rFonts w:cstheme="minorHAnsi"/>
          <w:lang w:val="en-GB"/>
        </w:rPr>
        <w:t>is</w:t>
      </w:r>
      <w:r w:rsidR="00070F7B" w:rsidRPr="00F54106">
        <w:rPr>
          <w:rFonts w:cstheme="minorHAnsi"/>
          <w:lang w:val="en-GB"/>
        </w:rPr>
        <w:t xml:space="preserve"> low for indirect purchasers</w:t>
      </w:r>
      <w:r w:rsidR="00BE6B2A" w:rsidRPr="00F54106">
        <w:rPr>
          <w:rFonts w:cstheme="minorHAnsi"/>
          <w:lang w:val="en-GB"/>
        </w:rPr>
        <w:t xml:space="preserve"> and </w:t>
      </w:r>
      <w:r w:rsidR="00383F20" w:rsidRPr="00F54106">
        <w:rPr>
          <w:rFonts w:cstheme="minorHAnsi"/>
          <w:lang w:val="en-GB"/>
        </w:rPr>
        <w:t>further specified that</w:t>
      </w:r>
      <w:r w:rsidR="009175D0" w:rsidRPr="00F54106">
        <w:rPr>
          <w:rFonts w:cstheme="minorHAnsi"/>
          <w:lang w:val="en-GB"/>
        </w:rPr>
        <w:t>,</w:t>
      </w:r>
      <w:r w:rsidR="00383F20" w:rsidRPr="00F54106">
        <w:rPr>
          <w:rFonts w:cstheme="minorHAnsi"/>
          <w:lang w:val="en-GB"/>
        </w:rPr>
        <w:t xml:space="preserve"> </w:t>
      </w:r>
      <w:r w:rsidR="009175D0" w:rsidRPr="00F54106">
        <w:rPr>
          <w:rFonts w:cstheme="minorHAnsi"/>
          <w:lang w:val="en-GB"/>
        </w:rPr>
        <w:t xml:space="preserve">if there was uncertainty surrounding this issue, </w:t>
      </w:r>
      <w:r w:rsidR="00383F20" w:rsidRPr="00F54106">
        <w:rPr>
          <w:rFonts w:cstheme="minorHAnsi"/>
          <w:lang w:val="en-GB"/>
        </w:rPr>
        <w:t xml:space="preserve">it </w:t>
      </w:r>
      <w:r w:rsidR="00BE6B2A" w:rsidRPr="00F54106">
        <w:rPr>
          <w:rFonts w:cstheme="minorHAnsi"/>
          <w:lang w:val="en-GB"/>
        </w:rPr>
        <w:t>was of the opinion that overcompensation</w:t>
      </w:r>
      <w:r w:rsidR="00383F20" w:rsidRPr="00F54106">
        <w:rPr>
          <w:rFonts w:cstheme="minorHAnsi"/>
          <w:lang w:val="en-GB"/>
        </w:rPr>
        <w:t xml:space="preserve"> </w:t>
      </w:r>
      <w:r w:rsidR="009175D0" w:rsidRPr="00F54106">
        <w:rPr>
          <w:rFonts w:cstheme="minorHAnsi"/>
          <w:lang w:val="en-GB"/>
        </w:rPr>
        <w:t>would be the lesser evil compared to no compensation and allowing cartelists to retain some of their illicit overcharges</w:t>
      </w:r>
      <w:r w:rsidR="00070F7B" w:rsidRPr="00F54106">
        <w:rPr>
          <w:rFonts w:cstheme="minorHAnsi"/>
          <w:lang w:val="en-GB"/>
        </w:rPr>
        <w:t>.</w:t>
      </w:r>
      <w:r w:rsidR="00070F7B" w:rsidRPr="00F54106">
        <w:rPr>
          <w:rStyle w:val="FootnoteReference"/>
          <w:rFonts w:cstheme="minorHAnsi"/>
          <w:lang w:val="en-GB"/>
        </w:rPr>
        <w:footnoteReference w:id="133"/>
      </w:r>
      <w:r w:rsidR="00070F7B" w:rsidRPr="00F54106">
        <w:rPr>
          <w:rFonts w:cstheme="minorHAnsi"/>
          <w:lang w:val="en-GB"/>
        </w:rPr>
        <w:t xml:space="preserve"> Finally, </w:t>
      </w:r>
      <w:r w:rsidR="000727D9" w:rsidRPr="00F54106">
        <w:rPr>
          <w:rFonts w:cstheme="minorHAnsi"/>
          <w:lang w:val="en-GB"/>
        </w:rPr>
        <w:t>it was held that</w:t>
      </w:r>
      <w:r w:rsidR="00777F29" w:rsidRPr="00F54106">
        <w:rPr>
          <w:rFonts w:cstheme="minorHAnsi"/>
          <w:lang w:val="en-GB"/>
        </w:rPr>
        <w:t xml:space="preserve"> “all and any circumstances of indicative value” for the purposes of</w:t>
      </w:r>
      <w:r w:rsidR="000727D9" w:rsidRPr="00F54106">
        <w:rPr>
          <w:rFonts w:cstheme="minorHAnsi"/>
          <w:lang w:val="en-GB"/>
        </w:rPr>
        <w:t xml:space="preserve"> </w:t>
      </w:r>
      <w:r w:rsidR="00777F29" w:rsidRPr="00F54106">
        <w:rPr>
          <w:rFonts w:cstheme="minorHAnsi"/>
          <w:lang w:val="en-GB"/>
        </w:rPr>
        <w:t>investigating</w:t>
      </w:r>
      <w:r w:rsidR="000727D9" w:rsidRPr="00F54106">
        <w:rPr>
          <w:rFonts w:cstheme="minorHAnsi"/>
          <w:lang w:val="en-GB"/>
        </w:rPr>
        <w:t xml:space="preserve"> and </w:t>
      </w:r>
      <w:r w:rsidR="00777F29" w:rsidRPr="00F54106">
        <w:rPr>
          <w:rFonts w:cstheme="minorHAnsi"/>
          <w:lang w:val="en-GB"/>
        </w:rPr>
        <w:t>determining</w:t>
      </w:r>
      <w:r w:rsidR="000727D9" w:rsidRPr="00F54106">
        <w:rPr>
          <w:rFonts w:cstheme="minorHAnsi"/>
          <w:lang w:val="en-GB"/>
        </w:rPr>
        <w:t xml:space="preserve"> damages pursuant to section 287 of the ZPO</w:t>
      </w:r>
      <w:r w:rsidR="00777F29" w:rsidRPr="00F54106">
        <w:rPr>
          <w:rFonts w:cstheme="minorHAnsi"/>
          <w:lang w:val="en-GB"/>
        </w:rPr>
        <w:t xml:space="preserve"> should be reviewed, but a court is never bound by them.</w:t>
      </w:r>
      <w:r w:rsidR="005869C6" w:rsidRPr="00F54106">
        <w:rPr>
          <w:rStyle w:val="FootnoteReference"/>
          <w:rFonts w:cstheme="minorHAnsi"/>
          <w:lang w:val="en-GB"/>
        </w:rPr>
        <w:footnoteReference w:id="134"/>
      </w:r>
      <w:r w:rsidR="00777F29" w:rsidRPr="00F54106">
        <w:rPr>
          <w:rFonts w:cstheme="minorHAnsi"/>
          <w:lang w:val="en-GB"/>
        </w:rPr>
        <w:t xml:space="preserve"> Hence,</w:t>
      </w:r>
      <w:r w:rsidR="00576D19" w:rsidRPr="00F54106">
        <w:rPr>
          <w:rFonts w:cstheme="minorHAnsi"/>
          <w:lang w:val="en-GB"/>
        </w:rPr>
        <w:t xml:space="preserve"> technically impeccable regression analyses</w:t>
      </w:r>
      <w:r w:rsidR="00363722" w:rsidRPr="00F54106">
        <w:rPr>
          <w:rFonts w:cstheme="minorHAnsi"/>
          <w:lang w:val="en-GB"/>
        </w:rPr>
        <w:t xml:space="preserve"> by defendants</w:t>
      </w:r>
      <w:r w:rsidR="00576D19" w:rsidRPr="00F54106">
        <w:rPr>
          <w:rFonts w:cstheme="minorHAnsi"/>
          <w:lang w:val="en-GB"/>
        </w:rPr>
        <w:t xml:space="preserve"> may</w:t>
      </w:r>
      <w:r w:rsidR="005869C6" w:rsidRPr="00F54106">
        <w:rPr>
          <w:rFonts w:cstheme="minorHAnsi"/>
          <w:lang w:val="en-GB"/>
        </w:rPr>
        <w:t xml:space="preserve"> nevertheless</w:t>
      </w:r>
      <w:r w:rsidR="00576D19" w:rsidRPr="00F54106">
        <w:rPr>
          <w:rFonts w:cstheme="minorHAnsi"/>
          <w:lang w:val="en-GB"/>
        </w:rPr>
        <w:t xml:space="preserve"> </w:t>
      </w:r>
      <w:r w:rsidR="005869C6" w:rsidRPr="00F54106">
        <w:rPr>
          <w:rFonts w:cstheme="minorHAnsi"/>
          <w:lang w:val="en-GB"/>
        </w:rPr>
        <w:t>be overruled</w:t>
      </w:r>
      <w:r w:rsidR="00576D19" w:rsidRPr="00F54106">
        <w:rPr>
          <w:rFonts w:cstheme="minorHAnsi"/>
          <w:lang w:val="en-GB"/>
        </w:rPr>
        <w:t xml:space="preserve"> by court</w:t>
      </w:r>
      <w:r w:rsidR="005869C6" w:rsidRPr="00F54106">
        <w:rPr>
          <w:rFonts w:cstheme="minorHAnsi"/>
          <w:lang w:val="en-GB"/>
        </w:rPr>
        <w:t xml:space="preserve">s, even if these analyses </w:t>
      </w:r>
      <w:r w:rsidR="00576D19" w:rsidRPr="00F54106">
        <w:rPr>
          <w:rFonts w:cstheme="minorHAnsi"/>
          <w:lang w:val="en-GB"/>
        </w:rPr>
        <w:t>show</w:t>
      </w:r>
      <w:r w:rsidR="005869C6" w:rsidRPr="00F54106">
        <w:rPr>
          <w:rFonts w:cstheme="minorHAnsi"/>
          <w:lang w:val="en-GB"/>
        </w:rPr>
        <w:t xml:space="preserve"> that there is no overcharge at all.</w:t>
      </w:r>
      <w:r w:rsidR="005869C6" w:rsidRPr="00F54106">
        <w:rPr>
          <w:rStyle w:val="FootnoteReference"/>
          <w:rFonts w:cstheme="minorHAnsi"/>
          <w:lang w:val="en-GB"/>
        </w:rPr>
        <w:footnoteReference w:id="135"/>
      </w:r>
    </w:p>
    <w:p w14:paraId="67EBD106" w14:textId="77777777" w:rsidR="00AA3172" w:rsidRPr="00F54106" w:rsidRDefault="00AA3172" w:rsidP="00AA3172">
      <w:pPr>
        <w:spacing w:line="276" w:lineRule="auto"/>
        <w:rPr>
          <w:rFonts w:cstheme="minorHAnsi"/>
          <w:lang w:val="en-GB"/>
        </w:rPr>
      </w:pPr>
    </w:p>
    <w:p w14:paraId="5B718093" w14:textId="6472AE45" w:rsidR="00F23751" w:rsidRPr="00F54106" w:rsidRDefault="00F23751" w:rsidP="00AA3172">
      <w:pPr>
        <w:pStyle w:val="Heading3"/>
        <w:rPr>
          <w:lang w:val="en-GB"/>
        </w:rPr>
      </w:pPr>
      <w:bookmarkStart w:id="66" w:name="_Toc107610225"/>
      <w:r w:rsidRPr="00F54106">
        <w:rPr>
          <w:lang w:val="en-GB"/>
        </w:rPr>
        <w:t>2.</w:t>
      </w:r>
      <w:r w:rsidR="001F001E" w:rsidRPr="00F54106">
        <w:rPr>
          <w:lang w:val="en-GB"/>
        </w:rPr>
        <w:t>1.</w:t>
      </w:r>
      <w:r w:rsidRPr="00F54106">
        <w:rPr>
          <w:lang w:val="en-GB"/>
        </w:rPr>
        <w:t>9 Interim conclusions on German</w:t>
      </w:r>
      <w:r w:rsidR="004E7C92" w:rsidRPr="00F54106">
        <w:rPr>
          <w:lang w:val="en-GB"/>
        </w:rPr>
        <w:t>y as a preferred</w:t>
      </w:r>
      <w:r w:rsidRPr="00F54106">
        <w:rPr>
          <w:lang w:val="en-GB"/>
        </w:rPr>
        <w:t xml:space="preserve"> forum</w:t>
      </w:r>
      <w:bookmarkEnd w:id="66"/>
    </w:p>
    <w:p w14:paraId="5DE255F0" w14:textId="33C874FC" w:rsidR="00375D1D" w:rsidRPr="00F54106" w:rsidRDefault="00F23751" w:rsidP="007E5D15">
      <w:pPr>
        <w:spacing w:line="276" w:lineRule="auto"/>
        <w:rPr>
          <w:rFonts w:cstheme="minorHAnsi"/>
          <w:lang w:val="en-GB"/>
        </w:rPr>
      </w:pPr>
      <w:r w:rsidRPr="00F54106">
        <w:rPr>
          <w:rFonts w:cstheme="minorHAnsi"/>
          <w:lang w:val="en-GB"/>
        </w:rPr>
        <w:t xml:space="preserve">In general, the </w:t>
      </w:r>
      <w:r w:rsidR="007E5D15" w:rsidRPr="00F54106">
        <w:rPr>
          <w:rFonts w:cstheme="minorHAnsi"/>
          <w:lang w:val="en-GB"/>
        </w:rPr>
        <w:t xml:space="preserve">implementation of the </w:t>
      </w:r>
      <w:r w:rsidRPr="00F54106">
        <w:rPr>
          <w:rFonts w:cstheme="minorHAnsi"/>
          <w:lang w:val="en-GB"/>
        </w:rPr>
        <w:t xml:space="preserve">Damages Directive has </w:t>
      </w:r>
      <w:r w:rsidR="00143C7E" w:rsidRPr="00F54106">
        <w:rPr>
          <w:rFonts w:cstheme="minorHAnsi"/>
          <w:lang w:val="en-GB"/>
        </w:rPr>
        <w:t>helped facilitate antitrust damages actions in Germany</w:t>
      </w:r>
      <w:r w:rsidR="007E5D15" w:rsidRPr="00F54106">
        <w:rPr>
          <w:rFonts w:cstheme="minorHAnsi"/>
          <w:lang w:val="en-GB"/>
        </w:rPr>
        <w:t>.</w:t>
      </w:r>
      <w:r w:rsidR="00143C7E" w:rsidRPr="00F54106">
        <w:rPr>
          <w:rFonts w:cstheme="minorHAnsi"/>
          <w:lang w:val="en-GB"/>
        </w:rPr>
        <w:t xml:space="preserve"> </w:t>
      </w:r>
      <w:r w:rsidR="007E5D15" w:rsidRPr="00F54106">
        <w:rPr>
          <w:rFonts w:cstheme="minorHAnsi"/>
          <w:lang w:val="en-GB"/>
        </w:rPr>
        <w:t>However,</w:t>
      </w:r>
      <w:r w:rsidR="00143C7E" w:rsidRPr="00F54106">
        <w:rPr>
          <w:rFonts w:cstheme="minorHAnsi"/>
          <w:lang w:val="en-GB"/>
        </w:rPr>
        <w:t xml:space="preserve"> the provisions of the GWB that go beyond the Damages Directive or slightly deviate from it</w:t>
      </w:r>
      <w:r w:rsidR="007E5D15" w:rsidRPr="00F54106">
        <w:rPr>
          <w:rFonts w:cstheme="minorHAnsi"/>
          <w:lang w:val="en-GB"/>
        </w:rPr>
        <w:t>, such as for the limitation periods and the binding effect of other competition authorities,</w:t>
      </w:r>
      <w:r w:rsidR="00143C7E" w:rsidRPr="00F54106">
        <w:rPr>
          <w:rFonts w:cstheme="minorHAnsi"/>
          <w:lang w:val="en-GB"/>
        </w:rPr>
        <w:t xml:space="preserve"> are</w:t>
      </w:r>
      <w:r w:rsidR="00D27CCB" w:rsidRPr="00F54106">
        <w:rPr>
          <w:rFonts w:cstheme="minorHAnsi"/>
          <w:lang w:val="en-GB"/>
        </w:rPr>
        <w:t xml:space="preserve"> also</w:t>
      </w:r>
      <w:r w:rsidR="00143C7E" w:rsidRPr="00F54106">
        <w:rPr>
          <w:rFonts w:cstheme="minorHAnsi"/>
          <w:lang w:val="en-GB"/>
        </w:rPr>
        <w:t xml:space="preserve"> named to be </w:t>
      </w:r>
      <w:r w:rsidR="007F640E" w:rsidRPr="00F54106">
        <w:rPr>
          <w:rFonts w:cstheme="minorHAnsi"/>
          <w:lang w:val="en-GB"/>
        </w:rPr>
        <w:t>contributing factors</w:t>
      </w:r>
      <w:r w:rsidR="00143C7E" w:rsidRPr="00F54106">
        <w:rPr>
          <w:rFonts w:cstheme="minorHAnsi"/>
          <w:lang w:val="en-GB"/>
        </w:rPr>
        <w:t xml:space="preserve">. </w:t>
      </w:r>
      <w:r w:rsidR="007E5D15" w:rsidRPr="00F54106">
        <w:rPr>
          <w:rFonts w:cstheme="minorHAnsi"/>
          <w:lang w:val="en-GB"/>
        </w:rPr>
        <w:t xml:space="preserve">Similarly, </w:t>
      </w:r>
      <w:r w:rsidR="00881544" w:rsidRPr="00F54106">
        <w:rPr>
          <w:rFonts w:cstheme="minorHAnsi"/>
          <w:lang w:val="en-GB"/>
        </w:rPr>
        <w:t>the GWB exceeds the Damages Directive and claimants are given a substantive right to request disclosure from defendants and third-parties</w:t>
      </w:r>
      <w:r w:rsidR="00375D1D" w:rsidRPr="00F54106">
        <w:rPr>
          <w:rFonts w:cstheme="minorHAnsi"/>
          <w:lang w:val="en-GB"/>
        </w:rPr>
        <w:t>,</w:t>
      </w:r>
      <w:r w:rsidR="00881544" w:rsidRPr="00F54106">
        <w:rPr>
          <w:rFonts w:cstheme="minorHAnsi"/>
          <w:lang w:val="en-GB"/>
        </w:rPr>
        <w:t xml:space="preserve"> and even </w:t>
      </w:r>
      <w:r w:rsidR="00375D1D" w:rsidRPr="00F54106">
        <w:rPr>
          <w:rFonts w:cstheme="minorHAnsi"/>
          <w:lang w:val="en-GB"/>
        </w:rPr>
        <w:t xml:space="preserve">a possibility to request a decision of a competition authority, </w:t>
      </w:r>
      <w:r w:rsidR="00721BE0">
        <w:rPr>
          <w:rFonts w:cstheme="minorHAnsi"/>
          <w:lang w:val="en-GB"/>
        </w:rPr>
        <w:t xml:space="preserve">which </w:t>
      </w:r>
      <w:r w:rsidR="00375D1D" w:rsidRPr="00F54106">
        <w:rPr>
          <w:rFonts w:cstheme="minorHAnsi"/>
          <w:lang w:val="en-GB"/>
        </w:rPr>
        <w:t xml:space="preserve">are strong factors that help claimants litigate in the German forum. What is more, </w:t>
      </w:r>
      <w:r w:rsidR="007E5D15" w:rsidRPr="00F54106">
        <w:rPr>
          <w:rFonts w:cstheme="minorHAnsi"/>
          <w:lang w:val="en-GB"/>
        </w:rPr>
        <w:t xml:space="preserve">the case law regarding the </w:t>
      </w:r>
      <w:r w:rsidR="007E5D15" w:rsidRPr="00F54106">
        <w:rPr>
          <w:rFonts w:cstheme="minorHAnsi"/>
          <w:i/>
          <w:iCs/>
          <w:lang w:val="en-GB"/>
        </w:rPr>
        <w:t xml:space="preserve">Rails II </w:t>
      </w:r>
      <w:r w:rsidR="007E5D15" w:rsidRPr="00F54106">
        <w:rPr>
          <w:rFonts w:cstheme="minorHAnsi"/>
          <w:lang w:val="en-GB"/>
        </w:rPr>
        <w:t xml:space="preserve">and </w:t>
      </w:r>
      <w:r w:rsidR="007E5D15" w:rsidRPr="00F54106">
        <w:rPr>
          <w:rFonts w:cstheme="minorHAnsi"/>
          <w:i/>
          <w:iCs/>
          <w:lang w:val="en-GB"/>
        </w:rPr>
        <w:t>Trucks II</w:t>
      </w:r>
      <w:r w:rsidR="007E5D15" w:rsidRPr="00F54106">
        <w:rPr>
          <w:rFonts w:cstheme="minorHAnsi"/>
          <w:lang w:val="en-GB"/>
        </w:rPr>
        <w:t xml:space="preserve"> judgements </w:t>
      </w:r>
      <w:r w:rsidR="00375D1D" w:rsidRPr="00F54106">
        <w:rPr>
          <w:rFonts w:cstheme="minorHAnsi"/>
          <w:lang w:val="en-GB"/>
        </w:rPr>
        <w:t>also</w:t>
      </w:r>
      <w:r w:rsidR="007E5D15" w:rsidRPr="00F54106">
        <w:rPr>
          <w:rFonts w:cstheme="minorHAnsi"/>
          <w:lang w:val="en-GB"/>
        </w:rPr>
        <w:t xml:space="preserve"> expedite antitrust damages claims in the German forum, while the lowered burden of proof resulting from the established presumptions in prima facie cases </w:t>
      </w:r>
      <w:r w:rsidR="00375D1D" w:rsidRPr="00F54106">
        <w:rPr>
          <w:rFonts w:cstheme="minorHAnsi"/>
          <w:lang w:val="en-GB"/>
        </w:rPr>
        <w:t xml:space="preserve">further </w:t>
      </w:r>
      <w:r w:rsidR="007E5D15" w:rsidRPr="00F54106">
        <w:rPr>
          <w:rFonts w:cstheme="minorHAnsi"/>
          <w:lang w:val="en-GB"/>
        </w:rPr>
        <w:t xml:space="preserve">contribute to Germany’s appeal as well. </w:t>
      </w:r>
      <w:r w:rsidR="00375D1D" w:rsidRPr="00F54106">
        <w:rPr>
          <w:rFonts w:cstheme="minorHAnsi"/>
          <w:lang w:val="en-GB"/>
        </w:rPr>
        <w:t>Likewise, e</w:t>
      </w:r>
      <w:r w:rsidR="009458F9" w:rsidRPr="00F54106">
        <w:rPr>
          <w:rFonts w:cstheme="minorHAnsi"/>
          <w:lang w:val="en-GB"/>
        </w:rPr>
        <w:t xml:space="preserve">ven though there is no specialized court in Germany, </w:t>
      </w:r>
      <w:r w:rsidR="00401DA5" w:rsidRPr="00F54106">
        <w:rPr>
          <w:rFonts w:cstheme="minorHAnsi"/>
          <w:lang w:val="en-GB"/>
        </w:rPr>
        <w:t xml:space="preserve">actions for damages are referred to specific courts by German federal states, while a limited number of panels are </w:t>
      </w:r>
      <w:r w:rsidR="00401DA5" w:rsidRPr="00F54106">
        <w:rPr>
          <w:rFonts w:cstheme="minorHAnsi"/>
          <w:lang w:val="en-GB"/>
        </w:rPr>
        <w:lastRenderedPageBreak/>
        <w:t>assigned to these cases. Therefore, these courts have become practically specialized</w:t>
      </w:r>
      <w:r w:rsidR="00375D1D" w:rsidRPr="00F54106">
        <w:rPr>
          <w:rFonts w:cstheme="minorHAnsi"/>
          <w:lang w:val="en-GB"/>
        </w:rPr>
        <w:t>, which is said to incentivize litigation before such courts.</w:t>
      </w:r>
    </w:p>
    <w:p w14:paraId="089C801E" w14:textId="5BE426C2" w:rsidR="00903A0B" w:rsidRPr="00F54106" w:rsidRDefault="00903A0B" w:rsidP="00454D8E">
      <w:pPr>
        <w:spacing w:line="276" w:lineRule="auto"/>
        <w:ind w:firstLine="720"/>
        <w:rPr>
          <w:rFonts w:cstheme="minorHAnsi"/>
          <w:lang w:val="en-GB"/>
        </w:rPr>
      </w:pPr>
      <w:r w:rsidRPr="00F54106">
        <w:rPr>
          <w:rFonts w:cstheme="minorHAnsi"/>
          <w:lang w:val="en-GB"/>
        </w:rPr>
        <w:t xml:space="preserve">Intriguingly, there is a disagreement in the literature regarding the role of the costs of litigation as a facilitating factor of antitrust damage claims in Germany. On the one hand, </w:t>
      </w:r>
      <w:r w:rsidR="00C02C47" w:rsidRPr="00F54106">
        <w:rPr>
          <w:rFonts w:cstheme="minorHAnsi"/>
          <w:lang w:val="en-GB"/>
        </w:rPr>
        <w:t xml:space="preserve">the costs of litigating in Germany are viewed as expensive and detrimental to the German forum. On the other hand, they are seen as moderate as they are based on statutory fees and can be adjusted by courts under certain circumstances. </w:t>
      </w:r>
      <w:r w:rsidR="00257440" w:rsidRPr="00F54106">
        <w:rPr>
          <w:rFonts w:cstheme="minorHAnsi"/>
          <w:lang w:val="en-GB"/>
        </w:rPr>
        <w:t>What is more</w:t>
      </w:r>
      <w:r w:rsidR="00C02C47" w:rsidRPr="00F54106">
        <w:rPr>
          <w:rFonts w:cstheme="minorHAnsi"/>
          <w:lang w:val="en-GB"/>
        </w:rPr>
        <w:t xml:space="preserve">, the adherence to the principle of effectiveness by the German legislature  </w:t>
      </w:r>
      <w:r w:rsidR="00257440" w:rsidRPr="00F54106">
        <w:rPr>
          <w:rFonts w:cstheme="minorHAnsi"/>
          <w:lang w:val="en-GB"/>
        </w:rPr>
        <w:t>are seen as a significant change that</w:t>
      </w:r>
      <w:r w:rsidR="00006284" w:rsidRPr="00F54106">
        <w:rPr>
          <w:rFonts w:cstheme="minorHAnsi"/>
          <w:lang w:val="en-GB"/>
        </w:rPr>
        <w:t xml:space="preserve"> reduce the costs risks following from t</w:t>
      </w:r>
      <w:r w:rsidR="00C02C47" w:rsidRPr="00F54106">
        <w:rPr>
          <w:rFonts w:cstheme="minorHAnsi"/>
          <w:lang w:val="en-GB"/>
        </w:rPr>
        <w:t>hird-party interventions</w:t>
      </w:r>
      <w:r w:rsidR="00257440" w:rsidRPr="00F54106">
        <w:rPr>
          <w:rFonts w:cstheme="minorHAnsi"/>
          <w:lang w:val="en-GB"/>
        </w:rPr>
        <w:t xml:space="preserve">. </w:t>
      </w:r>
      <w:r w:rsidR="007E5D15" w:rsidRPr="00F54106">
        <w:rPr>
          <w:rFonts w:cstheme="minorHAnsi"/>
          <w:lang w:val="en-GB"/>
        </w:rPr>
        <w:t xml:space="preserve">Unsurprisingly, the lack of a collective redress mechanism in the German venue is considered a major impediment to private enforcement. However, </w:t>
      </w:r>
      <w:r w:rsidR="00454D8E" w:rsidRPr="00F54106">
        <w:rPr>
          <w:rFonts w:cstheme="minorHAnsi"/>
          <w:lang w:val="en-GB"/>
        </w:rPr>
        <w:t xml:space="preserve">there is a spark of hope for collective redress in Germany as </w:t>
      </w:r>
      <w:r w:rsidR="007E5D15" w:rsidRPr="00F54106">
        <w:rPr>
          <w:rFonts w:cstheme="minorHAnsi"/>
          <w:lang w:val="en-GB"/>
        </w:rPr>
        <w:t xml:space="preserve">the assignment model has recently been validated by the BGH in the </w:t>
      </w:r>
      <w:r w:rsidR="007E5D15" w:rsidRPr="00F54106">
        <w:rPr>
          <w:rFonts w:cstheme="minorHAnsi"/>
          <w:i/>
          <w:iCs/>
          <w:lang w:val="en-GB"/>
        </w:rPr>
        <w:t>Air Deal</w:t>
      </w:r>
      <w:r w:rsidR="007E5D15" w:rsidRPr="00F54106">
        <w:rPr>
          <w:rFonts w:cstheme="minorHAnsi"/>
          <w:lang w:val="en-GB"/>
        </w:rPr>
        <w:t xml:space="preserve"> verdict and provides an alternative for claimants to litigate collectively. </w:t>
      </w:r>
      <w:r w:rsidR="00AB3F55" w:rsidRPr="00F54106">
        <w:rPr>
          <w:rFonts w:cstheme="minorHAnsi"/>
          <w:lang w:val="en-GB"/>
        </w:rPr>
        <w:t>All</w:t>
      </w:r>
      <w:r w:rsidR="009E0039" w:rsidRPr="00F54106">
        <w:rPr>
          <w:rFonts w:cstheme="minorHAnsi"/>
          <w:lang w:val="en-GB"/>
        </w:rPr>
        <w:t>-</w:t>
      </w:r>
      <w:r w:rsidR="00AB3F55" w:rsidRPr="00F54106">
        <w:rPr>
          <w:rFonts w:cstheme="minorHAnsi"/>
          <w:lang w:val="en-GB"/>
        </w:rPr>
        <w:t>in</w:t>
      </w:r>
      <w:r w:rsidR="009E0039" w:rsidRPr="00F54106">
        <w:rPr>
          <w:rFonts w:cstheme="minorHAnsi"/>
          <w:lang w:val="en-GB"/>
        </w:rPr>
        <w:t>-</w:t>
      </w:r>
      <w:r w:rsidR="00AB3F55" w:rsidRPr="00F54106">
        <w:rPr>
          <w:rFonts w:cstheme="minorHAnsi"/>
          <w:lang w:val="en-GB"/>
        </w:rPr>
        <w:t xml:space="preserve">all, Germany is considered a very attractive forum by the literature and </w:t>
      </w:r>
      <w:r w:rsidR="007E5D15" w:rsidRPr="00F54106">
        <w:rPr>
          <w:rFonts w:cstheme="minorHAnsi"/>
          <w:lang w:val="en-GB"/>
        </w:rPr>
        <w:t xml:space="preserve">the </w:t>
      </w:r>
      <w:r w:rsidR="00AB3F55" w:rsidRPr="00F54106">
        <w:rPr>
          <w:rFonts w:cstheme="minorHAnsi"/>
          <w:lang w:val="en-GB"/>
        </w:rPr>
        <w:t xml:space="preserve">statistical evidence suggest that this is reflected in the </w:t>
      </w:r>
      <w:r w:rsidR="00876792" w:rsidRPr="00F54106">
        <w:rPr>
          <w:rFonts w:cstheme="minorHAnsi"/>
          <w:lang w:val="en-GB"/>
        </w:rPr>
        <w:t xml:space="preserve">significant </w:t>
      </w:r>
      <w:r w:rsidR="00454D8E" w:rsidRPr="00F54106">
        <w:rPr>
          <w:rFonts w:cstheme="minorHAnsi"/>
          <w:lang w:val="en-GB"/>
        </w:rPr>
        <w:t xml:space="preserve">number of </w:t>
      </w:r>
      <w:r w:rsidR="00876792" w:rsidRPr="00F54106">
        <w:rPr>
          <w:rFonts w:cstheme="minorHAnsi"/>
          <w:lang w:val="en-GB"/>
        </w:rPr>
        <w:t>cases</w:t>
      </w:r>
      <w:r w:rsidR="00454D8E" w:rsidRPr="00F54106">
        <w:rPr>
          <w:rFonts w:cstheme="minorHAnsi"/>
          <w:lang w:val="en-GB"/>
        </w:rPr>
        <w:t xml:space="preserve"> before its courts</w:t>
      </w:r>
      <w:r w:rsidR="00AB3F55" w:rsidRPr="00F54106">
        <w:rPr>
          <w:rFonts w:cstheme="minorHAnsi"/>
          <w:lang w:val="en-GB"/>
        </w:rPr>
        <w:t>.</w:t>
      </w:r>
    </w:p>
    <w:p w14:paraId="42B9EE29" w14:textId="78072EA8" w:rsidR="00F23751" w:rsidRPr="00F54106" w:rsidRDefault="00F23751" w:rsidP="00F23751">
      <w:pPr>
        <w:spacing w:line="276" w:lineRule="auto"/>
        <w:rPr>
          <w:rFonts w:cstheme="minorHAnsi"/>
          <w:lang w:val="en-GB"/>
        </w:rPr>
      </w:pPr>
    </w:p>
    <w:p w14:paraId="38957E4C" w14:textId="5AAFCDCC" w:rsidR="00F23751" w:rsidRPr="00F54106" w:rsidRDefault="00F23751" w:rsidP="00F23751">
      <w:pPr>
        <w:spacing w:line="276" w:lineRule="auto"/>
        <w:rPr>
          <w:rFonts w:cstheme="minorHAnsi"/>
          <w:lang w:val="en-GB"/>
        </w:rPr>
      </w:pPr>
    </w:p>
    <w:p w14:paraId="2576E57A" w14:textId="5D4E2F0B" w:rsidR="00876792" w:rsidRPr="00F54106" w:rsidRDefault="00876792" w:rsidP="00F23751">
      <w:pPr>
        <w:spacing w:line="276" w:lineRule="auto"/>
        <w:rPr>
          <w:rFonts w:cstheme="minorHAnsi"/>
          <w:lang w:val="en-GB"/>
        </w:rPr>
      </w:pPr>
    </w:p>
    <w:p w14:paraId="1B6F9BE7" w14:textId="27863251" w:rsidR="00876792" w:rsidRPr="00F54106" w:rsidRDefault="00876792" w:rsidP="00F23751">
      <w:pPr>
        <w:spacing w:line="276" w:lineRule="auto"/>
        <w:rPr>
          <w:rFonts w:cstheme="minorHAnsi"/>
          <w:lang w:val="en-GB"/>
        </w:rPr>
      </w:pPr>
    </w:p>
    <w:p w14:paraId="6245150E" w14:textId="33CFFEA8" w:rsidR="00876792" w:rsidRPr="00F54106" w:rsidRDefault="00876792" w:rsidP="00F23751">
      <w:pPr>
        <w:spacing w:line="276" w:lineRule="auto"/>
        <w:rPr>
          <w:rFonts w:cstheme="minorHAnsi"/>
          <w:lang w:val="en-GB"/>
        </w:rPr>
      </w:pPr>
    </w:p>
    <w:p w14:paraId="4D694A9F" w14:textId="0A258DE0" w:rsidR="00876792" w:rsidRPr="00F54106" w:rsidRDefault="00876792" w:rsidP="00F23751">
      <w:pPr>
        <w:spacing w:line="276" w:lineRule="auto"/>
        <w:rPr>
          <w:rFonts w:cstheme="minorHAnsi"/>
          <w:lang w:val="en-GB"/>
        </w:rPr>
      </w:pPr>
    </w:p>
    <w:p w14:paraId="5DC08CAF" w14:textId="0CF60902" w:rsidR="00876792" w:rsidRPr="00F54106" w:rsidRDefault="00876792" w:rsidP="00F23751">
      <w:pPr>
        <w:spacing w:line="276" w:lineRule="auto"/>
        <w:rPr>
          <w:rFonts w:cstheme="minorHAnsi"/>
          <w:lang w:val="en-GB"/>
        </w:rPr>
      </w:pPr>
    </w:p>
    <w:p w14:paraId="55C456BC" w14:textId="75E79357" w:rsidR="00876792" w:rsidRPr="00F54106" w:rsidRDefault="00876792" w:rsidP="00F23751">
      <w:pPr>
        <w:spacing w:line="276" w:lineRule="auto"/>
        <w:rPr>
          <w:rFonts w:cstheme="minorHAnsi"/>
          <w:lang w:val="en-GB"/>
        </w:rPr>
      </w:pPr>
    </w:p>
    <w:p w14:paraId="500C78AD" w14:textId="27770CEF" w:rsidR="00876792" w:rsidRPr="00F54106" w:rsidRDefault="00876792" w:rsidP="00F23751">
      <w:pPr>
        <w:spacing w:line="276" w:lineRule="auto"/>
        <w:rPr>
          <w:rFonts w:cstheme="minorHAnsi"/>
          <w:lang w:val="en-GB"/>
        </w:rPr>
      </w:pPr>
    </w:p>
    <w:p w14:paraId="1D380671" w14:textId="6DDD30E0" w:rsidR="00876792" w:rsidRPr="00F54106" w:rsidRDefault="00876792" w:rsidP="00F23751">
      <w:pPr>
        <w:spacing w:line="276" w:lineRule="auto"/>
        <w:rPr>
          <w:rFonts w:cstheme="minorHAnsi"/>
          <w:lang w:val="en-GB"/>
        </w:rPr>
      </w:pPr>
    </w:p>
    <w:p w14:paraId="59A8E87A" w14:textId="3FEB67C3" w:rsidR="00364F49" w:rsidRPr="00F54106" w:rsidRDefault="00364F49" w:rsidP="00F23751">
      <w:pPr>
        <w:spacing w:line="276" w:lineRule="auto"/>
        <w:rPr>
          <w:rFonts w:cstheme="minorHAnsi"/>
          <w:lang w:val="en-GB"/>
        </w:rPr>
      </w:pPr>
    </w:p>
    <w:p w14:paraId="44F87CB4" w14:textId="0BD4EF91" w:rsidR="00364F49" w:rsidRPr="00F54106" w:rsidRDefault="00364F49" w:rsidP="00F23751">
      <w:pPr>
        <w:spacing w:line="276" w:lineRule="auto"/>
        <w:rPr>
          <w:rFonts w:cstheme="minorHAnsi"/>
          <w:lang w:val="en-GB"/>
        </w:rPr>
      </w:pPr>
    </w:p>
    <w:p w14:paraId="02F74FEB" w14:textId="64C18D5C" w:rsidR="00364F49" w:rsidRPr="00F54106" w:rsidRDefault="00364F49" w:rsidP="00F23751">
      <w:pPr>
        <w:spacing w:line="276" w:lineRule="auto"/>
        <w:rPr>
          <w:rFonts w:cstheme="minorHAnsi"/>
          <w:lang w:val="en-GB"/>
        </w:rPr>
      </w:pPr>
    </w:p>
    <w:p w14:paraId="7058FBF5" w14:textId="20C6C850" w:rsidR="00364F49" w:rsidRPr="00F54106" w:rsidRDefault="00364F49" w:rsidP="00F23751">
      <w:pPr>
        <w:spacing w:line="276" w:lineRule="auto"/>
        <w:rPr>
          <w:rFonts w:cstheme="minorHAnsi"/>
          <w:lang w:val="en-GB"/>
        </w:rPr>
      </w:pPr>
    </w:p>
    <w:p w14:paraId="04FF6488" w14:textId="54C0631D" w:rsidR="00364F49" w:rsidRPr="00F54106" w:rsidRDefault="00364F49" w:rsidP="00F23751">
      <w:pPr>
        <w:spacing w:line="276" w:lineRule="auto"/>
        <w:rPr>
          <w:rFonts w:cstheme="minorHAnsi"/>
          <w:lang w:val="en-GB"/>
        </w:rPr>
      </w:pPr>
    </w:p>
    <w:p w14:paraId="73A721BB" w14:textId="77777777" w:rsidR="00364F49" w:rsidRPr="00F54106" w:rsidRDefault="00364F49" w:rsidP="00F23751">
      <w:pPr>
        <w:spacing w:line="276" w:lineRule="auto"/>
        <w:rPr>
          <w:rFonts w:cstheme="minorHAnsi"/>
          <w:lang w:val="en-GB"/>
        </w:rPr>
      </w:pPr>
    </w:p>
    <w:p w14:paraId="0C1D9F62" w14:textId="77777777" w:rsidR="00876792" w:rsidRPr="00F54106" w:rsidRDefault="00876792" w:rsidP="00F23751">
      <w:pPr>
        <w:spacing w:line="276" w:lineRule="auto"/>
        <w:rPr>
          <w:rFonts w:cstheme="minorHAnsi"/>
          <w:lang w:val="en-GB"/>
        </w:rPr>
      </w:pPr>
    </w:p>
    <w:p w14:paraId="3A4A5203" w14:textId="3E13A4D7" w:rsidR="00853852" w:rsidRPr="00F54106" w:rsidRDefault="001F001E" w:rsidP="001F001E">
      <w:pPr>
        <w:pStyle w:val="Heading2"/>
        <w:rPr>
          <w:lang w:val="en-GB"/>
        </w:rPr>
      </w:pPr>
      <w:bookmarkStart w:id="67" w:name="_Toc107610226"/>
      <w:r w:rsidRPr="00F54106">
        <w:rPr>
          <w:lang w:val="en-GB"/>
        </w:rPr>
        <w:lastRenderedPageBreak/>
        <w:t>2.2</w:t>
      </w:r>
      <w:r w:rsidR="009209AC" w:rsidRPr="00F54106">
        <w:rPr>
          <w:lang w:val="en-GB"/>
        </w:rPr>
        <w:t xml:space="preserve"> The United Kingdom</w:t>
      </w:r>
      <w:r w:rsidR="001848FC" w:rsidRPr="00F54106">
        <w:rPr>
          <w:lang w:val="en-GB"/>
        </w:rPr>
        <w:t xml:space="preserve"> as a preferred forum</w:t>
      </w:r>
      <w:r w:rsidR="00473D82" w:rsidRPr="00F54106">
        <w:rPr>
          <w:lang w:val="en-GB"/>
        </w:rPr>
        <w:t xml:space="preserve"> for cartel damages claims</w:t>
      </w:r>
      <w:bookmarkEnd w:id="67"/>
    </w:p>
    <w:p w14:paraId="001C0DA7" w14:textId="77777777" w:rsidR="004108B4" w:rsidRPr="00F54106" w:rsidRDefault="004108B4" w:rsidP="00FC31D7">
      <w:pPr>
        <w:spacing w:line="276" w:lineRule="auto"/>
        <w:rPr>
          <w:rFonts w:cstheme="minorHAnsi"/>
          <w:lang w:val="en-GB"/>
        </w:rPr>
      </w:pPr>
    </w:p>
    <w:p w14:paraId="548E4ABC" w14:textId="78DE3820" w:rsidR="00265DE1" w:rsidRPr="00F54106" w:rsidRDefault="00A05B33" w:rsidP="00FC31D7">
      <w:pPr>
        <w:spacing w:line="276" w:lineRule="auto"/>
        <w:rPr>
          <w:rFonts w:cstheme="minorHAnsi"/>
          <w:lang w:val="en-GB"/>
        </w:rPr>
      </w:pPr>
      <w:r w:rsidRPr="00F54106">
        <w:rPr>
          <w:rFonts w:cstheme="minorHAnsi"/>
          <w:lang w:val="en-GB"/>
        </w:rPr>
        <w:t>The UK has seen a rise in its attractiveness for private enforcement of cartel damages claims for a substantial period no</w:t>
      </w:r>
      <w:r w:rsidR="005053A4" w:rsidRPr="00F54106">
        <w:rPr>
          <w:rFonts w:cstheme="minorHAnsi"/>
          <w:lang w:val="en-GB"/>
        </w:rPr>
        <w:t>w</w:t>
      </w:r>
      <w:r w:rsidRPr="00F54106">
        <w:rPr>
          <w:rFonts w:cstheme="minorHAnsi"/>
          <w:lang w:val="en-GB"/>
        </w:rPr>
        <w:t xml:space="preserve">. </w:t>
      </w:r>
      <w:r w:rsidR="00DE10E8" w:rsidRPr="00F54106">
        <w:rPr>
          <w:rFonts w:cstheme="minorHAnsi"/>
          <w:lang w:val="en-GB"/>
        </w:rPr>
        <w:t>S</w:t>
      </w:r>
      <w:r w:rsidR="00C73D6B" w:rsidRPr="00F54106">
        <w:rPr>
          <w:rFonts w:cstheme="minorHAnsi"/>
          <w:lang w:val="en-GB"/>
        </w:rPr>
        <w:t xml:space="preserve">tatistics show only </w:t>
      </w:r>
      <w:r w:rsidR="009D3160" w:rsidRPr="00F54106">
        <w:rPr>
          <w:rFonts w:cstheme="minorHAnsi"/>
          <w:lang w:val="en-GB"/>
        </w:rPr>
        <w:t>two</w:t>
      </w:r>
      <w:r w:rsidR="00C73D6B" w:rsidRPr="00F54106">
        <w:rPr>
          <w:rFonts w:cstheme="minorHAnsi"/>
          <w:lang w:val="en-GB"/>
        </w:rPr>
        <w:t xml:space="preserve"> </w:t>
      </w:r>
      <w:r w:rsidR="00860F7A" w:rsidRPr="00F54106">
        <w:rPr>
          <w:rFonts w:cstheme="minorHAnsi"/>
          <w:lang w:val="en-GB"/>
        </w:rPr>
        <w:t>action</w:t>
      </w:r>
      <w:r w:rsidR="009D3160" w:rsidRPr="00F54106">
        <w:rPr>
          <w:rFonts w:cstheme="minorHAnsi"/>
          <w:lang w:val="en-GB"/>
        </w:rPr>
        <w:t>s</w:t>
      </w:r>
      <w:r w:rsidR="00860F7A" w:rsidRPr="00F54106">
        <w:rPr>
          <w:rFonts w:cstheme="minorHAnsi"/>
          <w:lang w:val="en-GB"/>
        </w:rPr>
        <w:t xml:space="preserve"> for damages</w:t>
      </w:r>
      <w:r w:rsidR="00C73D6B" w:rsidRPr="00F54106">
        <w:rPr>
          <w:rFonts w:cstheme="minorHAnsi"/>
          <w:lang w:val="en-GB"/>
        </w:rPr>
        <w:t xml:space="preserve"> before UK courts, but it is noted that this </w:t>
      </w:r>
      <w:r w:rsidR="006C344E" w:rsidRPr="00F54106">
        <w:rPr>
          <w:rFonts w:cstheme="minorHAnsi"/>
          <w:lang w:val="en-GB"/>
        </w:rPr>
        <w:t xml:space="preserve">does not reflect the reality of the UK forum as a high number of cases </w:t>
      </w:r>
      <w:r w:rsidR="00C73D6B" w:rsidRPr="00F54106">
        <w:rPr>
          <w:rFonts w:cstheme="minorHAnsi"/>
          <w:lang w:val="en-GB"/>
        </w:rPr>
        <w:t>are settled before any judgement</w:t>
      </w:r>
      <w:r w:rsidR="006C344E" w:rsidRPr="00F54106">
        <w:rPr>
          <w:rFonts w:cstheme="minorHAnsi"/>
          <w:lang w:val="en-GB"/>
        </w:rPr>
        <w:t xml:space="preserve"> is rendered</w:t>
      </w:r>
      <w:r w:rsidR="00C73D6B" w:rsidRPr="00F54106">
        <w:rPr>
          <w:rFonts w:cstheme="minorHAnsi"/>
          <w:lang w:val="en-GB"/>
        </w:rPr>
        <w:t>.</w:t>
      </w:r>
      <w:r w:rsidR="006C344E" w:rsidRPr="00F54106">
        <w:rPr>
          <w:rStyle w:val="FootnoteReference"/>
          <w:rFonts w:cstheme="minorHAnsi"/>
          <w:lang w:val="en-GB"/>
        </w:rPr>
        <w:footnoteReference w:id="136"/>
      </w:r>
      <w:r w:rsidR="00C73D6B" w:rsidRPr="00F54106">
        <w:rPr>
          <w:rFonts w:cstheme="minorHAnsi"/>
          <w:lang w:val="en-GB"/>
        </w:rPr>
        <w:t xml:space="preserve"> </w:t>
      </w:r>
      <w:r w:rsidR="00B61A3A" w:rsidRPr="00F54106">
        <w:rPr>
          <w:rFonts w:cstheme="minorHAnsi"/>
          <w:lang w:val="en-GB"/>
        </w:rPr>
        <w:t xml:space="preserve">The literature mentions </w:t>
      </w:r>
      <w:r w:rsidRPr="00F54106">
        <w:rPr>
          <w:rFonts w:cstheme="minorHAnsi"/>
          <w:lang w:val="en-GB"/>
        </w:rPr>
        <w:t>numerous legal, procedural and institutional mechanisms</w:t>
      </w:r>
      <w:r w:rsidR="003C7BD4" w:rsidRPr="00F54106">
        <w:rPr>
          <w:rFonts w:cstheme="minorHAnsi"/>
          <w:lang w:val="en-GB"/>
        </w:rPr>
        <w:t xml:space="preserve"> that have been</w:t>
      </w:r>
      <w:r w:rsidRPr="00F54106">
        <w:rPr>
          <w:rFonts w:cstheme="minorHAnsi"/>
          <w:lang w:val="en-GB"/>
        </w:rPr>
        <w:t xml:space="preserve"> implemented</w:t>
      </w:r>
      <w:r w:rsidR="00B61A3A" w:rsidRPr="00F54106">
        <w:rPr>
          <w:rFonts w:cstheme="minorHAnsi"/>
          <w:lang w:val="en-GB"/>
        </w:rPr>
        <w:t xml:space="preserve"> </w:t>
      </w:r>
      <w:r w:rsidR="003C7BD4" w:rsidRPr="00F54106">
        <w:rPr>
          <w:rFonts w:cstheme="minorHAnsi"/>
          <w:lang w:val="en-GB"/>
        </w:rPr>
        <w:t>for the purposes of facilitating</w:t>
      </w:r>
      <w:r w:rsidR="00B61A3A" w:rsidRPr="00F54106">
        <w:rPr>
          <w:rFonts w:cstheme="minorHAnsi"/>
          <w:lang w:val="en-GB"/>
        </w:rPr>
        <w:t xml:space="preserve"> private enforcement</w:t>
      </w:r>
      <w:r w:rsidR="003C7BD4" w:rsidRPr="00F54106">
        <w:rPr>
          <w:rFonts w:cstheme="minorHAnsi"/>
          <w:lang w:val="en-GB"/>
        </w:rPr>
        <w:t xml:space="preserve"> in the UK, such as</w:t>
      </w:r>
      <w:r w:rsidR="00B61A3A" w:rsidRPr="00F54106">
        <w:rPr>
          <w:rFonts w:cstheme="minorHAnsi"/>
          <w:lang w:val="en-GB"/>
        </w:rPr>
        <w:t xml:space="preserve"> the</w:t>
      </w:r>
      <w:r w:rsidR="003C7BD4" w:rsidRPr="00F54106">
        <w:rPr>
          <w:rFonts w:cstheme="minorHAnsi"/>
          <w:lang w:val="en-GB"/>
        </w:rPr>
        <w:t xml:space="preserve"> introduction of</w:t>
      </w:r>
      <w:r w:rsidR="000D3F51" w:rsidRPr="00F54106">
        <w:rPr>
          <w:rFonts w:cstheme="minorHAnsi"/>
          <w:lang w:val="en-GB"/>
        </w:rPr>
        <w:t xml:space="preserve"> follow-on damages actions, the </w:t>
      </w:r>
      <w:r w:rsidR="00B61A3A" w:rsidRPr="00F54106">
        <w:rPr>
          <w:rFonts w:cstheme="minorHAnsi"/>
          <w:lang w:val="en-GB"/>
        </w:rPr>
        <w:t>Competition Appeal Tribunal</w:t>
      </w:r>
      <w:r w:rsidR="003C7BD4" w:rsidRPr="00F54106">
        <w:rPr>
          <w:rFonts w:cstheme="minorHAnsi"/>
          <w:lang w:val="en-GB"/>
        </w:rPr>
        <w:t xml:space="preserve"> (CAT)</w:t>
      </w:r>
      <w:r w:rsidR="000D3F51" w:rsidRPr="00F54106">
        <w:rPr>
          <w:rFonts w:cstheme="minorHAnsi"/>
          <w:lang w:val="en-GB"/>
        </w:rPr>
        <w:t xml:space="preserve"> and </w:t>
      </w:r>
      <w:r w:rsidR="003C7BD4" w:rsidRPr="00F54106">
        <w:rPr>
          <w:rFonts w:cstheme="minorHAnsi"/>
          <w:lang w:val="en-GB"/>
        </w:rPr>
        <w:t>the</w:t>
      </w:r>
      <w:r w:rsidR="00B61A3A" w:rsidRPr="00F54106">
        <w:rPr>
          <w:rFonts w:cstheme="minorHAnsi"/>
          <w:lang w:val="en-GB"/>
        </w:rPr>
        <w:t xml:space="preserve"> collective proceedings mechanism.</w:t>
      </w:r>
      <w:r w:rsidR="003C7BD4" w:rsidRPr="00F54106">
        <w:rPr>
          <w:rStyle w:val="FootnoteReference"/>
          <w:rFonts w:cstheme="minorHAnsi"/>
          <w:lang w:val="en-GB"/>
        </w:rPr>
        <w:footnoteReference w:id="137"/>
      </w:r>
      <w:r w:rsidR="007B6A73" w:rsidRPr="00F54106">
        <w:rPr>
          <w:rFonts w:cstheme="minorHAnsi"/>
          <w:lang w:val="en-GB"/>
        </w:rPr>
        <w:t xml:space="preserve"> </w:t>
      </w:r>
      <w:r w:rsidR="004003EB" w:rsidRPr="00F54106">
        <w:rPr>
          <w:rFonts w:cstheme="minorHAnsi"/>
          <w:lang w:val="en-GB"/>
        </w:rPr>
        <w:t>Furthermore, there are various competition solicitors and barristers located in London</w:t>
      </w:r>
      <w:r w:rsidR="00B61C02" w:rsidRPr="00F54106">
        <w:rPr>
          <w:rFonts w:cstheme="minorHAnsi"/>
          <w:lang w:val="en-GB"/>
        </w:rPr>
        <w:t xml:space="preserve">, </w:t>
      </w:r>
      <w:r w:rsidR="004003EB" w:rsidRPr="00F54106">
        <w:rPr>
          <w:rFonts w:cstheme="minorHAnsi"/>
          <w:lang w:val="en-GB"/>
        </w:rPr>
        <w:t>which</w:t>
      </w:r>
      <w:r w:rsidR="00B61C02" w:rsidRPr="00F54106">
        <w:rPr>
          <w:rFonts w:cstheme="minorHAnsi"/>
          <w:lang w:val="en-GB"/>
        </w:rPr>
        <w:t xml:space="preserve"> include</w:t>
      </w:r>
      <w:r w:rsidR="004003EB" w:rsidRPr="00F54106">
        <w:rPr>
          <w:rFonts w:cstheme="minorHAnsi"/>
          <w:lang w:val="en-GB"/>
        </w:rPr>
        <w:t xml:space="preserve"> American law firms with substantial experience from the US on private antitrust litigation</w:t>
      </w:r>
      <w:r w:rsidR="00E60AF9" w:rsidRPr="00F54106">
        <w:rPr>
          <w:rFonts w:cstheme="minorHAnsi"/>
          <w:lang w:val="en-GB"/>
        </w:rPr>
        <w:t xml:space="preserve"> </w:t>
      </w:r>
      <w:r w:rsidR="00984089" w:rsidRPr="00F54106">
        <w:rPr>
          <w:rFonts w:cstheme="minorHAnsi"/>
          <w:lang w:val="en-GB"/>
        </w:rPr>
        <w:t xml:space="preserve">that can apply their experience </w:t>
      </w:r>
      <w:r w:rsidR="00E60AF9" w:rsidRPr="00F54106">
        <w:rPr>
          <w:rFonts w:cstheme="minorHAnsi"/>
          <w:lang w:val="en-GB"/>
        </w:rPr>
        <w:t xml:space="preserve">to </w:t>
      </w:r>
      <w:r w:rsidR="00984089" w:rsidRPr="00F54106">
        <w:rPr>
          <w:rFonts w:cstheme="minorHAnsi"/>
          <w:lang w:val="en-GB"/>
        </w:rPr>
        <w:t xml:space="preserve">private antitrust </w:t>
      </w:r>
      <w:r w:rsidR="00E60AF9" w:rsidRPr="00F54106">
        <w:rPr>
          <w:rFonts w:cstheme="minorHAnsi"/>
          <w:lang w:val="en-GB"/>
        </w:rPr>
        <w:t>claims in the UK</w:t>
      </w:r>
      <w:r w:rsidR="004003EB" w:rsidRPr="00F54106">
        <w:rPr>
          <w:rFonts w:cstheme="minorHAnsi"/>
          <w:lang w:val="en-GB"/>
        </w:rPr>
        <w:t>.</w:t>
      </w:r>
      <w:r w:rsidR="00712D2F" w:rsidRPr="00F54106">
        <w:rPr>
          <w:rStyle w:val="FootnoteReference"/>
          <w:rFonts w:cstheme="minorHAnsi"/>
          <w:lang w:val="en-GB"/>
        </w:rPr>
        <w:footnoteReference w:id="138"/>
      </w:r>
      <w:r w:rsidR="004003EB" w:rsidRPr="00F54106">
        <w:rPr>
          <w:rFonts w:cstheme="minorHAnsi"/>
          <w:lang w:val="en-GB"/>
        </w:rPr>
        <w:t xml:space="preserve"> </w:t>
      </w:r>
      <w:r w:rsidR="00F6298D" w:rsidRPr="00F54106">
        <w:rPr>
          <w:rFonts w:cstheme="minorHAnsi"/>
          <w:lang w:val="en-GB"/>
        </w:rPr>
        <w:t>T</w:t>
      </w:r>
      <w:r w:rsidR="000F4A66" w:rsidRPr="00F54106">
        <w:rPr>
          <w:rFonts w:cstheme="minorHAnsi"/>
          <w:lang w:val="en-GB"/>
        </w:rPr>
        <w:t xml:space="preserve">he prominent reputation of the British legal system </w:t>
      </w:r>
      <w:r w:rsidR="004B71F0" w:rsidRPr="00F54106">
        <w:rPr>
          <w:rFonts w:cstheme="minorHAnsi"/>
          <w:lang w:val="en-GB"/>
        </w:rPr>
        <w:t xml:space="preserve">and the </w:t>
      </w:r>
      <w:r w:rsidR="000F4A66" w:rsidRPr="00F54106">
        <w:rPr>
          <w:rFonts w:cstheme="minorHAnsi"/>
          <w:lang w:val="en-GB"/>
        </w:rPr>
        <w:t xml:space="preserve">skill of the English </w:t>
      </w:r>
      <w:r w:rsidR="00F67E08" w:rsidRPr="00F54106">
        <w:rPr>
          <w:rFonts w:cstheme="minorHAnsi"/>
          <w:lang w:val="en-GB"/>
        </w:rPr>
        <w:t>language possessed by</w:t>
      </w:r>
      <w:r w:rsidR="004B71F0" w:rsidRPr="00F54106">
        <w:rPr>
          <w:rFonts w:cstheme="minorHAnsi"/>
          <w:lang w:val="en-GB"/>
        </w:rPr>
        <w:t xml:space="preserve"> </w:t>
      </w:r>
      <w:r w:rsidR="00F67E08" w:rsidRPr="00F54106">
        <w:rPr>
          <w:rFonts w:cstheme="minorHAnsi"/>
          <w:lang w:val="en-GB"/>
        </w:rPr>
        <w:t xml:space="preserve">the </w:t>
      </w:r>
      <w:r w:rsidR="004B71F0" w:rsidRPr="00F54106">
        <w:rPr>
          <w:rFonts w:cstheme="minorHAnsi"/>
          <w:lang w:val="en-GB"/>
        </w:rPr>
        <w:t>legal and corporate communit</w:t>
      </w:r>
      <w:r w:rsidR="000F4A66" w:rsidRPr="00F54106">
        <w:rPr>
          <w:rFonts w:cstheme="minorHAnsi"/>
          <w:lang w:val="en-GB"/>
        </w:rPr>
        <w:t xml:space="preserve">y </w:t>
      </w:r>
      <w:r w:rsidR="00B61C02" w:rsidRPr="00F54106">
        <w:rPr>
          <w:rFonts w:cstheme="minorHAnsi"/>
          <w:lang w:val="en-GB"/>
        </w:rPr>
        <w:t>are</w:t>
      </w:r>
      <w:r w:rsidR="00F6298D" w:rsidRPr="00F54106">
        <w:rPr>
          <w:rFonts w:cstheme="minorHAnsi"/>
          <w:lang w:val="en-GB"/>
        </w:rPr>
        <w:t xml:space="preserve"> also</w:t>
      </w:r>
      <w:r w:rsidR="000F4A66" w:rsidRPr="00F54106">
        <w:rPr>
          <w:rFonts w:cstheme="minorHAnsi"/>
          <w:lang w:val="en-GB"/>
        </w:rPr>
        <w:t xml:space="preserve"> named to benefit claimants</w:t>
      </w:r>
      <w:r w:rsidR="004C5065" w:rsidRPr="00F54106">
        <w:rPr>
          <w:rFonts w:cstheme="minorHAnsi"/>
          <w:lang w:val="en-GB"/>
        </w:rPr>
        <w:t>,</w:t>
      </w:r>
      <w:r w:rsidR="000F4A66" w:rsidRPr="00F54106">
        <w:rPr>
          <w:rFonts w:cstheme="minorHAnsi"/>
          <w:lang w:val="en-GB"/>
        </w:rPr>
        <w:t xml:space="preserve"> </w:t>
      </w:r>
      <w:r w:rsidR="00F67E08" w:rsidRPr="00F54106">
        <w:rPr>
          <w:rFonts w:cstheme="minorHAnsi"/>
          <w:lang w:val="en-GB"/>
        </w:rPr>
        <w:t>while litigation financ</w:t>
      </w:r>
      <w:r w:rsidR="00984089" w:rsidRPr="00F54106">
        <w:rPr>
          <w:rFonts w:cstheme="minorHAnsi"/>
          <w:lang w:val="en-GB"/>
        </w:rPr>
        <w:t>e</w:t>
      </w:r>
      <w:r w:rsidR="00F67E08" w:rsidRPr="00F54106">
        <w:rPr>
          <w:rFonts w:cstheme="minorHAnsi"/>
          <w:lang w:val="en-GB"/>
        </w:rPr>
        <w:t xml:space="preserve"> was</w:t>
      </w:r>
      <w:r w:rsidR="004B4537" w:rsidRPr="00F54106">
        <w:rPr>
          <w:rFonts w:cstheme="minorHAnsi"/>
          <w:lang w:val="en-GB"/>
        </w:rPr>
        <w:t>, up until recently,</w:t>
      </w:r>
      <w:r w:rsidR="00F67E08" w:rsidRPr="00F54106">
        <w:rPr>
          <w:rFonts w:cstheme="minorHAnsi"/>
          <w:lang w:val="en-GB"/>
        </w:rPr>
        <w:t xml:space="preserve"> </w:t>
      </w:r>
      <w:r w:rsidR="004B4537" w:rsidRPr="00F54106">
        <w:rPr>
          <w:rFonts w:cstheme="minorHAnsi"/>
          <w:lang w:val="en-GB"/>
        </w:rPr>
        <w:t xml:space="preserve">only </w:t>
      </w:r>
      <w:r w:rsidR="004C5065" w:rsidRPr="00F54106">
        <w:rPr>
          <w:rFonts w:cstheme="minorHAnsi"/>
          <w:lang w:val="en-GB"/>
        </w:rPr>
        <w:t>at a claimant’s</w:t>
      </w:r>
      <w:r w:rsidR="004003EB" w:rsidRPr="00F54106">
        <w:rPr>
          <w:rFonts w:cstheme="minorHAnsi"/>
          <w:lang w:val="en-GB"/>
        </w:rPr>
        <w:t xml:space="preserve"> </w:t>
      </w:r>
      <w:r w:rsidR="004B4537" w:rsidRPr="00F54106">
        <w:rPr>
          <w:rFonts w:cstheme="minorHAnsi"/>
          <w:lang w:val="en-GB"/>
        </w:rPr>
        <w:t>disposal</w:t>
      </w:r>
      <w:r w:rsidR="00F67E08" w:rsidRPr="00F54106">
        <w:rPr>
          <w:rFonts w:cstheme="minorHAnsi"/>
          <w:lang w:val="en-GB"/>
        </w:rPr>
        <w:t xml:space="preserve"> </w:t>
      </w:r>
      <w:r w:rsidR="004B4537" w:rsidRPr="00F54106">
        <w:rPr>
          <w:rFonts w:cstheme="minorHAnsi"/>
          <w:lang w:val="en-GB"/>
        </w:rPr>
        <w:t xml:space="preserve">under </w:t>
      </w:r>
      <w:r w:rsidR="00F67E08" w:rsidRPr="00F54106">
        <w:rPr>
          <w:rFonts w:cstheme="minorHAnsi"/>
          <w:lang w:val="en-GB"/>
        </w:rPr>
        <w:t>UK</w:t>
      </w:r>
      <w:r w:rsidR="004B4537" w:rsidRPr="00F54106">
        <w:rPr>
          <w:rFonts w:cstheme="minorHAnsi"/>
          <w:lang w:val="en-GB"/>
        </w:rPr>
        <w:t xml:space="preserve"> jurisdiction</w:t>
      </w:r>
      <w:r w:rsidR="00F67E08" w:rsidRPr="00F54106">
        <w:rPr>
          <w:rFonts w:cstheme="minorHAnsi"/>
          <w:lang w:val="en-GB"/>
        </w:rPr>
        <w:t>.</w:t>
      </w:r>
      <w:r w:rsidR="004B4537" w:rsidRPr="00F54106">
        <w:rPr>
          <w:rStyle w:val="FootnoteReference"/>
          <w:rFonts w:cstheme="minorHAnsi"/>
          <w:lang w:val="en-GB"/>
        </w:rPr>
        <w:footnoteReference w:id="139"/>
      </w:r>
      <w:r w:rsidR="00261D97" w:rsidRPr="00F54106">
        <w:rPr>
          <w:rFonts w:cstheme="minorHAnsi"/>
          <w:lang w:val="en-GB"/>
        </w:rPr>
        <w:t xml:space="preserve"> </w:t>
      </w:r>
      <w:r w:rsidR="00DB4ABA" w:rsidRPr="00F54106">
        <w:rPr>
          <w:rFonts w:cstheme="minorHAnsi"/>
          <w:lang w:val="en-GB"/>
        </w:rPr>
        <w:t>Moreover, significant harm</w:t>
      </w:r>
      <w:r w:rsidR="00D31B24" w:rsidRPr="00F54106">
        <w:rPr>
          <w:rFonts w:cstheme="minorHAnsi"/>
          <w:lang w:val="en-GB"/>
        </w:rPr>
        <w:t xml:space="preserve"> caused by cross-border cartels </w:t>
      </w:r>
      <w:r w:rsidR="00DB4ABA" w:rsidRPr="00F54106">
        <w:rPr>
          <w:rFonts w:cstheme="minorHAnsi"/>
          <w:lang w:val="en-GB"/>
        </w:rPr>
        <w:t>is said to</w:t>
      </w:r>
      <w:r w:rsidR="00D31B24" w:rsidRPr="00F54106">
        <w:rPr>
          <w:rFonts w:cstheme="minorHAnsi"/>
          <w:lang w:val="en-GB"/>
        </w:rPr>
        <w:t xml:space="preserve"> often</w:t>
      </w:r>
      <w:r w:rsidR="00DB4ABA" w:rsidRPr="00F54106">
        <w:rPr>
          <w:rFonts w:cstheme="minorHAnsi"/>
          <w:lang w:val="en-GB"/>
        </w:rPr>
        <w:t xml:space="preserve"> occur in the UK </w:t>
      </w:r>
      <w:r w:rsidR="00D31B24" w:rsidRPr="00F54106">
        <w:rPr>
          <w:rFonts w:cstheme="minorHAnsi"/>
          <w:lang w:val="en-GB"/>
        </w:rPr>
        <w:t>which may make it a more sensible place to consolidate claims</w:t>
      </w:r>
      <w:r w:rsidR="00AC7667" w:rsidRPr="00F54106">
        <w:rPr>
          <w:rFonts w:cstheme="minorHAnsi"/>
          <w:lang w:val="en-GB"/>
        </w:rPr>
        <w:t>,</w:t>
      </w:r>
      <w:r w:rsidR="00D31B24" w:rsidRPr="00F54106">
        <w:rPr>
          <w:rStyle w:val="FootnoteReference"/>
          <w:rFonts w:cstheme="minorHAnsi"/>
          <w:lang w:val="en-GB"/>
        </w:rPr>
        <w:footnoteReference w:id="140"/>
      </w:r>
      <w:r w:rsidR="00AC7667" w:rsidRPr="00F54106">
        <w:rPr>
          <w:rFonts w:cstheme="minorHAnsi"/>
          <w:lang w:val="en-GB"/>
        </w:rPr>
        <w:t xml:space="preserve"> while English courts often did not shy away from accepting jurisdiction under the Brussels regulation, making the possibility that an English court exercised jurisdiction particularly high.</w:t>
      </w:r>
      <w:r w:rsidR="00AC7667" w:rsidRPr="00F54106">
        <w:rPr>
          <w:rStyle w:val="FootnoteReference"/>
          <w:rFonts w:cstheme="minorHAnsi"/>
          <w:lang w:val="en-GB"/>
        </w:rPr>
        <w:footnoteReference w:id="141"/>
      </w:r>
      <w:r w:rsidR="00AC7667" w:rsidRPr="00F54106">
        <w:rPr>
          <w:rFonts w:cstheme="minorHAnsi"/>
          <w:lang w:val="en-GB"/>
        </w:rPr>
        <w:t xml:space="preserve"> </w:t>
      </w:r>
      <w:r w:rsidR="001B643D" w:rsidRPr="00F54106">
        <w:rPr>
          <w:rFonts w:cstheme="minorHAnsi"/>
          <w:lang w:val="en-GB"/>
        </w:rPr>
        <w:t>Finally, t</w:t>
      </w:r>
      <w:r w:rsidR="004003EB" w:rsidRPr="00F54106">
        <w:rPr>
          <w:rFonts w:cstheme="minorHAnsi"/>
          <w:lang w:val="en-GB"/>
        </w:rPr>
        <w:t>he UK is</w:t>
      </w:r>
      <w:r w:rsidR="004C4C35" w:rsidRPr="00F54106">
        <w:rPr>
          <w:rFonts w:cstheme="minorHAnsi"/>
          <w:lang w:val="en-GB"/>
        </w:rPr>
        <w:t xml:space="preserve"> also</w:t>
      </w:r>
      <w:r w:rsidR="004003EB" w:rsidRPr="00F54106">
        <w:rPr>
          <w:rFonts w:cstheme="minorHAnsi"/>
          <w:lang w:val="en-GB"/>
        </w:rPr>
        <w:t xml:space="preserve"> mentioned to have</w:t>
      </w:r>
      <w:r w:rsidR="00784A7C" w:rsidRPr="00F54106">
        <w:rPr>
          <w:rFonts w:cstheme="minorHAnsi"/>
          <w:lang w:val="en-GB"/>
        </w:rPr>
        <w:t xml:space="preserve"> </w:t>
      </w:r>
      <w:r w:rsidR="00E170DA" w:rsidRPr="00F54106">
        <w:rPr>
          <w:rFonts w:cstheme="minorHAnsi"/>
          <w:lang w:val="en-GB"/>
        </w:rPr>
        <w:t xml:space="preserve">broad obligations </w:t>
      </w:r>
      <w:r w:rsidR="002E1AE2" w:rsidRPr="00F54106">
        <w:rPr>
          <w:rFonts w:cstheme="minorHAnsi"/>
          <w:lang w:val="en-GB"/>
        </w:rPr>
        <w:t>with respect to the</w:t>
      </w:r>
      <w:r w:rsidR="00E170DA" w:rsidRPr="00F54106">
        <w:rPr>
          <w:rFonts w:cstheme="minorHAnsi"/>
          <w:lang w:val="en-GB"/>
        </w:rPr>
        <w:t xml:space="preserve"> disclosure of evidence</w:t>
      </w:r>
      <w:r w:rsidR="002E1AE2" w:rsidRPr="00F54106">
        <w:rPr>
          <w:rFonts w:cstheme="minorHAnsi"/>
          <w:lang w:val="en-GB"/>
        </w:rPr>
        <w:t>,</w:t>
      </w:r>
      <w:r w:rsidR="00E170DA" w:rsidRPr="00F54106">
        <w:rPr>
          <w:rStyle w:val="FootnoteReference"/>
          <w:rFonts w:cstheme="minorHAnsi"/>
          <w:lang w:val="en-GB"/>
        </w:rPr>
        <w:footnoteReference w:id="142"/>
      </w:r>
      <w:r w:rsidR="002E1AE2" w:rsidRPr="00F54106">
        <w:rPr>
          <w:rFonts w:cstheme="minorHAnsi"/>
          <w:lang w:val="en-GB"/>
        </w:rPr>
        <w:t xml:space="preserve"> </w:t>
      </w:r>
      <w:r w:rsidR="00E170DA" w:rsidRPr="00F54106">
        <w:rPr>
          <w:rFonts w:cstheme="minorHAnsi"/>
          <w:lang w:val="en-GB"/>
        </w:rPr>
        <w:t>several</w:t>
      </w:r>
      <w:r w:rsidR="002E1AE2" w:rsidRPr="00F54106">
        <w:rPr>
          <w:rFonts w:cstheme="minorHAnsi"/>
          <w:lang w:val="en-GB"/>
        </w:rPr>
        <w:t xml:space="preserve"> implemented</w:t>
      </w:r>
      <w:r w:rsidR="004003EB" w:rsidRPr="00F54106">
        <w:rPr>
          <w:rFonts w:cstheme="minorHAnsi"/>
          <w:lang w:val="en-GB"/>
        </w:rPr>
        <w:t xml:space="preserve"> safeguards for privileged and confidential information</w:t>
      </w:r>
      <w:r w:rsidR="00D12C66" w:rsidRPr="00F54106">
        <w:rPr>
          <w:rFonts w:cstheme="minorHAnsi"/>
          <w:lang w:val="en-GB"/>
        </w:rPr>
        <w:t xml:space="preserve"> during disclosure of evidence</w:t>
      </w:r>
      <w:r w:rsidR="004003EB" w:rsidRPr="00F54106">
        <w:rPr>
          <w:rFonts w:cstheme="minorHAnsi"/>
          <w:lang w:val="en-GB"/>
        </w:rPr>
        <w:t>,</w:t>
      </w:r>
      <w:r w:rsidR="002E1AE2" w:rsidRPr="00F54106">
        <w:rPr>
          <w:rStyle w:val="FootnoteReference"/>
          <w:rFonts w:cstheme="minorHAnsi"/>
          <w:lang w:val="en-GB"/>
        </w:rPr>
        <w:footnoteReference w:id="143"/>
      </w:r>
      <w:r w:rsidR="004003EB" w:rsidRPr="00F54106">
        <w:rPr>
          <w:rFonts w:cstheme="minorHAnsi"/>
          <w:lang w:val="en-GB"/>
        </w:rPr>
        <w:t xml:space="preserve"> </w:t>
      </w:r>
      <w:r w:rsidR="002E1AE2" w:rsidRPr="00F54106">
        <w:rPr>
          <w:rFonts w:cstheme="minorHAnsi"/>
          <w:lang w:val="en-GB"/>
        </w:rPr>
        <w:t xml:space="preserve">a significant amount of </w:t>
      </w:r>
      <w:r w:rsidR="00784A7C" w:rsidRPr="00F54106">
        <w:rPr>
          <w:rFonts w:cstheme="minorHAnsi"/>
          <w:lang w:val="en-GB"/>
        </w:rPr>
        <w:t>venues for arbitration as well as litigation,</w:t>
      </w:r>
      <w:r w:rsidR="002E1AE2" w:rsidRPr="00F54106">
        <w:rPr>
          <w:rStyle w:val="FootnoteReference"/>
          <w:rFonts w:cstheme="minorHAnsi"/>
          <w:lang w:val="en-GB"/>
        </w:rPr>
        <w:footnoteReference w:id="144"/>
      </w:r>
      <w:r w:rsidR="00784A7C" w:rsidRPr="00F54106">
        <w:rPr>
          <w:rFonts w:cstheme="minorHAnsi"/>
          <w:lang w:val="en-GB"/>
        </w:rPr>
        <w:t xml:space="preserve"> </w:t>
      </w:r>
      <w:r w:rsidR="002E1AE2" w:rsidRPr="00F54106">
        <w:rPr>
          <w:rFonts w:cstheme="minorHAnsi"/>
          <w:lang w:val="en-GB"/>
        </w:rPr>
        <w:t xml:space="preserve">and a </w:t>
      </w:r>
      <w:r w:rsidR="00784A7C" w:rsidRPr="00F54106">
        <w:rPr>
          <w:rFonts w:cstheme="minorHAnsi"/>
          <w:lang w:val="en-GB"/>
        </w:rPr>
        <w:t>high court experience with managing and tying large-scale commercial or civil disputes.</w:t>
      </w:r>
      <w:r w:rsidR="004C5065" w:rsidRPr="00F54106">
        <w:rPr>
          <w:rStyle w:val="FootnoteReference"/>
          <w:rFonts w:cstheme="minorHAnsi"/>
          <w:lang w:val="en-GB"/>
        </w:rPr>
        <w:footnoteReference w:id="145"/>
      </w:r>
      <w:r w:rsidR="00784A7C" w:rsidRPr="00F54106">
        <w:rPr>
          <w:rFonts w:cstheme="minorHAnsi"/>
          <w:lang w:val="en-GB"/>
        </w:rPr>
        <w:t xml:space="preserve"> </w:t>
      </w:r>
      <w:r w:rsidR="001B643D" w:rsidRPr="00F54106">
        <w:rPr>
          <w:rFonts w:cstheme="minorHAnsi"/>
          <w:lang w:val="en-GB"/>
        </w:rPr>
        <w:t>Many of the above-mentioned factors</w:t>
      </w:r>
      <w:r w:rsidR="004C4C35" w:rsidRPr="00F54106">
        <w:rPr>
          <w:rFonts w:cstheme="minorHAnsi"/>
          <w:lang w:val="en-GB"/>
        </w:rPr>
        <w:t xml:space="preserve"> facilitating antitrust claims in the UK have</w:t>
      </w:r>
      <w:r w:rsidR="008B212D" w:rsidRPr="00F54106">
        <w:rPr>
          <w:rFonts w:cstheme="minorHAnsi"/>
          <w:lang w:val="en-GB"/>
        </w:rPr>
        <w:t xml:space="preserve"> also</w:t>
      </w:r>
      <w:r w:rsidR="004C4C35" w:rsidRPr="00F54106">
        <w:rPr>
          <w:rFonts w:cstheme="minorHAnsi"/>
          <w:lang w:val="en-GB"/>
        </w:rPr>
        <w:t xml:space="preserve"> been adopted </w:t>
      </w:r>
      <w:r w:rsidR="001B643D" w:rsidRPr="00F54106">
        <w:rPr>
          <w:rFonts w:cstheme="minorHAnsi"/>
          <w:lang w:val="en-GB"/>
        </w:rPr>
        <w:t>based on</w:t>
      </w:r>
      <w:r w:rsidR="005C6277" w:rsidRPr="00F54106">
        <w:rPr>
          <w:rFonts w:cstheme="minorHAnsi"/>
          <w:lang w:val="en-GB"/>
        </w:rPr>
        <w:t xml:space="preserve"> experiences </w:t>
      </w:r>
      <w:r w:rsidR="005C6277" w:rsidRPr="00F54106">
        <w:rPr>
          <w:rFonts w:cstheme="minorHAnsi"/>
          <w:lang w:val="en-GB"/>
        </w:rPr>
        <w:lastRenderedPageBreak/>
        <w:t>aiding claims</w:t>
      </w:r>
      <w:r w:rsidR="004C4C35" w:rsidRPr="00F54106">
        <w:rPr>
          <w:rFonts w:cstheme="minorHAnsi"/>
          <w:lang w:val="en-GB"/>
        </w:rPr>
        <w:t xml:space="preserve"> in the US</w:t>
      </w:r>
      <w:r w:rsidR="001B643D" w:rsidRPr="00F54106">
        <w:rPr>
          <w:rFonts w:cstheme="minorHAnsi"/>
          <w:lang w:val="en-GB"/>
        </w:rPr>
        <w:t>.</w:t>
      </w:r>
      <w:r w:rsidR="001B643D" w:rsidRPr="00F54106">
        <w:rPr>
          <w:rStyle w:val="FootnoteReference"/>
          <w:rFonts w:cstheme="minorHAnsi"/>
          <w:lang w:val="en-GB"/>
        </w:rPr>
        <w:footnoteReference w:id="146"/>
      </w:r>
      <w:r w:rsidR="001B643D" w:rsidRPr="00F54106">
        <w:rPr>
          <w:rFonts w:cstheme="minorHAnsi"/>
          <w:lang w:val="en-GB"/>
        </w:rPr>
        <w:t xml:space="preserve"> </w:t>
      </w:r>
      <w:r w:rsidR="00653620" w:rsidRPr="00F54106">
        <w:rPr>
          <w:rFonts w:cstheme="minorHAnsi"/>
          <w:lang w:val="en-GB"/>
        </w:rPr>
        <w:t>D</w:t>
      </w:r>
      <w:r w:rsidR="004C5065" w:rsidRPr="00F54106">
        <w:rPr>
          <w:rFonts w:cstheme="minorHAnsi"/>
          <w:lang w:val="en-GB"/>
        </w:rPr>
        <w:t>espite the relatively costly litigation of the UK regime</w:t>
      </w:r>
      <w:r w:rsidR="004C4C35" w:rsidRPr="00F54106">
        <w:rPr>
          <w:rFonts w:cstheme="minorHAnsi"/>
          <w:lang w:val="en-GB"/>
        </w:rPr>
        <w:t>,</w:t>
      </w:r>
      <w:r w:rsidR="001D32C3" w:rsidRPr="00F54106">
        <w:rPr>
          <w:rStyle w:val="FootnoteReference"/>
          <w:rFonts w:cstheme="minorHAnsi"/>
          <w:lang w:val="en-GB"/>
        </w:rPr>
        <w:footnoteReference w:id="147"/>
      </w:r>
      <w:r w:rsidR="00E311CF" w:rsidRPr="00F54106">
        <w:rPr>
          <w:rFonts w:cstheme="minorHAnsi"/>
          <w:lang w:val="en-GB"/>
        </w:rPr>
        <w:t xml:space="preserve"> </w:t>
      </w:r>
      <w:r w:rsidR="004C4C35" w:rsidRPr="00F54106">
        <w:rPr>
          <w:rFonts w:cstheme="minorHAnsi"/>
          <w:lang w:val="en-GB"/>
        </w:rPr>
        <w:t xml:space="preserve">such as </w:t>
      </w:r>
      <w:r w:rsidR="00BC2E10" w:rsidRPr="00F54106">
        <w:rPr>
          <w:rFonts w:cstheme="minorHAnsi"/>
          <w:lang w:val="en-GB"/>
        </w:rPr>
        <w:t>the</w:t>
      </w:r>
      <w:r w:rsidR="00E311CF" w:rsidRPr="00F54106">
        <w:rPr>
          <w:rFonts w:cstheme="minorHAnsi"/>
          <w:lang w:val="en-GB"/>
        </w:rPr>
        <w:t xml:space="preserve"> high costs for</w:t>
      </w:r>
      <w:r w:rsidR="003D2F4F" w:rsidRPr="00F54106">
        <w:rPr>
          <w:rFonts w:cstheme="minorHAnsi"/>
          <w:lang w:val="en-GB"/>
        </w:rPr>
        <w:t xml:space="preserve"> evidence</w:t>
      </w:r>
      <w:r w:rsidR="00E311CF" w:rsidRPr="00F54106">
        <w:rPr>
          <w:rFonts w:cstheme="minorHAnsi"/>
          <w:lang w:val="en-GB"/>
        </w:rPr>
        <w:t xml:space="preserve"> </w:t>
      </w:r>
      <w:r w:rsidR="003D2F4F" w:rsidRPr="00F54106">
        <w:rPr>
          <w:rFonts w:cstheme="minorHAnsi"/>
          <w:lang w:val="en-GB"/>
        </w:rPr>
        <w:t xml:space="preserve">disclosure or the </w:t>
      </w:r>
      <w:r w:rsidR="00E311CF" w:rsidRPr="00F54106">
        <w:rPr>
          <w:rFonts w:cstheme="minorHAnsi"/>
          <w:lang w:val="en-GB"/>
        </w:rPr>
        <w:t>legal representation by solicitors and barristers</w:t>
      </w:r>
      <w:r w:rsidR="003D2F4F" w:rsidRPr="00F54106">
        <w:rPr>
          <w:rFonts w:cstheme="minorHAnsi"/>
          <w:lang w:val="en-GB"/>
        </w:rPr>
        <w:t>,</w:t>
      </w:r>
      <w:r w:rsidR="001D32C3" w:rsidRPr="00F54106">
        <w:rPr>
          <w:rStyle w:val="FootnoteReference"/>
          <w:rFonts w:cstheme="minorHAnsi"/>
          <w:lang w:val="en-GB"/>
        </w:rPr>
        <w:footnoteReference w:id="148"/>
      </w:r>
      <w:r w:rsidR="003D2F4F" w:rsidRPr="00F54106">
        <w:rPr>
          <w:rFonts w:cstheme="minorHAnsi"/>
          <w:lang w:val="en-GB"/>
        </w:rPr>
        <w:t xml:space="preserve"> the benefits seemingly have outweighed the difficulties.</w:t>
      </w:r>
      <w:r w:rsidR="00FA319A" w:rsidRPr="00F54106">
        <w:rPr>
          <w:rFonts w:cstheme="minorHAnsi"/>
          <w:lang w:val="en-GB"/>
        </w:rPr>
        <w:t xml:space="preserve"> </w:t>
      </w:r>
    </w:p>
    <w:p w14:paraId="254CC3B7" w14:textId="761F1C07" w:rsidR="00AC7667" w:rsidRPr="00F54106" w:rsidRDefault="002951B8" w:rsidP="002E27FC">
      <w:pPr>
        <w:spacing w:line="276" w:lineRule="auto"/>
        <w:ind w:firstLine="720"/>
        <w:rPr>
          <w:rFonts w:cstheme="minorHAnsi"/>
          <w:lang w:val="en-GB"/>
        </w:rPr>
      </w:pPr>
      <w:r w:rsidRPr="00F54106">
        <w:rPr>
          <w:rFonts w:cstheme="minorHAnsi"/>
          <w:lang w:val="en-GB"/>
        </w:rPr>
        <w:t xml:space="preserve">The UK has implemented the Damages Directive through the </w:t>
      </w:r>
      <w:r w:rsidR="0068338F" w:rsidRPr="00F54106">
        <w:rPr>
          <w:rFonts w:cstheme="minorHAnsi"/>
          <w:lang w:val="en-GB"/>
        </w:rPr>
        <w:t>Claims in respect of Loss or Damage arising from Competition Infringements (Competition Act 1998 and Other Enactments (Amendment)) Regulations 2017</w:t>
      </w:r>
      <w:r w:rsidR="000F04EA" w:rsidRPr="00F54106">
        <w:rPr>
          <w:rFonts w:cstheme="minorHAnsi"/>
          <w:lang w:val="en-GB"/>
        </w:rPr>
        <w:t xml:space="preserve"> (Henceforth: C</w:t>
      </w:r>
      <w:r w:rsidR="000A537D" w:rsidRPr="00F54106">
        <w:rPr>
          <w:rFonts w:cstheme="minorHAnsi"/>
          <w:lang w:val="en-GB"/>
        </w:rPr>
        <w:t xml:space="preserve">ompetition </w:t>
      </w:r>
      <w:r w:rsidR="000F04EA" w:rsidRPr="00F54106">
        <w:rPr>
          <w:rFonts w:cstheme="minorHAnsi"/>
          <w:lang w:val="en-GB"/>
        </w:rPr>
        <w:t>A</w:t>
      </w:r>
      <w:r w:rsidR="000A537D" w:rsidRPr="00F54106">
        <w:rPr>
          <w:rFonts w:cstheme="minorHAnsi"/>
          <w:lang w:val="en-GB"/>
        </w:rPr>
        <w:t>ct 19</w:t>
      </w:r>
      <w:r w:rsidR="000F04EA" w:rsidRPr="00F54106">
        <w:rPr>
          <w:rFonts w:cstheme="minorHAnsi"/>
          <w:lang w:val="en-GB"/>
        </w:rPr>
        <w:t>98)</w:t>
      </w:r>
      <w:r w:rsidR="0068338F" w:rsidRPr="00F54106">
        <w:rPr>
          <w:rFonts w:cstheme="minorHAnsi"/>
          <w:lang w:val="en-GB"/>
        </w:rPr>
        <w:t xml:space="preserve">. </w:t>
      </w:r>
      <w:r w:rsidR="005D73B7" w:rsidRPr="00F54106">
        <w:rPr>
          <w:rFonts w:cstheme="minorHAnsi"/>
          <w:lang w:val="en-GB"/>
        </w:rPr>
        <w:t>Even after the Brexit on 31 January 2020</w:t>
      </w:r>
      <w:r w:rsidR="00A3453E" w:rsidRPr="00F54106">
        <w:rPr>
          <w:rFonts w:cstheme="minorHAnsi"/>
          <w:lang w:val="en-GB"/>
        </w:rPr>
        <w:t>,</w:t>
      </w:r>
      <w:r w:rsidR="005D73B7" w:rsidRPr="00F54106">
        <w:rPr>
          <w:rFonts w:cstheme="minorHAnsi"/>
          <w:lang w:val="en-GB"/>
        </w:rPr>
        <w:t xml:space="preserve"> the UK’s former </w:t>
      </w:r>
      <w:r w:rsidR="00643492" w:rsidRPr="00F54106">
        <w:rPr>
          <w:rFonts w:cstheme="minorHAnsi"/>
          <w:lang w:val="en-GB"/>
        </w:rPr>
        <w:t xml:space="preserve">EU </w:t>
      </w:r>
      <w:r w:rsidR="005D73B7" w:rsidRPr="00F54106">
        <w:rPr>
          <w:rFonts w:cstheme="minorHAnsi"/>
          <w:lang w:val="en-GB"/>
        </w:rPr>
        <w:t>membership is still very much visible. Chapters 1 and 2 of the C</w:t>
      </w:r>
      <w:r w:rsidR="000A537D" w:rsidRPr="00F54106">
        <w:rPr>
          <w:rFonts w:cstheme="minorHAnsi"/>
          <w:lang w:val="en-GB"/>
        </w:rPr>
        <w:t xml:space="preserve">ompetition </w:t>
      </w:r>
      <w:r w:rsidR="005D73B7" w:rsidRPr="00F54106">
        <w:rPr>
          <w:rFonts w:cstheme="minorHAnsi"/>
          <w:lang w:val="en-GB"/>
        </w:rPr>
        <w:t>A</w:t>
      </w:r>
      <w:r w:rsidR="000A537D" w:rsidRPr="00F54106">
        <w:rPr>
          <w:rFonts w:cstheme="minorHAnsi"/>
          <w:lang w:val="en-GB"/>
        </w:rPr>
        <w:t>ct 19</w:t>
      </w:r>
      <w:r w:rsidR="005D73B7" w:rsidRPr="00F54106">
        <w:rPr>
          <w:rFonts w:cstheme="minorHAnsi"/>
          <w:lang w:val="en-GB"/>
        </w:rPr>
        <w:t xml:space="preserve">98 still fully reflect the provisions contained within Articles 101 and 102 TFEU, while </w:t>
      </w:r>
      <w:r w:rsidR="00A3453E" w:rsidRPr="00F54106">
        <w:rPr>
          <w:rFonts w:cstheme="minorHAnsi"/>
          <w:lang w:val="en-GB"/>
        </w:rPr>
        <w:t xml:space="preserve">UK </w:t>
      </w:r>
      <w:r w:rsidR="00643492" w:rsidRPr="00F54106">
        <w:rPr>
          <w:rFonts w:cstheme="minorHAnsi"/>
          <w:lang w:val="en-GB"/>
        </w:rPr>
        <w:t xml:space="preserve">national </w:t>
      </w:r>
      <w:r w:rsidR="00A3453E" w:rsidRPr="00F54106">
        <w:rPr>
          <w:rFonts w:cstheme="minorHAnsi"/>
          <w:lang w:val="en-GB"/>
        </w:rPr>
        <w:t>competition law has been shaped by EU competition law and has remained substantially affected by it.</w:t>
      </w:r>
      <w:r w:rsidR="00A3453E" w:rsidRPr="00F54106">
        <w:rPr>
          <w:rStyle w:val="FootnoteReference"/>
          <w:rFonts w:cstheme="minorHAnsi"/>
          <w:lang w:val="en-GB"/>
        </w:rPr>
        <w:footnoteReference w:id="149"/>
      </w:r>
      <w:r w:rsidR="0047572F" w:rsidRPr="00F54106">
        <w:rPr>
          <w:rFonts w:cstheme="minorHAnsi"/>
          <w:lang w:val="en-GB"/>
        </w:rPr>
        <w:t xml:space="preserve"> </w:t>
      </w:r>
      <w:r w:rsidR="00AC7667" w:rsidRPr="00F54106">
        <w:rPr>
          <w:rFonts w:cstheme="minorHAnsi"/>
          <w:lang w:val="en-GB"/>
        </w:rPr>
        <w:t>However, the implementation of the Damages Directive is also said to likely reduce England’s appeal as a forum for competition law damages claims in respect to punitive damages, disclosure of leniency materials, proportionality of disclosure and joint and several liability of leniency applicants.</w:t>
      </w:r>
      <w:r w:rsidR="00AC7667" w:rsidRPr="00F54106">
        <w:rPr>
          <w:rStyle w:val="FootnoteReference"/>
          <w:rFonts w:cstheme="minorHAnsi"/>
          <w:lang w:val="en-GB"/>
        </w:rPr>
        <w:footnoteReference w:id="150"/>
      </w:r>
      <w:r w:rsidR="00AC7667" w:rsidRPr="00F54106">
        <w:rPr>
          <w:rFonts w:cstheme="minorHAnsi"/>
          <w:lang w:val="en-GB"/>
        </w:rPr>
        <w:t xml:space="preserve"> </w:t>
      </w:r>
      <w:r w:rsidR="00DF1699" w:rsidRPr="00F54106">
        <w:rPr>
          <w:rFonts w:cstheme="minorHAnsi"/>
          <w:lang w:val="en-GB"/>
        </w:rPr>
        <w:t>As a result,</w:t>
      </w:r>
      <w:r w:rsidR="00AC7667" w:rsidRPr="00F54106">
        <w:rPr>
          <w:rFonts w:cstheme="minorHAnsi"/>
          <w:lang w:val="en-GB"/>
        </w:rPr>
        <w:t xml:space="preserve"> </w:t>
      </w:r>
      <w:r w:rsidR="00DF1699" w:rsidRPr="00F54106">
        <w:rPr>
          <w:rFonts w:cstheme="minorHAnsi"/>
          <w:lang w:val="en-GB"/>
        </w:rPr>
        <w:t xml:space="preserve">many of the UK’s </w:t>
      </w:r>
      <w:r w:rsidR="00AC7667" w:rsidRPr="00F54106">
        <w:rPr>
          <w:rFonts w:cstheme="minorHAnsi"/>
          <w:lang w:val="en-GB"/>
        </w:rPr>
        <w:t xml:space="preserve">advantages </w:t>
      </w:r>
      <w:r w:rsidR="00DF1699" w:rsidRPr="00F54106">
        <w:rPr>
          <w:rFonts w:cstheme="minorHAnsi"/>
          <w:lang w:val="en-GB"/>
        </w:rPr>
        <w:t xml:space="preserve">include those that are </w:t>
      </w:r>
      <w:r w:rsidR="000C39A9" w:rsidRPr="00F54106">
        <w:rPr>
          <w:rFonts w:cstheme="minorHAnsi"/>
          <w:lang w:val="en-GB"/>
        </w:rPr>
        <w:t>untouched by the Damages Directive or established before</w:t>
      </w:r>
      <w:r w:rsidR="00DF1699" w:rsidRPr="00F54106">
        <w:rPr>
          <w:rFonts w:cstheme="minorHAnsi"/>
          <w:lang w:val="en-GB"/>
        </w:rPr>
        <w:t xml:space="preserve"> </w:t>
      </w:r>
      <w:r w:rsidR="000C39A9" w:rsidRPr="00F54106">
        <w:rPr>
          <w:rFonts w:cstheme="minorHAnsi"/>
          <w:lang w:val="en-GB"/>
        </w:rPr>
        <w:t>its</w:t>
      </w:r>
      <w:r w:rsidR="00DF1699" w:rsidRPr="00F54106">
        <w:rPr>
          <w:rFonts w:cstheme="minorHAnsi"/>
          <w:lang w:val="en-GB"/>
        </w:rPr>
        <w:t xml:space="preserve"> </w:t>
      </w:r>
      <w:r w:rsidR="000C39A9" w:rsidRPr="00F54106">
        <w:rPr>
          <w:rFonts w:cstheme="minorHAnsi"/>
          <w:lang w:val="en-GB"/>
        </w:rPr>
        <w:t>implementation</w:t>
      </w:r>
      <w:r w:rsidR="00644DBB" w:rsidRPr="00F54106">
        <w:rPr>
          <w:rFonts w:cstheme="minorHAnsi"/>
          <w:lang w:val="en-GB"/>
        </w:rPr>
        <w:t>.</w:t>
      </w:r>
      <w:r w:rsidR="000C39A9" w:rsidRPr="00F54106">
        <w:rPr>
          <w:rFonts w:cstheme="minorHAnsi"/>
          <w:lang w:val="en-GB"/>
        </w:rPr>
        <w:t xml:space="preserve"> </w:t>
      </w:r>
      <w:r w:rsidR="00644DBB" w:rsidRPr="00F54106">
        <w:rPr>
          <w:rFonts w:cstheme="minorHAnsi"/>
          <w:lang w:val="en-GB"/>
        </w:rPr>
        <w:t>These include the UK’s</w:t>
      </w:r>
      <w:r w:rsidR="00AC7667" w:rsidRPr="00F54106">
        <w:rPr>
          <w:rFonts w:cstheme="minorHAnsi"/>
          <w:lang w:val="en-GB"/>
        </w:rPr>
        <w:t xml:space="preserve"> cost rules, </w:t>
      </w:r>
      <w:r w:rsidR="00DF1699" w:rsidRPr="00F54106">
        <w:rPr>
          <w:rFonts w:cstheme="minorHAnsi"/>
          <w:lang w:val="en-GB"/>
        </w:rPr>
        <w:t xml:space="preserve">the availability of third party funding, its specialized </w:t>
      </w:r>
      <w:r w:rsidR="000C39A9" w:rsidRPr="00F54106">
        <w:rPr>
          <w:rFonts w:cstheme="minorHAnsi"/>
          <w:lang w:val="en-GB"/>
        </w:rPr>
        <w:t xml:space="preserve">and multi-disciplinary </w:t>
      </w:r>
      <w:r w:rsidR="00DF1699" w:rsidRPr="00F54106">
        <w:rPr>
          <w:rFonts w:cstheme="minorHAnsi"/>
          <w:lang w:val="en-GB"/>
        </w:rPr>
        <w:t>court</w:t>
      </w:r>
      <w:r w:rsidR="000C39A9" w:rsidRPr="00F54106">
        <w:rPr>
          <w:rFonts w:cstheme="minorHAnsi"/>
          <w:lang w:val="en-GB"/>
        </w:rPr>
        <w:t xml:space="preserve"> (CAT)</w:t>
      </w:r>
      <w:r w:rsidR="00DF1699" w:rsidRPr="00F54106">
        <w:rPr>
          <w:rFonts w:cstheme="minorHAnsi"/>
          <w:lang w:val="en-GB"/>
        </w:rPr>
        <w:t xml:space="preserve">, </w:t>
      </w:r>
      <w:r w:rsidR="00644DBB" w:rsidRPr="00F54106">
        <w:rPr>
          <w:rFonts w:cstheme="minorHAnsi"/>
          <w:lang w:val="en-GB"/>
        </w:rPr>
        <w:t xml:space="preserve">its </w:t>
      </w:r>
      <w:r w:rsidR="00A933C5" w:rsidRPr="00F54106">
        <w:rPr>
          <w:rFonts w:cstheme="minorHAnsi"/>
          <w:lang w:val="en-GB"/>
        </w:rPr>
        <w:t xml:space="preserve">efficient case management, </w:t>
      </w:r>
      <w:r w:rsidR="00DF1699" w:rsidRPr="00F54106">
        <w:rPr>
          <w:rFonts w:cstheme="minorHAnsi"/>
          <w:lang w:val="en-GB"/>
        </w:rPr>
        <w:t>the introduction of new collective actions regime</w:t>
      </w:r>
      <w:r w:rsidR="00A933C5" w:rsidRPr="00F54106">
        <w:rPr>
          <w:rFonts w:cstheme="minorHAnsi"/>
          <w:lang w:val="en-GB"/>
        </w:rPr>
        <w:t xml:space="preserve"> and </w:t>
      </w:r>
      <w:r w:rsidR="00DF1699" w:rsidRPr="00F54106">
        <w:rPr>
          <w:rFonts w:cstheme="minorHAnsi"/>
          <w:lang w:val="en-GB"/>
        </w:rPr>
        <w:t xml:space="preserve">its accumulated judicial expertise, </w:t>
      </w:r>
      <w:r w:rsidR="00644DBB" w:rsidRPr="00F54106">
        <w:rPr>
          <w:rFonts w:cstheme="minorHAnsi"/>
          <w:lang w:val="en-GB"/>
        </w:rPr>
        <w:t>which</w:t>
      </w:r>
      <w:r w:rsidR="00DF1699" w:rsidRPr="00F54106">
        <w:rPr>
          <w:rFonts w:cstheme="minorHAnsi"/>
          <w:lang w:val="en-GB"/>
        </w:rPr>
        <w:t xml:space="preserve"> are key factors that claimants will take into account when selecting a forum.</w:t>
      </w:r>
      <w:r w:rsidR="00DF1699" w:rsidRPr="00F54106">
        <w:rPr>
          <w:rStyle w:val="FootnoteReference"/>
          <w:rFonts w:cstheme="minorHAnsi"/>
          <w:lang w:val="en-GB"/>
        </w:rPr>
        <w:footnoteReference w:id="151"/>
      </w:r>
    </w:p>
    <w:p w14:paraId="3D3DCC4D" w14:textId="68C56857" w:rsidR="002951B8" w:rsidRPr="00F54106" w:rsidRDefault="004C5065" w:rsidP="00FC31D7">
      <w:pPr>
        <w:spacing w:line="276" w:lineRule="auto"/>
        <w:ind w:firstLine="720"/>
        <w:rPr>
          <w:rFonts w:cstheme="minorHAnsi"/>
          <w:lang w:val="en-GB"/>
        </w:rPr>
      </w:pPr>
      <w:r w:rsidRPr="00F54106">
        <w:rPr>
          <w:rFonts w:cstheme="minorHAnsi"/>
          <w:lang w:val="en-GB"/>
        </w:rPr>
        <w:t>T</w:t>
      </w:r>
      <w:r w:rsidR="00F36769" w:rsidRPr="00F54106">
        <w:rPr>
          <w:rFonts w:cstheme="minorHAnsi"/>
          <w:lang w:val="en-GB"/>
        </w:rPr>
        <w:t xml:space="preserve">he Brexit </w:t>
      </w:r>
      <w:r w:rsidR="0047572F" w:rsidRPr="00F54106">
        <w:rPr>
          <w:rFonts w:cstheme="minorHAnsi"/>
          <w:lang w:val="en-GB"/>
        </w:rPr>
        <w:t xml:space="preserve">also </w:t>
      </w:r>
      <w:r w:rsidRPr="00F54106">
        <w:rPr>
          <w:rFonts w:cstheme="minorHAnsi"/>
          <w:lang w:val="en-GB"/>
        </w:rPr>
        <w:t xml:space="preserve">makes for an </w:t>
      </w:r>
      <w:r w:rsidR="00AC7667" w:rsidRPr="00F54106">
        <w:rPr>
          <w:rFonts w:cstheme="minorHAnsi"/>
          <w:lang w:val="en-GB"/>
        </w:rPr>
        <w:t>in</w:t>
      </w:r>
      <w:r w:rsidRPr="00F54106">
        <w:rPr>
          <w:rFonts w:cstheme="minorHAnsi"/>
          <w:lang w:val="en-GB"/>
        </w:rPr>
        <w:t>teresting debate on its influence on private enforcement of cartel damages claims in the UK.</w:t>
      </w:r>
      <w:r w:rsidR="00072DB9" w:rsidRPr="00F54106">
        <w:rPr>
          <w:rFonts w:cstheme="minorHAnsi"/>
          <w:lang w:val="en-GB"/>
        </w:rPr>
        <w:t xml:space="preserve"> </w:t>
      </w:r>
      <w:r w:rsidR="00117F21" w:rsidRPr="00F54106">
        <w:rPr>
          <w:rFonts w:cstheme="minorHAnsi"/>
          <w:lang w:val="en-GB"/>
        </w:rPr>
        <w:t>On the one hand, the British government had no intention to change the current rules on competition, as stated in their 2018 policy paper on the future relationship between the United Kingdom and the European Union, and opted to maintain “rigorous enforcement of UK competition law alongside strong cooperation with EU authorities</w:t>
      </w:r>
      <w:r w:rsidR="0074170A" w:rsidRPr="00F54106">
        <w:rPr>
          <w:rFonts w:cstheme="minorHAnsi"/>
          <w:lang w:val="en-GB"/>
        </w:rPr>
        <w:t>”</w:t>
      </w:r>
      <w:r w:rsidR="00117F21" w:rsidRPr="00F54106">
        <w:rPr>
          <w:rFonts w:cstheme="minorHAnsi"/>
          <w:lang w:val="en-GB"/>
        </w:rPr>
        <w:t>.</w:t>
      </w:r>
      <w:r w:rsidR="00117F21" w:rsidRPr="00F54106">
        <w:rPr>
          <w:rStyle w:val="FootnoteReference"/>
          <w:rFonts w:cstheme="minorHAnsi"/>
          <w:lang w:val="en-GB"/>
        </w:rPr>
        <w:footnoteReference w:id="152"/>
      </w:r>
      <w:r w:rsidR="00117F21" w:rsidRPr="00F54106">
        <w:rPr>
          <w:rFonts w:cstheme="minorHAnsi"/>
          <w:lang w:val="en-GB"/>
        </w:rPr>
        <w:t xml:space="preserve"> On the other hand, s</w:t>
      </w:r>
      <w:r w:rsidR="00072DB9" w:rsidRPr="00F54106">
        <w:rPr>
          <w:rFonts w:cstheme="minorHAnsi"/>
          <w:lang w:val="en-GB"/>
        </w:rPr>
        <w:t xml:space="preserve">ome </w:t>
      </w:r>
      <w:r w:rsidR="0093326E" w:rsidRPr="00F54106">
        <w:rPr>
          <w:rFonts w:cstheme="minorHAnsi"/>
          <w:lang w:val="en-GB"/>
        </w:rPr>
        <w:t xml:space="preserve">have </w:t>
      </w:r>
      <w:r w:rsidR="00072DB9" w:rsidRPr="00F54106">
        <w:rPr>
          <w:rFonts w:cstheme="minorHAnsi"/>
          <w:lang w:val="en-GB"/>
        </w:rPr>
        <w:t>argue</w:t>
      </w:r>
      <w:r w:rsidR="0093326E" w:rsidRPr="00F54106">
        <w:rPr>
          <w:rFonts w:cstheme="minorHAnsi"/>
          <w:lang w:val="en-GB"/>
        </w:rPr>
        <w:t>d</w:t>
      </w:r>
      <w:r w:rsidR="00072DB9" w:rsidRPr="00F54106">
        <w:rPr>
          <w:rFonts w:cstheme="minorHAnsi"/>
          <w:lang w:val="en-GB"/>
        </w:rPr>
        <w:t xml:space="preserve"> that the Brexit would</w:t>
      </w:r>
      <w:r w:rsidR="008B7C7D" w:rsidRPr="00F54106">
        <w:rPr>
          <w:rFonts w:cstheme="minorHAnsi"/>
          <w:lang w:val="en-GB"/>
        </w:rPr>
        <w:t xml:space="preserve"> still</w:t>
      </w:r>
      <w:r w:rsidR="00072DB9" w:rsidRPr="00F54106">
        <w:rPr>
          <w:rFonts w:cstheme="minorHAnsi"/>
          <w:lang w:val="en-GB"/>
        </w:rPr>
        <w:t xml:space="preserve"> </w:t>
      </w:r>
      <w:r w:rsidR="0093326E" w:rsidRPr="00F54106">
        <w:rPr>
          <w:rFonts w:cstheme="minorHAnsi"/>
          <w:lang w:val="en-GB"/>
        </w:rPr>
        <w:t>threaten</w:t>
      </w:r>
      <w:r w:rsidR="00072DB9" w:rsidRPr="00F54106">
        <w:rPr>
          <w:rFonts w:cstheme="minorHAnsi"/>
          <w:lang w:val="en-GB"/>
        </w:rPr>
        <w:t xml:space="preserve"> the attractiveness of the UK as a forum</w:t>
      </w:r>
      <w:r w:rsidR="0093326E" w:rsidRPr="00F54106">
        <w:rPr>
          <w:rFonts w:cstheme="minorHAnsi"/>
          <w:lang w:val="en-GB"/>
        </w:rPr>
        <w:t>.</w:t>
      </w:r>
      <w:r w:rsidR="00072DB9" w:rsidRPr="00F54106">
        <w:rPr>
          <w:rStyle w:val="FootnoteReference"/>
          <w:rFonts w:cstheme="minorHAnsi"/>
          <w:lang w:val="en-GB"/>
        </w:rPr>
        <w:footnoteReference w:id="153"/>
      </w:r>
      <w:r w:rsidR="00072DB9" w:rsidRPr="00F54106">
        <w:rPr>
          <w:rFonts w:cstheme="minorHAnsi"/>
          <w:lang w:val="en-GB"/>
        </w:rPr>
        <w:t xml:space="preserve"> </w:t>
      </w:r>
      <w:r w:rsidR="00817221" w:rsidRPr="00F54106">
        <w:rPr>
          <w:rFonts w:cstheme="minorHAnsi"/>
          <w:lang w:val="en-GB"/>
        </w:rPr>
        <w:t xml:space="preserve">However, even </w:t>
      </w:r>
      <w:r w:rsidR="00817221" w:rsidRPr="00F54106">
        <w:rPr>
          <w:rFonts w:cstheme="minorHAnsi"/>
          <w:lang w:val="en-GB"/>
        </w:rPr>
        <w:lastRenderedPageBreak/>
        <w:t>though the Brexit is</w:t>
      </w:r>
      <w:r w:rsidR="00E35E62" w:rsidRPr="00F54106">
        <w:rPr>
          <w:rFonts w:cstheme="minorHAnsi"/>
          <w:lang w:val="en-GB"/>
        </w:rPr>
        <w:t xml:space="preserve"> nevertheless</w:t>
      </w:r>
      <w:r w:rsidR="00817221" w:rsidRPr="00F54106">
        <w:rPr>
          <w:rFonts w:cstheme="minorHAnsi"/>
          <w:lang w:val="en-GB"/>
        </w:rPr>
        <w:t xml:space="preserve"> </w:t>
      </w:r>
      <w:r w:rsidR="007B4CAA" w:rsidRPr="00F54106">
        <w:rPr>
          <w:rFonts w:cstheme="minorHAnsi"/>
          <w:lang w:val="en-GB"/>
        </w:rPr>
        <w:t xml:space="preserve">likely </w:t>
      </w:r>
      <w:r w:rsidR="00DB106E" w:rsidRPr="00F54106">
        <w:rPr>
          <w:rFonts w:cstheme="minorHAnsi"/>
          <w:lang w:val="en-GB"/>
        </w:rPr>
        <w:t xml:space="preserve">to </w:t>
      </w:r>
      <w:r w:rsidR="00817221" w:rsidRPr="00F54106">
        <w:rPr>
          <w:rFonts w:cstheme="minorHAnsi"/>
          <w:lang w:val="en-GB"/>
        </w:rPr>
        <w:t xml:space="preserve">have a significant impact, </w:t>
      </w:r>
      <w:r w:rsidR="00DB106E" w:rsidRPr="00F54106">
        <w:rPr>
          <w:rFonts w:cstheme="minorHAnsi"/>
          <w:lang w:val="en-GB"/>
        </w:rPr>
        <w:t xml:space="preserve">many of the antitrust claims </w:t>
      </w:r>
      <w:r w:rsidR="0079641A" w:rsidRPr="00F54106">
        <w:rPr>
          <w:rFonts w:cstheme="minorHAnsi"/>
          <w:lang w:val="en-GB"/>
        </w:rPr>
        <w:t>in the UK</w:t>
      </w:r>
      <w:r w:rsidR="00817221" w:rsidRPr="00F54106">
        <w:rPr>
          <w:rFonts w:cstheme="minorHAnsi"/>
          <w:lang w:val="en-GB"/>
        </w:rPr>
        <w:t xml:space="preserve"> </w:t>
      </w:r>
      <w:r w:rsidR="00DB106E" w:rsidRPr="00F54106">
        <w:rPr>
          <w:rFonts w:cstheme="minorHAnsi"/>
          <w:lang w:val="en-GB"/>
        </w:rPr>
        <w:t xml:space="preserve">during the course of 2021 </w:t>
      </w:r>
      <w:r w:rsidR="0079641A" w:rsidRPr="00F54106">
        <w:rPr>
          <w:rFonts w:cstheme="minorHAnsi"/>
          <w:lang w:val="en-GB"/>
        </w:rPr>
        <w:t>w</w:t>
      </w:r>
      <w:r w:rsidR="00DB106E" w:rsidRPr="00F54106">
        <w:rPr>
          <w:rFonts w:cstheme="minorHAnsi"/>
          <w:lang w:val="en-GB"/>
        </w:rPr>
        <w:t>ere</w:t>
      </w:r>
      <w:r w:rsidR="0079641A" w:rsidRPr="00F54106">
        <w:rPr>
          <w:rFonts w:cstheme="minorHAnsi"/>
          <w:lang w:val="en-GB"/>
        </w:rPr>
        <w:t xml:space="preserve"> still </w:t>
      </w:r>
      <w:r w:rsidR="00817221" w:rsidRPr="00F54106">
        <w:rPr>
          <w:rFonts w:cstheme="minorHAnsi"/>
          <w:lang w:val="en-GB"/>
        </w:rPr>
        <w:t>based on European Commission decisions</w:t>
      </w:r>
      <w:r w:rsidR="0079641A" w:rsidRPr="00F54106">
        <w:rPr>
          <w:rFonts w:cstheme="minorHAnsi"/>
          <w:lang w:val="en-GB"/>
        </w:rPr>
        <w:t>.</w:t>
      </w:r>
      <w:r w:rsidR="0079641A" w:rsidRPr="00F54106">
        <w:rPr>
          <w:rStyle w:val="FootnoteReference"/>
          <w:rFonts w:cstheme="minorHAnsi"/>
          <w:lang w:val="en-GB"/>
        </w:rPr>
        <w:footnoteReference w:id="154"/>
      </w:r>
    </w:p>
    <w:p w14:paraId="10C2F5C2" w14:textId="2A94037D" w:rsidR="00261D97" w:rsidRPr="00F54106" w:rsidRDefault="00644DBB" w:rsidP="00FC31D7">
      <w:pPr>
        <w:spacing w:line="276" w:lineRule="auto"/>
        <w:ind w:firstLine="720"/>
        <w:rPr>
          <w:rFonts w:cstheme="minorHAnsi"/>
          <w:lang w:val="en-GB"/>
        </w:rPr>
      </w:pPr>
      <w:r w:rsidRPr="00F54106">
        <w:rPr>
          <w:rFonts w:cstheme="minorHAnsi"/>
          <w:lang w:val="en-GB"/>
        </w:rPr>
        <w:t>Below</w:t>
      </w:r>
      <w:r w:rsidR="00101EC6" w:rsidRPr="00F54106">
        <w:rPr>
          <w:rFonts w:cstheme="minorHAnsi"/>
          <w:lang w:val="en-GB"/>
        </w:rPr>
        <w:t>,</w:t>
      </w:r>
      <w:r w:rsidRPr="00F54106">
        <w:rPr>
          <w:rFonts w:cstheme="minorHAnsi"/>
          <w:lang w:val="en-GB"/>
        </w:rPr>
        <w:t xml:space="preserve"> </w:t>
      </w:r>
      <w:r w:rsidR="00101EC6" w:rsidRPr="00F54106">
        <w:rPr>
          <w:rFonts w:cstheme="minorHAnsi"/>
          <w:lang w:val="en-GB"/>
        </w:rPr>
        <w:t>a further in-depth analysis will be conducted on</w:t>
      </w:r>
      <w:r w:rsidRPr="00F54106">
        <w:rPr>
          <w:rFonts w:cstheme="minorHAnsi"/>
          <w:lang w:val="en-GB"/>
        </w:rPr>
        <w:t xml:space="preserve"> </w:t>
      </w:r>
      <w:r w:rsidR="00101EC6" w:rsidRPr="00F54106">
        <w:rPr>
          <w:rFonts w:cstheme="minorHAnsi"/>
          <w:lang w:val="en-GB"/>
        </w:rPr>
        <w:t>the</w:t>
      </w:r>
      <w:r w:rsidRPr="00F54106">
        <w:rPr>
          <w:rFonts w:cstheme="minorHAnsi"/>
          <w:lang w:val="en-GB"/>
        </w:rPr>
        <w:t xml:space="preserve"> </w:t>
      </w:r>
      <w:r w:rsidR="00261D97" w:rsidRPr="00F54106">
        <w:rPr>
          <w:rFonts w:cstheme="minorHAnsi"/>
          <w:lang w:val="en-GB"/>
        </w:rPr>
        <w:t xml:space="preserve">specific </w:t>
      </w:r>
      <w:r w:rsidR="008B7C7D" w:rsidRPr="00F54106">
        <w:rPr>
          <w:rFonts w:cstheme="minorHAnsi"/>
          <w:lang w:val="en-GB"/>
        </w:rPr>
        <w:t>elements of the British legal system</w:t>
      </w:r>
      <w:r w:rsidR="00101EC6" w:rsidRPr="00F54106">
        <w:rPr>
          <w:rFonts w:cstheme="minorHAnsi"/>
          <w:lang w:val="en-GB"/>
        </w:rPr>
        <w:t xml:space="preserve"> </w:t>
      </w:r>
      <w:r w:rsidRPr="00F54106">
        <w:rPr>
          <w:rFonts w:cstheme="minorHAnsi"/>
          <w:lang w:val="en-GB"/>
        </w:rPr>
        <w:t>that</w:t>
      </w:r>
      <w:r w:rsidR="00C055F7" w:rsidRPr="00F54106">
        <w:rPr>
          <w:rFonts w:cstheme="minorHAnsi"/>
          <w:lang w:val="en-GB"/>
        </w:rPr>
        <w:t xml:space="preserve"> </w:t>
      </w:r>
      <w:r w:rsidR="00D00D69" w:rsidRPr="00F54106">
        <w:rPr>
          <w:rFonts w:cstheme="minorHAnsi"/>
          <w:lang w:val="en-GB"/>
        </w:rPr>
        <w:t>contribute to the</w:t>
      </w:r>
      <w:r w:rsidR="00C055F7" w:rsidRPr="00F54106">
        <w:rPr>
          <w:rFonts w:cstheme="minorHAnsi"/>
          <w:lang w:val="en-GB"/>
        </w:rPr>
        <w:t xml:space="preserve"> </w:t>
      </w:r>
      <w:r w:rsidR="00D00D69" w:rsidRPr="00F54106">
        <w:rPr>
          <w:rFonts w:cstheme="minorHAnsi"/>
          <w:lang w:val="en-GB"/>
        </w:rPr>
        <w:t xml:space="preserve">UK’s </w:t>
      </w:r>
      <w:r w:rsidR="00C055F7" w:rsidRPr="00F54106">
        <w:rPr>
          <w:rFonts w:cstheme="minorHAnsi"/>
          <w:lang w:val="en-GB"/>
        </w:rPr>
        <w:t>attractive</w:t>
      </w:r>
      <w:r w:rsidR="00D00D69" w:rsidRPr="00F54106">
        <w:rPr>
          <w:rFonts w:cstheme="minorHAnsi"/>
          <w:lang w:val="en-GB"/>
        </w:rPr>
        <w:t>ness as a</w:t>
      </w:r>
      <w:r w:rsidR="00C055F7" w:rsidRPr="00F54106">
        <w:rPr>
          <w:rFonts w:cstheme="minorHAnsi"/>
          <w:lang w:val="en-GB"/>
        </w:rPr>
        <w:t xml:space="preserve"> forum for private enforcement of competition law</w:t>
      </w:r>
      <w:r w:rsidR="00101EC6" w:rsidRPr="00F54106">
        <w:rPr>
          <w:rFonts w:cstheme="minorHAnsi"/>
          <w:lang w:val="en-GB"/>
        </w:rPr>
        <w:t xml:space="preserve"> as mentioned by the literature</w:t>
      </w:r>
      <w:r w:rsidR="00C055F7" w:rsidRPr="00F54106">
        <w:rPr>
          <w:rFonts w:cstheme="minorHAnsi"/>
          <w:lang w:val="en-GB"/>
        </w:rPr>
        <w:t xml:space="preserve">. </w:t>
      </w:r>
    </w:p>
    <w:p w14:paraId="1F363D5B" w14:textId="77777777" w:rsidR="006F6578" w:rsidRPr="00F54106" w:rsidRDefault="006F6578" w:rsidP="00FC31D7">
      <w:pPr>
        <w:spacing w:line="276" w:lineRule="auto"/>
        <w:rPr>
          <w:rFonts w:cstheme="minorHAnsi"/>
          <w:lang w:val="en-GB"/>
        </w:rPr>
      </w:pPr>
    </w:p>
    <w:p w14:paraId="58DC1969" w14:textId="36FF208C" w:rsidR="006F6578" w:rsidRPr="00F54106" w:rsidRDefault="001F001E" w:rsidP="001F001E">
      <w:pPr>
        <w:pStyle w:val="Heading3"/>
        <w:rPr>
          <w:lang w:val="en-GB"/>
        </w:rPr>
      </w:pPr>
      <w:bookmarkStart w:id="75" w:name="_Toc107610227"/>
      <w:r w:rsidRPr="00F54106">
        <w:rPr>
          <w:lang w:val="en-GB"/>
        </w:rPr>
        <w:t>2.2</w:t>
      </w:r>
      <w:r w:rsidR="004108B4" w:rsidRPr="00F54106">
        <w:rPr>
          <w:lang w:val="en-GB"/>
        </w:rPr>
        <w:t>.</w:t>
      </w:r>
      <w:r w:rsidR="006F6578" w:rsidRPr="00F54106">
        <w:rPr>
          <w:lang w:val="en-GB"/>
        </w:rPr>
        <w:t>1 Specialization of UK courts</w:t>
      </w:r>
      <w:r w:rsidR="00D94B66" w:rsidRPr="00F54106">
        <w:rPr>
          <w:lang w:val="en-GB"/>
        </w:rPr>
        <w:t xml:space="preserve"> and the Competition Appeal Tribunal</w:t>
      </w:r>
      <w:bookmarkEnd w:id="75"/>
    </w:p>
    <w:p w14:paraId="345CA590" w14:textId="77D45EB3" w:rsidR="003D29DF" w:rsidRPr="00F54106" w:rsidRDefault="00F10BCB" w:rsidP="00FC31D7">
      <w:pPr>
        <w:spacing w:line="276" w:lineRule="auto"/>
        <w:rPr>
          <w:rFonts w:cstheme="minorHAnsi"/>
          <w:lang w:val="en-GB"/>
        </w:rPr>
      </w:pPr>
      <w:r w:rsidRPr="00F54106">
        <w:rPr>
          <w:rFonts w:cstheme="minorHAnsi"/>
          <w:lang w:val="en-GB"/>
        </w:rPr>
        <w:t xml:space="preserve">Overall, the courts in </w:t>
      </w:r>
      <w:r w:rsidR="00991419" w:rsidRPr="00F54106">
        <w:rPr>
          <w:rFonts w:cstheme="minorHAnsi"/>
          <w:lang w:val="en-GB"/>
        </w:rPr>
        <w:t>England and Wales</w:t>
      </w:r>
      <w:r w:rsidRPr="00F54106">
        <w:rPr>
          <w:rFonts w:cstheme="minorHAnsi"/>
          <w:lang w:val="en-GB"/>
        </w:rPr>
        <w:t xml:space="preserve"> are said to have substantial experience with managing </w:t>
      </w:r>
      <w:r w:rsidR="00120DA9" w:rsidRPr="00F54106">
        <w:rPr>
          <w:rFonts w:cstheme="minorHAnsi"/>
          <w:lang w:val="en-GB"/>
        </w:rPr>
        <w:t>large cases</w:t>
      </w:r>
      <w:r w:rsidR="00753B59" w:rsidRPr="00F54106">
        <w:rPr>
          <w:rFonts w:cstheme="minorHAnsi"/>
          <w:lang w:val="en-GB"/>
        </w:rPr>
        <w:t>,</w:t>
      </w:r>
      <w:r w:rsidR="003261AF" w:rsidRPr="00F54106">
        <w:rPr>
          <w:rFonts w:cstheme="minorHAnsi"/>
          <w:lang w:val="en-GB"/>
        </w:rPr>
        <w:t xml:space="preserve"> </w:t>
      </w:r>
      <w:r w:rsidR="00830B0E" w:rsidRPr="00F54106">
        <w:rPr>
          <w:rFonts w:cstheme="minorHAnsi"/>
          <w:lang w:val="en-GB"/>
        </w:rPr>
        <w:t>which is a characteristic often found in</w:t>
      </w:r>
      <w:r w:rsidR="00120DA9" w:rsidRPr="00F54106">
        <w:rPr>
          <w:rFonts w:cstheme="minorHAnsi"/>
          <w:lang w:val="en-GB"/>
        </w:rPr>
        <w:t xml:space="preserve"> antitrust </w:t>
      </w:r>
      <w:r w:rsidR="00830B0E" w:rsidRPr="00F54106">
        <w:rPr>
          <w:rFonts w:cstheme="minorHAnsi"/>
          <w:lang w:val="en-GB"/>
        </w:rPr>
        <w:t>claims</w:t>
      </w:r>
      <w:r w:rsidR="00E4627E" w:rsidRPr="00F54106">
        <w:rPr>
          <w:rFonts w:cstheme="minorHAnsi"/>
          <w:lang w:val="en-GB"/>
        </w:rPr>
        <w:t>.</w:t>
      </w:r>
      <w:r w:rsidR="00120DA9" w:rsidRPr="00F54106">
        <w:rPr>
          <w:rStyle w:val="FootnoteReference"/>
          <w:rFonts w:cstheme="minorHAnsi"/>
          <w:lang w:val="en-GB"/>
        </w:rPr>
        <w:footnoteReference w:id="155"/>
      </w:r>
      <w:r w:rsidR="00022AD2" w:rsidRPr="00F54106">
        <w:rPr>
          <w:rFonts w:cstheme="minorHAnsi"/>
          <w:lang w:val="en-GB"/>
        </w:rPr>
        <w:t xml:space="preserve"> </w:t>
      </w:r>
      <w:r w:rsidR="00186A32" w:rsidRPr="00F54106">
        <w:rPr>
          <w:rFonts w:cstheme="minorHAnsi"/>
          <w:lang w:val="en-GB"/>
        </w:rPr>
        <w:t>The design of the Civil Procedure Rules, the requirement for active case management within those rules, and experience in applying these rules are the reason why English courts are able to meet the demands of complicated antitrust cases that often involve many claimants.</w:t>
      </w:r>
      <w:r w:rsidR="00186A32" w:rsidRPr="00F54106">
        <w:rPr>
          <w:rStyle w:val="FootnoteReference"/>
          <w:rFonts w:cstheme="minorHAnsi"/>
          <w:lang w:val="en-GB"/>
        </w:rPr>
        <w:footnoteReference w:id="156"/>
      </w:r>
      <w:r w:rsidR="00186A32" w:rsidRPr="00F54106">
        <w:rPr>
          <w:rFonts w:cstheme="minorHAnsi"/>
          <w:lang w:val="en-GB"/>
        </w:rPr>
        <w:t xml:space="preserve"> </w:t>
      </w:r>
      <w:r w:rsidR="00D94B66" w:rsidRPr="00F54106">
        <w:rPr>
          <w:rFonts w:cstheme="minorHAnsi"/>
          <w:lang w:val="en-GB"/>
        </w:rPr>
        <w:t>This</w:t>
      </w:r>
      <w:r w:rsidR="00022AD2" w:rsidRPr="00F54106">
        <w:rPr>
          <w:rFonts w:cstheme="minorHAnsi"/>
          <w:lang w:val="en-GB"/>
        </w:rPr>
        <w:t xml:space="preserve"> has resulted</w:t>
      </w:r>
      <w:r w:rsidR="0028678B" w:rsidRPr="00F54106">
        <w:rPr>
          <w:rFonts w:cstheme="minorHAnsi"/>
          <w:lang w:val="en-GB"/>
        </w:rPr>
        <w:t xml:space="preserve"> in efficient litigation</w:t>
      </w:r>
      <w:r w:rsidR="0048461E" w:rsidRPr="00F54106">
        <w:rPr>
          <w:rFonts w:cstheme="minorHAnsi"/>
          <w:lang w:val="en-GB"/>
        </w:rPr>
        <w:t xml:space="preserve"> of complex cases</w:t>
      </w:r>
      <w:r w:rsidR="0028678B" w:rsidRPr="00F54106">
        <w:rPr>
          <w:rFonts w:cstheme="minorHAnsi"/>
          <w:lang w:val="en-GB"/>
        </w:rPr>
        <w:t xml:space="preserve"> and consequently has </w:t>
      </w:r>
      <w:r w:rsidR="0048461E" w:rsidRPr="00F54106">
        <w:rPr>
          <w:rFonts w:cstheme="minorHAnsi"/>
          <w:lang w:val="en-GB"/>
        </w:rPr>
        <w:t xml:space="preserve">made room for </w:t>
      </w:r>
      <w:r w:rsidR="00022AD2" w:rsidRPr="00F54106">
        <w:rPr>
          <w:rFonts w:cstheme="minorHAnsi"/>
          <w:lang w:val="en-GB"/>
        </w:rPr>
        <w:t>effective civil procedures rules and practice</w:t>
      </w:r>
      <w:r w:rsidR="0028678B" w:rsidRPr="00F54106">
        <w:rPr>
          <w:rFonts w:cstheme="minorHAnsi"/>
          <w:lang w:val="en-GB"/>
        </w:rPr>
        <w:t>s</w:t>
      </w:r>
      <w:r w:rsidR="0048461E" w:rsidRPr="00F54106">
        <w:rPr>
          <w:rFonts w:cstheme="minorHAnsi"/>
          <w:lang w:val="en-GB"/>
        </w:rPr>
        <w:t xml:space="preserve"> and</w:t>
      </w:r>
      <w:r w:rsidR="0028678B" w:rsidRPr="00F54106">
        <w:rPr>
          <w:rFonts w:cstheme="minorHAnsi"/>
          <w:lang w:val="en-GB"/>
        </w:rPr>
        <w:t xml:space="preserve"> an</w:t>
      </w:r>
      <w:r w:rsidR="00022AD2" w:rsidRPr="00F54106">
        <w:rPr>
          <w:rFonts w:cstheme="minorHAnsi"/>
          <w:lang w:val="en-GB"/>
        </w:rPr>
        <w:t xml:space="preserve"> excellent reputation</w:t>
      </w:r>
      <w:r w:rsidR="0048461E" w:rsidRPr="00F54106">
        <w:rPr>
          <w:rFonts w:cstheme="minorHAnsi"/>
          <w:lang w:val="en-GB"/>
        </w:rPr>
        <w:t>.</w:t>
      </w:r>
      <w:r w:rsidR="00991419" w:rsidRPr="00F54106">
        <w:rPr>
          <w:rStyle w:val="FootnoteReference"/>
          <w:rFonts w:cstheme="minorHAnsi"/>
          <w:lang w:val="en-GB"/>
        </w:rPr>
        <w:footnoteReference w:id="157"/>
      </w:r>
      <w:r w:rsidR="0028678B" w:rsidRPr="00F54106">
        <w:rPr>
          <w:rFonts w:cstheme="minorHAnsi"/>
          <w:lang w:val="en-GB"/>
        </w:rPr>
        <w:t xml:space="preserve"> </w:t>
      </w:r>
      <w:r w:rsidR="001B6E44" w:rsidRPr="00F54106">
        <w:rPr>
          <w:rFonts w:cstheme="minorHAnsi"/>
          <w:lang w:val="en-GB"/>
        </w:rPr>
        <w:t xml:space="preserve">Furthermore, the individual judges are distinguished as </w:t>
      </w:r>
      <w:r w:rsidR="00622C57" w:rsidRPr="00F54106">
        <w:rPr>
          <w:rFonts w:cstheme="minorHAnsi"/>
          <w:lang w:val="en-GB"/>
        </w:rPr>
        <w:t>“</w:t>
      </w:r>
      <w:r w:rsidR="001B6E44" w:rsidRPr="00F54106">
        <w:rPr>
          <w:rFonts w:cstheme="minorHAnsi"/>
          <w:lang w:val="en-GB"/>
        </w:rPr>
        <w:t>commercially minded</w:t>
      </w:r>
      <w:r w:rsidR="00622C57" w:rsidRPr="00F54106">
        <w:rPr>
          <w:rFonts w:cstheme="minorHAnsi"/>
          <w:lang w:val="en-GB"/>
        </w:rPr>
        <w:t>”</w:t>
      </w:r>
      <w:r w:rsidR="001B6E44" w:rsidRPr="00F54106">
        <w:rPr>
          <w:rFonts w:cstheme="minorHAnsi"/>
          <w:lang w:val="en-GB"/>
        </w:rPr>
        <w:t xml:space="preserve"> as a result of their former</w:t>
      </w:r>
      <w:r w:rsidR="00CC6FED" w:rsidRPr="00F54106">
        <w:rPr>
          <w:rFonts w:cstheme="minorHAnsi"/>
          <w:lang w:val="en-GB"/>
        </w:rPr>
        <w:t xml:space="preserve"> </w:t>
      </w:r>
      <w:r w:rsidR="001B6E44" w:rsidRPr="00F54106">
        <w:rPr>
          <w:rFonts w:cstheme="minorHAnsi"/>
          <w:lang w:val="en-GB"/>
        </w:rPr>
        <w:t>careers as lawyers which may bring, although not necessarily, experiences that civil judges have not acquired.</w:t>
      </w:r>
      <w:r w:rsidR="001B6E44" w:rsidRPr="00F54106">
        <w:rPr>
          <w:rStyle w:val="FootnoteReference"/>
          <w:rFonts w:cstheme="minorHAnsi"/>
          <w:lang w:val="en-GB"/>
        </w:rPr>
        <w:footnoteReference w:id="158"/>
      </w:r>
      <w:r w:rsidR="001B6E44" w:rsidRPr="00F54106">
        <w:rPr>
          <w:rFonts w:cstheme="minorHAnsi"/>
          <w:lang w:val="en-GB"/>
        </w:rPr>
        <w:t xml:space="preserve"> </w:t>
      </w:r>
      <w:r w:rsidR="00721BE0">
        <w:rPr>
          <w:rFonts w:cstheme="minorHAnsi"/>
          <w:lang w:val="en-GB"/>
        </w:rPr>
        <w:t>C</w:t>
      </w:r>
      <w:r w:rsidR="00721BE0" w:rsidRPr="00F54106">
        <w:rPr>
          <w:rFonts w:cstheme="minorHAnsi"/>
          <w:lang w:val="en-GB"/>
        </w:rPr>
        <w:t>ompared to Scottish or Northern Irish courts</w:t>
      </w:r>
      <w:r w:rsidR="002F74E3" w:rsidRPr="00F54106">
        <w:rPr>
          <w:rFonts w:cstheme="minorHAnsi"/>
          <w:lang w:val="en-GB"/>
        </w:rPr>
        <w:t>, more cases have been brought before English and Welsh courts as well</w:t>
      </w:r>
      <w:r w:rsidR="002C0214" w:rsidRPr="00F54106">
        <w:rPr>
          <w:rFonts w:cstheme="minorHAnsi"/>
          <w:lang w:val="en-GB"/>
        </w:rPr>
        <w:t>, even though</w:t>
      </w:r>
      <w:r w:rsidR="00C22F67" w:rsidRPr="00F54106">
        <w:rPr>
          <w:rFonts w:cstheme="minorHAnsi"/>
          <w:lang w:val="en-GB"/>
        </w:rPr>
        <w:t xml:space="preserve"> the substantive and procedural rules on competition law do not vary for the most part</w:t>
      </w:r>
      <w:r w:rsidR="002C0214" w:rsidRPr="00F54106">
        <w:rPr>
          <w:rFonts w:cstheme="minorHAnsi"/>
          <w:lang w:val="en-GB"/>
        </w:rPr>
        <w:t xml:space="preserve">. </w:t>
      </w:r>
      <w:r w:rsidR="004F2DAD" w:rsidRPr="00F54106">
        <w:rPr>
          <w:rFonts w:cstheme="minorHAnsi"/>
          <w:lang w:val="en-GB"/>
        </w:rPr>
        <w:t xml:space="preserve">For </w:t>
      </w:r>
      <w:r w:rsidR="00032E73" w:rsidRPr="00F54106">
        <w:rPr>
          <w:rFonts w:cstheme="minorHAnsi"/>
          <w:lang w:val="en-GB"/>
        </w:rPr>
        <w:t xml:space="preserve">antitrust infringements </w:t>
      </w:r>
      <w:r w:rsidR="004F2DAD" w:rsidRPr="00F54106">
        <w:rPr>
          <w:rFonts w:cstheme="minorHAnsi"/>
          <w:lang w:val="en-GB"/>
        </w:rPr>
        <w:t>e</w:t>
      </w:r>
      <w:r w:rsidR="00032E73" w:rsidRPr="00F54106">
        <w:rPr>
          <w:rFonts w:cstheme="minorHAnsi"/>
          <w:lang w:val="en-GB"/>
        </w:rPr>
        <w:t>ither the High Court or the CAT may be chosen by a victim.</w:t>
      </w:r>
      <w:r w:rsidR="002C3AC7" w:rsidRPr="00F54106">
        <w:rPr>
          <w:rStyle w:val="FootnoteReference"/>
          <w:rFonts w:cstheme="minorHAnsi"/>
          <w:lang w:val="en-GB"/>
        </w:rPr>
        <w:footnoteReference w:id="159"/>
      </w:r>
      <w:r w:rsidR="00032E73" w:rsidRPr="00F54106">
        <w:rPr>
          <w:rFonts w:cstheme="minorHAnsi"/>
          <w:lang w:val="en-GB"/>
        </w:rPr>
        <w:t xml:space="preserve"> </w:t>
      </w:r>
      <w:r w:rsidR="002C0214" w:rsidRPr="00F54106">
        <w:rPr>
          <w:rFonts w:cstheme="minorHAnsi"/>
          <w:lang w:val="en-GB"/>
        </w:rPr>
        <w:t xml:space="preserve">However, most claims will be handled by </w:t>
      </w:r>
      <w:r w:rsidR="00A8692A" w:rsidRPr="00F54106">
        <w:rPr>
          <w:rFonts w:cstheme="minorHAnsi"/>
          <w:lang w:val="en-GB"/>
        </w:rPr>
        <w:t>(</w:t>
      </w:r>
      <w:r w:rsidR="002C0214" w:rsidRPr="00F54106">
        <w:rPr>
          <w:rFonts w:cstheme="minorHAnsi"/>
          <w:lang w:val="en-GB"/>
        </w:rPr>
        <w:t>or transferred to</w:t>
      </w:r>
      <w:r w:rsidR="00A8692A" w:rsidRPr="00F54106">
        <w:rPr>
          <w:rFonts w:cstheme="minorHAnsi"/>
          <w:lang w:val="en-GB"/>
        </w:rPr>
        <w:t>)</w:t>
      </w:r>
      <w:r w:rsidR="002C0214" w:rsidRPr="00F54106">
        <w:rPr>
          <w:rFonts w:cstheme="minorHAnsi"/>
          <w:lang w:val="en-GB"/>
        </w:rPr>
        <w:t xml:space="preserve"> the Competition Appeal Tribunal (CAT) as its jurisdiction extends across the entire UK.</w:t>
      </w:r>
      <w:r w:rsidR="00C22F67" w:rsidRPr="00F54106">
        <w:rPr>
          <w:rStyle w:val="FootnoteReference"/>
          <w:rFonts w:cstheme="minorHAnsi"/>
          <w:lang w:val="en-GB"/>
        </w:rPr>
        <w:footnoteReference w:id="160"/>
      </w:r>
      <w:r w:rsidR="002C0214" w:rsidRPr="00F54106">
        <w:rPr>
          <w:rFonts w:cstheme="minorHAnsi"/>
          <w:lang w:val="en-GB"/>
        </w:rPr>
        <w:t xml:space="preserve"> </w:t>
      </w:r>
    </w:p>
    <w:p w14:paraId="1A300D2B" w14:textId="6D356444" w:rsidR="00016018" w:rsidRPr="00F54106" w:rsidRDefault="006F6578" w:rsidP="00FC31D7">
      <w:pPr>
        <w:spacing w:line="276" w:lineRule="auto"/>
        <w:ind w:firstLine="720"/>
        <w:rPr>
          <w:rFonts w:cstheme="minorHAnsi"/>
          <w:lang w:val="en-GB"/>
        </w:rPr>
      </w:pPr>
      <w:r w:rsidRPr="00F54106">
        <w:rPr>
          <w:rFonts w:cstheme="minorHAnsi"/>
          <w:lang w:val="en-GB"/>
        </w:rPr>
        <w:t>One of the most often mentioned</w:t>
      </w:r>
      <w:r w:rsidR="00D94B66" w:rsidRPr="00F54106">
        <w:rPr>
          <w:rFonts w:cstheme="minorHAnsi"/>
          <w:lang w:val="en-GB"/>
        </w:rPr>
        <w:t xml:space="preserve"> and</w:t>
      </w:r>
      <w:r w:rsidRPr="00F54106">
        <w:rPr>
          <w:rFonts w:cstheme="minorHAnsi"/>
          <w:lang w:val="en-GB"/>
        </w:rPr>
        <w:t xml:space="preserve"> attractive feature</w:t>
      </w:r>
      <w:r w:rsidR="00D94B66" w:rsidRPr="00F54106">
        <w:rPr>
          <w:rFonts w:cstheme="minorHAnsi"/>
          <w:lang w:val="en-GB"/>
        </w:rPr>
        <w:t>s</w:t>
      </w:r>
      <w:r w:rsidRPr="00F54106">
        <w:rPr>
          <w:rFonts w:cstheme="minorHAnsi"/>
          <w:lang w:val="en-GB"/>
        </w:rPr>
        <w:t xml:space="preserve"> of the UK is the </w:t>
      </w:r>
      <w:r w:rsidR="00F43500" w:rsidRPr="00F54106">
        <w:rPr>
          <w:rFonts w:cstheme="minorHAnsi"/>
          <w:lang w:val="en-GB"/>
        </w:rPr>
        <w:t>s</w:t>
      </w:r>
      <w:r w:rsidRPr="00F54106">
        <w:rPr>
          <w:rFonts w:cstheme="minorHAnsi"/>
          <w:lang w:val="en-GB"/>
        </w:rPr>
        <w:t>pecialized Competition Appeal Tribunal.</w:t>
      </w:r>
      <w:r w:rsidRPr="00F54106">
        <w:rPr>
          <w:rStyle w:val="FootnoteReference"/>
          <w:rFonts w:cstheme="minorHAnsi"/>
          <w:lang w:val="en-GB"/>
        </w:rPr>
        <w:footnoteReference w:id="161"/>
      </w:r>
      <w:r w:rsidR="00C055F7" w:rsidRPr="00F54106">
        <w:rPr>
          <w:rFonts w:cstheme="minorHAnsi"/>
          <w:lang w:val="en-GB"/>
        </w:rPr>
        <w:t xml:space="preserve"> </w:t>
      </w:r>
      <w:r w:rsidR="00216A94" w:rsidRPr="00F54106">
        <w:rPr>
          <w:rFonts w:cstheme="minorHAnsi"/>
          <w:lang w:val="en-GB"/>
        </w:rPr>
        <w:t xml:space="preserve">Section 12 and Schedule 2 of the Enterprise Act of 2002 established the </w:t>
      </w:r>
      <w:r w:rsidR="00216A94" w:rsidRPr="00F54106">
        <w:rPr>
          <w:rFonts w:cstheme="minorHAnsi"/>
          <w:lang w:val="en-GB"/>
        </w:rPr>
        <w:lastRenderedPageBreak/>
        <w:t xml:space="preserve">CAT </w:t>
      </w:r>
      <w:r w:rsidR="00F43500" w:rsidRPr="00F54106">
        <w:rPr>
          <w:rFonts w:cstheme="minorHAnsi"/>
          <w:lang w:val="en-GB"/>
        </w:rPr>
        <w:t>on the</w:t>
      </w:r>
      <w:r w:rsidR="00216A94" w:rsidRPr="00F54106">
        <w:rPr>
          <w:rFonts w:cstheme="minorHAnsi"/>
          <w:lang w:val="en-GB"/>
        </w:rPr>
        <w:t xml:space="preserve"> 1</w:t>
      </w:r>
      <w:r w:rsidR="00F43500" w:rsidRPr="00F54106">
        <w:rPr>
          <w:rFonts w:cstheme="minorHAnsi"/>
          <w:vertAlign w:val="superscript"/>
          <w:lang w:val="en-GB"/>
        </w:rPr>
        <w:t>st</w:t>
      </w:r>
      <w:r w:rsidR="00F43500" w:rsidRPr="00F54106">
        <w:rPr>
          <w:rFonts w:cstheme="minorHAnsi"/>
          <w:lang w:val="en-GB"/>
        </w:rPr>
        <w:t xml:space="preserve"> of</w:t>
      </w:r>
      <w:r w:rsidR="00216A94" w:rsidRPr="00F54106">
        <w:rPr>
          <w:rFonts w:cstheme="minorHAnsi"/>
          <w:lang w:val="en-GB"/>
        </w:rPr>
        <w:t xml:space="preserve"> April 2003</w:t>
      </w:r>
      <w:r w:rsidR="001E159B" w:rsidRPr="00F54106">
        <w:rPr>
          <w:rFonts w:cstheme="minorHAnsi"/>
          <w:lang w:val="en-GB"/>
        </w:rPr>
        <w:t>,</w:t>
      </w:r>
      <w:r w:rsidR="00216A94" w:rsidRPr="00F54106">
        <w:rPr>
          <w:rFonts w:cstheme="minorHAnsi"/>
          <w:lang w:val="en-GB"/>
        </w:rPr>
        <w:t xml:space="preserve"> </w:t>
      </w:r>
      <w:r w:rsidR="001E159B" w:rsidRPr="00F54106">
        <w:rPr>
          <w:rFonts w:cstheme="minorHAnsi"/>
          <w:lang w:val="en-GB"/>
        </w:rPr>
        <w:t>while t</w:t>
      </w:r>
      <w:r w:rsidR="00216A94" w:rsidRPr="00F54106">
        <w:rPr>
          <w:rFonts w:cstheme="minorHAnsi"/>
          <w:lang w:val="en-GB"/>
        </w:rPr>
        <w:t>he role of the CAT has seen extensive increases in scope following the implementations of the Consumer Rights Act 2015</w:t>
      </w:r>
      <w:r w:rsidR="00F43CAB" w:rsidRPr="00F54106">
        <w:rPr>
          <w:rFonts w:cstheme="minorHAnsi"/>
          <w:lang w:val="en-GB"/>
        </w:rPr>
        <w:t xml:space="preserve"> (Consumer Rights Act)</w:t>
      </w:r>
      <w:r w:rsidR="00B56A60" w:rsidRPr="00F54106">
        <w:rPr>
          <w:rFonts w:cstheme="minorHAnsi"/>
          <w:lang w:val="en-GB"/>
        </w:rPr>
        <w:t xml:space="preserve"> </w:t>
      </w:r>
      <w:r w:rsidR="00216A94" w:rsidRPr="00F54106">
        <w:rPr>
          <w:rFonts w:cstheme="minorHAnsi"/>
          <w:lang w:val="en-GB"/>
        </w:rPr>
        <w:t>and the Section 16 Enterprise Act 2002 Regulations</w:t>
      </w:r>
      <w:r w:rsidR="00C2016A" w:rsidRPr="00F54106">
        <w:rPr>
          <w:rFonts w:cstheme="minorHAnsi"/>
          <w:lang w:val="en-GB"/>
        </w:rPr>
        <w:t xml:space="preserve"> </w:t>
      </w:r>
      <w:r w:rsidR="00216A94" w:rsidRPr="00F54106">
        <w:rPr>
          <w:rFonts w:cstheme="minorHAnsi"/>
          <w:lang w:val="en-GB"/>
        </w:rPr>
        <w:t xml:space="preserve">2015. </w:t>
      </w:r>
      <w:r w:rsidR="00997CEC" w:rsidRPr="00F54106">
        <w:rPr>
          <w:rFonts w:cstheme="minorHAnsi"/>
          <w:lang w:val="en-GB"/>
        </w:rPr>
        <w:t>Before t</w:t>
      </w:r>
      <w:r w:rsidR="00216A94" w:rsidRPr="00F54106">
        <w:rPr>
          <w:rFonts w:cstheme="minorHAnsi"/>
          <w:lang w:val="en-GB"/>
        </w:rPr>
        <w:t xml:space="preserve">he </w:t>
      </w:r>
      <w:r w:rsidR="00F447B3" w:rsidRPr="00F54106">
        <w:rPr>
          <w:rFonts w:cstheme="minorHAnsi"/>
          <w:lang w:val="en-GB"/>
        </w:rPr>
        <w:t xml:space="preserve">implementation of the </w:t>
      </w:r>
      <w:r w:rsidR="00216A94" w:rsidRPr="00F54106">
        <w:rPr>
          <w:rFonts w:cstheme="minorHAnsi"/>
          <w:lang w:val="en-GB"/>
        </w:rPr>
        <w:t>Consumer Rights Ac</w:t>
      </w:r>
      <w:r w:rsidR="002F3093" w:rsidRPr="00F54106">
        <w:rPr>
          <w:rFonts w:cstheme="minorHAnsi"/>
          <w:lang w:val="en-GB"/>
        </w:rPr>
        <w:t xml:space="preserve">t </w:t>
      </w:r>
      <w:r w:rsidR="00997CEC" w:rsidRPr="00F54106">
        <w:rPr>
          <w:rFonts w:cstheme="minorHAnsi"/>
          <w:lang w:val="en-GB"/>
        </w:rPr>
        <w:t xml:space="preserve">only </w:t>
      </w:r>
      <w:r w:rsidR="00F447B3" w:rsidRPr="00F54106">
        <w:rPr>
          <w:rFonts w:cstheme="minorHAnsi"/>
          <w:lang w:val="en-GB"/>
        </w:rPr>
        <w:t>follow-on</w:t>
      </w:r>
      <w:r w:rsidR="00997CEC" w:rsidRPr="00F54106">
        <w:rPr>
          <w:rFonts w:cstheme="minorHAnsi"/>
          <w:lang w:val="en-GB"/>
        </w:rPr>
        <w:t xml:space="preserve"> claims could be brough</w:t>
      </w:r>
      <w:r w:rsidR="00F447B3" w:rsidRPr="00F54106">
        <w:rPr>
          <w:rFonts w:cstheme="minorHAnsi"/>
          <w:lang w:val="en-GB"/>
        </w:rPr>
        <w:t>t</w:t>
      </w:r>
      <w:r w:rsidR="00997CEC" w:rsidRPr="00F54106">
        <w:rPr>
          <w:rFonts w:cstheme="minorHAnsi"/>
          <w:lang w:val="en-GB"/>
        </w:rPr>
        <w:t xml:space="preserve"> before </w:t>
      </w:r>
      <w:r w:rsidR="00F447B3" w:rsidRPr="00F54106">
        <w:rPr>
          <w:rFonts w:cstheme="minorHAnsi"/>
          <w:lang w:val="en-GB"/>
        </w:rPr>
        <w:t xml:space="preserve">the CAT. </w:t>
      </w:r>
      <w:r w:rsidR="00F43500" w:rsidRPr="00F54106">
        <w:rPr>
          <w:rFonts w:cstheme="minorHAnsi"/>
          <w:lang w:val="en-GB"/>
        </w:rPr>
        <w:t>As a result</w:t>
      </w:r>
      <w:r w:rsidR="00F447B3" w:rsidRPr="00F54106">
        <w:rPr>
          <w:rFonts w:cstheme="minorHAnsi"/>
          <w:lang w:val="en-GB"/>
        </w:rPr>
        <w:t xml:space="preserve">, </w:t>
      </w:r>
      <w:r w:rsidR="002F3093" w:rsidRPr="00F54106">
        <w:rPr>
          <w:rFonts w:cstheme="minorHAnsi"/>
          <w:lang w:val="en-GB"/>
        </w:rPr>
        <w:t xml:space="preserve">the High Court </w:t>
      </w:r>
      <w:r w:rsidR="000A537D" w:rsidRPr="00F54106">
        <w:rPr>
          <w:rFonts w:cstheme="minorHAnsi"/>
          <w:lang w:val="en-GB"/>
        </w:rPr>
        <w:t xml:space="preserve">still </w:t>
      </w:r>
      <w:r w:rsidR="002F3093" w:rsidRPr="00F54106">
        <w:rPr>
          <w:rFonts w:cstheme="minorHAnsi"/>
          <w:lang w:val="en-GB"/>
        </w:rPr>
        <w:t>remained the most popular venue</w:t>
      </w:r>
      <w:r w:rsidR="002E24BA" w:rsidRPr="00F54106">
        <w:rPr>
          <w:rFonts w:cstheme="minorHAnsi"/>
          <w:lang w:val="en-GB"/>
        </w:rPr>
        <w:t xml:space="preserve"> for antitrust damages claims</w:t>
      </w:r>
      <w:r w:rsidR="000A537D" w:rsidRPr="00F54106">
        <w:rPr>
          <w:rFonts w:cstheme="minorHAnsi"/>
          <w:lang w:val="en-GB"/>
        </w:rPr>
        <w:t xml:space="preserve">. </w:t>
      </w:r>
      <w:r w:rsidR="00F43500" w:rsidRPr="00F54106">
        <w:rPr>
          <w:rFonts w:cstheme="minorHAnsi"/>
          <w:lang w:val="en-GB"/>
        </w:rPr>
        <w:t>However</w:t>
      </w:r>
      <w:r w:rsidR="000A537D" w:rsidRPr="00F54106">
        <w:rPr>
          <w:rFonts w:cstheme="minorHAnsi"/>
          <w:lang w:val="en-GB"/>
        </w:rPr>
        <w:t>, the Consumer Rights Act made it possible</w:t>
      </w:r>
      <w:r w:rsidR="002F3093" w:rsidRPr="00F54106">
        <w:rPr>
          <w:rFonts w:cstheme="minorHAnsi"/>
          <w:lang w:val="en-GB"/>
        </w:rPr>
        <w:t xml:space="preserve"> </w:t>
      </w:r>
      <w:r w:rsidR="000A537D" w:rsidRPr="00F54106">
        <w:rPr>
          <w:rFonts w:cstheme="minorHAnsi"/>
          <w:lang w:val="en-GB"/>
        </w:rPr>
        <w:t>to also</w:t>
      </w:r>
      <w:r w:rsidR="002F3093" w:rsidRPr="00F54106">
        <w:rPr>
          <w:rFonts w:cstheme="minorHAnsi"/>
          <w:lang w:val="en-GB"/>
        </w:rPr>
        <w:t xml:space="preserve"> pursue stand-alone acts</w:t>
      </w:r>
      <w:r w:rsidR="002600E7" w:rsidRPr="00F54106">
        <w:rPr>
          <w:rFonts w:cstheme="minorHAnsi"/>
          <w:lang w:val="en-GB"/>
        </w:rPr>
        <w:t xml:space="preserve"> </w:t>
      </w:r>
      <w:r w:rsidR="00EE0A5F" w:rsidRPr="00F54106">
        <w:rPr>
          <w:rFonts w:cstheme="minorHAnsi"/>
          <w:lang w:val="en-GB"/>
        </w:rPr>
        <w:t xml:space="preserve">before the CAT </w:t>
      </w:r>
      <w:r w:rsidR="002600E7" w:rsidRPr="00F54106">
        <w:rPr>
          <w:rFonts w:cstheme="minorHAnsi"/>
          <w:lang w:val="en-GB"/>
        </w:rPr>
        <w:t>under section 47A of the Competition Act 1998</w:t>
      </w:r>
      <w:r w:rsidR="00B0761B" w:rsidRPr="00F54106">
        <w:rPr>
          <w:rFonts w:cstheme="minorHAnsi"/>
          <w:lang w:val="en-GB"/>
        </w:rPr>
        <w:t>. This way</w:t>
      </w:r>
      <w:r w:rsidR="00F43CAB" w:rsidRPr="00F54106">
        <w:rPr>
          <w:rFonts w:cstheme="minorHAnsi"/>
          <w:lang w:val="en-GB"/>
        </w:rPr>
        <w:t>,</w:t>
      </w:r>
      <w:r w:rsidR="00B0761B" w:rsidRPr="00F54106">
        <w:rPr>
          <w:rFonts w:cstheme="minorHAnsi"/>
          <w:lang w:val="en-GB"/>
        </w:rPr>
        <w:t xml:space="preserve"> </w:t>
      </w:r>
      <w:r w:rsidR="00F43CAB" w:rsidRPr="00F54106">
        <w:rPr>
          <w:rFonts w:cstheme="minorHAnsi"/>
          <w:lang w:val="en-GB"/>
        </w:rPr>
        <w:t>the CAT’s specialist role as a forum for antitrust cases</w:t>
      </w:r>
      <w:r w:rsidR="001E159B" w:rsidRPr="00F54106">
        <w:rPr>
          <w:rFonts w:cstheme="minorHAnsi"/>
          <w:lang w:val="en-GB"/>
        </w:rPr>
        <w:t xml:space="preserve"> </w:t>
      </w:r>
      <w:r w:rsidR="00F43CAB" w:rsidRPr="00F54106">
        <w:rPr>
          <w:rFonts w:cstheme="minorHAnsi"/>
          <w:lang w:val="en-GB"/>
        </w:rPr>
        <w:t xml:space="preserve">was strengthened as claimants </w:t>
      </w:r>
      <w:r w:rsidR="001E159B" w:rsidRPr="00F54106">
        <w:rPr>
          <w:rFonts w:cstheme="minorHAnsi"/>
          <w:lang w:val="en-GB"/>
        </w:rPr>
        <w:t>are not required to await an infringement decision by the European Commission or the United Kingdom’s national competition authority (CMA)</w:t>
      </w:r>
      <w:r w:rsidR="00B0761B" w:rsidRPr="00F54106">
        <w:rPr>
          <w:rFonts w:cstheme="minorHAnsi"/>
          <w:lang w:val="en-GB"/>
        </w:rPr>
        <w:t xml:space="preserve"> </w:t>
      </w:r>
      <w:r w:rsidR="00F43CAB" w:rsidRPr="00F54106">
        <w:rPr>
          <w:rFonts w:cstheme="minorHAnsi"/>
          <w:lang w:val="en-GB"/>
        </w:rPr>
        <w:t>anymore</w:t>
      </w:r>
      <w:r w:rsidR="00EA0B06" w:rsidRPr="00F54106">
        <w:rPr>
          <w:rFonts w:cstheme="minorHAnsi"/>
          <w:lang w:val="en-GB"/>
        </w:rPr>
        <w:t>,</w:t>
      </w:r>
      <w:r w:rsidR="000D3F51" w:rsidRPr="00F54106">
        <w:rPr>
          <w:rStyle w:val="FootnoteReference"/>
          <w:rFonts w:cstheme="minorHAnsi"/>
          <w:lang w:val="en-GB"/>
        </w:rPr>
        <w:footnoteReference w:id="162"/>
      </w:r>
      <w:r w:rsidR="00EA0B06" w:rsidRPr="00F54106">
        <w:rPr>
          <w:rFonts w:cstheme="minorHAnsi"/>
          <w:lang w:val="en-GB"/>
        </w:rPr>
        <w:t xml:space="preserve"> which was </w:t>
      </w:r>
      <w:r w:rsidR="003D76D6" w:rsidRPr="00F54106">
        <w:rPr>
          <w:rFonts w:cstheme="minorHAnsi"/>
          <w:lang w:val="en-GB"/>
        </w:rPr>
        <w:t xml:space="preserve">previously </w:t>
      </w:r>
      <w:r w:rsidR="00EA0B06" w:rsidRPr="00F54106">
        <w:rPr>
          <w:rFonts w:cstheme="minorHAnsi"/>
          <w:lang w:val="en-GB"/>
        </w:rPr>
        <w:t>considered a major drawback of the CAT.</w:t>
      </w:r>
      <w:r w:rsidR="00EA0B06" w:rsidRPr="00F54106">
        <w:rPr>
          <w:rStyle w:val="FootnoteReference"/>
          <w:rFonts w:cstheme="minorHAnsi"/>
          <w:lang w:val="en-GB"/>
        </w:rPr>
        <w:footnoteReference w:id="163"/>
      </w:r>
      <w:r w:rsidR="00C2016A" w:rsidRPr="00F54106">
        <w:rPr>
          <w:rFonts w:cstheme="minorHAnsi"/>
          <w:lang w:val="en-GB"/>
        </w:rPr>
        <w:t xml:space="preserve"> </w:t>
      </w:r>
      <w:r w:rsidR="00151995" w:rsidRPr="00F54106">
        <w:rPr>
          <w:rFonts w:cstheme="minorHAnsi"/>
          <w:lang w:val="en-GB"/>
        </w:rPr>
        <w:t>Furthermore, the Consumer Rights Act also granted the CAT the powers to hear other monetary claims and injunction requests</w:t>
      </w:r>
      <w:r w:rsidR="00206FA3" w:rsidRPr="00F54106">
        <w:rPr>
          <w:rFonts w:cstheme="minorHAnsi"/>
          <w:lang w:val="en-GB"/>
        </w:rPr>
        <w:t>,</w:t>
      </w:r>
      <w:r w:rsidR="00376AD5" w:rsidRPr="00F54106">
        <w:rPr>
          <w:rStyle w:val="FootnoteReference"/>
          <w:rFonts w:cstheme="minorHAnsi"/>
          <w:lang w:val="en-GB"/>
        </w:rPr>
        <w:footnoteReference w:id="164"/>
      </w:r>
      <w:r w:rsidR="00C93A01" w:rsidRPr="00F54106">
        <w:rPr>
          <w:rFonts w:cstheme="minorHAnsi"/>
          <w:lang w:val="en-GB"/>
        </w:rPr>
        <w:t xml:space="preserve"> </w:t>
      </w:r>
      <w:r w:rsidR="00206FA3" w:rsidRPr="00F54106">
        <w:rPr>
          <w:rFonts w:cstheme="minorHAnsi"/>
          <w:lang w:val="en-GB"/>
        </w:rPr>
        <w:t>while</w:t>
      </w:r>
      <w:r w:rsidR="00E44661" w:rsidRPr="00F54106">
        <w:rPr>
          <w:rFonts w:cstheme="minorHAnsi"/>
          <w:lang w:val="en-GB"/>
        </w:rPr>
        <w:t xml:space="preserve"> a</w:t>
      </w:r>
      <w:r w:rsidR="00C93A01" w:rsidRPr="00F54106">
        <w:rPr>
          <w:rFonts w:cstheme="minorHAnsi"/>
          <w:lang w:val="en-GB"/>
        </w:rPr>
        <w:t xml:space="preserve"> special </w:t>
      </w:r>
      <w:r w:rsidR="00B77660" w:rsidRPr="00F54106">
        <w:rPr>
          <w:rFonts w:cstheme="minorHAnsi"/>
          <w:lang w:val="en-GB"/>
        </w:rPr>
        <w:t>fast-track procedure</w:t>
      </w:r>
      <w:r w:rsidR="00C93A01" w:rsidRPr="00F54106">
        <w:rPr>
          <w:rFonts w:cstheme="minorHAnsi"/>
          <w:lang w:val="en-GB"/>
        </w:rPr>
        <w:t xml:space="preserve"> </w:t>
      </w:r>
      <w:r w:rsidR="00E44661" w:rsidRPr="00F54106">
        <w:rPr>
          <w:rFonts w:cstheme="minorHAnsi"/>
          <w:lang w:val="en-GB"/>
        </w:rPr>
        <w:t xml:space="preserve">and the availability </w:t>
      </w:r>
      <w:r w:rsidR="00206FA3" w:rsidRPr="00F54106">
        <w:rPr>
          <w:rFonts w:cstheme="minorHAnsi"/>
          <w:lang w:val="en-GB"/>
        </w:rPr>
        <w:t>for</w:t>
      </w:r>
      <w:r w:rsidR="00E44661" w:rsidRPr="00F54106">
        <w:rPr>
          <w:rFonts w:cstheme="minorHAnsi"/>
          <w:lang w:val="en-GB"/>
        </w:rPr>
        <w:t xml:space="preserve"> an opt-out claims aggregation are both</w:t>
      </w:r>
      <w:r w:rsidR="00C93A01" w:rsidRPr="00F54106">
        <w:rPr>
          <w:rFonts w:cstheme="minorHAnsi"/>
          <w:lang w:val="en-GB"/>
        </w:rPr>
        <w:t xml:space="preserve"> in place for claims brought before the CAT</w:t>
      </w:r>
      <w:r w:rsidR="00376AD5" w:rsidRPr="00F54106">
        <w:rPr>
          <w:rFonts w:cstheme="minorHAnsi"/>
          <w:lang w:val="en-GB"/>
        </w:rPr>
        <w:t>.</w:t>
      </w:r>
      <w:r w:rsidR="00B77660" w:rsidRPr="00F54106">
        <w:rPr>
          <w:rStyle w:val="FootnoteReference"/>
          <w:rFonts w:cstheme="minorHAnsi"/>
          <w:lang w:val="en-GB"/>
        </w:rPr>
        <w:footnoteReference w:id="165"/>
      </w:r>
      <w:r w:rsidR="00151995" w:rsidRPr="00F54106">
        <w:rPr>
          <w:rFonts w:cstheme="minorHAnsi"/>
          <w:lang w:val="en-GB"/>
        </w:rPr>
        <w:t xml:space="preserve"> </w:t>
      </w:r>
    </w:p>
    <w:p w14:paraId="45C35E53" w14:textId="1CBDEFB2" w:rsidR="00B34B59" w:rsidRPr="00F54106" w:rsidRDefault="00722AD7" w:rsidP="00FC31D7">
      <w:pPr>
        <w:spacing w:line="276" w:lineRule="auto"/>
        <w:ind w:firstLine="720"/>
        <w:rPr>
          <w:rFonts w:cstheme="minorHAnsi"/>
          <w:lang w:val="en-GB"/>
        </w:rPr>
      </w:pPr>
      <w:r w:rsidRPr="00F54106">
        <w:rPr>
          <w:rFonts w:cstheme="minorHAnsi"/>
          <w:lang w:val="en-GB"/>
        </w:rPr>
        <w:t>T</w:t>
      </w:r>
      <w:r w:rsidR="00B34B59" w:rsidRPr="00F54106">
        <w:rPr>
          <w:rFonts w:cstheme="minorHAnsi"/>
          <w:lang w:val="en-GB"/>
        </w:rPr>
        <w:t>he CAT is</w:t>
      </w:r>
      <w:r w:rsidR="00E35E62" w:rsidRPr="00F54106">
        <w:rPr>
          <w:rFonts w:cstheme="minorHAnsi"/>
          <w:lang w:val="en-GB"/>
        </w:rPr>
        <w:t xml:space="preserve"> also</w:t>
      </w:r>
      <w:r w:rsidR="00B34B59" w:rsidRPr="00F54106">
        <w:rPr>
          <w:rFonts w:cstheme="minorHAnsi"/>
          <w:lang w:val="en-GB"/>
        </w:rPr>
        <w:t xml:space="preserve"> mentioned to have </w:t>
      </w:r>
      <w:r w:rsidR="005535A6" w:rsidRPr="00F54106">
        <w:rPr>
          <w:rFonts w:cstheme="minorHAnsi"/>
          <w:lang w:val="en-GB"/>
        </w:rPr>
        <w:t>a very</w:t>
      </w:r>
      <w:r w:rsidR="00B34B59" w:rsidRPr="00F54106">
        <w:rPr>
          <w:rFonts w:cstheme="minorHAnsi"/>
          <w:lang w:val="en-GB"/>
        </w:rPr>
        <w:t xml:space="preserve"> outstanding feature compared to other courts, </w:t>
      </w:r>
      <w:r w:rsidRPr="00F54106">
        <w:rPr>
          <w:rFonts w:cstheme="minorHAnsi"/>
          <w:lang w:val="en-GB"/>
        </w:rPr>
        <w:t xml:space="preserve">namely </w:t>
      </w:r>
      <w:r w:rsidR="00305AB1" w:rsidRPr="00F54106">
        <w:rPr>
          <w:rFonts w:cstheme="minorHAnsi"/>
          <w:lang w:val="en-GB"/>
        </w:rPr>
        <w:t>the structure of its court</w:t>
      </w:r>
      <w:r w:rsidR="00B34B59" w:rsidRPr="00F54106">
        <w:rPr>
          <w:rFonts w:cstheme="minorHAnsi"/>
          <w:lang w:val="en-GB"/>
        </w:rPr>
        <w:t>.</w:t>
      </w:r>
      <w:r w:rsidR="00B34B59" w:rsidRPr="00F54106">
        <w:rPr>
          <w:rStyle w:val="FootnoteReference"/>
          <w:rFonts w:cstheme="minorHAnsi"/>
          <w:lang w:val="en-GB"/>
        </w:rPr>
        <w:footnoteReference w:id="166"/>
      </w:r>
      <w:r w:rsidR="00B34B59" w:rsidRPr="00F54106">
        <w:rPr>
          <w:rFonts w:cstheme="minorHAnsi"/>
          <w:lang w:val="en-GB"/>
        </w:rPr>
        <w:t xml:space="preserve"> </w:t>
      </w:r>
      <w:r w:rsidR="00EB236B" w:rsidRPr="00F54106">
        <w:rPr>
          <w:rFonts w:cstheme="minorHAnsi"/>
          <w:lang w:val="en-GB"/>
        </w:rPr>
        <w:t>The CAT</w:t>
      </w:r>
      <w:r w:rsidR="00AA5055" w:rsidRPr="00F54106">
        <w:rPr>
          <w:rFonts w:cstheme="minorHAnsi"/>
          <w:lang w:val="en-GB"/>
        </w:rPr>
        <w:t>’s court</w:t>
      </w:r>
      <w:r w:rsidR="00EB236B" w:rsidRPr="00F54106">
        <w:rPr>
          <w:rFonts w:cstheme="minorHAnsi"/>
          <w:lang w:val="en-GB"/>
        </w:rPr>
        <w:t xml:space="preserve"> has a panel which is comprised of </w:t>
      </w:r>
      <w:r w:rsidR="00FC7633" w:rsidRPr="00F54106">
        <w:rPr>
          <w:rFonts w:cstheme="minorHAnsi"/>
          <w:lang w:val="en-GB"/>
        </w:rPr>
        <w:t>a President or Chairman and two Ordinary Members.</w:t>
      </w:r>
      <w:r w:rsidR="00FC7633" w:rsidRPr="00F54106">
        <w:rPr>
          <w:rStyle w:val="FootnoteReference"/>
          <w:rFonts w:cstheme="minorHAnsi"/>
          <w:lang w:val="en-GB"/>
        </w:rPr>
        <w:footnoteReference w:id="167"/>
      </w:r>
      <w:r w:rsidR="00AA21B4" w:rsidRPr="00F54106">
        <w:rPr>
          <w:rFonts w:cstheme="minorHAnsi"/>
          <w:lang w:val="en-GB"/>
        </w:rPr>
        <w:t xml:space="preserve"> The </w:t>
      </w:r>
      <w:r w:rsidR="00E02EC0" w:rsidRPr="00F54106">
        <w:rPr>
          <w:rFonts w:cstheme="minorHAnsi"/>
          <w:lang w:val="en-GB"/>
        </w:rPr>
        <w:t>Chairman is often a lawyer</w:t>
      </w:r>
      <w:r w:rsidR="00AA5055" w:rsidRPr="00F54106">
        <w:rPr>
          <w:rFonts w:cstheme="minorHAnsi"/>
          <w:lang w:val="en-GB"/>
        </w:rPr>
        <w:t>,</w:t>
      </w:r>
      <w:r w:rsidR="00214520" w:rsidRPr="00F54106">
        <w:rPr>
          <w:rStyle w:val="FootnoteReference"/>
          <w:rFonts w:cstheme="minorHAnsi"/>
          <w:lang w:val="en-GB"/>
        </w:rPr>
        <w:footnoteReference w:id="168"/>
      </w:r>
      <w:r w:rsidR="00E02EC0" w:rsidRPr="00F54106">
        <w:rPr>
          <w:rFonts w:cstheme="minorHAnsi"/>
          <w:lang w:val="en-GB"/>
        </w:rPr>
        <w:t xml:space="preserve"> while </w:t>
      </w:r>
      <w:r w:rsidR="00AA21B4" w:rsidRPr="00F54106">
        <w:rPr>
          <w:rFonts w:cstheme="minorHAnsi"/>
          <w:lang w:val="en-GB"/>
        </w:rPr>
        <w:t xml:space="preserve">Ordinary Members are appointed experts from various </w:t>
      </w:r>
      <w:r w:rsidR="00214520" w:rsidRPr="00F54106">
        <w:rPr>
          <w:rFonts w:cstheme="minorHAnsi"/>
          <w:lang w:val="en-GB"/>
        </w:rPr>
        <w:t xml:space="preserve">relevant </w:t>
      </w:r>
      <w:r w:rsidR="0021331D" w:rsidRPr="00F54106">
        <w:rPr>
          <w:rFonts w:cstheme="minorHAnsi"/>
          <w:lang w:val="en-GB"/>
        </w:rPr>
        <w:t>fields</w:t>
      </w:r>
      <w:r w:rsidR="00214520" w:rsidRPr="00F54106">
        <w:rPr>
          <w:rFonts w:cstheme="minorHAnsi"/>
          <w:lang w:val="en-GB"/>
        </w:rPr>
        <w:t xml:space="preserve"> which have an equal say in the decision-making process.</w:t>
      </w:r>
      <w:r w:rsidR="00214520" w:rsidRPr="00F54106">
        <w:rPr>
          <w:rStyle w:val="FootnoteReference"/>
          <w:rFonts w:cstheme="minorHAnsi"/>
          <w:lang w:val="en-GB"/>
        </w:rPr>
        <w:footnoteReference w:id="169"/>
      </w:r>
      <w:r w:rsidR="00214520" w:rsidRPr="00F54106">
        <w:rPr>
          <w:rFonts w:cstheme="minorHAnsi"/>
          <w:lang w:val="en-GB"/>
        </w:rPr>
        <w:t xml:space="preserve"> Together</w:t>
      </w:r>
      <w:r w:rsidR="00ED4089" w:rsidRPr="00F54106">
        <w:rPr>
          <w:rFonts w:cstheme="minorHAnsi"/>
          <w:lang w:val="en-GB"/>
        </w:rPr>
        <w:t>,</w:t>
      </w:r>
      <w:r w:rsidR="00214520" w:rsidRPr="00F54106">
        <w:rPr>
          <w:rFonts w:cstheme="minorHAnsi"/>
          <w:lang w:val="en-GB"/>
        </w:rPr>
        <w:t xml:space="preserve"> they</w:t>
      </w:r>
      <w:r w:rsidR="00E02EC0" w:rsidRPr="00F54106">
        <w:rPr>
          <w:rFonts w:cstheme="minorHAnsi"/>
          <w:lang w:val="en-GB"/>
        </w:rPr>
        <w:t xml:space="preserve"> </w:t>
      </w:r>
      <w:r w:rsidR="00214520" w:rsidRPr="00F54106">
        <w:rPr>
          <w:rFonts w:cstheme="minorHAnsi"/>
          <w:lang w:val="en-GB"/>
        </w:rPr>
        <w:t>shape</w:t>
      </w:r>
      <w:r w:rsidR="00E02EC0" w:rsidRPr="00F54106">
        <w:rPr>
          <w:rFonts w:cstheme="minorHAnsi"/>
          <w:lang w:val="en-GB"/>
        </w:rPr>
        <w:t xml:space="preserve"> the CAT into a “special judicial body </w:t>
      </w:r>
      <w:r w:rsidR="0021331D" w:rsidRPr="00F54106">
        <w:rPr>
          <w:rFonts w:cstheme="minorHAnsi"/>
          <w:lang w:val="en-GB"/>
        </w:rPr>
        <w:t>with cross-disciplinary expertise in law, economics, business and accountancy</w:t>
      </w:r>
      <w:r w:rsidR="00305AB1" w:rsidRPr="00F54106">
        <w:rPr>
          <w:rFonts w:cstheme="minorHAnsi"/>
          <w:lang w:val="en-GB"/>
        </w:rPr>
        <w:t xml:space="preserve"> whose function it is to hear and decide cases involving competition or economic regulatory issues</w:t>
      </w:r>
      <w:r w:rsidR="00E02EC0" w:rsidRPr="00F54106">
        <w:rPr>
          <w:rFonts w:cstheme="minorHAnsi"/>
          <w:lang w:val="en-GB"/>
        </w:rPr>
        <w:t>”.</w:t>
      </w:r>
      <w:r w:rsidR="00214520" w:rsidRPr="00F54106">
        <w:rPr>
          <w:rStyle w:val="FootnoteReference"/>
          <w:rFonts w:cstheme="minorHAnsi"/>
          <w:lang w:val="en-GB"/>
        </w:rPr>
        <w:footnoteReference w:id="170"/>
      </w:r>
      <w:r w:rsidR="00AA5055" w:rsidRPr="00F54106">
        <w:rPr>
          <w:rFonts w:cstheme="minorHAnsi"/>
          <w:lang w:val="en-GB"/>
        </w:rPr>
        <w:t xml:space="preserve"> </w:t>
      </w:r>
      <w:r w:rsidR="002C47D6" w:rsidRPr="00F54106">
        <w:rPr>
          <w:rFonts w:cstheme="minorHAnsi"/>
          <w:lang w:val="en-GB"/>
        </w:rPr>
        <w:t xml:space="preserve">The versatility of the panel, not to mention its high amount of resolved cases, has therefore significantly contributed to the specialized and competent </w:t>
      </w:r>
      <w:r w:rsidR="002C47D6" w:rsidRPr="00F54106">
        <w:rPr>
          <w:rFonts w:cstheme="minorHAnsi"/>
          <w:lang w:val="en-GB"/>
        </w:rPr>
        <w:lastRenderedPageBreak/>
        <w:t>perception the CAT has obtained in the literature.</w:t>
      </w:r>
      <w:r w:rsidR="002C47D6" w:rsidRPr="00F54106">
        <w:rPr>
          <w:rStyle w:val="FootnoteReference"/>
          <w:rFonts w:cstheme="minorHAnsi"/>
          <w:lang w:val="en-GB"/>
        </w:rPr>
        <w:footnoteReference w:id="171"/>
      </w:r>
      <w:r w:rsidR="002C47D6" w:rsidRPr="00F54106">
        <w:rPr>
          <w:rFonts w:cstheme="minorHAnsi"/>
          <w:lang w:val="en-GB"/>
        </w:rPr>
        <w:t xml:space="preserve"> Furthermore, since there is a great need for economic knowledge in competition litigation, judges in the CAT are thought to more likely have sufficient experience with</w:t>
      </w:r>
      <w:r w:rsidR="00605A1F" w:rsidRPr="00F54106">
        <w:rPr>
          <w:rFonts w:cstheme="minorHAnsi"/>
          <w:lang w:val="en-GB"/>
        </w:rPr>
        <w:t xml:space="preserve"> economics related aspects when resolving </w:t>
      </w:r>
      <w:r w:rsidR="002C47D6" w:rsidRPr="00F54106">
        <w:rPr>
          <w:rFonts w:cstheme="minorHAnsi"/>
          <w:lang w:val="en-GB"/>
        </w:rPr>
        <w:t>antitrust claims.</w:t>
      </w:r>
      <w:r w:rsidR="002C47D6" w:rsidRPr="00F54106">
        <w:rPr>
          <w:rStyle w:val="FootnoteReference"/>
          <w:rFonts w:cstheme="minorHAnsi"/>
          <w:lang w:val="en-GB"/>
        </w:rPr>
        <w:footnoteReference w:id="172"/>
      </w:r>
      <w:r w:rsidR="002C47D6" w:rsidRPr="00F54106">
        <w:rPr>
          <w:rFonts w:cstheme="minorHAnsi"/>
          <w:lang w:val="en-GB"/>
        </w:rPr>
        <w:t xml:space="preserve"> </w:t>
      </w:r>
      <w:r w:rsidR="00605A1F" w:rsidRPr="00F54106">
        <w:rPr>
          <w:rFonts w:cstheme="minorHAnsi"/>
          <w:lang w:val="en-GB"/>
        </w:rPr>
        <w:t xml:space="preserve">This is of considerable importance as insufficient experience may result in </w:t>
      </w:r>
      <w:r w:rsidR="00D66C7D" w:rsidRPr="00F54106">
        <w:rPr>
          <w:rFonts w:cstheme="minorHAnsi"/>
          <w:lang w:val="en-GB"/>
        </w:rPr>
        <w:t xml:space="preserve">large </w:t>
      </w:r>
      <w:r w:rsidR="00605A1F" w:rsidRPr="00F54106">
        <w:rPr>
          <w:rFonts w:cstheme="minorHAnsi"/>
          <w:lang w:val="en-GB"/>
        </w:rPr>
        <w:t xml:space="preserve">inefficiencies and </w:t>
      </w:r>
      <w:r w:rsidR="000358E6" w:rsidRPr="00F54106">
        <w:rPr>
          <w:rFonts w:cstheme="minorHAnsi"/>
          <w:lang w:val="en-GB"/>
        </w:rPr>
        <w:t xml:space="preserve">a </w:t>
      </w:r>
      <w:r w:rsidR="00605A1F" w:rsidRPr="00F54106">
        <w:rPr>
          <w:rFonts w:cstheme="minorHAnsi"/>
          <w:lang w:val="en-GB"/>
        </w:rPr>
        <w:t>low quality of judgements.</w:t>
      </w:r>
      <w:r w:rsidR="00605A1F" w:rsidRPr="00F54106">
        <w:rPr>
          <w:rStyle w:val="FootnoteReference"/>
          <w:rFonts w:cstheme="minorHAnsi"/>
          <w:lang w:val="en-GB"/>
        </w:rPr>
        <w:footnoteReference w:id="173"/>
      </w:r>
      <w:r w:rsidR="001E34B8" w:rsidRPr="00F54106">
        <w:rPr>
          <w:rFonts w:cstheme="minorHAnsi"/>
          <w:lang w:val="en-GB"/>
        </w:rPr>
        <w:t xml:space="preserve"> </w:t>
      </w:r>
    </w:p>
    <w:p w14:paraId="6F5ADD51" w14:textId="2021D2F1" w:rsidR="004B1B9A" w:rsidRPr="00F54106" w:rsidRDefault="005535A6" w:rsidP="00FC31D7">
      <w:pPr>
        <w:spacing w:line="276" w:lineRule="auto"/>
        <w:ind w:firstLine="720"/>
        <w:rPr>
          <w:rFonts w:cstheme="minorHAnsi"/>
          <w:lang w:val="en-GB"/>
        </w:rPr>
      </w:pPr>
      <w:r w:rsidRPr="00F54106">
        <w:rPr>
          <w:rFonts w:cstheme="minorHAnsi"/>
          <w:lang w:val="en-GB"/>
        </w:rPr>
        <w:t>The number of cases before the CAT have been increasing over the years, while the Section 16(4)(5) of the Enterprise Act of 2002 has made the beforementioned transference from courts to the CAT possible and further added to the centralization for antitrust claims and the additional cases tried before the CAT.</w:t>
      </w:r>
      <w:r w:rsidRPr="00F54106">
        <w:rPr>
          <w:rStyle w:val="FootnoteReference"/>
          <w:rFonts w:cstheme="minorHAnsi"/>
          <w:lang w:val="en-GB"/>
        </w:rPr>
        <w:footnoteReference w:id="174"/>
      </w:r>
      <w:r w:rsidRPr="00F54106">
        <w:rPr>
          <w:rFonts w:cstheme="minorHAnsi"/>
          <w:lang w:val="en-GB"/>
        </w:rPr>
        <w:t xml:space="preserve"> The number of cases before the CAT are expected to see further increase as the majority of claims in the UK qualify for trial at the CAT.</w:t>
      </w:r>
      <w:r w:rsidRPr="00F54106">
        <w:rPr>
          <w:rStyle w:val="FootnoteReference"/>
          <w:rFonts w:cstheme="minorHAnsi"/>
          <w:lang w:val="en-GB"/>
        </w:rPr>
        <w:footnoteReference w:id="175"/>
      </w:r>
      <w:r w:rsidRPr="00F54106">
        <w:rPr>
          <w:rFonts w:cstheme="minorHAnsi"/>
          <w:lang w:val="en-GB"/>
        </w:rPr>
        <w:t xml:space="preserve"> </w:t>
      </w:r>
      <w:r w:rsidR="008C0F5B" w:rsidRPr="00F54106">
        <w:rPr>
          <w:rFonts w:cstheme="minorHAnsi"/>
          <w:lang w:val="en-GB"/>
        </w:rPr>
        <w:t>As a result of the CAT’s panel</w:t>
      </w:r>
      <w:r w:rsidR="00197700" w:rsidRPr="00F54106">
        <w:rPr>
          <w:rFonts w:cstheme="minorHAnsi"/>
          <w:lang w:val="en-GB"/>
        </w:rPr>
        <w:t xml:space="preserve"> and</w:t>
      </w:r>
      <w:r w:rsidR="00176F35" w:rsidRPr="00F54106">
        <w:rPr>
          <w:rFonts w:cstheme="minorHAnsi"/>
          <w:lang w:val="en-GB"/>
        </w:rPr>
        <w:t xml:space="preserve"> </w:t>
      </w:r>
      <w:r w:rsidR="008C0F5B" w:rsidRPr="00F54106">
        <w:rPr>
          <w:rFonts w:cstheme="minorHAnsi"/>
          <w:lang w:val="en-GB"/>
        </w:rPr>
        <w:t xml:space="preserve">its specialized rules and proceedings for antitrust claims, a higher procedural flexibility and an in-depth understanding of the issues related to antitrust claims are now created in favour of </w:t>
      </w:r>
      <w:r w:rsidR="00F411DB" w:rsidRPr="00F54106">
        <w:rPr>
          <w:rFonts w:cstheme="minorHAnsi"/>
          <w:lang w:val="en-GB"/>
        </w:rPr>
        <w:t>prospective claimants</w:t>
      </w:r>
      <w:r w:rsidR="008C0F5B" w:rsidRPr="00F54106">
        <w:rPr>
          <w:rFonts w:cstheme="minorHAnsi"/>
          <w:lang w:val="en-GB"/>
        </w:rPr>
        <w:t>.</w:t>
      </w:r>
      <w:r w:rsidR="00F411DB" w:rsidRPr="00F54106">
        <w:rPr>
          <w:rStyle w:val="FootnoteReference"/>
          <w:rFonts w:cstheme="minorHAnsi"/>
          <w:lang w:val="en-GB"/>
        </w:rPr>
        <w:footnoteReference w:id="176"/>
      </w:r>
      <w:r w:rsidR="008C0F5B" w:rsidRPr="00F54106">
        <w:rPr>
          <w:rFonts w:cstheme="minorHAnsi"/>
          <w:lang w:val="en-GB"/>
        </w:rPr>
        <w:t xml:space="preserve"> </w:t>
      </w:r>
      <w:r w:rsidRPr="00F54106">
        <w:rPr>
          <w:rFonts w:cstheme="minorHAnsi"/>
          <w:lang w:val="en-GB"/>
        </w:rPr>
        <w:t>In addition, the CAT is also said to be more flexible and adhere less strictly to the law when resolving actions for damages compared to other venues.</w:t>
      </w:r>
      <w:r w:rsidRPr="00F54106">
        <w:rPr>
          <w:rStyle w:val="FootnoteReference"/>
          <w:rFonts w:cstheme="minorHAnsi"/>
          <w:lang w:val="en-GB"/>
        </w:rPr>
        <w:footnoteReference w:id="177"/>
      </w:r>
    </w:p>
    <w:p w14:paraId="5F17C575" w14:textId="77777777" w:rsidR="00E06526" w:rsidRPr="00F54106" w:rsidRDefault="00E06526" w:rsidP="00E06526">
      <w:pPr>
        <w:spacing w:line="276" w:lineRule="auto"/>
        <w:rPr>
          <w:rFonts w:cstheme="minorHAnsi"/>
          <w:lang w:val="en-GB"/>
        </w:rPr>
      </w:pPr>
    </w:p>
    <w:p w14:paraId="47D14E23" w14:textId="4EE3DD47" w:rsidR="00E06526" w:rsidRPr="00F54106" w:rsidRDefault="001F001E" w:rsidP="001F001E">
      <w:pPr>
        <w:pStyle w:val="Heading3"/>
        <w:rPr>
          <w:lang w:val="en-GB"/>
        </w:rPr>
      </w:pPr>
      <w:bookmarkStart w:id="83" w:name="_Toc107610228"/>
      <w:r w:rsidRPr="00F54106">
        <w:rPr>
          <w:lang w:val="en-GB"/>
        </w:rPr>
        <w:t>2.2</w:t>
      </w:r>
      <w:r w:rsidR="00E06526" w:rsidRPr="00F54106">
        <w:rPr>
          <w:lang w:val="en-GB"/>
        </w:rPr>
        <w:t>.</w:t>
      </w:r>
      <w:r w:rsidR="006D67F3" w:rsidRPr="00F54106">
        <w:rPr>
          <w:lang w:val="en-GB"/>
        </w:rPr>
        <w:t>2</w:t>
      </w:r>
      <w:r w:rsidR="00E06526" w:rsidRPr="00F54106">
        <w:rPr>
          <w:lang w:val="en-GB"/>
        </w:rPr>
        <w:t xml:space="preserve"> </w:t>
      </w:r>
      <w:r w:rsidR="007A4D61" w:rsidRPr="00F54106">
        <w:rPr>
          <w:lang w:val="en-GB"/>
        </w:rPr>
        <w:t>The c</w:t>
      </w:r>
      <w:r w:rsidR="00E06526" w:rsidRPr="00F54106">
        <w:rPr>
          <w:lang w:val="en-GB"/>
        </w:rPr>
        <w:t>osts</w:t>
      </w:r>
      <w:r w:rsidR="005A5619" w:rsidRPr="00F54106">
        <w:rPr>
          <w:lang w:val="en-GB"/>
        </w:rPr>
        <w:t xml:space="preserve"> of litigati</w:t>
      </w:r>
      <w:r w:rsidR="00D94B66" w:rsidRPr="00F54106">
        <w:rPr>
          <w:lang w:val="en-GB"/>
        </w:rPr>
        <w:t>on</w:t>
      </w:r>
      <w:r w:rsidR="007A4D61" w:rsidRPr="00F54106">
        <w:rPr>
          <w:lang w:val="en-GB"/>
        </w:rPr>
        <w:t xml:space="preserve"> in the UK</w:t>
      </w:r>
      <w:bookmarkEnd w:id="83"/>
    </w:p>
    <w:p w14:paraId="43AF6C28" w14:textId="4A845C80" w:rsidR="00E06526" w:rsidRPr="00F54106" w:rsidRDefault="00E06526" w:rsidP="00E06526">
      <w:pPr>
        <w:spacing w:line="276" w:lineRule="auto"/>
        <w:rPr>
          <w:rFonts w:cstheme="minorHAnsi"/>
          <w:shd w:val="clear" w:color="auto" w:fill="FFFFFF"/>
          <w:lang w:val="en-GB"/>
        </w:rPr>
      </w:pPr>
      <w:r w:rsidRPr="00F54106">
        <w:rPr>
          <w:rFonts w:cstheme="minorHAnsi"/>
          <w:shd w:val="clear" w:color="auto" w:fill="FFFFFF"/>
          <w:lang w:val="en-GB"/>
        </w:rPr>
        <w:t>The general rule before the High Court is that the losing party is required to pay the other party’s legal costs.</w:t>
      </w:r>
      <w:r w:rsidRPr="00F54106">
        <w:rPr>
          <w:rStyle w:val="FootnoteReference"/>
          <w:rFonts w:cstheme="minorHAnsi"/>
          <w:shd w:val="clear" w:color="auto" w:fill="FFFFFF"/>
          <w:lang w:val="en-GB"/>
        </w:rPr>
        <w:footnoteReference w:id="178"/>
      </w:r>
      <w:r w:rsidRPr="00F54106">
        <w:rPr>
          <w:rFonts w:cstheme="minorHAnsi"/>
          <w:shd w:val="clear" w:color="auto" w:fill="FFFFFF"/>
          <w:lang w:val="en-GB"/>
        </w:rPr>
        <w:t xml:space="preserve"> </w:t>
      </w:r>
      <w:r w:rsidR="000210EB" w:rsidRPr="00F54106">
        <w:rPr>
          <w:rFonts w:cstheme="minorHAnsi"/>
          <w:shd w:val="clear" w:color="auto" w:fill="FFFFFF"/>
          <w:lang w:val="en-GB"/>
        </w:rPr>
        <w:t xml:space="preserve">Rule </w:t>
      </w:r>
      <w:r w:rsidRPr="00F54106">
        <w:rPr>
          <w:rFonts w:cstheme="minorHAnsi"/>
          <w:shd w:val="clear" w:color="auto" w:fill="FFFFFF"/>
          <w:lang w:val="en-GB"/>
        </w:rPr>
        <w:t>44.3 of the Civil Procedure Rules provides several mechanisms to limit costs as it will not allow costs which have been unreasonably incurred or are unreasonable in amount, while the after-the-event insurance enables insurance against the opposing party’s costs if the claim is unsuccessful.</w:t>
      </w:r>
      <w:r w:rsidRPr="00F54106">
        <w:rPr>
          <w:rStyle w:val="FootnoteReference"/>
          <w:rFonts w:cstheme="minorHAnsi"/>
          <w:shd w:val="clear" w:color="auto" w:fill="FFFFFF"/>
          <w:lang w:val="en-GB"/>
        </w:rPr>
        <w:footnoteReference w:id="179"/>
      </w:r>
      <w:r w:rsidRPr="00F54106">
        <w:rPr>
          <w:rFonts w:cstheme="minorHAnsi"/>
          <w:shd w:val="clear" w:color="auto" w:fill="FFFFFF"/>
          <w:lang w:val="en-GB"/>
        </w:rPr>
        <w:t xml:space="preserve"> In </w:t>
      </w:r>
      <w:r w:rsidRPr="00F54106">
        <w:rPr>
          <w:rFonts w:cstheme="minorHAnsi"/>
          <w:shd w:val="clear" w:color="auto" w:fill="FFFFFF"/>
          <w:lang w:val="en-GB"/>
        </w:rPr>
        <w:lastRenderedPageBreak/>
        <w:t>contrast, the CAT adopts the ability to order a payment amount at its own discretion at any stage of the proceedings</w:t>
      </w:r>
      <w:r w:rsidRPr="00F54106">
        <w:rPr>
          <w:rStyle w:val="FootnoteReference"/>
          <w:rFonts w:cstheme="minorHAnsi"/>
          <w:shd w:val="clear" w:color="auto" w:fill="FFFFFF"/>
          <w:lang w:val="en-GB"/>
        </w:rPr>
        <w:footnoteReference w:id="180"/>
      </w:r>
      <w:r w:rsidRPr="00F54106">
        <w:rPr>
          <w:rFonts w:cstheme="minorHAnsi"/>
          <w:shd w:val="clear" w:color="auto" w:fill="FFFFFF"/>
          <w:lang w:val="en-GB"/>
        </w:rPr>
        <w:t xml:space="preserve"> and has evidently been flexible in its approach to costs, potentially reducing cost pressures for future claimants at the CAT.</w:t>
      </w:r>
      <w:r w:rsidRPr="00F54106">
        <w:rPr>
          <w:rStyle w:val="FootnoteReference"/>
          <w:rFonts w:cstheme="minorHAnsi"/>
          <w:shd w:val="clear" w:color="auto" w:fill="FFFFFF"/>
          <w:lang w:val="en-GB"/>
        </w:rPr>
        <w:footnoteReference w:id="181"/>
      </w:r>
    </w:p>
    <w:p w14:paraId="3BD51366" w14:textId="32C81C27" w:rsidR="00E06526" w:rsidRPr="00F54106" w:rsidRDefault="00E06526" w:rsidP="00E06526">
      <w:pPr>
        <w:spacing w:line="276" w:lineRule="auto"/>
        <w:ind w:firstLine="720"/>
        <w:rPr>
          <w:rFonts w:cstheme="minorHAnsi"/>
          <w:lang w:val="en-GB"/>
        </w:rPr>
      </w:pPr>
      <w:r w:rsidRPr="00F54106">
        <w:rPr>
          <w:rFonts w:cstheme="minorHAnsi"/>
          <w:shd w:val="clear" w:color="auto" w:fill="FFFFFF"/>
          <w:lang w:val="en-GB"/>
        </w:rPr>
        <w:t>Nevertheless, cost-shifting, the high potential to pay up-front costs and the possibility to be require</w:t>
      </w:r>
      <w:r w:rsidR="00A3619E">
        <w:rPr>
          <w:rFonts w:cstheme="minorHAnsi"/>
          <w:shd w:val="clear" w:color="auto" w:fill="FFFFFF"/>
          <w:lang w:val="en-GB"/>
        </w:rPr>
        <w:t>d</w:t>
      </w:r>
      <w:r w:rsidRPr="00F54106">
        <w:rPr>
          <w:rFonts w:cstheme="minorHAnsi"/>
          <w:shd w:val="clear" w:color="auto" w:fill="FFFFFF"/>
          <w:lang w:val="en-GB"/>
        </w:rPr>
        <w:t xml:space="preserve"> to reimburse the opposing party’s cost if the claim is unsuccessful bring great disincentives to litigate in the UK. </w:t>
      </w:r>
      <w:r w:rsidR="00ED4089" w:rsidRPr="00F54106">
        <w:rPr>
          <w:rFonts w:cstheme="minorHAnsi"/>
          <w:shd w:val="clear" w:color="auto" w:fill="FFFFFF"/>
          <w:lang w:val="en-GB"/>
        </w:rPr>
        <w:t>Clearly, t</w:t>
      </w:r>
      <w:r w:rsidRPr="00F54106">
        <w:rPr>
          <w:rFonts w:cstheme="minorHAnsi"/>
          <w:shd w:val="clear" w:color="auto" w:fill="FFFFFF"/>
          <w:lang w:val="en-GB"/>
        </w:rPr>
        <w:t xml:space="preserve">he costs are further amplified due to the inherently complex antitrust cases and the substantial </w:t>
      </w:r>
      <w:r w:rsidR="007D2AFF" w:rsidRPr="00F54106">
        <w:rPr>
          <w:rFonts w:cstheme="minorHAnsi"/>
          <w:shd w:val="clear" w:color="auto" w:fill="FFFFFF"/>
          <w:lang w:val="en-GB"/>
        </w:rPr>
        <w:t xml:space="preserve">legal </w:t>
      </w:r>
      <w:r w:rsidRPr="00F54106">
        <w:rPr>
          <w:rFonts w:cstheme="minorHAnsi"/>
          <w:shd w:val="clear" w:color="auto" w:fill="FFFFFF"/>
          <w:lang w:val="en-GB"/>
        </w:rPr>
        <w:t>and economic evidence needed to further a claim.</w:t>
      </w:r>
      <w:r w:rsidRPr="00F54106">
        <w:rPr>
          <w:rStyle w:val="FootnoteReference"/>
          <w:rFonts w:cstheme="minorHAnsi"/>
          <w:shd w:val="clear" w:color="auto" w:fill="FFFFFF"/>
          <w:lang w:val="en-GB"/>
        </w:rPr>
        <w:footnoteReference w:id="182"/>
      </w:r>
      <w:r w:rsidRPr="00F54106">
        <w:rPr>
          <w:rFonts w:cstheme="minorHAnsi"/>
          <w:shd w:val="clear" w:color="auto" w:fill="FFFFFF"/>
          <w:lang w:val="en-GB"/>
        </w:rPr>
        <w:t xml:space="preserve"> Furthermore, the teams of each party often include an exaggerated amount of professionals due to the split between solicitors and barristers in the UK, which is </w:t>
      </w:r>
      <w:r w:rsidR="00892B09" w:rsidRPr="00F54106">
        <w:rPr>
          <w:rFonts w:cstheme="minorHAnsi"/>
          <w:shd w:val="clear" w:color="auto" w:fill="FFFFFF"/>
          <w:lang w:val="en-GB"/>
        </w:rPr>
        <w:t xml:space="preserve">also </w:t>
      </w:r>
      <w:r w:rsidRPr="00F54106">
        <w:rPr>
          <w:rFonts w:cstheme="minorHAnsi"/>
          <w:shd w:val="clear" w:color="auto" w:fill="FFFFFF"/>
          <w:lang w:val="en-GB"/>
        </w:rPr>
        <w:t xml:space="preserve">responsible for driving </w:t>
      </w:r>
      <w:r w:rsidR="00ED4089" w:rsidRPr="00F54106">
        <w:rPr>
          <w:rFonts w:cstheme="minorHAnsi"/>
          <w:shd w:val="clear" w:color="auto" w:fill="FFFFFF"/>
          <w:lang w:val="en-GB"/>
        </w:rPr>
        <w:t xml:space="preserve">up </w:t>
      </w:r>
      <w:r w:rsidR="00892B09" w:rsidRPr="00F54106">
        <w:rPr>
          <w:rFonts w:cstheme="minorHAnsi"/>
          <w:shd w:val="clear" w:color="auto" w:fill="FFFFFF"/>
          <w:lang w:val="en-GB"/>
        </w:rPr>
        <w:t>the litigation costs</w:t>
      </w:r>
      <w:r w:rsidRPr="00F54106">
        <w:rPr>
          <w:rFonts w:cstheme="minorHAnsi"/>
          <w:shd w:val="clear" w:color="auto" w:fill="FFFFFF"/>
          <w:lang w:val="en-GB"/>
        </w:rPr>
        <w:t>.</w:t>
      </w:r>
      <w:r w:rsidRPr="00F54106">
        <w:rPr>
          <w:rStyle w:val="FootnoteReference"/>
          <w:rFonts w:cstheme="minorHAnsi"/>
          <w:shd w:val="clear" w:color="auto" w:fill="FFFFFF"/>
          <w:lang w:val="en-GB"/>
        </w:rPr>
        <w:footnoteReference w:id="183"/>
      </w:r>
      <w:r w:rsidRPr="00F54106">
        <w:rPr>
          <w:rFonts w:cstheme="minorHAnsi"/>
          <w:shd w:val="clear" w:color="auto" w:fill="FFFFFF"/>
          <w:lang w:val="en-GB"/>
        </w:rPr>
        <w:t xml:space="preserve"> </w:t>
      </w:r>
      <w:r w:rsidR="00ED4089" w:rsidRPr="00F54106">
        <w:rPr>
          <w:rFonts w:cstheme="minorHAnsi"/>
          <w:shd w:val="clear" w:color="auto" w:fill="FFFFFF"/>
          <w:lang w:val="en-GB"/>
        </w:rPr>
        <w:t>The British d</w:t>
      </w:r>
      <w:r w:rsidRPr="00F54106">
        <w:rPr>
          <w:rFonts w:cstheme="minorHAnsi"/>
          <w:shd w:val="clear" w:color="auto" w:fill="FFFFFF"/>
          <w:lang w:val="en-GB"/>
        </w:rPr>
        <w:t>isclosure costs are substantial as well, although the exact reason remains uncertain. It is speculated that parties may be overoptimistic, end up losing the case and are then required to pay the opposing party’s costs. It is also possible that a principal-agent problem between the lawyers and clients inflates the costs when junior associates and paralegals are used to increase the hours spent on disclosure requests.</w:t>
      </w:r>
      <w:r w:rsidRPr="00F54106">
        <w:rPr>
          <w:rStyle w:val="FootnoteReference"/>
          <w:rFonts w:cstheme="minorHAnsi"/>
          <w:shd w:val="clear" w:color="auto" w:fill="FFFFFF"/>
          <w:lang w:val="en-GB"/>
        </w:rPr>
        <w:footnoteReference w:id="184"/>
      </w:r>
      <w:r w:rsidRPr="00F54106">
        <w:rPr>
          <w:rFonts w:cstheme="minorHAnsi"/>
          <w:shd w:val="clear" w:color="auto" w:fill="FFFFFF"/>
          <w:lang w:val="en-GB"/>
        </w:rPr>
        <w:t xml:space="preserve"> As stated before, the litigation costs in the UK are considered to be at the high end, but practice has shown that they are not impossible to overcome, for example, through litigation finance.</w:t>
      </w:r>
      <w:r w:rsidR="008C5347" w:rsidRPr="00F54106">
        <w:rPr>
          <w:rStyle w:val="FootnoteReference"/>
          <w:rFonts w:cstheme="minorHAnsi"/>
          <w:shd w:val="clear" w:color="auto" w:fill="FFFFFF"/>
          <w:lang w:val="en-GB"/>
        </w:rPr>
        <w:footnoteReference w:id="185"/>
      </w:r>
      <w:r w:rsidRPr="00F54106">
        <w:rPr>
          <w:rFonts w:cstheme="minorHAnsi"/>
          <w:lang w:val="en-GB"/>
        </w:rPr>
        <w:t xml:space="preserve"> </w:t>
      </w:r>
    </w:p>
    <w:p w14:paraId="7BFBDCA3" w14:textId="77777777" w:rsidR="00BC63AF" w:rsidRPr="00F54106" w:rsidRDefault="00BC63AF" w:rsidP="00E06526">
      <w:pPr>
        <w:spacing w:line="276" w:lineRule="auto"/>
        <w:ind w:firstLine="720"/>
        <w:rPr>
          <w:rFonts w:cstheme="minorHAnsi"/>
          <w:shd w:val="clear" w:color="auto" w:fill="FFFFFF"/>
          <w:lang w:val="en-GB"/>
        </w:rPr>
      </w:pPr>
    </w:p>
    <w:p w14:paraId="72260A4E" w14:textId="28D3F525" w:rsidR="00BC63AF" w:rsidRPr="00F54106" w:rsidRDefault="001F001E" w:rsidP="001F001E">
      <w:pPr>
        <w:pStyle w:val="Heading3"/>
        <w:rPr>
          <w:lang w:val="en-GB"/>
        </w:rPr>
      </w:pPr>
      <w:bookmarkStart w:id="84" w:name="_Toc107610229"/>
      <w:r w:rsidRPr="00F54106">
        <w:rPr>
          <w:lang w:val="en-GB"/>
        </w:rPr>
        <w:t>2</w:t>
      </w:r>
      <w:r w:rsidR="00BC63AF" w:rsidRPr="00F54106">
        <w:rPr>
          <w:lang w:val="en-GB"/>
        </w:rPr>
        <w:t>.</w:t>
      </w:r>
      <w:r w:rsidRPr="00F54106">
        <w:rPr>
          <w:lang w:val="en-GB"/>
        </w:rPr>
        <w:t>2.3</w:t>
      </w:r>
      <w:r w:rsidR="00BC63AF" w:rsidRPr="00F54106">
        <w:rPr>
          <w:lang w:val="en-GB"/>
        </w:rPr>
        <w:t xml:space="preserve"> </w:t>
      </w:r>
      <w:r w:rsidR="00AE4EAE" w:rsidRPr="00F54106">
        <w:rPr>
          <w:lang w:val="en-GB"/>
        </w:rPr>
        <w:t>Options for c</w:t>
      </w:r>
      <w:r w:rsidR="00BC63AF" w:rsidRPr="00F54106">
        <w:rPr>
          <w:lang w:val="en-GB"/>
        </w:rPr>
        <w:t>ollective redress</w:t>
      </w:r>
      <w:r w:rsidR="00AE4EAE" w:rsidRPr="00F54106">
        <w:rPr>
          <w:lang w:val="en-GB"/>
        </w:rPr>
        <w:t xml:space="preserve"> and a new collective redress mechanism</w:t>
      </w:r>
      <w:bookmarkEnd w:id="84"/>
    </w:p>
    <w:p w14:paraId="38663791" w14:textId="77777777" w:rsidR="00BC63AF" w:rsidRPr="00F54106" w:rsidRDefault="00BC63AF" w:rsidP="00BC63AF">
      <w:pPr>
        <w:spacing w:line="276" w:lineRule="auto"/>
        <w:rPr>
          <w:rFonts w:cstheme="minorHAnsi"/>
          <w:lang w:val="en-GB"/>
        </w:rPr>
      </w:pPr>
      <w:r w:rsidRPr="00F54106">
        <w:rPr>
          <w:rFonts w:cstheme="minorHAnsi"/>
          <w:lang w:val="en-GB"/>
        </w:rPr>
        <w:t>Due to the lack of motivation to take action by victims of antitrust infringements,</w:t>
      </w:r>
      <w:r w:rsidRPr="00F54106">
        <w:rPr>
          <w:rStyle w:val="FootnoteReference"/>
          <w:rFonts w:cstheme="minorHAnsi"/>
          <w:lang w:val="en-GB"/>
        </w:rPr>
        <w:footnoteReference w:id="186"/>
      </w:r>
      <w:r w:rsidRPr="00F54106">
        <w:rPr>
          <w:rFonts w:cstheme="minorHAnsi"/>
          <w:lang w:val="en-GB"/>
        </w:rPr>
        <w:t xml:space="preserve"> a new collective redress mechanism featuring opt-out collective proceedings and collective settlements has been implemented following the Consumer Rights Act,</w:t>
      </w:r>
      <w:r w:rsidRPr="00F54106">
        <w:rPr>
          <w:rStyle w:val="FootnoteReference"/>
          <w:rFonts w:cstheme="minorHAnsi"/>
          <w:lang w:val="en-GB"/>
        </w:rPr>
        <w:footnoteReference w:id="187"/>
      </w:r>
      <w:r w:rsidRPr="00F54106">
        <w:rPr>
          <w:rFonts w:cstheme="minorHAnsi"/>
          <w:lang w:val="en-GB"/>
        </w:rPr>
        <w:t xml:space="preserve"> complementing the already established but rather ineffective opt-in group actions introduced by the Enterprise Act.</w:t>
      </w:r>
      <w:r w:rsidRPr="00F54106">
        <w:rPr>
          <w:rStyle w:val="FootnoteReference"/>
          <w:rFonts w:cstheme="minorHAnsi"/>
          <w:lang w:val="en-GB"/>
        </w:rPr>
        <w:footnoteReference w:id="188"/>
      </w:r>
      <w:r w:rsidRPr="00F54106">
        <w:rPr>
          <w:rFonts w:cstheme="minorHAnsi"/>
          <w:lang w:val="en-GB"/>
        </w:rPr>
        <w:t xml:space="preserve"> This collective redress mechanism is </w:t>
      </w:r>
      <w:r w:rsidRPr="00F54106">
        <w:rPr>
          <w:rFonts w:cstheme="minorHAnsi"/>
          <w:lang w:val="en-GB"/>
        </w:rPr>
        <w:lastRenderedPageBreak/>
        <w:t>said to greatly surpass those of other EU Member States (while being closest to the Dutch mechanism), goes beyond the European Commission’s advice, and has advanced the attractiveness of private enforcement in the UK.</w:t>
      </w:r>
      <w:r w:rsidRPr="00F54106">
        <w:rPr>
          <w:rStyle w:val="FootnoteReference"/>
          <w:rFonts w:cstheme="minorHAnsi"/>
          <w:lang w:val="en-GB"/>
        </w:rPr>
        <w:footnoteReference w:id="189"/>
      </w:r>
      <w:r w:rsidRPr="00F54106">
        <w:rPr>
          <w:rFonts w:cstheme="minorHAnsi"/>
          <w:lang w:val="en-GB"/>
        </w:rPr>
        <w:t xml:space="preserve"> </w:t>
      </w:r>
    </w:p>
    <w:p w14:paraId="446E7870" w14:textId="626B5559" w:rsidR="00BC63AF" w:rsidRPr="00F54106" w:rsidRDefault="00BC63AF" w:rsidP="00BC63AF">
      <w:pPr>
        <w:spacing w:line="276" w:lineRule="auto"/>
        <w:ind w:firstLine="720"/>
        <w:rPr>
          <w:rFonts w:cstheme="minorHAnsi"/>
          <w:lang w:val="en-GB"/>
        </w:rPr>
      </w:pPr>
      <w:r w:rsidRPr="00F54106">
        <w:rPr>
          <w:rFonts w:cstheme="minorHAnsi"/>
          <w:lang w:val="en-GB"/>
        </w:rPr>
        <w:t xml:space="preserve">At present, there are several requirements in order to bring collective proceedings before the CAT. Collective proceedings may only be continued if the Tribunal creates a collective proceedings order </w:t>
      </w:r>
      <w:r w:rsidR="001D7723" w:rsidRPr="00F54106">
        <w:rPr>
          <w:rFonts w:cstheme="minorHAnsi"/>
          <w:lang w:val="en-GB"/>
        </w:rPr>
        <w:t xml:space="preserve">(CPO) </w:t>
      </w:r>
      <w:r w:rsidRPr="00F54106">
        <w:rPr>
          <w:rFonts w:cstheme="minorHAnsi"/>
          <w:lang w:val="en-GB"/>
        </w:rPr>
        <w:t>under section 47B(4) of the Competition Act 1998, which it may only do if two requirements under section 47B(5) are met. Section 47B(5)(a) requires that collective proceedings must be brought before the CAT through an authorized representative of the class of persons, for which it is not required that that representative is a part of that class,</w:t>
      </w:r>
      <w:r w:rsidRPr="00F54106">
        <w:rPr>
          <w:rStyle w:val="FootnoteReference"/>
          <w:rFonts w:cstheme="minorHAnsi"/>
          <w:lang w:val="en-GB"/>
        </w:rPr>
        <w:footnoteReference w:id="190"/>
      </w:r>
      <w:r w:rsidRPr="00F54106">
        <w:rPr>
          <w:rFonts w:cstheme="minorHAnsi"/>
          <w:lang w:val="en-GB"/>
        </w:rPr>
        <w:t xml:space="preserve"> but the representative needs to be distinguished as “just and reasonable” by the CAT.</w:t>
      </w:r>
      <w:r w:rsidRPr="00F54106">
        <w:rPr>
          <w:rStyle w:val="FootnoteReference"/>
          <w:rFonts w:cstheme="minorHAnsi"/>
          <w:lang w:val="en-GB"/>
        </w:rPr>
        <w:footnoteReference w:id="191"/>
      </w:r>
      <w:r w:rsidRPr="00F54106">
        <w:rPr>
          <w:rFonts w:cstheme="minorHAnsi"/>
          <w:lang w:val="en-GB"/>
        </w:rPr>
        <w:t xml:space="preserve"> Furthermore, these claims need to be “eligible for inclusion” under section 47B(5)(b), which is fulfilled when the CAT considers that the collective proceedings “raise the same, similar or related issues of fact or law and are suitable to be brought in collective proceedings”.</w:t>
      </w:r>
      <w:r w:rsidRPr="00F54106">
        <w:rPr>
          <w:rStyle w:val="FootnoteReference"/>
          <w:rFonts w:cstheme="minorHAnsi"/>
          <w:lang w:val="en-GB"/>
        </w:rPr>
        <w:footnoteReference w:id="192"/>
      </w:r>
      <w:r w:rsidRPr="00F54106">
        <w:rPr>
          <w:rFonts w:cstheme="minorHAnsi"/>
          <w:lang w:val="en-GB"/>
        </w:rPr>
        <w:t xml:space="preserve"> </w:t>
      </w:r>
    </w:p>
    <w:p w14:paraId="5D0F3475" w14:textId="1684C7AD" w:rsidR="00BC63AF" w:rsidRPr="00F54106" w:rsidRDefault="00BC63AF" w:rsidP="00BC63AF">
      <w:pPr>
        <w:spacing w:line="276" w:lineRule="auto"/>
        <w:ind w:firstLine="720"/>
        <w:rPr>
          <w:rFonts w:cstheme="minorHAnsi"/>
          <w:lang w:val="en-GB"/>
        </w:rPr>
      </w:pPr>
      <w:r w:rsidRPr="00F54106">
        <w:rPr>
          <w:rFonts w:cstheme="minorHAnsi"/>
          <w:lang w:val="en-GB"/>
        </w:rPr>
        <w:t>Collective proceedings were until recently only possible through the Consumers’ Association and only if a decision by a competition authority had already been reached.</w:t>
      </w:r>
      <w:r w:rsidRPr="00F54106">
        <w:rPr>
          <w:rStyle w:val="FootnoteReference"/>
          <w:rFonts w:cstheme="minorHAnsi"/>
          <w:lang w:val="en-GB"/>
        </w:rPr>
        <w:footnoteReference w:id="193"/>
      </w:r>
      <w:r w:rsidRPr="00F54106">
        <w:rPr>
          <w:rFonts w:cstheme="minorHAnsi"/>
          <w:lang w:val="en-GB"/>
        </w:rPr>
        <w:t xml:space="preserve"> However, the reason for amendment was further explained in the UK Supreme Court’s decision of </w:t>
      </w:r>
      <w:proofErr w:type="spellStart"/>
      <w:r w:rsidRPr="00F54106">
        <w:rPr>
          <w:rFonts w:cstheme="minorHAnsi"/>
          <w:i/>
          <w:iCs/>
          <w:lang w:val="en-GB"/>
        </w:rPr>
        <w:t>Merricks</w:t>
      </w:r>
      <w:proofErr w:type="spellEnd"/>
      <w:r w:rsidRPr="00F54106">
        <w:rPr>
          <w:rFonts w:cstheme="minorHAnsi"/>
          <w:i/>
          <w:iCs/>
          <w:lang w:val="en-GB"/>
        </w:rPr>
        <w:t xml:space="preserve"> v. Mastercard</w:t>
      </w:r>
      <w:r w:rsidRPr="00F54106">
        <w:rPr>
          <w:rFonts w:cstheme="minorHAnsi"/>
          <w:lang w:val="en-GB"/>
        </w:rPr>
        <w:t xml:space="preserve"> in 2020,</w:t>
      </w:r>
      <w:r w:rsidRPr="00F54106">
        <w:rPr>
          <w:rStyle w:val="FootnoteReference"/>
          <w:rFonts w:cstheme="minorHAnsi"/>
          <w:lang w:val="en-GB"/>
        </w:rPr>
        <w:footnoteReference w:id="194"/>
      </w:r>
      <w:r w:rsidRPr="00F54106">
        <w:rPr>
          <w:rFonts w:cstheme="minorHAnsi"/>
          <w:lang w:val="en-GB"/>
        </w:rPr>
        <w:t xml:space="preserve"> in which Lord Briggs specified that the collective proceedings were special form of civil procedure designed to facilitate access to justice where ordinary claims were inadequate for the vindication of private rights.</w:t>
      </w:r>
      <w:r w:rsidRPr="00F54106">
        <w:rPr>
          <w:rStyle w:val="FootnoteReference"/>
          <w:rFonts w:cstheme="minorHAnsi"/>
          <w:lang w:val="en-GB"/>
        </w:rPr>
        <w:footnoteReference w:id="195"/>
      </w:r>
      <w:r w:rsidRPr="00F54106">
        <w:rPr>
          <w:rFonts w:cstheme="minorHAnsi"/>
          <w:lang w:val="en-GB"/>
        </w:rPr>
        <w:t xml:space="preserve"> He further noted that individual claims by the approximately 46 million consumers involved would likely be practically impossible and that refusal to authorize the collective proceedings in this situation may result in no vindication at all.</w:t>
      </w:r>
      <w:r w:rsidRPr="00F54106">
        <w:rPr>
          <w:rStyle w:val="FootnoteReference"/>
          <w:rFonts w:cstheme="minorHAnsi"/>
          <w:lang w:val="en-GB"/>
        </w:rPr>
        <w:footnoteReference w:id="196"/>
      </w:r>
      <w:r w:rsidRPr="00F54106">
        <w:rPr>
          <w:rFonts w:cstheme="minorHAnsi"/>
          <w:lang w:val="en-GB"/>
        </w:rPr>
        <w:t xml:space="preserve"> It is argued that this recent judgement in </w:t>
      </w:r>
      <w:proofErr w:type="spellStart"/>
      <w:r w:rsidRPr="00F54106">
        <w:rPr>
          <w:rFonts w:cstheme="minorHAnsi"/>
          <w:i/>
          <w:iCs/>
          <w:lang w:val="en-GB"/>
        </w:rPr>
        <w:t>Merricks</w:t>
      </w:r>
      <w:proofErr w:type="spellEnd"/>
      <w:r w:rsidRPr="00F54106">
        <w:rPr>
          <w:rFonts w:cstheme="minorHAnsi"/>
          <w:i/>
          <w:iCs/>
          <w:lang w:val="en-GB"/>
        </w:rPr>
        <w:t xml:space="preserve"> v Mastercard</w:t>
      </w:r>
      <w:r w:rsidRPr="00F54106">
        <w:rPr>
          <w:rFonts w:cstheme="minorHAnsi"/>
          <w:lang w:val="en-GB"/>
        </w:rPr>
        <w:t xml:space="preserve"> has made the UK remarkably more claimant-friendly for class actions related to competition law</w:t>
      </w:r>
      <w:r w:rsidRPr="00F54106">
        <w:rPr>
          <w:rStyle w:val="FootnoteReference"/>
          <w:rFonts w:cstheme="minorHAnsi"/>
          <w:lang w:val="en-GB"/>
        </w:rPr>
        <w:footnoteReference w:id="197"/>
      </w:r>
      <w:r w:rsidRPr="00F54106">
        <w:rPr>
          <w:rFonts w:cstheme="minorHAnsi"/>
          <w:lang w:val="en-GB"/>
        </w:rPr>
        <w:t xml:space="preserve"> and has added to this by further clarifying the approach for authorization through a </w:t>
      </w:r>
      <w:r w:rsidR="00E7797A" w:rsidRPr="00F54106">
        <w:rPr>
          <w:rFonts w:cstheme="minorHAnsi"/>
          <w:lang w:val="en-GB"/>
        </w:rPr>
        <w:t>CPO</w:t>
      </w:r>
      <w:r w:rsidRPr="00F54106">
        <w:rPr>
          <w:rFonts w:cstheme="minorHAnsi"/>
          <w:lang w:val="en-GB"/>
        </w:rPr>
        <w:t>.</w:t>
      </w:r>
      <w:r w:rsidRPr="00F54106">
        <w:rPr>
          <w:rStyle w:val="FootnoteReference"/>
          <w:rFonts w:cstheme="minorHAnsi"/>
          <w:lang w:val="en-GB"/>
        </w:rPr>
        <w:footnoteReference w:id="198"/>
      </w:r>
      <w:r w:rsidRPr="00F54106">
        <w:rPr>
          <w:rFonts w:cstheme="minorHAnsi"/>
          <w:lang w:val="en-GB"/>
        </w:rPr>
        <w:t xml:space="preserve"> Due to the UK Supreme Court’s </w:t>
      </w:r>
      <w:r w:rsidR="003161E5" w:rsidRPr="00F54106">
        <w:rPr>
          <w:rFonts w:cstheme="minorHAnsi"/>
          <w:lang w:val="en-GB"/>
        </w:rPr>
        <w:t xml:space="preserve">relative </w:t>
      </w:r>
      <w:r w:rsidRPr="00F54106">
        <w:rPr>
          <w:rFonts w:cstheme="minorHAnsi"/>
          <w:lang w:val="en-GB"/>
        </w:rPr>
        <w:t xml:space="preserve">approach to suitability in </w:t>
      </w:r>
      <w:proofErr w:type="spellStart"/>
      <w:r w:rsidRPr="00F54106">
        <w:rPr>
          <w:rFonts w:cstheme="minorHAnsi"/>
          <w:i/>
          <w:iCs/>
          <w:lang w:val="en-GB"/>
        </w:rPr>
        <w:t>Merricks</w:t>
      </w:r>
      <w:proofErr w:type="spellEnd"/>
      <w:r w:rsidRPr="00F54106">
        <w:rPr>
          <w:rFonts w:cstheme="minorHAnsi"/>
          <w:i/>
          <w:iCs/>
          <w:lang w:val="en-GB"/>
        </w:rPr>
        <w:t xml:space="preserve"> v Mastercard</w:t>
      </w:r>
      <w:r w:rsidRPr="00F54106">
        <w:rPr>
          <w:rFonts w:cstheme="minorHAnsi"/>
          <w:lang w:val="en-GB"/>
        </w:rPr>
        <w:t xml:space="preserve">, collective proceedings have probably become more accessible for consumers or when high costs or </w:t>
      </w:r>
      <w:r w:rsidRPr="00F54106">
        <w:rPr>
          <w:rFonts w:cstheme="minorHAnsi"/>
          <w:lang w:val="en-GB"/>
        </w:rPr>
        <w:lastRenderedPageBreak/>
        <w:t>other related issues would make filing a claim too burdensome.</w:t>
      </w:r>
      <w:r w:rsidRPr="00F54106">
        <w:rPr>
          <w:rStyle w:val="FootnoteReference"/>
          <w:rFonts w:cstheme="minorHAnsi"/>
          <w:lang w:val="en-GB"/>
        </w:rPr>
        <w:footnoteReference w:id="199"/>
      </w:r>
      <w:r w:rsidRPr="00F54106">
        <w:rPr>
          <w:rFonts w:cstheme="minorHAnsi"/>
          <w:lang w:val="en-GB"/>
        </w:rPr>
        <w:t xml:space="preserve"> As a result, collective procedure order applications are on the rise and law firms and litigation financers increasingly cooperate with possible class representatives to file applications,</w:t>
      </w:r>
      <w:r w:rsidRPr="00F54106">
        <w:rPr>
          <w:rStyle w:val="FootnoteReference"/>
          <w:rFonts w:cstheme="minorHAnsi"/>
          <w:lang w:val="en-GB"/>
        </w:rPr>
        <w:footnoteReference w:id="200"/>
      </w:r>
      <w:r w:rsidRPr="00F54106">
        <w:rPr>
          <w:rFonts w:cstheme="minorHAnsi"/>
          <w:lang w:val="en-GB"/>
        </w:rPr>
        <w:t xml:space="preserve"> and have been successful in doing so as can be inferred from the numerous certifications that were granted in 2021.</w:t>
      </w:r>
      <w:r w:rsidRPr="00F54106">
        <w:rPr>
          <w:rStyle w:val="FootnoteReference"/>
          <w:rFonts w:cstheme="minorHAnsi"/>
          <w:lang w:val="en-GB"/>
        </w:rPr>
        <w:footnoteReference w:id="201"/>
      </w:r>
      <w:r w:rsidRPr="00F54106">
        <w:rPr>
          <w:rFonts w:cstheme="minorHAnsi"/>
          <w:lang w:val="en-GB"/>
        </w:rPr>
        <w:t xml:space="preserve"> Another beneficial factor may be found in the fact that claimants in a class are also not required to prove that they have individually suffered harm, instead it is sufficient to establish that there is a loss for the class altogether.</w:t>
      </w:r>
      <w:r w:rsidRPr="00F54106">
        <w:rPr>
          <w:rStyle w:val="FootnoteReference"/>
          <w:rFonts w:cstheme="minorHAnsi"/>
          <w:lang w:val="en-GB"/>
        </w:rPr>
        <w:footnoteReference w:id="202"/>
      </w:r>
      <w:r w:rsidRPr="00F54106">
        <w:rPr>
          <w:rFonts w:cstheme="minorHAnsi"/>
          <w:lang w:val="en-GB"/>
        </w:rPr>
        <w:t xml:space="preserve"> These developments are said to have encouraged collective proceedings in the UK by expediting claims that do not hold in court on an individual basis.</w:t>
      </w:r>
      <w:r w:rsidRPr="00F54106">
        <w:rPr>
          <w:rStyle w:val="FootnoteReference"/>
          <w:rFonts w:cstheme="minorHAnsi"/>
          <w:lang w:val="en-GB"/>
        </w:rPr>
        <w:footnoteReference w:id="203"/>
      </w:r>
      <w:r w:rsidRPr="00F54106">
        <w:rPr>
          <w:rFonts w:cstheme="minorHAnsi"/>
          <w:lang w:val="en-GB"/>
        </w:rPr>
        <w:t xml:space="preserve"> However, only claimants originating from the UK are eligible for an opt-out procedure while foreign claimants are instead required to opt-in</w:t>
      </w:r>
      <w:r w:rsidR="004730C5" w:rsidRPr="00F54106">
        <w:rPr>
          <w:rFonts w:cstheme="minorHAnsi"/>
          <w:lang w:val="en-GB"/>
        </w:rPr>
        <w:t>.</w:t>
      </w:r>
      <w:r w:rsidRPr="00F54106">
        <w:rPr>
          <w:rStyle w:val="FootnoteReference"/>
          <w:rFonts w:cstheme="minorHAnsi"/>
          <w:lang w:val="en-GB"/>
        </w:rPr>
        <w:footnoteReference w:id="204"/>
      </w:r>
      <w:r w:rsidRPr="00F54106">
        <w:rPr>
          <w:rFonts w:cstheme="minorHAnsi"/>
          <w:lang w:val="en-GB"/>
        </w:rPr>
        <w:t xml:space="preserve"> </w:t>
      </w:r>
      <w:r w:rsidR="004730C5" w:rsidRPr="00F54106">
        <w:rPr>
          <w:rFonts w:cstheme="minorHAnsi"/>
          <w:lang w:val="en-GB"/>
        </w:rPr>
        <w:t>Nevertheless,</w:t>
      </w:r>
      <w:r w:rsidRPr="00F54106">
        <w:rPr>
          <w:rFonts w:cstheme="minorHAnsi"/>
          <w:lang w:val="en-GB"/>
        </w:rPr>
        <w:t xml:space="preserve"> both </w:t>
      </w:r>
      <w:r w:rsidR="004730C5" w:rsidRPr="00F54106">
        <w:rPr>
          <w:rFonts w:cstheme="minorHAnsi"/>
          <w:lang w:val="en-GB"/>
        </w:rPr>
        <w:t xml:space="preserve">the </w:t>
      </w:r>
      <w:r w:rsidRPr="00F54106">
        <w:rPr>
          <w:rFonts w:cstheme="minorHAnsi"/>
          <w:lang w:val="en-GB"/>
        </w:rPr>
        <w:t>opt-in and opt-out collective proceedings are said to make EU plaintiffs favour the UK forum.</w:t>
      </w:r>
      <w:r w:rsidRPr="00F54106">
        <w:rPr>
          <w:rStyle w:val="FootnoteReference"/>
          <w:rFonts w:cstheme="minorHAnsi"/>
          <w:lang w:val="en-GB"/>
        </w:rPr>
        <w:footnoteReference w:id="205"/>
      </w:r>
    </w:p>
    <w:p w14:paraId="097CE0B0" w14:textId="0EAE74F4" w:rsidR="006F6578" w:rsidRPr="00F54106" w:rsidRDefault="006F6578" w:rsidP="00FC31D7">
      <w:pPr>
        <w:spacing w:line="276" w:lineRule="auto"/>
        <w:rPr>
          <w:rFonts w:cstheme="minorHAnsi"/>
          <w:lang w:val="en-GB"/>
        </w:rPr>
      </w:pPr>
    </w:p>
    <w:p w14:paraId="55C97B86" w14:textId="2B52A2AB" w:rsidR="00DC2076" w:rsidRPr="00F54106" w:rsidRDefault="001F001E" w:rsidP="001F001E">
      <w:pPr>
        <w:pStyle w:val="Heading3"/>
        <w:rPr>
          <w:lang w:val="en-GB"/>
        </w:rPr>
      </w:pPr>
      <w:bookmarkStart w:id="89" w:name="_Toc107610230"/>
      <w:r w:rsidRPr="00F54106">
        <w:rPr>
          <w:lang w:val="en-GB"/>
        </w:rPr>
        <w:t>2.2</w:t>
      </w:r>
      <w:r w:rsidR="00DC2076" w:rsidRPr="00F54106">
        <w:rPr>
          <w:lang w:val="en-GB"/>
        </w:rPr>
        <w:t>.</w:t>
      </w:r>
      <w:r w:rsidR="006D67F3" w:rsidRPr="00F54106">
        <w:rPr>
          <w:lang w:val="en-GB"/>
        </w:rPr>
        <w:t>4</w:t>
      </w:r>
      <w:r w:rsidR="00DC2076" w:rsidRPr="00F54106">
        <w:rPr>
          <w:lang w:val="en-GB"/>
        </w:rPr>
        <w:t xml:space="preserve"> </w:t>
      </w:r>
      <w:r w:rsidR="00AE4EAE" w:rsidRPr="00F54106">
        <w:rPr>
          <w:lang w:val="en-GB"/>
        </w:rPr>
        <w:t>The obligation to d</w:t>
      </w:r>
      <w:r w:rsidR="00DC2076" w:rsidRPr="00F54106">
        <w:rPr>
          <w:lang w:val="en-GB"/>
        </w:rPr>
        <w:t>isclos</w:t>
      </w:r>
      <w:r w:rsidR="00AE4EAE" w:rsidRPr="00F54106">
        <w:rPr>
          <w:lang w:val="en-GB"/>
        </w:rPr>
        <w:t>e</w:t>
      </w:r>
      <w:r w:rsidR="00DC2076" w:rsidRPr="00F54106">
        <w:rPr>
          <w:lang w:val="en-GB"/>
        </w:rPr>
        <w:t xml:space="preserve"> evidence</w:t>
      </w:r>
      <w:r w:rsidR="00AE4EAE" w:rsidRPr="00F54106">
        <w:rPr>
          <w:lang w:val="en-GB"/>
        </w:rPr>
        <w:t xml:space="preserve"> in the UK</w:t>
      </w:r>
      <w:bookmarkEnd w:id="89"/>
    </w:p>
    <w:p w14:paraId="1305E2A1" w14:textId="2A83784A" w:rsidR="00161BEB" w:rsidRPr="00F54106" w:rsidRDefault="00E675FC" w:rsidP="00FC31D7">
      <w:pPr>
        <w:spacing w:line="276" w:lineRule="auto"/>
        <w:rPr>
          <w:rFonts w:cstheme="minorHAnsi"/>
          <w:lang w:val="en-GB"/>
        </w:rPr>
      </w:pPr>
      <w:r w:rsidRPr="00F54106">
        <w:rPr>
          <w:rFonts w:cstheme="minorHAnsi"/>
          <w:lang w:val="en-GB"/>
        </w:rPr>
        <w:t xml:space="preserve">It is said that </w:t>
      </w:r>
      <w:r w:rsidR="0033604E" w:rsidRPr="00F54106">
        <w:rPr>
          <w:rFonts w:cstheme="minorHAnsi"/>
          <w:lang w:val="en-GB"/>
        </w:rPr>
        <w:t xml:space="preserve">the </w:t>
      </w:r>
      <w:r w:rsidRPr="00F54106">
        <w:rPr>
          <w:rFonts w:cstheme="minorHAnsi"/>
          <w:lang w:val="en-GB"/>
        </w:rPr>
        <w:t>uniform implementation of the provisions on access to evidence contained in the Damages Directive</w:t>
      </w:r>
      <w:r w:rsidR="00B33186" w:rsidRPr="00F54106">
        <w:rPr>
          <w:rFonts w:cstheme="minorHAnsi"/>
          <w:lang w:val="en-GB"/>
        </w:rPr>
        <w:t xml:space="preserve"> will most likely not create effective disclosure mechanisms in EU Member States, even though</w:t>
      </w:r>
      <w:r w:rsidRPr="00F54106">
        <w:rPr>
          <w:rFonts w:cstheme="minorHAnsi"/>
          <w:lang w:val="en-GB"/>
        </w:rPr>
        <w:t xml:space="preserve"> </w:t>
      </w:r>
      <w:r w:rsidR="00B33186" w:rsidRPr="00F54106">
        <w:rPr>
          <w:rFonts w:cstheme="minorHAnsi"/>
          <w:lang w:val="en-GB"/>
        </w:rPr>
        <w:t>a</w:t>
      </w:r>
      <w:r w:rsidRPr="00F54106">
        <w:rPr>
          <w:rFonts w:cstheme="minorHAnsi"/>
          <w:lang w:val="en-GB"/>
        </w:rPr>
        <w:t xml:space="preserve">ccess to evidence is </w:t>
      </w:r>
      <w:r w:rsidR="00B33186" w:rsidRPr="00F54106">
        <w:rPr>
          <w:rFonts w:cstheme="minorHAnsi"/>
          <w:lang w:val="en-GB"/>
        </w:rPr>
        <w:t>regarded as</w:t>
      </w:r>
      <w:r w:rsidRPr="00F54106">
        <w:rPr>
          <w:rFonts w:cstheme="minorHAnsi"/>
          <w:lang w:val="en-GB"/>
        </w:rPr>
        <w:t xml:space="preserve"> a critical point for litigating </w:t>
      </w:r>
      <w:r w:rsidR="00B33186" w:rsidRPr="00F54106">
        <w:rPr>
          <w:rFonts w:cstheme="minorHAnsi"/>
          <w:lang w:val="en-GB"/>
        </w:rPr>
        <w:t xml:space="preserve">“fact-intensive” </w:t>
      </w:r>
      <w:r w:rsidRPr="00F54106">
        <w:rPr>
          <w:rFonts w:cstheme="minorHAnsi"/>
          <w:lang w:val="en-GB"/>
        </w:rPr>
        <w:t>damages actions.</w:t>
      </w:r>
      <w:r w:rsidR="00B33186" w:rsidRPr="00F54106">
        <w:rPr>
          <w:rStyle w:val="FootnoteReference"/>
          <w:rFonts w:cstheme="minorHAnsi"/>
          <w:lang w:val="en-GB"/>
        </w:rPr>
        <w:footnoteReference w:id="206"/>
      </w:r>
      <w:r w:rsidR="00B33186" w:rsidRPr="00F54106">
        <w:rPr>
          <w:rFonts w:cstheme="minorHAnsi"/>
          <w:lang w:val="en-GB"/>
        </w:rPr>
        <w:t xml:space="preserve"> </w:t>
      </w:r>
      <w:r w:rsidR="00DC2571" w:rsidRPr="00F54106">
        <w:rPr>
          <w:rFonts w:cstheme="minorHAnsi"/>
          <w:lang w:val="en-GB"/>
        </w:rPr>
        <w:t>As a result, the</w:t>
      </w:r>
      <w:r w:rsidR="00B33186" w:rsidRPr="00F54106">
        <w:rPr>
          <w:rFonts w:cstheme="minorHAnsi"/>
          <w:lang w:val="en-GB"/>
        </w:rPr>
        <w:t xml:space="preserve"> </w:t>
      </w:r>
      <w:r w:rsidR="00294120" w:rsidRPr="00F54106">
        <w:rPr>
          <w:rFonts w:cstheme="minorHAnsi"/>
          <w:lang w:val="en-GB"/>
        </w:rPr>
        <w:t xml:space="preserve">UK’s </w:t>
      </w:r>
      <w:r w:rsidR="00DC2571" w:rsidRPr="00F54106">
        <w:rPr>
          <w:rFonts w:cstheme="minorHAnsi"/>
          <w:lang w:val="en-GB"/>
        </w:rPr>
        <w:t>mature disclosure regime</w:t>
      </w:r>
      <w:r w:rsidR="00294120" w:rsidRPr="00F54106">
        <w:rPr>
          <w:rFonts w:cstheme="minorHAnsi"/>
          <w:lang w:val="en-GB"/>
        </w:rPr>
        <w:t xml:space="preserve"> is considered attractive</w:t>
      </w:r>
      <w:r w:rsidR="00DC2571" w:rsidRPr="00F54106">
        <w:rPr>
          <w:rFonts w:cstheme="minorHAnsi"/>
          <w:lang w:val="en-GB"/>
        </w:rPr>
        <w:t xml:space="preserve"> for pursuing damages claims</w:t>
      </w:r>
      <w:r w:rsidR="00A5774B" w:rsidRPr="00F54106">
        <w:rPr>
          <w:rFonts w:cstheme="minorHAnsi"/>
          <w:lang w:val="en-GB"/>
        </w:rPr>
        <w:t>,</w:t>
      </w:r>
      <w:r w:rsidR="00DC2571" w:rsidRPr="00F54106">
        <w:rPr>
          <w:rStyle w:val="FootnoteReference"/>
          <w:rFonts w:cstheme="minorHAnsi"/>
          <w:lang w:val="en-GB"/>
        </w:rPr>
        <w:footnoteReference w:id="207"/>
      </w:r>
      <w:r w:rsidR="00A5774B" w:rsidRPr="00F54106">
        <w:rPr>
          <w:rFonts w:cstheme="minorHAnsi"/>
          <w:lang w:val="en-GB"/>
        </w:rPr>
        <w:t xml:space="preserve"> while </w:t>
      </w:r>
      <w:r w:rsidR="00022F41" w:rsidRPr="00F54106">
        <w:rPr>
          <w:rFonts w:cstheme="minorHAnsi"/>
          <w:lang w:val="en-GB"/>
        </w:rPr>
        <w:t xml:space="preserve">the </w:t>
      </w:r>
      <w:r w:rsidR="00A5774B" w:rsidRPr="00F54106">
        <w:rPr>
          <w:rFonts w:cstheme="minorHAnsi"/>
          <w:lang w:val="en-GB"/>
        </w:rPr>
        <w:t>disclosure</w:t>
      </w:r>
      <w:r w:rsidR="00022F41" w:rsidRPr="00F54106">
        <w:rPr>
          <w:rFonts w:cstheme="minorHAnsi"/>
          <w:lang w:val="en-GB"/>
        </w:rPr>
        <w:t xml:space="preserve"> mechanisms</w:t>
      </w:r>
      <w:r w:rsidR="00A5774B" w:rsidRPr="00F54106">
        <w:rPr>
          <w:rFonts w:cstheme="minorHAnsi"/>
          <w:lang w:val="en-GB"/>
        </w:rPr>
        <w:t xml:space="preserve"> under the UK regime ha</w:t>
      </w:r>
      <w:r w:rsidR="00022F41" w:rsidRPr="00F54106">
        <w:rPr>
          <w:rFonts w:cstheme="minorHAnsi"/>
          <w:lang w:val="en-GB"/>
        </w:rPr>
        <w:t>ve</w:t>
      </w:r>
      <w:r w:rsidR="00A5774B" w:rsidRPr="00F54106">
        <w:rPr>
          <w:rFonts w:cstheme="minorHAnsi"/>
          <w:lang w:val="en-GB"/>
        </w:rPr>
        <w:t xml:space="preserve"> historically been</w:t>
      </w:r>
      <w:r w:rsidR="00504182" w:rsidRPr="00F54106">
        <w:rPr>
          <w:rFonts w:cstheme="minorHAnsi"/>
          <w:lang w:val="en-GB"/>
        </w:rPr>
        <w:t xml:space="preserve"> appealing</w:t>
      </w:r>
      <w:r w:rsidR="00A5774B" w:rsidRPr="00F54106">
        <w:rPr>
          <w:rFonts w:cstheme="minorHAnsi"/>
          <w:lang w:val="en-GB"/>
        </w:rPr>
        <w:t xml:space="preserve"> as well.</w:t>
      </w:r>
      <w:r w:rsidR="00022F41" w:rsidRPr="00F54106">
        <w:rPr>
          <w:rStyle w:val="FootnoteReference"/>
          <w:rFonts w:cstheme="minorHAnsi"/>
          <w:lang w:val="en-GB"/>
        </w:rPr>
        <w:footnoteReference w:id="208"/>
      </w:r>
      <w:r w:rsidRPr="00F54106">
        <w:rPr>
          <w:rFonts w:cstheme="minorHAnsi"/>
          <w:lang w:val="en-GB"/>
        </w:rPr>
        <w:t xml:space="preserve"> </w:t>
      </w:r>
      <w:r w:rsidR="00A90189" w:rsidRPr="00F54106">
        <w:rPr>
          <w:rFonts w:cstheme="minorHAnsi"/>
          <w:lang w:val="en-GB"/>
        </w:rPr>
        <w:t>In particular, t</w:t>
      </w:r>
      <w:r w:rsidR="00294120" w:rsidRPr="00F54106">
        <w:rPr>
          <w:rFonts w:cstheme="minorHAnsi"/>
          <w:lang w:val="en-GB"/>
        </w:rPr>
        <w:t xml:space="preserve">he </w:t>
      </w:r>
      <w:r w:rsidR="005053A4" w:rsidRPr="00F54106">
        <w:rPr>
          <w:rFonts w:cstheme="minorHAnsi"/>
          <w:lang w:val="en-GB"/>
        </w:rPr>
        <w:t xml:space="preserve">UK’s </w:t>
      </w:r>
      <w:r w:rsidR="00294120" w:rsidRPr="00F54106">
        <w:rPr>
          <w:rFonts w:cstheme="minorHAnsi"/>
          <w:lang w:val="en-GB"/>
        </w:rPr>
        <w:t>broad obligations</w:t>
      </w:r>
      <w:r w:rsidR="005053A4" w:rsidRPr="00F54106">
        <w:rPr>
          <w:rFonts w:cstheme="minorHAnsi"/>
          <w:lang w:val="en-GB"/>
        </w:rPr>
        <w:t xml:space="preserve"> to disclose</w:t>
      </w:r>
      <w:r w:rsidR="00FF1F77" w:rsidRPr="00F54106">
        <w:rPr>
          <w:rStyle w:val="FootnoteReference"/>
          <w:rFonts w:cstheme="minorHAnsi"/>
          <w:lang w:val="en-GB"/>
        </w:rPr>
        <w:footnoteReference w:id="209"/>
      </w:r>
      <w:r w:rsidR="00294120" w:rsidRPr="00F54106">
        <w:rPr>
          <w:rFonts w:cstheme="minorHAnsi"/>
          <w:lang w:val="en-GB"/>
        </w:rPr>
        <w:t xml:space="preserve"> and</w:t>
      </w:r>
      <w:r w:rsidR="00A90189" w:rsidRPr="00F54106">
        <w:rPr>
          <w:rFonts w:cstheme="minorHAnsi"/>
          <w:lang w:val="en-GB"/>
        </w:rPr>
        <w:t xml:space="preserve"> its</w:t>
      </w:r>
      <w:r w:rsidR="005053A4" w:rsidRPr="00F54106">
        <w:rPr>
          <w:rFonts w:cstheme="minorHAnsi"/>
          <w:lang w:val="en-GB"/>
        </w:rPr>
        <w:t xml:space="preserve"> </w:t>
      </w:r>
      <w:r w:rsidR="00294120" w:rsidRPr="00F54106">
        <w:rPr>
          <w:rFonts w:cstheme="minorHAnsi"/>
          <w:lang w:val="en-GB"/>
        </w:rPr>
        <w:t xml:space="preserve">safeguards for privileged and confidential information </w:t>
      </w:r>
      <w:r w:rsidR="00FF1F77" w:rsidRPr="00F54106">
        <w:rPr>
          <w:rFonts w:cstheme="minorHAnsi"/>
          <w:lang w:val="en-GB"/>
        </w:rPr>
        <w:t>are mentioned to contribute to this attractiveness</w:t>
      </w:r>
      <w:r w:rsidR="00A90189" w:rsidRPr="00F54106">
        <w:rPr>
          <w:rFonts w:cstheme="minorHAnsi"/>
          <w:lang w:val="en-GB"/>
        </w:rPr>
        <w:t>,</w:t>
      </w:r>
      <w:r w:rsidR="00FF1F77" w:rsidRPr="00F54106">
        <w:rPr>
          <w:rStyle w:val="FootnoteReference"/>
          <w:rFonts w:cstheme="minorHAnsi"/>
          <w:lang w:val="en-GB"/>
        </w:rPr>
        <w:footnoteReference w:id="210"/>
      </w:r>
      <w:r w:rsidR="00A90189" w:rsidRPr="00F54106">
        <w:rPr>
          <w:rFonts w:cstheme="minorHAnsi"/>
          <w:lang w:val="en-GB"/>
        </w:rPr>
        <w:t xml:space="preserve"> while several rulings have additionally </w:t>
      </w:r>
      <w:r w:rsidR="00691366" w:rsidRPr="00F54106">
        <w:rPr>
          <w:rFonts w:cstheme="minorHAnsi"/>
          <w:lang w:val="en-GB"/>
        </w:rPr>
        <w:t>turned the tides</w:t>
      </w:r>
      <w:r w:rsidR="00A90189" w:rsidRPr="00F54106">
        <w:rPr>
          <w:rFonts w:cstheme="minorHAnsi"/>
          <w:lang w:val="en-GB"/>
        </w:rPr>
        <w:t xml:space="preserve"> in favour of claimants.</w:t>
      </w:r>
      <w:r w:rsidR="006B64B2" w:rsidRPr="00F54106">
        <w:rPr>
          <w:rFonts w:cstheme="minorHAnsi"/>
          <w:lang w:val="en-GB"/>
        </w:rPr>
        <w:t xml:space="preserve"> </w:t>
      </w:r>
    </w:p>
    <w:p w14:paraId="4EE9C9C1" w14:textId="3A840D02" w:rsidR="00AF3F1B" w:rsidRPr="00F54106" w:rsidRDefault="00963559" w:rsidP="00FC31D7">
      <w:pPr>
        <w:spacing w:line="276" w:lineRule="auto"/>
        <w:ind w:firstLine="720"/>
        <w:rPr>
          <w:rFonts w:cstheme="minorHAnsi"/>
          <w:shd w:val="clear" w:color="auto" w:fill="FFFFFF"/>
          <w:lang w:val="en-GB"/>
        </w:rPr>
      </w:pPr>
      <w:r w:rsidRPr="00F54106">
        <w:rPr>
          <w:rFonts w:cstheme="minorHAnsi"/>
          <w:lang w:val="en-GB"/>
        </w:rPr>
        <w:lastRenderedPageBreak/>
        <w:t>For c</w:t>
      </w:r>
      <w:r w:rsidR="00DC2571" w:rsidRPr="00F54106">
        <w:rPr>
          <w:rFonts w:cstheme="minorHAnsi"/>
          <w:lang w:val="en-GB"/>
        </w:rPr>
        <w:t>laims before</w:t>
      </w:r>
      <w:r w:rsidRPr="00F54106">
        <w:rPr>
          <w:rFonts w:cstheme="minorHAnsi"/>
          <w:lang w:val="en-GB"/>
        </w:rPr>
        <w:t xml:space="preserve"> both</w:t>
      </w:r>
      <w:r w:rsidR="00DC2571" w:rsidRPr="00F54106">
        <w:rPr>
          <w:rFonts w:cstheme="minorHAnsi"/>
          <w:lang w:val="en-GB"/>
        </w:rPr>
        <w:t xml:space="preserve"> the High Court</w:t>
      </w:r>
      <w:r w:rsidRPr="00F54106">
        <w:rPr>
          <w:rFonts w:cstheme="minorHAnsi"/>
          <w:lang w:val="en-GB"/>
        </w:rPr>
        <w:t xml:space="preserve"> and the CAT</w:t>
      </w:r>
      <w:r w:rsidR="00EC10BE" w:rsidRPr="00F54106">
        <w:rPr>
          <w:rFonts w:cstheme="minorHAnsi"/>
          <w:lang w:val="en-GB"/>
        </w:rPr>
        <w:t xml:space="preserve">, </w:t>
      </w:r>
      <w:r w:rsidR="00755536" w:rsidRPr="00F54106">
        <w:rPr>
          <w:rFonts w:cstheme="minorHAnsi"/>
          <w:lang w:val="en-GB"/>
        </w:rPr>
        <w:t xml:space="preserve">both parties </w:t>
      </w:r>
      <w:r w:rsidR="00BE0ABF" w:rsidRPr="00F54106">
        <w:rPr>
          <w:rFonts w:cstheme="minorHAnsi"/>
          <w:lang w:val="en-GB"/>
        </w:rPr>
        <w:t>are</w:t>
      </w:r>
      <w:r w:rsidR="00755536" w:rsidRPr="00F54106">
        <w:rPr>
          <w:rFonts w:cstheme="minorHAnsi"/>
          <w:lang w:val="en-GB"/>
        </w:rPr>
        <w:t xml:space="preserve"> mandated to disclose </w:t>
      </w:r>
      <w:r w:rsidR="00EC10BE" w:rsidRPr="00F54106">
        <w:rPr>
          <w:rFonts w:cstheme="minorHAnsi"/>
          <w:lang w:val="en-GB"/>
        </w:rPr>
        <w:t>a</w:t>
      </w:r>
      <w:r w:rsidR="003A2F5F" w:rsidRPr="00F54106">
        <w:rPr>
          <w:rFonts w:cstheme="minorHAnsi"/>
          <w:lang w:val="en-GB"/>
        </w:rPr>
        <w:t xml:space="preserve">ll documents </w:t>
      </w:r>
      <w:r w:rsidR="00EC10BE" w:rsidRPr="00F54106">
        <w:rPr>
          <w:rFonts w:cstheme="minorHAnsi"/>
          <w:lang w:val="en-GB"/>
        </w:rPr>
        <w:t>relevant to the case,</w:t>
      </w:r>
      <w:r w:rsidRPr="00F54106">
        <w:rPr>
          <w:rStyle w:val="FootnoteReference"/>
          <w:rFonts w:cstheme="minorHAnsi"/>
          <w:lang w:val="en-GB"/>
        </w:rPr>
        <w:footnoteReference w:id="211"/>
      </w:r>
      <w:r w:rsidRPr="00F54106">
        <w:rPr>
          <w:rFonts w:cstheme="minorHAnsi"/>
          <w:lang w:val="en-GB"/>
        </w:rPr>
        <w:t xml:space="preserve"> </w:t>
      </w:r>
      <w:r w:rsidR="00EC10BE" w:rsidRPr="00F54106">
        <w:rPr>
          <w:rFonts w:cstheme="minorHAnsi"/>
          <w:lang w:val="en-GB"/>
        </w:rPr>
        <w:t>regardless of whether or not it harms their own case</w:t>
      </w:r>
      <w:r w:rsidR="00186A32" w:rsidRPr="00F54106">
        <w:rPr>
          <w:rFonts w:cstheme="minorHAnsi"/>
          <w:lang w:val="en-GB"/>
        </w:rPr>
        <w:t xml:space="preserve"> or supports </w:t>
      </w:r>
      <w:r w:rsidR="00B70B7A" w:rsidRPr="00F54106">
        <w:rPr>
          <w:rFonts w:cstheme="minorHAnsi"/>
          <w:lang w:val="en-GB"/>
        </w:rPr>
        <w:t>the</w:t>
      </w:r>
      <w:r w:rsidR="00186A32" w:rsidRPr="00F54106">
        <w:rPr>
          <w:rFonts w:cstheme="minorHAnsi"/>
          <w:lang w:val="en-GB"/>
        </w:rPr>
        <w:t xml:space="preserve"> opponent’s c</w:t>
      </w:r>
      <w:r w:rsidR="00B70B7A" w:rsidRPr="00F54106">
        <w:rPr>
          <w:rFonts w:cstheme="minorHAnsi"/>
          <w:lang w:val="en-GB"/>
        </w:rPr>
        <w:t>ase</w:t>
      </w:r>
      <w:r w:rsidR="00A11E64" w:rsidRPr="00F54106">
        <w:rPr>
          <w:rFonts w:cstheme="minorHAnsi"/>
          <w:lang w:val="en-GB"/>
        </w:rPr>
        <w:t>.</w:t>
      </w:r>
      <w:r w:rsidRPr="00F54106">
        <w:rPr>
          <w:rStyle w:val="FootnoteReference"/>
          <w:rFonts w:cstheme="minorHAnsi"/>
          <w:lang w:val="en-GB"/>
        </w:rPr>
        <w:footnoteReference w:id="212"/>
      </w:r>
      <w:r w:rsidR="00570A5C" w:rsidRPr="00F54106">
        <w:rPr>
          <w:rFonts w:cstheme="minorHAnsi"/>
          <w:lang w:val="en-GB"/>
        </w:rPr>
        <w:t xml:space="preserve"> </w:t>
      </w:r>
      <w:r w:rsidR="001024B1" w:rsidRPr="00F54106">
        <w:rPr>
          <w:rFonts w:cstheme="minorHAnsi"/>
          <w:lang w:val="en-GB"/>
        </w:rPr>
        <w:t xml:space="preserve">This </w:t>
      </w:r>
      <w:r w:rsidR="00E16A4A" w:rsidRPr="00F54106">
        <w:rPr>
          <w:rFonts w:cstheme="minorHAnsi"/>
          <w:lang w:val="en-GB"/>
        </w:rPr>
        <w:t>obligation for</w:t>
      </w:r>
      <w:r w:rsidR="001024B1" w:rsidRPr="00F54106">
        <w:rPr>
          <w:rFonts w:cstheme="minorHAnsi"/>
          <w:lang w:val="en-GB"/>
        </w:rPr>
        <w:t xml:space="preserve"> disclosure</w:t>
      </w:r>
      <w:r w:rsidR="005C7BEC" w:rsidRPr="00F54106">
        <w:rPr>
          <w:rFonts w:cstheme="minorHAnsi"/>
          <w:lang w:val="en-GB"/>
        </w:rPr>
        <w:t xml:space="preserve"> is</w:t>
      </w:r>
      <w:r w:rsidR="001024B1" w:rsidRPr="00F54106">
        <w:rPr>
          <w:rFonts w:cstheme="minorHAnsi"/>
          <w:lang w:val="en-GB"/>
        </w:rPr>
        <w:t xml:space="preserve"> </w:t>
      </w:r>
      <w:r w:rsidR="00E16A4A" w:rsidRPr="00F54106">
        <w:rPr>
          <w:rFonts w:cstheme="minorHAnsi"/>
          <w:lang w:val="en-GB"/>
        </w:rPr>
        <w:t xml:space="preserve">already </w:t>
      </w:r>
      <w:r w:rsidR="001024B1" w:rsidRPr="00F54106">
        <w:rPr>
          <w:rFonts w:cstheme="minorHAnsi"/>
          <w:lang w:val="en-GB"/>
        </w:rPr>
        <w:t>considered</w:t>
      </w:r>
      <w:r w:rsidR="005C7BEC" w:rsidRPr="00F54106">
        <w:rPr>
          <w:rFonts w:cstheme="minorHAnsi"/>
          <w:lang w:val="en-GB"/>
        </w:rPr>
        <w:t xml:space="preserve"> clearly much broader than other</w:t>
      </w:r>
      <w:r w:rsidR="001024B1" w:rsidRPr="00F54106">
        <w:rPr>
          <w:rFonts w:cstheme="minorHAnsi"/>
          <w:lang w:val="en-GB"/>
        </w:rPr>
        <w:t xml:space="preserve"> jurisdictions in the EU</w:t>
      </w:r>
      <w:r w:rsidR="0004321B" w:rsidRPr="00F54106">
        <w:rPr>
          <w:rFonts w:cstheme="minorHAnsi"/>
          <w:lang w:val="en-GB"/>
        </w:rPr>
        <w:t>,</w:t>
      </w:r>
      <w:r w:rsidR="001024B1" w:rsidRPr="00F54106">
        <w:rPr>
          <w:rStyle w:val="FootnoteReference"/>
          <w:rFonts w:cstheme="minorHAnsi"/>
          <w:lang w:val="en-GB"/>
        </w:rPr>
        <w:footnoteReference w:id="213"/>
      </w:r>
      <w:r w:rsidR="0004321B" w:rsidRPr="00F54106">
        <w:rPr>
          <w:rFonts w:cstheme="minorHAnsi"/>
          <w:lang w:val="en-GB"/>
        </w:rPr>
        <w:t xml:space="preserve"> and is </w:t>
      </w:r>
      <w:r w:rsidR="00D94B66" w:rsidRPr="00F54106">
        <w:rPr>
          <w:rFonts w:cstheme="minorHAnsi"/>
          <w:lang w:val="en-GB"/>
        </w:rPr>
        <w:t>seen</w:t>
      </w:r>
      <w:r w:rsidR="0004321B" w:rsidRPr="00F54106">
        <w:rPr>
          <w:rFonts w:cstheme="minorHAnsi"/>
          <w:lang w:val="en-GB"/>
        </w:rPr>
        <w:t xml:space="preserve"> as an attractive feature of litigati</w:t>
      </w:r>
      <w:r w:rsidR="00D94B66" w:rsidRPr="00F54106">
        <w:rPr>
          <w:rFonts w:cstheme="minorHAnsi"/>
          <w:lang w:val="en-GB"/>
        </w:rPr>
        <w:t>ng</w:t>
      </w:r>
      <w:r w:rsidR="0004321B" w:rsidRPr="00F54106">
        <w:rPr>
          <w:rFonts w:cstheme="minorHAnsi"/>
          <w:lang w:val="en-GB"/>
        </w:rPr>
        <w:t xml:space="preserve"> in the UK.</w:t>
      </w:r>
      <w:r w:rsidR="0004321B" w:rsidRPr="00F54106">
        <w:rPr>
          <w:rStyle w:val="FootnoteReference"/>
          <w:rFonts w:cstheme="minorHAnsi"/>
          <w:lang w:val="en-GB"/>
        </w:rPr>
        <w:footnoteReference w:id="214"/>
      </w:r>
      <w:r w:rsidR="00755536" w:rsidRPr="00F54106">
        <w:rPr>
          <w:rFonts w:cstheme="minorHAnsi"/>
          <w:lang w:val="en-GB"/>
        </w:rPr>
        <w:t xml:space="preserve"> </w:t>
      </w:r>
      <w:r w:rsidR="00570A5C" w:rsidRPr="00F54106">
        <w:rPr>
          <w:rFonts w:cstheme="minorHAnsi"/>
          <w:lang w:val="en-GB"/>
        </w:rPr>
        <w:t>In order to efficiently establish or agree on the scope of the disclosure, the court requires parties to cooperate with each other.</w:t>
      </w:r>
      <w:r w:rsidR="00570A5C" w:rsidRPr="00F54106">
        <w:rPr>
          <w:rStyle w:val="FootnoteReference"/>
          <w:rFonts w:cstheme="minorHAnsi"/>
          <w:lang w:val="en-GB"/>
        </w:rPr>
        <w:footnoteReference w:id="215"/>
      </w:r>
      <w:r w:rsidR="00570A5C" w:rsidRPr="00F54106">
        <w:rPr>
          <w:rFonts w:cstheme="minorHAnsi"/>
          <w:lang w:val="en-GB"/>
        </w:rPr>
        <w:t xml:space="preserve"> </w:t>
      </w:r>
      <w:r w:rsidR="004730C5" w:rsidRPr="00F54106">
        <w:rPr>
          <w:rFonts w:cstheme="minorHAnsi"/>
          <w:lang w:val="en-GB"/>
        </w:rPr>
        <w:t>Importantly</w:t>
      </w:r>
      <w:r w:rsidR="00507BCC" w:rsidRPr="00F54106">
        <w:rPr>
          <w:rFonts w:cstheme="minorHAnsi"/>
          <w:lang w:val="en-GB"/>
        </w:rPr>
        <w:t xml:space="preserve">, </w:t>
      </w:r>
      <w:r w:rsidR="000210EB" w:rsidRPr="00F54106">
        <w:rPr>
          <w:rFonts w:cstheme="minorHAnsi"/>
          <w:lang w:val="en-GB"/>
        </w:rPr>
        <w:t>rule</w:t>
      </w:r>
      <w:r w:rsidR="00514B09" w:rsidRPr="00F54106">
        <w:rPr>
          <w:rFonts w:cstheme="minorHAnsi"/>
          <w:lang w:val="en-GB"/>
        </w:rPr>
        <w:t xml:space="preserve"> 31.5(7) of the Civil Procedure Rules enables the High Court </w:t>
      </w:r>
      <w:r w:rsidR="00246D42" w:rsidRPr="00F54106">
        <w:rPr>
          <w:rFonts w:cstheme="minorHAnsi"/>
          <w:lang w:val="en-GB"/>
        </w:rPr>
        <w:t xml:space="preserve">to limit disclosure to the amount it deems necessary, which may fall between no disclosure or </w:t>
      </w:r>
      <w:r w:rsidR="00932AE9" w:rsidRPr="00F54106">
        <w:rPr>
          <w:rFonts w:cstheme="minorHAnsi"/>
          <w:lang w:val="en-GB"/>
        </w:rPr>
        <w:t xml:space="preserve">a so-called </w:t>
      </w:r>
      <w:r w:rsidR="00246D42" w:rsidRPr="00F54106">
        <w:rPr>
          <w:rFonts w:cstheme="minorHAnsi"/>
          <w:lang w:val="en-GB"/>
        </w:rPr>
        <w:t>“key to the warehouse” disclosure</w:t>
      </w:r>
      <w:r w:rsidR="00EB0D6B" w:rsidRPr="00F54106">
        <w:rPr>
          <w:rFonts w:cstheme="minorHAnsi"/>
          <w:lang w:val="en-GB"/>
        </w:rPr>
        <w:t>.</w:t>
      </w:r>
      <w:r w:rsidR="00EB0D6B" w:rsidRPr="00F54106">
        <w:rPr>
          <w:rStyle w:val="FootnoteReference"/>
          <w:rFonts w:cstheme="minorHAnsi"/>
          <w:lang w:val="en-GB"/>
        </w:rPr>
        <w:footnoteReference w:id="216"/>
      </w:r>
      <w:r w:rsidR="00910342" w:rsidRPr="00F54106">
        <w:rPr>
          <w:rFonts w:cstheme="minorHAnsi"/>
          <w:lang w:val="en-GB"/>
        </w:rPr>
        <w:t xml:space="preserve"> </w:t>
      </w:r>
      <w:r w:rsidR="004730C5" w:rsidRPr="00F54106">
        <w:rPr>
          <w:rFonts w:cstheme="minorHAnsi"/>
          <w:lang w:val="en-GB"/>
        </w:rPr>
        <w:t>Likewise, a</w:t>
      </w:r>
      <w:r w:rsidR="00566CC8" w:rsidRPr="00F54106">
        <w:rPr>
          <w:rFonts w:cstheme="minorHAnsi"/>
          <w:lang w:val="en-GB"/>
        </w:rPr>
        <w:t xml:space="preserve"> similar provision is contained in </w:t>
      </w:r>
      <w:r w:rsidR="002D4117" w:rsidRPr="00F54106">
        <w:rPr>
          <w:rFonts w:cstheme="minorHAnsi"/>
          <w:lang w:val="en-GB"/>
        </w:rPr>
        <w:t xml:space="preserve">the Competition Appeal Tribunal Rules 2015 where the </w:t>
      </w:r>
      <w:r w:rsidR="008569F7" w:rsidRPr="00F54106">
        <w:rPr>
          <w:rFonts w:cstheme="minorHAnsi"/>
          <w:lang w:val="en-GB"/>
        </w:rPr>
        <w:t>“</w:t>
      </w:r>
      <w:r w:rsidR="002D4117" w:rsidRPr="00F54106">
        <w:rPr>
          <w:rFonts w:cstheme="minorHAnsi"/>
          <w:lang w:val="en-GB"/>
        </w:rPr>
        <w:t>tribunal may at any point give directions as to how disclosure is to be given</w:t>
      </w:r>
      <w:r w:rsidR="008569F7" w:rsidRPr="00F54106">
        <w:rPr>
          <w:rFonts w:cstheme="minorHAnsi"/>
          <w:lang w:val="en-GB"/>
        </w:rPr>
        <w:t>”</w:t>
      </w:r>
      <w:r w:rsidR="008569F7" w:rsidRPr="00F54106">
        <w:rPr>
          <w:rStyle w:val="FootnoteReference"/>
          <w:rFonts w:cstheme="minorHAnsi"/>
          <w:lang w:val="en-GB"/>
        </w:rPr>
        <w:footnoteReference w:id="217"/>
      </w:r>
      <w:r w:rsidR="00570A5C" w:rsidRPr="00F54106">
        <w:rPr>
          <w:rFonts w:cstheme="minorHAnsi"/>
          <w:lang w:val="en-GB"/>
        </w:rPr>
        <w:t xml:space="preserve"> </w:t>
      </w:r>
      <w:r w:rsidR="002D4117" w:rsidRPr="00F54106">
        <w:rPr>
          <w:rFonts w:cstheme="minorHAnsi"/>
          <w:lang w:val="en-GB"/>
        </w:rPr>
        <w:t xml:space="preserve">and is able to decide </w:t>
      </w:r>
      <w:r w:rsidR="008569F7" w:rsidRPr="00F54106">
        <w:rPr>
          <w:rFonts w:cstheme="minorHAnsi"/>
          <w:lang w:val="en-GB"/>
        </w:rPr>
        <w:t>what disclosure orders to make with “the need to limit disclosure to that which is necessary to deal with the case justly”</w:t>
      </w:r>
      <w:r w:rsidR="00504182" w:rsidRPr="00F54106">
        <w:rPr>
          <w:rFonts w:cstheme="minorHAnsi"/>
          <w:lang w:val="en-GB"/>
        </w:rPr>
        <w:t>.</w:t>
      </w:r>
      <w:r w:rsidR="008569F7" w:rsidRPr="00F54106">
        <w:rPr>
          <w:rStyle w:val="FootnoteReference"/>
          <w:rFonts w:cstheme="minorHAnsi"/>
          <w:lang w:val="en-GB"/>
        </w:rPr>
        <w:footnoteReference w:id="218"/>
      </w:r>
      <w:r w:rsidR="00E374F0" w:rsidRPr="00F54106">
        <w:rPr>
          <w:rFonts w:cstheme="minorHAnsi"/>
          <w:lang w:val="en-GB"/>
        </w:rPr>
        <w:t xml:space="preserve"> </w:t>
      </w:r>
      <w:r w:rsidR="00EC74C7" w:rsidRPr="00F54106">
        <w:rPr>
          <w:rFonts w:cstheme="minorHAnsi"/>
          <w:shd w:val="clear" w:color="auto" w:fill="FFFFFF"/>
          <w:lang w:val="en-GB"/>
        </w:rPr>
        <w:t xml:space="preserve">Moreover, </w:t>
      </w:r>
      <w:r w:rsidR="00EE1FA3" w:rsidRPr="00F54106">
        <w:rPr>
          <w:rFonts w:cstheme="minorHAnsi"/>
          <w:lang w:val="en-GB"/>
        </w:rPr>
        <w:t>the CAT and the High court may also summon a witness or disclose documents in the witness’ possession,</w:t>
      </w:r>
      <w:r w:rsidR="00EE1FA3" w:rsidRPr="00F54106">
        <w:rPr>
          <w:rStyle w:val="FootnoteReference"/>
          <w:rFonts w:cstheme="minorHAnsi"/>
          <w:lang w:val="en-GB"/>
        </w:rPr>
        <w:footnoteReference w:id="219"/>
      </w:r>
      <w:r w:rsidR="00EE1FA3" w:rsidRPr="00F54106">
        <w:rPr>
          <w:rFonts w:cstheme="minorHAnsi"/>
          <w:lang w:val="en-GB"/>
        </w:rPr>
        <w:t xml:space="preserve"> while</w:t>
      </w:r>
      <w:r w:rsidR="00EE1FA3" w:rsidRPr="00F54106">
        <w:rPr>
          <w:rFonts w:cstheme="minorHAnsi"/>
          <w:shd w:val="clear" w:color="auto" w:fill="FFFFFF"/>
          <w:lang w:val="en-GB"/>
        </w:rPr>
        <w:t xml:space="preserve"> </w:t>
      </w:r>
      <w:r w:rsidR="00EC74C7" w:rsidRPr="00F54106">
        <w:rPr>
          <w:rFonts w:cstheme="minorHAnsi"/>
          <w:shd w:val="clear" w:color="auto" w:fill="FFFFFF"/>
          <w:lang w:val="en-GB"/>
        </w:rPr>
        <w:t>third-parties may also be ordered to disclose information in</w:t>
      </w:r>
      <w:r w:rsidR="00441222" w:rsidRPr="00F54106">
        <w:rPr>
          <w:rFonts w:cstheme="minorHAnsi"/>
          <w:shd w:val="clear" w:color="auto" w:fill="FFFFFF"/>
          <w:lang w:val="en-GB"/>
        </w:rPr>
        <w:t xml:space="preserve"> proceedings before</w:t>
      </w:r>
      <w:r w:rsidR="00EC74C7" w:rsidRPr="00F54106">
        <w:rPr>
          <w:rFonts w:cstheme="minorHAnsi"/>
          <w:shd w:val="clear" w:color="auto" w:fill="FFFFFF"/>
          <w:lang w:val="en-GB"/>
        </w:rPr>
        <w:t xml:space="preserve"> both </w:t>
      </w:r>
      <w:r w:rsidR="00441222" w:rsidRPr="00F54106">
        <w:rPr>
          <w:rFonts w:cstheme="minorHAnsi"/>
          <w:shd w:val="clear" w:color="auto" w:fill="FFFFFF"/>
          <w:lang w:val="en-GB"/>
        </w:rPr>
        <w:t>the CAT and the High Court</w:t>
      </w:r>
      <w:r w:rsidR="006A4015" w:rsidRPr="00F54106">
        <w:rPr>
          <w:rFonts w:cstheme="minorHAnsi"/>
          <w:shd w:val="clear" w:color="auto" w:fill="FFFFFF"/>
          <w:lang w:val="en-GB"/>
        </w:rPr>
        <w:t>.</w:t>
      </w:r>
      <w:r w:rsidR="00EC74C7" w:rsidRPr="00F54106">
        <w:rPr>
          <w:rStyle w:val="FootnoteReference"/>
          <w:rFonts w:cstheme="minorHAnsi"/>
          <w:shd w:val="clear" w:color="auto" w:fill="FFFFFF"/>
          <w:lang w:val="en-GB"/>
        </w:rPr>
        <w:footnoteReference w:id="220"/>
      </w:r>
      <w:r w:rsidR="00EC74C7" w:rsidRPr="00F54106">
        <w:rPr>
          <w:rFonts w:cstheme="minorHAnsi"/>
          <w:shd w:val="clear" w:color="auto" w:fill="FFFFFF"/>
          <w:lang w:val="en-GB"/>
        </w:rPr>
        <w:t xml:space="preserve"> </w:t>
      </w:r>
      <w:r w:rsidR="006A4015" w:rsidRPr="00F54106">
        <w:rPr>
          <w:rFonts w:cstheme="minorHAnsi"/>
          <w:shd w:val="clear" w:color="auto" w:fill="FFFFFF"/>
          <w:lang w:val="en-GB"/>
        </w:rPr>
        <w:t xml:space="preserve">However, </w:t>
      </w:r>
      <w:r w:rsidR="00EC74C7" w:rsidRPr="00F54106">
        <w:rPr>
          <w:rFonts w:cstheme="minorHAnsi"/>
          <w:shd w:val="clear" w:color="auto" w:fill="FFFFFF"/>
          <w:lang w:val="en-GB"/>
        </w:rPr>
        <w:t xml:space="preserve">this might be more difficult to attain as a greater importance may be attached to the </w:t>
      </w:r>
      <w:r w:rsidR="00EE1FA3" w:rsidRPr="00F54106">
        <w:rPr>
          <w:rFonts w:cstheme="minorHAnsi"/>
          <w:shd w:val="clear" w:color="auto" w:fill="FFFFFF"/>
          <w:lang w:val="en-GB"/>
        </w:rPr>
        <w:t xml:space="preserve">third </w:t>
      </w:r>
      <w:r w:rsidR="00EC74C7" w:rsidRPr="00F54106">
        <w:rPr>
          <w:rFonts w:cstheme="minorHAnsi"/>
          <w:shd w:val="clear" w:color="auto" w:fill="FFFFFF"/>
          <w:lang w:val="en-GB"/>
        </w:rPr>
        <w:t>party’s interests</w:t>
      </w:r>
      <w:r w:rsidR="00EE1FA3" w:rsidRPr="00F54106">
        <w:rPr>
          <w:rFonts w:cstheme="minorHAnsi"/>
          <w:shd w:val="clear" w:color="auto" w:fill="FFFFFF"/>
          <w:lang w:val="en-GB"/>
        </w:rPr>
        <w:t>.</w:t>
      </w:r>
      <w:r w:rsidR="00EC74C7" w:rsidRPr="00F54106">
        <w:rPr>
          <w:rStyle w:val="FootnoteReference"/>
          <w:rFonts w:cstheme="minorHAnsi"/>
          <w:shd w:val="clear" w:color="auto" w:fill="FFFFFF"/>
          <w:lang w:val="en-GB"/>
        </w:rPr>
        <w:footnoteReference w:id="221"/>
      </w:r>
      <w:r w:rsidR="00EE1FA3" w:rsidRPr="00F54106">
        <w:rPr>
          <w:rFonts w:cstheme="minorHAnsi"/>
          <w:lang w:val="en-GB"/>
        </w:rPr>
        <w:t xml:space="preserve"> </w:t>
      </w:r>
      <w:r w:rsidR="00441222" w:rsidRPr="00F54106">
        <w:rPr>
          <w:rFonts w:cstheme="minorHAnsi"/>
          <w:shd w:val="clear" w:color="auto" w:fill="FFFFFF"/>
          <w:lang w:val="en-GB"/>
        </w:rPr>
        <w:t>Additionally, both the CAT and the High Court may also grant disclosure before the</w:t>
      </w:r>
      <w:r w:rsidR="008A6704" w:rsidRPr="00F54106">
        <w:rPr>
          <w:rFonts w:cstheme="minorHAnsi"/>
          <w:shd w:val="clear" w:color="auto" w:fill="FFFFFF"/>
          <w:lang w:val="en-GB"/>
        </w:rPr>
        <w:t xml:space="preserve"> start of the</w:t>
      </w:r>
      <w:r w:rsidR="00441222" w:rsidRPr="00F54106">
        <w:rPr>
          <w:rFonts w:cstheme="minorHAnsi"/>
          <w:shd w:val="clear" w:color="auto" w:fill="FFFFFF"/>
          <w:lang w:val="en-GB"/>
        </w:rPr>
        <w:t xml:space="preserve"> proceedings</w:t>
      </w:r>
      <w:r w:rsidR="008A6704" w:rsidRPr="00F54106">
        <w:rPr>
          <w:rFonts w:cstheme="minorHAnsi"/>
          <w:shd w:val="clear" w:color="auto" w:fill="FFFFFF"/>
          <w:lang w:val="en-GB"/>
        </w:rPr>
        <w:t>,</w:t>
      </w:r>
      <w:r w:rsidR="00960CB0" w:rsidRPr="00F54106">
        <w:rPr>
          <w:rStyle w:val="FootnoteReference"/>
          <w:rFonts w:cstheme="minorHAnsi"/>
          <w:shd w:val="clear" w:color="auto" w:fill="FFFFFF"/>
          <w:lang w:val="en-GB"/>
        </w:rPr>
        <w:footnoteReference w:id="222"/>
      </w:r>
      <w:r w:rsidR="008A6704" w:rsidRPr="00F54106">
        <w:rPr>
          <w:rFonts w:cstheme="minorHAnsi"/>
          <w:shd w:val="clear" w:color="auto" w:fill="FFFFFF"/>
          <w:lang w:val="en-GB"/>
        </w:rPr>
        <w:t xml:space="preserve"> while the CAT may also require clarification</w:t>
      </w:r>
      <w:r w:rsidR="00960CB0" w:rsidRPr="00F54106">
        <w:rPr>
          <w:rFonts w:cstheme="minorHAnsi"/>
          <w:shd w:val="clear" w:color="auto" w:fill="FFFFFF"/>
          <w:lang w:val="en-GB"/>
        </w:rPr>
        <w:t xml:space="preserve"> of</w:t>
      </w:r>
      <w:r w:rsidR="008A6704" w:rsidRPr="00F54106">
        <w:rPr>
          <w:rFonts w:cstheme="minorHAnsi"/>
          <w:shd w:val="clear" w:color="auto" w:fill="FFFFFF"/>
          <w:lang w:val="en-GB"/>
        </w:rPr>
        <w:t xml:space="preserve"> and additional information on the provided</w:t>
      </w:r>
      <w:r w:rsidR="00960CB0" w:rsidRPr="00F54106">
        <w:rPr>
          <w:rFonts w:cstheme="minorHAnsi"/>
          <w:shd w:val="clear" w:color="auto" w:fill="FFFFFF"/>
          <w:lang w:val="en-GB"/>
        </w:rPr>
        <w:t xml:space="preserve"> information.</w:t>
      </w:r>
      <w:r w:rsidR="00960CB0" w:rsidRPr="00F54106">
        <w:rPr>
          <w:rStyle w:val="FootnoteReference"/>
          <w:rFonts w:cstheme="minorHAnsi"/>
          <w:shd w:val="clear" w:color="auto" w:fill="FFFFFF"/>
          <w:lang w:val="en-GB"/>
        </w:rPr>
        <w:footnoteReference w:id="223"/>
      </w:r>
      <w:r w:rsidR="00D019FB" w:rsidRPr="00F54106">
        <w:rPr>
          <w:rFonts w:cstheme="minorHAnsi"/>
          <w:shd w:val="clear" w:color="auto" w:fill="FFFFFF"/>
          <w:lang w:val="en-GB"/>
        </w:rPr>
        <w:t xml:space="preserve"> </w:t>
      </w:r>
      <w:r w:rsidR="00577B82" w:rsidRPr="00F54106">
        <w:rPr>
          <w:rFonts w:cstheme="minorHAnsi"/>
          <w:shd w:val="clear" w:color="auto" w:fill="FFFFFF"/>
          <w:lang w:val="en-GB"/>
        </w:rPr>
        <w:t>On the topic of</w:t>
      </w:r>
      <w:r w:rsidR="00EE1FA3" w:rsidRPr="00F54106">
        <w:rPr>
          <w:rFonts w:cstheme="minorHAnsi"/>
          <w:shd w:val="clear" w:color="auto" w:fill="FFFFFF"/>
          <w:lang w:val="en-GB"/>
        </w:rPr>
        <w:t xml:space="preserve"> confidentiality</w:t>
      </w:r>
      <w:r w:rsidR="00D019FB" w:rsidRPr="00F54106">
        <w:rPr>
          <w:rFonts w:cstheme="minorHAnsi"/>
          <w:shd w:val="clear" w:color="auto" w:fill="FFFFFF"/>
          <w:lang w:val="en-GB"/>
        </w:rPr>
        <w:t xml:space="preserve">, </w:t>
      </w:r>
      <w:r w:rsidR="00EE1FA3" w:rsidRPr="00F54106">
        <w:rPr>
          <w:rFonts w:cstheme="minorHAnsi"/>
          <w:shd w:val="clear" w:color="auto" w:fill="FFFFFF"/>
          <w:lang w:val="en-GB"/>
        </w:rPr>
        <w:t>English courts are used to working with confidential information due to the substantial experience they have accumulated over time</w:t>
      </w:r>
      <w:r w:rsidR="00577B82" w:rsidRPr="00F54106">
        <w:rPr>
          <w:rFonts w:cstheme="minorHAnsi"/>
          <w:shd w:val="clear" w:color="auto" w:fill="FFFFFF"/>
          <w:lang w:val="en-GB"/>
        </w:rPr>
        <w:t>,</w:t>
      </w:r>
      <w:r w:rsidR="00EE1FA3" w:rsidRPr="00F54106">
        <w:rPr>
          <w:rStyle w:val="FootnoteReference"/>
          <w:rFonts w:cstheme="minorHAnsi"/>
          <w:shd w:val="clear" w:color="auto" w:fill="FFFFFF"/>
          <w:lang w:val="en-GB"/>
        </w:rPr>
        <w:footnoteReference w:id="224"/>
      </w:r>
      <w:r w:rsidR="00EE1FA3" w:rsidRPr="00F54106">
        <w:rPr>
          <w:rFonts w:cstheme="minorHAnsi"/>
          <w:shd w:val="clear" w:color="auto" w:fill="FFFFFF"/>
          <w:lang w:val="en-GB"/>
        </w:rPr>
        <w:t xml:space="preserve"> </w:t>
      </w:r>
      <w:r w:rsidR="00577B82" w:rsidRPr="00F54106">
        <w:rPr>
          <w:rFonts w:cstheme="minorHAnsi"/>
          <w:shd w:val="clear" w:color="auto" w:fill="FFFFFF"/>
          <w:lang w:val="en-GB"/>
        </w:rPr>
        <w:t>while</w:t>
      </w:r>
      <w:r w:rsidR="00EE1FA3" w:rsidRPr="00F54106">
        <w:rPr>
          <w:rFonts w:cstheme="minorHAnsi"/>
          <w:shd w:val="clear" w:color="auto" w:fill="FFFFFF"/>
          <w:lang w:val="en-GB"/>
        </w:rPr>
        <w:t xml:space="preserve"> </w:t>
      </w:r>
      <w:r w:rsidR="00EE1FA3" w:rsidRPr="00F54106">
        <w:rPr>
          <w:rFonts w:cstheme="minorHAnsi"/>
          <w:shd w:val="clear" w:color="auto" w:fill="FFFFFF"/>
          <w:lang w:val="en-GB"/>
        </w:rPr>
        <w:lastRenderedPageBreak/>
        <w:t>b</w:t>
      </w:r>
      <w:r w:rsidR="00D019FB" w:rsidRPr="00F54106">
        <w:rPr>
          <w:rFonts w:cstheme="minorHAnsi"/>
          <w:shd w:val="clear" w:color="auto" w:fill="FFFFFF"/>
          <w:lang w:val="en-GB"/>
        </w:rPr>
        <w:t xml:space="preserve">oth the High Court or the CAT </w:t>
      </w:r>
      <w:r w:rsidR="000C197F" w:rsidRPr="00F54106">
        <w:rPr>
          <w:rFonts w:cstheme="minorHAnsi"/>
          <w:shd w:val="clear" w:color="auto" w:fill="FFFFFF"/>
          <w:lang w:val="en-GB"/>
        </w:rPr>
        <w:t>can engage in the redaction of confidential information</w:t>
      </w:r>
      <w:r w:rsidR="0024679F" w:rsidRPr="00F54106">
        <w:rPr>
          <w:rFonts w:cstheme="minorHAnsi"/>
          <w:shd w:val="clear" w:color="auto" w:fill="FFFFFF"/>
          <w:lang w:val="en-GB"/>
        </w:rPr>
        <w:t xml:space="preserve"> </w:t>
      </w:r>
      <w:r w:rsidR="000C197F" w:rsidRPr="00F54106">
        <w:rPr>
          <w:rFonts w:cstheme="minorHAnsi"/>
          <w:shd w:val="clear" w:color="auto" w:fill="FFFFFF"/>
          <w:lang w:val="en-GB"/>
        </w:rPr>
        <w:t xml:space="preserve">and can </w:t>
      </w:r>
      <w:r w:rsidR="0024679F" w:rsidRPr="00F54106">
        <w:rPr>
          <w:rFonts w:cstheme="minorHAnsi"/>
          <w:shd w:val="clear" w:color="auto" w:fill="FFFFFF"/>
          <w:lang w:val="en-GB"/>
        </w:rPr>
        <w:t xml:space="preserve">subject </w:t>
      </w:r>
      <w:r w:rsidR="00F14014" w:rsidRPr="00F54106">
        <w:rPr>
          <w:rFonts w:cstheme="minorHAnsi"/>
          <w:shd w:val="clear" w:color="auto" w:fill="FFFFFF"/>
          <w:lang w:val="en-GB"/>
        </w:rPr>
        <w:t xml:space="preserve">the information </w:t>
      </w:r>
      <w:r w:rsidR="0024679F" w:rsidRPr="00F54106">
        <w:rPr>
          <w:rFonts w:cstheme="minorHAnsi"/>
          <w:shd w:val="clear" w:color="auto" w:fill="FFFFFF"/>
          <w:lang w:val="en-GB"/>
        </w:rPr>
        <w:t>to a confidentiality ring</w:t>
      </w:r>
      <w:r w:rsidR="00EE1FA3" w:rsidRPr="00F54106">
        <w:rPr>
          <w:rFonts w:cstheme="minorHAnsi"/>
          <w:shd w:val="clear" w:color="auto" w:fill="FFFFFF"/>
          <w:lang w:val="en-GB"/>
        </w:rPr>
        <w:t>.</w:t>
      </w:r>
      <w:r w:rsidR="000C197F" w:rsidRPr="00F54106">
        <w:rPr>
          <w:rStyle w:val="FootnoteReference"/>
          <w:rFonts w:cstheme="minorHAnsi"/>
          <w:shd w:val="clear" w:color="auto" w:fill="FFFFFF"/>
          <w:lang w:val="en-GB"/>
        </w:rPr>
        <w:footnoteReference w:id="225"/>
      </w:r>
      <w:r w:rsidR="0024679F" w:rsidRPr="00F54106">
        <w:rPr>
          <w:rFonts w:cstheme="minorHAnsi"/>
          <w:shd w:val="clear" w:color="auto" w:fill="FFFFFF"/>
          <w:lang w:val="en-GB"/>
        </w:rPr>
        <w:t xml:space="preserve"> </w:t>
      </w:r>
    </w:p>
    <w:p w14:paraId="65188437" w14:textId="774F9016" w:rsidR="00170D56" w:rsidRPr="00F54106" w:rsidRDefault="002D4117" w:rsidP="00FC31D7">
      <w:pPr>
        <w:spacing w:line="276" w:lineRule="auto"/>
        <w:ind w:firstLine="720"/>
        <w:rPr>
          <w:rFonts w:cstheme="minorHAnsi"/>
          <w:shd w:val="clear" w:color="auto" w:fill="FFFFFF"/>
          <w:lang w:val="en-GB"/>
        </w:rPr>
      </w:pPr>
      <w:r w:rsidRPr="00F54106">
        <w:rPr>
          <w:rFonts w:cstheme="minorHAnsi"/>
          <w:lang w:val="en-GB"/>
        </w:rPr>
        <w:t>D</w:t>
      </w:r>
      <w:r w:rsidR="00910342" w:rsidRPr="00F54106">
        <w:rPr>
          <w:rFonts w:cstheme="minorHAnsi"/>
          <w:lang w:val="en-GB"/>
        </w:rPr>
        <w:t xml:space="preserve">isclosure before English courts </w:t>
      </w:r>
      <w:r w:rsidR="002D495A" w:rsidRPr="00F54106">
        <w:rPr>
          <w:rFonts w:cstheme="minorHAnsi"/>
          <w:lang w:val="en-GB"/>
        </w:rPr>
        <w:t>is</w:t>
      </w:r>
      <w:r w:rsidRPr="00F54106">
        <w:rPr>
          <w:rFonts w:cstheme="minorHAnsi"/>
          <w:lang w:val="en-GB"/>
        </w:rPr>
        <w:t xml:space="preserve"> commonly</w:t>
      </w:r>
      <w:r w:rsidR="002D495A" w:rsidRPr="00F54106">
        <w:rPr>
          <w:rFonts w:cstheme="minorHAnsi"/>
          <w:lang w:val="en-GB"/>
        </w:rPr>
        <w:t xml:space="preserve"> granted after fact-pleading and on account of those </w:t>
      </w:r>
      <w:r w:rsidR="004044B7" w:rsidRPr="00F54106">
        <w:rPr>
          <w:rFonts w:cstheme="minorHAnsi"/>
          <w:lang w:val="en-GB"/>
        </w:rPr>
        <w:t>fact-</w:t>
      </w:r>
      <w:r w:rsidR="002D495A" w:rsidRPr="00F54106">
        <w:rPr>
          <w:rFonts w:cstheme="minorHAnsi"/>
          <w:lang w:val="en-GB"/>
        </w:rPr>
        <w:t>pleadings</w:t>
      </w:r>
      <w:r w:rsidR="004044B7" w:rsidRPr="00F54106">
        <w:rPr>
          <w:rFonts w:cstheme="minorHAnsi"/>
          <w:lang w:val="en-GB"/>
        </w:rPr>
        <w:t>.</w:t>
      </w:r>
      <w:r w:rsidR="004044B7" w:rsidRPr="00F54106">
        <w:rPr>
          <w:rStyle w:val="FootnoteReference"/>
          <w:rFonts w:cstheme="minorHAnsi"/>
          <w:lang w:val="en-GB"/>
        </w:rPr>
        <w:footnoteReference w:id="226"/>
      </w:r>
      <w:r w:rsidR="004044B7" w:rsidRPr="00F54106">
        <w:rPr>
          <w:rFonts w:cstheme="minorHAnsi"/>
          <w:lang w:val="en-GB"/>
        </w:rPr>
        <w:t xml:space="preserve"> </w:t>
      </w:r>
      <w:r w:rsidR="00F904F7" w:rsidRPr="00F54106">
        <w:rPr>
          <w:rFonts w:cstheme="minorHAnsi"/>
          <w:lang w:val="en-GB"/>
        </w:rPr>
        <w:t xml:space="preserve">All legal regimes </w:t>
      </w:r>
      <w:r w:rsidR="0033604E" w:rsidRPr="00F54106">
        <w:rPr>
          <w:rFonts w:cstheme="minorHAnsi"/>
          <w:lang w:val="en-GB"/>
        </w:rPr>
        <w:t xml:space="preserve">experience </w:t>
      </w:r>
      <w:r w:rsidR="00AD672C" w:rsidRPr="00F54106">
        <w:rPr>
          <w:rFonts w:cstheme="minorHAnsi"/>
          <w:lang w:val="en-GB"/>
        </w:rPr>
        <w:t xml:space="preserve">difficulties </w:t>
      </w:r>
      <w:r w:rsidR="0033604E" w:rsidRPr="00F54106">
        <w:rPr>
          <w:rFonts w:cstheme="minorHAnsi"/>
          <w:lang w:val="en-GB"/>
        </w:rPr>
        <w:t>regarding</w:t>
      </w:r>
      <w:r w:rsidR="00AD672C" w:rsidRPr="00F54106">
        <w:rPr>
          <w:rFonts w:cstheme="minorHAnsi"/>
          <w:lang w:val="en-GB"/>
        </w:rPr>
        <w:t xml:space="preserve"> the exact specificity </w:t>
      </w:r>
      <w:r w:rsidR="0033604E" w:rsidRPr="00F54106">
        <w:rPr>
          <w:rFonts w:cstheme="minorHAnsi"/>
          <w:lang w:val="en-GB"/>
        </w:rPr>
        <w:t xml:space="preserve">that </w:t>
      </w:r>
      <w:r w:rsidR="00AD672C" w:rsidRPr="00F54106">
        <w:rPr>
          <w:rFonts w:cstheme="minorHAnsi"/>
          <w:lang w:val="en-GB"/>
        </w:rPr>
        <w:t>these fact-pleadings</w:t>
      </w:r>
      <w:r w:rsidR="0033604E" w:rsidRPr="00F54106">
        <w:rPr>
          <w:rFonts w:cstheme="minorHAnsi"/>
          <w:lang w:val="en-GB"/>
        </w:rPr>
        <w:t xml:space="preserve"> have to be</w:t>
      </w:r>
      <w:r w:rsidR="004044B7" w:rsidRPr="00F54106">
        <w:rPr>
          <w:rFonts w:cstheme="minorHAnsi"/>
          <w:lang w:val="en-GB"/>
        </w:rPr>
        <w:t xml:space="preserve">, but </w:t>
      </w:r>
      <w:r w:rsidR="0033604E" w:rsidRPr="00F54106">
        <w:rPr>
          <w:rFonts w:cstheme="minorHAnsi"/>
          <w:lang w:val="en-GB"/>
        </w:rPr>
        <w:t>this is</w:t>
      </w:r>
      <w:r w:rsidR="004044B7" w:rsidRPr="00F54106">
        <w:rPr>
          <w:rFonts w:cstheme="minorHAnsi"/>
          <w:lang w:val="en-GB"/>
        </w:rPr>
        <w:t xml:space="preserve"> said to be in favour of </w:t>
      </w:r>
      <w:r w:rsidR="00F904F7" w:rsidRPr="00F54106">
        <w:rPr>
          <w:rFonts w:cstheme="minorHAnsi"/>
          <w:lang w:val="en-GB"/>
        </w:rPr>
        <w:t xml:space="preserve">cartel victims trialling </w:t>
      </w:r>
      <w:r w:rsidR="004044B7" w:rsidRPr="00F54106">
        <w:rPr>
          <w:rFonts w:cstheme="minorHAnsi"/>
          <w:lang w:val="en-GB"/>
        </w:rPr>
        <w:t>in England</w:t>
      </w:r>
      <w:r w:rsidR="00AC6141" w:rsidRPr="00F54106">
        <w:rPr>
          <w:rFonts w:cstheme="minorHAnsi"/>
          <w:lang w:val="en-GB"/>
        </w:rPr>
        <w:t>.</w:t>
      </w:r>
      <w:r w:rsidR="00F904F7" w:rsidRPr="00F54106">
        <w:rPr>
          <w:rStyle w:val="FootnoteReference"/>
          <w:rFonts w:cstheme="minorHAnsi"/>
          <w:lang w:val="en-GB"/>
        </w:rPr>
        <w:footnoteReference w:id="227"/>
      </w:r>
      <w:r w:rsidR="004044B7" w:rsidRPr="00F54106">
        <w:rPr>
          <w:rFonts w:cstheme="minorHAnsi"/>
          <w:lang w:val="en-GB"/>
        </w:rPr>
        <w:t xml:space="preserve"> </w:t>
      </w:r>
      <w:r w:rsidR="00AC6141" w:rsidRPr="00F54106">
        <w:rPr>
          <w:rFonts w:cstheme="minorHAnsi"/>
          <w:lang w:val="en-GB"/>
        </w:rPr>
        <w:t>This is</w:t>
      </w:r>
      <w:r w:rsidR="008569F7" w:rsidRPr="00F54106">
        <w:rPr>
          <w:rFonts w:cstheme="minorHAnsi"/>
          <w:lang w:val="en-GB"/>
        </w:rPr>
        <w:t xml:space="preserve"> inferred from the </w:t>
      </w:r>
      <w:r w:rsidR="00F904F7" w:rsidRPr="00F54106">
        <w:rPr>
          <w:rFonts w:cstheme="minorHAnsi"/>
          <w:i/>
          <w:iCs/>
          <w:lang w:val="en-GB"/>
        </w:rPr>
        <w:t>Nokia</w:t>
      </w:r>
      <w:r w:rsidR="00F904F7" w:rsidRPr="00F54106">
        <w:rPr>
          <w:rFonts w:cstheme="minorHAnsi"/>
          <w:lang w:val="en-GB"/>
        </w:rPr>
        <w:t xml:space="preserve"> judgement</w:t>
      </w:r>
      <w:r w:rsidR="0033604E" w:rsidRPr="00F54106">
        <w:rPr>
          <w:rFonts w:cstheme="minorHAnsi"/>
          <w:lang w:val="en-GB"/>
        </w:rPr>
        <w:t>,</w:t>
      </w:r>
      <w:r w:rsidR="00F904F7" w:rsidRPr="00F54106">
        <w:rPr>
          <w:rFonts w:cstheme="minorHAnsi"/>
          <w:lang w:val="en-GB"/>
        </w:rPr>
        <w:t xml:space="preserve"> which state</w:t>
      </w:r>
      <w:r w:rsidRPr="00F54106">
        <w:rPr>
          <w:rFonts w:cstheme="minorHAnsi"/>
          <w:lang w:val="en-GB"/>
        </w:rPr>
        <w:t>s</w:t>
      </w:r>
      <w:r w:rsidR="00F904F7" w:rsidRPr="00F54106">
        <w:rPr>
          <w:rFonts w:cstheme="minorHAnsi"/>
          <w:lang w:val="en-GB"/>
        </w:rPr>
        <w:t xml:space="preserve"> that </w:t>
      </w:r>
      <w:r w:rsidR="00985463">
        <w:rPr>
          <w:rFonts w:cstheme="minorHAnsi"/>
          <w:shd w:val="clear" w:color="auto" w:fill="FFFFFF"/>
          <w:lang w:val="en-GB"/>
        </w:rPr>
        <w:t>“</w:t>
      </w:r>
      <w:r w:rsidR="00F904F7" w:rsidRPr="00F54106">
        <w:rPr>
          <w:rFonts w:cstheme="minorHAnsi"/>
          <w:shd w:val="clear" w:color="auto" w:fill="FFFFFF"/>
          <w:lang w:val="en-GB"/>
        </w:rPr>
        <w:t>the balance is to be struck by allowing a measure of generosity in favour of a claimant</w:t>
      </w:r>
      <w:r w:rsidR="00985463">
        <w:rPr>
          <w:rFonts w:cstheme="minorHAnsi"/>
          <w:shd w:val="clear" w:color="auto" w:fill="FFFFFF"/>
          <w:lang w:val="en-GB"/>
        </w:rPr>
        <w:t>”</w:t>
      </w:r>
      <w:r w:rsidR="00F904F7" w:rsidRPr="00F54106">
        <w:rPr>
          <w:rFonts w:cstheme="minorHAnsi"/>
          <w:shd w:val="clear" w:color="auto" w:fill="FFFFFF"/>
          <w:lang w:val="en-GB"/>
        </w:rPr>
        <w:t>.</w:t>
      </w:r>
      <w:r w:rsidR="00F904F7" w:rsidRPr="00F54106">
        <w:rPr>
          <w:rStyle w:val="FootnoteReference"/>
          <w:rFonts w:cstheme="minorHAnsi"/>
          <w:shd w:val="clear" w:color="auto" w:fill="FFFFFF"/>
          <w:lang w:val="en-GB"/>
        </w:rPr>
        <w:footnoteReference w:id="228"/>
      </w:r>
      <w:r w:rsidR="0033604E" w:rsidRPr="00F54106">
        <w:rPr>
          <w:rFonts w:cstheme="minorHAnsi"/>
          <w:shd w:val="clear" w:color="auto" w:fill="FFFFFF"/>
          <w:lang w:val="en-GB"/>
        </w:rPr>
        <w:t xml:space="preserve"> </w:t>
      </w:r>
      <w:r w:rsidR="00AC6141" w:rsidRPr="00F54106">
        <w:rPr>
          <w:rFonts w:cstheme="minorHAnsi"/>
          <w:shd w:val="clear" w:color="auto" w:fill="FFFFFF"/>
          <w:lang w:val="en-GB"/>
        </w:rPr>
        <w:t>Correspondingly, s</w:t>
      </w:r>
      <w:r w:rsidR="002A3768" w:rsidRPr="00F54106">
        <w:rPr>
          <w:rFonts w:cstheme="minorHAnsi"/>
          <w:shd w:val="clear" w:color="auto" w:fill="FFFFFF"/>
          <w:lang w:val="en-GB"/>
        </w:rPr>
        <w:t xml:space="preserve">everal other cases in the UK have </w:t>
      </w:r>
      <w:r w:rsidRPr="00F54106">
        <w:rPr>
          <w:rFonts w:cstheme="minorHAnsi"/>
          <w:shd w:val="clear" w:color="auto" w:fill="FFFFFF"/>
          <w:lang w:val="en-GB"/>
        </w:rPr>
        <w:t xml:space="preserve">also </w:t>
      </w:r>
      <w:r w:rsidR="009663A0" w:rsidRPr="00F54106">
        <w:rPr>
          <w:rFonts w:cstheme="minorHAnsi"/>
          <w:shd w:val="clear" w:color="auto" w:fill="FFFFFF"/>
          <w:lang w:val="en-GB"/>
        </w:rPr>
        <w:t>helped claimants overcome the information asymmetry in antitrust damage claims.</w:t>
      </w:r>
      <w:r w:rsidR="002E5A54" w:rsidRPr="00F54106">
        <w:rPr>
          <w:rStyle w:val="FootnoteReference"/>
          <w:rFonts w:cstheme="minorHAnsi"/>
          <w:shd w:val="clear" w:color="auto" w:fill="FFFFFF"/>
          <w:lang w:val="en-GB"/>
        </w:rPr>
        <w:footnoteReference w:id="229"/>
      </w:r>
      <w:r w:rsidR="009663A0" w:rsidRPr="00F54106">
        <w:rPr>
          <w:rFonts w:cstheme="minorHAnsi"/>
          <w:shd w:val="clear" w:color="auto" w:fill="FFFFFF"/>
          <w:lang w:val="en-GB"/>
        </w:rPr>
        <w:t xml:space="preserve"> </w:t>
      </w:r>
      <w:r w:rsidR="0046677F" w:rsidRPr="00F54106">
        <w:rPr>
          <w:rFonts w:cstheme="minorHAnsi"/>
          <w:shd w:val="clear" w:color="auto" w:fill="FFFFFF"/>
          <w:lang w:val="en-GB"/>
        </w:rPr>
        <w:t xml:space="preserve">In </w:t>
      </w:r>
      <w:r w:rsidR="001D7692" w:rsidRPr="00F54106">
        <w:rPr>
          <w:rFonts w:cstheme="minorHAnsi"/>
          <w:i/>
          <w:iCs/>
          <w:shd w:val="clear" w:color="auto" w:fill="FFFFFF"/>
          <w:lang w:val="en-GB"/>
        </w:rPr>
        <w:t>National Grid Electricity Transmission Plc v ABB Ltd</w:t>
      </w:r>
      <w:r w:rsidR="00935333" w:rsidRPr="00F54106">
        <w:rPr>
          <w:rFonts w:cstheme="minorHAnsi"/>
          <w:shd w:val="clear" w:color="auto" w:fill="FFFFFF"/>
          <w:lang w:val="en-GB"/>
        </w:rPr>
        <w:t>,</w:t>
      </w:r>
      <w:r w:rsidR="00F72AD2" w:rsidRPr="00F54106">
        <w:rPr>
          <w:rStyle w:val="FootnoteReference"/>
          <w:rFonts w:cstheme="minorHAnsi"/>
          <w:shd w:val="clear" w:color="auto" w:fill="FFFFFF"/>
          <w:lang w:val="en-GB"/>
        </w:rPr>
        <w:footnoteReference w:id="230"/>
      </w:r>
      <w:r w:rsidR="005F170E" w:rsidRPr="00F54106">
        <w:rPr>
          <w:rFonts w:cstheme="minorHAnsi"/>
          <w:shd w:val="clear" w:color="auto" w:fill="FFFFFF"/>
          <w:lang w:val="en-GB"/>
        </w:rPr>
        <w:t xml:space="preserve"> </w:t>
      </w:r>
      <w:r w:rsidR="00254232" w:rsidRPr="00F54106">
        <w:rPr>
          <w:rFonts w:cstheme="minorHAnsi"/>
          <w:shd w:val="clear" w:color="auto" w:fill="FFFFFF"/>
          <w:lang w:val="en-GB"/>
        </w:rPr>
        <w:t xml:space="preserve">providing </w:t>
      </w:r>
      <w:r w:rsidR="005F170E" w:rsidRPr="00F54106">
        <w:rPr>
          <w:rFonts w:cstheme="minorHAnsi"/>
          <w:shd w:val="clear" w:color="auto" w:fill="FFFFFF"/>
          <w:lang w:val="en-GB"/>
        </w:rPr>
        <w:t xml:space="preserve">the reasonable opportunity to present a case was </w:t>
      </w:r>
      <w:r w:rsidR="0046677F" w:rsidRPr="00F54106">
        <w:rPr>
          <w:rFonts w:cstheme="minorHAnsi"/>
          <w:shd w:val="clear" w:color="auto" w:fill="FFFFFF"/>
          <w:lang w:val="en-GB"/>
        </w:rPr>
        <w:t>emphasized</w:t>
      </w:r>
      <w:r w:rsidR="00254232" w:rsidRPr="00F54106">
        <w:rPr>
          <w:rFonts w:cstheme="minorHAnsi"/>
          <w:shd w:val="clear" w:color="auto" w:fill="FFFFFF"/>
          <w:lang w:val="en-GB"/>
        </w:rPr>
        <w:t xml:space="preserve"> </w:t>
      </w:r>
      <w:r w:rsidR="00935333" w:rsidRPr="00F54106">
        <w:rPr>
          <w:rFonts w:cstheme="minorHAnsi"/>
          <w:shd w:val="clear" w:color="auto" w:fill="FFFFFF"/>
          <w:lang w:val="en-GB"/>
        </w:rPr>
        <w:t>when all the relevant</w:t>
      </w:r>
      <w:r w:rsidR="00254232" w:rsidRPr="00F54106">
        <w:rPr>
          <w:rFonts w:cstheme="minorHAnsi"/>
          <w:shd w:val="clear" w:color="auto" w:fill="FFFFFF"/>
          <w:lang w:val="en-GB"/>
        </w:rPr>
        <w:t xml:space="preserve"> information </w:t>
      </w:r>
      <w:r w:rsidR="00935333" w:rsidRPr="00F54106">
        <w:rPr>
          <w:rFonts w:cstheme="minorHAnsi"/>
          <w:shd w:val="clear" w:color="auto" w:fill="FFFFFF"/>
          <w:lang w:val="en-GB"/>
        </w:rPr>
        <w:t>resided at a single party.</w:t>
      </w:r>
      <w:r w:rsidR="00B6299B" w:rsidRPr="00F54106">
        <w:rPr>
          <w:rStyle w:val="FootnoteReference"/>
          <w:rFonts w:cstheme="minorHAnsi"/>
          <w:shd w:val="clear" w:color="auto" w:fill="FFFFFF"/>
          <w:lang w:val="en-GB"/>
        </w:rPr>
        <w:footnoteReference w:id="231"/>
      </w:r>
      <w:r w:rsidR="002B4FE0" w:rsidRPr="00F54106">
        <w:rPr>
          <w:rFonts w:cstheme="minorHAnsi"/>
          <w:shd w:val="clear" w:color="auto" w:fill="FFFFFF"/>
          <w:lang w:val="en-GB"/>
        </w:rPr>
        <w:t xml:space="preserve"> </w:t>
      </w:r>
      <w:r w:rsidR="00AC6141" w:rsidRPr="00F54106">
        <w:rPr>
          <w:rFonts w:cstheme="minorHAnsi"/>
          <w:shd w:val="clear" w:color="auto" w:fill="FFFFFF"/>
          <w:lang w:val="en-GB"/>
        </w:rPr>
        <w:t xml:space="preserve">Furthermore, </w:t>
      </w:r>
      <w:r w:rsidR="0046677F" w:rsidRPr="00F54106">
        <w:rPr>
          <w:rFonts w:cstheme="minorHAnsi"/>
          <w:i/>
          <w:iCs/>
          <w:shd w:val="clear" w:color="auto" w:fill="FFFFFF"/>
          <w:lang w:val="en-GB"/>
        </w:rPr>
        <w:t>Peugeot S.A. and others v NSK Ltd</w:t>
      </w:r>
      <w:r w:rsidR="0046677F" w:rsidRPr="00F54106">
        <w:rPr>
          <w:rStyle w:val="FootnoteReference"/>
          <w:rFonts w:cstheme="minorHAnsi"/>
          <w:i/>
          <w:iCs/>
          <w:shd w:val="clear" w:color="auto" w:fill="FFFFFF"/>
          <w:lang w:val="en-GB"/>
        </w:rPr>
        <w:footnoteReference w:id="232"/>
      </w:r>
      <w:r w:rsidR="0046677F" w:rsidRPr="00F54106">
        <w:rPr>
          <w:rFonts w:cstheme="minorHAnsi"/>
          <w:shd w:val="clear" w:color="auto" w:fill="FFFFFF"/>
          <w:lang w:val="en-GB"/>
        </w:rPr>
        <w:t xml:space="preserve"> also underscored the importance for effective enforcement when ordering a disclosure.</w:t>
      </w:r>
      <w:r w:rsidR="00F54336" w:rsidRPr="00F54106">
        <w:rPr>
          <w:rFonts w:cstheme="minorHAnsi"/>
          <w:shd w:val="clear" w:color="auto" w:fill="FFFFFF"/>
          <w:lang w:val="en-GB"/>
        </w:rPr>
        <w:t xml:space="preserve"> In addition, a parent may be requested to provide information held by subsidiaries </w:t>
      </w:r>
      <w:r w:rsidR="00E87117" w:rsidRPr="00F54106">
        <w:rPr>
          <w:rFonts w:cstheme="minorHAnsi"/>
          <w:shd w:val="clear" w:color="auto" w:fill="FFFFFF"/>
          <w:lang w:val="en-GB"/>
        </w:rPr>
        <w:t xml:space="preserve">that are not involved in the litigation </w:t>
      </w:r>
      <w:r w:rsidR="00A25EF5" w:rsidRPr="00F54106">
        <w:rPr>
          <w:rFonts w:cstheme="minorHAnsi"/>
          <w:shd w:val="clear" w:color="auto" w:fill="FFFFFF"/>
          <w:lang w:val="en-GB"/>
        </w:rPr>
        <w:t>wher</w:t>
      </w:r>
      <w:r w:rsidR="00E87117" w:rsidRPr="00F54106">
        <w:rPr>
          <w:rFonts w:cstheme="minorHAnsi"/>
          <w:shd w:val="clear" w:color="auto" w:fill="FFFFFF"/>
          <w:lang w:val="en-GB"/>
        </w:rPr>
        <w:t xml:space="preserve">e </w:t>
      </w:r>
      <w:r w:rsidR="00EE2766" w:rsidRPr="00F54106">
        <w:rPr>
          <w:rFonts w:cstheme="minorHAnsi"/>
          <w:shd w:val="clear" w:color="auto" w:fill="FFFFFF"/>
          <w:lang w:val="en-GB"/>
        </w:rPr>
        <w:t>it has “sufficient practical control”.</w:t>
      </w:r>
      <w:r w:rsidR="00EE2766" w:rsidRPr="00F54106">
        <w:rPr>
          <w:rStyle w:val="FootnoteReference"/>
          <w:rFonts w:cstheme="minorHAnsi"/>
          <w:shd w:val="clear" w:color="auto" w:fill="FFFFFF"/>
          <w:lang w:val="en-GB"/>
        </w:rPr>
        <w:footnoteReference w:id="233"/>
      </w:r>
      <w:r w:rsidR="00E87117" w:rsidRPr="00F54106">
        <w:rPr>
          <w:rFonts w:cstheme="minorHAnsi"/>
          <w:shd w:val="clear" w:color="auto" w:fill="FFFFFF"/>
          <w:lang w:val="en-GB"/>
        </w:rPr>
        <w:t xml:space="preserve"> </w:t>
      </w:r>
      <w:r w:rsidR="00EE2766" w:rsidRPr="00F54106">
        <w:rPr>
          <w:rFonts w:cstheme="minorHAnsi"/>
          <w:shd w:val="clear" w:color="auto" w:fill="FFFFFF"/>
          <w:lang w:val="en-GB"/>
        </w:rPr>
        <w:t>This is the case where it is</w:t>
      </w:r>
      <w:r w:rsidR="00E87117" w:rsidRPr="00F54106">
        <w:rPr>
          <w:rFonts w:cstheme="minorHAnsi"/>
          <w:shd w:val="clear" w:color="auto" w:fill="FFFFFF"/>
          <w:lang w:val="en-GB"/>
        </w:rPr>
        <w:t xml:space="preserve"> evidential </w:t>
      </w:r>
      <w:r w:rsidR="00EE2766" w:rsidRPr="00F54106">
        <w:rPr>
          <w:rFonts w:cstheme="minorHAnsi"/>
          <w:shd w:val="clear" w:color="auto" w:fill="FFFFFF"/>
          <w:lang w:val="en-GB"/>
        </w:rPr>
        <w:t>that the parent</w:t>
      </w:r>
      <w:r w:rsidR="00A25EF5" w:rsidRPr="00F54106">
        <w:rPr>
          <w:rFonts w:cstheme="minorHAnsi"/>
          <w:shd w:val="clear" w:color="auto" w:fill="FFFFFF"/>
          <w:lang w:val="en-GB"/>
        </w:rPr>
        <w:t xml:space="preserve"> already had unhindered access to the subsidiar</w:t>
      </w:r>
      <w:r w:rsidR="0051136D" w:rsidRPr="00F54106">
        <w:rPr>
          <w:rFonts w:cstheme="minorHAnsi"/>
          <w:shd w:val="clear" w:color="auto" w:fill="FFFFFF"/>
          <w:lang w:val="en-GB"/>
        </w:rPr>
        <w:t>y</w:t>
      </w:r>
      <w:r w:rsidR="00A25EF5" w:rsidRPr="00F54106">
        <w:rPr>
          <w:rFonts w:cstheme="minorHAnsi"/>
          <w:shd w:val="clear" w:color="auto" w:fill="FFFFFF"/>
          <w:lang w:val="en-GB"/>
        </w:rPr>
        <w:t>’</w:t>
      </w:r>
      <w:r w:rsidR="0051136D" w:rsidRPr="00F54106">
        <w:rPr>
          <w:rFonts w:cstheme="minorHAnsi"/>
          <w:shd w:val="clear" w:color="auto" w:fill="FFFFFF"/>
          <w:lang w:val="en-GB"/>
        </w:rPr>
        <w:t>s</w:t>
      </w:r>
      <w:r w:rsidR="00A25EF5" w:rsidRPr="00F54106">
        <w:rPr>
          <w:rFonts w:cstheme="minorHAnsi"/>
          <w:shd w:val="clear" w:color="auto" w:fill="FFFFFF"/>
          <w:lang w:val="en-GB"/>
        </w:rPr>
        <w:t xml:space="preserve"> documents </w:t>
      </w:r>
      <w:r w:rsidR="00E87117" w:rsidRPr="00F54106">
        <w:rPr>
          <w:rFonts w:cstheme="minorHAnsi"/>
          <w:shd w:val="clear" w:color="auto" w:fill="FFFFFF"/>
          <w:lang w:val="en-GB"/>
        </w:rPr>
        <w:t xml:space="preserve">or if there is </w:t>
      </w:r>
      <w:r w:rsidR="00BC10D8" w:rsidRPr="00F54106">
        <w:rPr>
          <w:rFonts w:cstheme="minorHAnsi"/>
          <w:shd w:val="clear" w:color="auto" w:fill="FFFFFF"/>
          <w:lang w:val="en-GB"/>
        </w:rPr>
        <w:t>information</w:t>
      </w:r>
      <w:r w:rsidR="00E87117" w:rsidRPr="00F54106">
        <w:rPr>
          <w:rFonts w:cstheme="minorHAnsi"/>
          <w:shd w:val="clear" w:color="auto" w:fill="FFFFFF"/>
          <w:lang w:val="en-GB"/>
        </w:rPr>
        <w:t xml:space="preserve"> </w:t>
      </w:r>
      <w:r w:rsidR="00BC10D8" w:rsidRPr="00F54106">
        <w:rPr>
          <w:rFonts w:cstheme="minorHAnsi"/>
          <w:shd w:val="clear" w:color="auto" w:fill="FFFFFF"/>
          <w:lang w:val="en-GB"/>
        </w:rPr>
        <w:t>from which the court can conclude</w:t>
      </w:r>
      <w:r w:rsidR="00E87117" w:rsidRPr="00F54106">
        <w:rPr>
          <w:rFonts w:cstheme="minorHAnsi"/>
          <w:shd w:val="clear" w:color="auto" w:fill="FFFFFF"/>
          <w:lang w:val="en-GB"/>
        </w:rPr>
        <w:t xml:space="preserve"> th</w:t>
      </w:r>
      <w:r w:rsidR="00BC10D8" w:rsidRPr="00F54106">
        <w:rPr>
          <w:rFonts w:cstheme="minorHAnsi"/>
          <w:shd w:val="clear" w:color="auto" w:fill="FFFFFF"/>
          <w:lang w:val="en-GB"/>
        </w:rPr>
        <w:t xml:space="preserve">at there is an </w:t>
      </w:r>
      <w:r w:rsidR="0051136D" w:rsidRPr="00F54106">
        <w:rPr>
          <w:rFonts w:cstheme="minorHAnsi"/>
          <w:shd w:val="clear" w:color="auto" w:fill="FFFFFF"/>
          <w:lang w:val="en-GB"/>
        </w:rPr>
        <w:t xml:space="preserve">arrangement between the parent and the subsidiary </w:t>
      </w:r>
      <w:r w:rsidR="00EE2766" w:rsidRPr="00F54106">
        <w:rPr>
          <w:rFonts w:cstheme="minorHAnsi"/>
          <w:shd w:val="clear" w:color="auto" w:fill="FFFFFF"/>
          <w:lang w:val="en-GB"/>
        </w:rPr>
        <w:t xml:space="preserve">which gives </w:t>
      </w:r>
      <w:r w:rsidR="00E67BB2" w:rsidRPr="00F54106">
        <w:rPr>
          <w:rFonts w:cstheme="minorHAnsi"/>
          <w:shd w:val="clear" w:color="auto" w:fill="FFFFFF"/>
          <w:lang w:val="en-GB"/>
        </w:rPr>
        <w:t>it the right to access its documents</w:t>
      </w:r>
      <w:r w:rsidR="00190573" w:rsidRPr="00F54106">
        <w:rPr>
          <w:rFonts w:cstheme="minorHAnsi"/>
          <w:shd w:val="clear" w:color="auto" w:fill="FFFFFF"/>
          <w:lang w:val="en-GB"/>
        </w:rPr>
        <w:t>.</w:t>
      </w:r>
      <w:r w:rsidR="00190573" w:rsidRPr="00F54106">
        <w:rPr>
          <w:rStyle w:val="FootnoteReference"/>
          <w:rFonts w:cstheme="minorHAnsi"/>
          <w:shd w:val="clear" w:color="auto" w:fill="FFFFFF"/>
          <w:lang w:val="en-GB"/>
        </w:rPr>
        <w:footnoteReference w:id="234"/>
      </w:r>
      <w:r w:rsidR="00BC10D8" w:rsidRPr="00F54106">
        <w:rPr>
          <w:rFonts w:cstheme="minorHAnsi"/>
          <w:shd w:val="clear" w:color="auto" w:fill="FFFFFF"/>
          <w:lang w:val="en-GB"/>
        </w:rPr>
        <w:t xml:space="preserve"> </w:t>
      </w:r>
    </w:p>
    <w:p w14:paraId="18E71F7A" w14:textId="050609DF" w:rsidR="00504182" w:rsidRPr="00F54106" w:rsidRDefault="00AC6141" w:rsidP="000521C5">
      <w:pPr>
        <w:spacing w:line="276" w:lineRule="auto"/>
        <w:ind w:firstLine="720"/>
        <w:rPr>
          <w:rFonts w:cstheme="minorHAnsi"/>
          <w:shd w:val="clear" w:color="auto" w:fill="FFFFFF"/>
          <w:lang w:val="en-GB"/>
        </w:rPr>
      </w:pPr>
      <w:r w:rsidRPr="00F54106">
        <w:rPr>
          <w:rFonts w:cstheme="minorHAnsi"/>
          <w:shd w:val="clear" w:color="auto" w:fill="FFFFFF"/>
          <w:lang w:val="en-GB"/>
        </w:rPr>
        <w:lastRenderedPageBreak/>
        <w:t xml:space="preserve">Next to the discussed possibilities for disclosure, </w:t>
      </w:r>
      <w:r w:rsidR="00504182" w:rsidRPr="00F54106">
        <w:rPr>
          <w:rFonts w:cstheme="minorHAnsi"/>
          <w:shd w:val="clear" w:color="auto" w:fill="FFFFFF"/>
          <w:lang w:val="en-GB"/>
        </w:rPr>
        <w:t xml:space="preserve">There </w:t>
      </w:r>
      <w:r w:rsidR="002C36CD" w:rsidRPr="00F54106">
        <w:rPr>
          <w:rFonts w:cstheme="minorHAnsi"/>
          <w:shd w:val="clear" w:color="auto" w:fill="FFFFFF"/>
          <w:lang w:val="en-GB"/>
        </w:rPr>
        <w:t>are also safeguards</w:t>
      </w:r>
      <w:r w:rsidR="00504182" w:rsidRPr="00F54106">
        <w:rPr>
          <w:rFonts w:cstheme="minorHAnsi"/>
          <w:shd w:val="clear" w:color="auto" w:fill="FFFFFF"/>
          <w:lang w:val="en-GB"/>
        </w:rPr>
        <w:t xml:space="preserve"> to withhold sensitive information on the basis of legal professional privilege</w:t>
      </w:r>
      <w:r w:rsidR="002C36CD" w:rsidRPr="00F54106">
        <w:rPr>
          <w:rFonts w:cstheme="minorHAnsi"/>
          <w:shd w:val="clear" w:color="auto" w:fill="FFFFFF"/>
          <w:lang w:val="en-GB"/>
        </w:rPr>
        <w:t>.</w:t>
      </w:r>
      <w:r w:rsidR="00504182" w:rsidRPr="00F54106">
        <w:rPr>
          <w:rFonts w:cstheme="minorHAnsi"/>
          <w:shd w:val="clear" w:color="auto" w:fill="FFFFFF"/>
          <w:lang w:val="en-GB"/>
        </w:rPr>
        <w:t xml:space="preserve"> </w:t>
      </w:r>
      <w:r w:rsidR="002C36CD" w:rsidRPr="00F54106">
        <w:rPr>
          <w:rFonts w:cstheme="minorHAnsi"/>
          <w:shd w:val="clear" w:color="auto" w:fill="FFFFFF"/>
          <w:lang w:val="en-GB"/>
        </w:rPr>
        <w:t>Under UK law, legal professional privilege</w:t>
      </w:r>
      <w:r w:rsidR="00504182" w:rsidRPr="00F54106">
        <w:rPr>
          <w:rFonts w:cstheme="minorHAnsi"/>
          <w:shd w:val="clear" w:color="auto" w:fill="FFFFFF"/>
          <w:lang w:val="en-GB"/>
        </w:rPr>
        <w:t xml:space="preserve"> is comprised of legal advice privilege and litigation privilege, and is important to the parties involved as they are not allowed to withhold material merely because its confidential or commercially sensitive.</w:t>
      </w:r>
      <w:r w:rsidR="00504182" w:rsidRPr="00F54106">
        <w:rPr>
          <w:rStyle w:val="FootnoteReference"/>
          <w:rFonts w:cstheme="minorHAnsi"/>
          <w:shd w:val="clear" w:color="auto" w:fill="FFFFFF"/>
          <w:lang w:val="en-GB"/>
        </w:rPr>
        <w:footnoteReference w:id="235"/>
      </w:r>
      <w:r w:rsidR="00504182" w:rsidRPr="00F54106">
        <w:rPr>
          <w:rFonts w:cstheme="minorHAnsi"/>
          <w:shd w:val="clear" w:color="auto" w:fill="FFFFFF"/>
          <w:lang w:val="en-GB"/>
        </w:rPr>
        <w:t xml:space="preserve"> The confidential communications between a client and his attorney are shielded from disclosure under the legal advice privilege when they are conducted for the dominant purpose to obtain or provide legal advice.</w:t>
      </w:r>
      <w:r w:rsidR="00504182" w:rsidRPr="00F54106">
        <w:rPr>
          <w:rStyle w:val="FootnoteReference"/>
          <w:rFonts w:cstheme="minorHAnsi"/>
          <w:shd w:val="clear" w:color="auto" w:fill="FFFFFF"/>
          <w:lang w:val="en-GB"/>
        </w:rPr>
        <w:footnoteReference w:id="236"/>
      </w:r>
      <w:r w:rsidR="00504182" w:rsidRPr="00F54106">
        <w:rPr>
          <w:rFonts w:cstheme="minorHAnsi"/>
          <w:shd w:val="clear" w:color="auto" w:fill="FFFFFF"/>
          <w:lang w:val="en-GB"/>
        </w:rPr>
        <w:t xml:space="preserve"> Third parties, however, are unprotected under the legal advice privilege, but may nevertheless still be safeguarded under the litigation privilege.</w:t>
      </w:r>
      <w:r w:rsidR="00504182" w:rsidRPr="00F54106">
        <w:rPr>
          <w:rStyle w:val="FootnoteReference"/>
          <w:rFonts w:cstheme="minorHAnsi"/>
          <w:shd w:val="clear" w:color="auto" w:fill="FFFFFF"/>
          <w:lang w:val="en-GB"/>
        </w:rPr>
        <w:footnoteReference w:id="237"/>
      </w:r>
      <w:r w:rsidR="00504182" w:rsidRPr="00F54106">
        <w:rPr>
          <w:rFonts w:cstheme="minorHAnsi"/>
          <w:shd w:val="clear" w:color="auto" w:fill="FFFFFF"/>
          <w:lang w:val="en-GB"/>
        </w:rPr>
        <w:t xml:space="preserve"> </w:t>
      </w:r>
      <w:r w:rsidR="002C36CD" w:rsidRPr="00F54106">
        <w:rPr>
          <w:rFonts w:cstheme="minorHAnsi"/>
          <w:shd w:val="clear" w:color="auto" w:fill="FFFFFF"/>
          <w:lang w:val="en-GB"/>
        </w:rPr>
        <w:t>In this regard, t</w:t>
      </w:r>
      <w:r w:rsidR="00504182" w:rsidRPr="00F54106">
        <w:rPr>
          <w:rFonts w:cstheme="minorHAnsi"/>
          <w:shd w:val="clear" w:color="auto" w:fill="FFFFFF"/>
          <w:lang w:val="en-GB"/>
        </w:rPr>
        <w:t xml:space="preserve">he litigation privilege protects the communications between clients or clients’ lawyers and third parties where it is primarily conducted to obtain information or advice related to an actual or considered legal action, but </w:t>
      </w:r>
      <w:r w:rsidR="002C36CD" w:rsidRPr="00F54106">
        <w:rPr>
          <w:rFonts w:cstheme="minorHAnsi"/>
          <w:shd w:val="clear" w:color="auto" w:fill="FFFFFF"/>
          <w:lang w:val="en-GB"/>
        </w:rPr>
        <w:t xml:space="preserve">is nevertheless </w:t>
      </w:r>
      <w:r w:rsidR="00504182" w:rsidRPr="00F54106">
        <w:rPr>
          <w:rFonts w:cstheme="minorHAnsi"/>
          <w:shd w:val="clear" w:color="auto" w:fill="FFFFFF"/>
          <w:lang w:val="en-GB"/>
        </w:rPr>
        <w:t>subject to conditions.</w:t>
      </w:r>
      <w:r w:rsidR="00504182" w:rsidRPr="00F54106">
        <w:rPr>
          <w:rStyle w:val="FootnoteReference"/>
          <w:rFonts w:cstheme="minorHAnsi"/>
          <w:shd w:val="clear" w:color="auto" w:fill="FFFFFF"/>
          <w:lang w:val="en-GB"/>
        </w:rPr>
        <w:footnoteReference w:id="238"/>
      </w:r>
      <w:r w:rsidR="00504182" w:rsidRPr="00F54106">
        <w:rPr>
          <w:rFonts w:cstheme="minorHAnsi"/>
          <w:shd w:val="clear" w:color="auto" w:fill="FFFFFF"/>
          <w:lang w:val="en-GB"/>
        </w:rPr>
        <w:t xml:space="preserve"> Communications may also be shared without the loss of privilege where the interests of parties are substantially alike for the content of the shared information (common interest privilege), where a genuine attempts to settle is made (without prejudice privilege),</w:t>
      </w:r>
      <w:r w:rsidR="00504182" w:rsidRPr="00F54106">
        <w:rPr>
          <w:rStyle w:val="FootnoteReference"/>
          <w:rFonts w:cstheme="minorHAnsi"/>
          <w:shd w:val="clear" w:color="auto" w:fill="FFFFFF"/>
          <w:lang w:val="en-GB"/>
        </w:rPr>
        <w:footnoteReference w:id="239"/>
      </w:r>
      <w:r w:rsidR="00504182" w:rsidRPr="00F54106">
        <w:rPr>
          <w:rFonts w:cstheme="minorHAnsi"/>
          <w:shd w:val="clear" w:color="auto" w:fill="FFFFFF"/>
          <w:lang w:val="en-GB"/>
        </w:rPr>
        <w:t xml:space="preserve"> or where the same lawyer is kept to act on behalf of the parties under a joint retainer (joint privilege).</w:t>
      </w:r>
      <w:r w:rsidR="00504182" w:rsidRPr="00F54106">
        <w:rPr>
          <w:rStyle w:val="FootnoteReference"/>
          <w:rFonts w:cstheme="minorHAnsi"/>
          <w:shd w:val="clear" w:color="auto" w:fill="FFFFFF"/>
          <w:lang w:val="en-GB"/>
        </w:rPr>
        <w:footnoteReference w:id="240"/>
      </w:r>
    </w:p>
    <w:p w14:paraId="568F5298" w14:textId="62BA2F4E" w:rsidR="00421018" w:rsidRPr="00F54106" w:rsidRDefault="00504182" w:rsidP="00097593">
      <w:pPr>
        <w:spacing w:line="276" w:lineRule="auto"/>
        <w:ind w:firstLine="720"/>
        <w:rPr>
          <w:rFonts w:cstheme="minorHAnsi"/>
          <w:shd w:val="clear" w:color="auto" w:fill="FFFFFF"/>
          <w:lang w:val="en-GB"/>
        </w:rPr>
      </w:pPr>
      <w:r w:rsidRPr="00F54106">
        <w:rPr>
          <w:rFonts w:cstheme="minorHAnsi"/>
          <w:shd w:val="clear" w:color="auto" w:fill="FFFFFF"/>
          <w:lang w:val="en-GB"/>
        </w:rPr>
        <w:t>Strikingly, d</w:t>
      </w:r>
      <w:r w:rsidR="00D140B0" w:rsidRPr="00F54106">
        <w:rPr>
          <w:rFonts w:cstheme="minorHAnsi"/>
          <w:shd w:val="clear" w:color="auto" w:fill="FFFFFF"/>
          <w:lang w:val="en-GB"/>
        </w:rPr>
        <w:t>espite the UK’s comprehensive disclosure regime, access to evidence is still mentioned to be the largest issue for claimants trying antitrust claims in the UK</w:t>
      </w:r>
      <w:r w:rsidR="00B01A38" w:rsidRPr="00F54106">
        <w:rPr>
          <w:rFonts w:cstheme="minorHAnsi"/>
          <w:shd w:val="clear" w:color="auto" w:fill="FFFFFF"/>
          <w:lang w:val="en-GB"/>
        </w:rPr>
        <w:t>. This especially holds</w:t>
      </w:r>
      <w:r w:rsidR="00BC2E10" w:rsidRPr="00F54106">
        <w:rPr>
          <w:rFonts w:cstheme="minorHAnsi"/>
          <w:shd w:val="clear" w:color="auto" w:fill="FFFFFF"/>
          <w:lang w:val="en-GB"/>
        </w:rPr>
        <w:t xml:space="preserve"> </w:t>
      </w:r>
      <w:r w:rsidR="00B01A38" w:rsidRPr="00F54106">
        <w:rPr>
          <w:rFonts w:cstheme="minorHAnsi"/>
          <w:shd w:val="clear" w:color="auto" w:fill="FFFFFF"/>
          <w:lang w:val="en-GB"/>
        </w:rPr>
        <w:t>in relation</w:t>
      </w:r>
      <w:r w:rsidR="00BC2E10" w:rsidRPr="00F54106">
        <w:rPr>
          <w:rFonts w:cstheme="minorHAnsi"/>
          <w:shd w:val="clear" w:color="auto" w:fill="FFFFFF"/>
          <w:lang w:val="en-GB"/>
        </w:rPr>
        <w:t xml:space="preserve"> to the quantification of damages</w:t>
      </w:r>
      <w:r w:rsidR="000049B6" w:rsidRPr="00F54106">
        <w:rPr>
          <w:rFonts w:cstheme="minorHAnsi"/>
          <w:shd w:val="clear" w:color="auto" w:fill="FFFFFF"/>
          <w:lang w:val="en-GB"/>
        </w:rPr>
        <w:t>,</w:t>
      </w:r>
      <w:r w:rsidR="00D140B0" w:rsidRPr="00F54106">
        <w:rPr>
          <w:rFonts w:cstheme="minorHAnsi"/>
          <w:shd w:val="clear" w:color="auto" w:fill="FFFFFF"/>
          <w:lang w:val="en-GB"/>
        </w:rPr>
        <w:t xml:space="preserve"> </w:t>
      </w:r>
      <w:r w:rsidR="000049B6" w:rsidRPr="00F54106">
        <w:rPr>
          <w:rFonts w:cstheme="minorHAnsi"/>
          <w:shd w:val="clear" w:color="auto" w:fill="FFFFFF"/>
          <w:lang w:val="en-GB"/>
        </w:rPr>
        <w:t>in which the information asymmetry makes it difficult to</w:t>
      </w:r>
      <w:r w:rsidR="006456BE" w:rsidRPr="00F54106">
        <w:rPr>
          <w:rFonts w:cstheme="minorHAnsi"/>
          <w:shd w:val="clear" w:color="auto" w:fill="FFFFFF"/>
          <w:lang w:val="en-GB"/>
        </w:rPr>
        <w:t xml:space="preserve"> find a strong foundation to</w:t>
      </w:r>
      <w:r w:rsidR="000049B6" w:rsidRPr="00F54106">
        <w:rPr>
          <w:rFonts w:cstheme="minorHAnsi"/>
          <w:shd w:val="clear" w:color="auto" w:fill="FFFFFF"/>
          <w:lang w:val="en-GB"/>
        </w:rPr>
        <w:t xml:space="preserve"> estimate and prove damages</w:t>
      </w:r>
      <w:r w:rsidR="006456BE" w:rsidRPr="00F54106">
        <w:rPr>
          <w:rFonts w:cstheme="minorHAnsi"/>
          <w:shd w:val="clear" w:color="auto" w:fill="FFFFFF"/>
          <w:lang w:val="en-GB"/>
        </w:rPr>
        <w:t xml:space="preserve"> on</w:t>
      </w:r>
      <w:r w:rsidR="000049B6" w:rsidRPr="00F54106">
        <w:rPr>
          <w:rFonts w:cstheme="minorHAnsi"/>
          <w:shd w:val="clear" w:color="auto" w:fill="FFFFFF"/>
          <w:lang w:val="en-GB"/>
        </w:rPr>
        <w:t>.</w:t>
      </w:r>
      <w:r w:rsidR="006456BE" w:rsidRPr="00F54106">
        <w:rPr>
          <w:rStyle w:val="FootnoteReference"/>
          <w:rFonts w:cstheme="minorHAnsi"/>
          <w:shd w:val="clear" w:color="auto" w:fill="FFFFFF"/>
          <w:lang w:val="en-GB"/>
        </w:rPr>
        <w:footnoteReference w:id="241"/>
      </w:r>
      <w:r w:rsidR="000049B6" w:rsidRPr="00F54106">
        <w:rPr>
          <w:rFonts w:cstheme="minorHAnsi"/>
          <w:shd w:val="clear" w:color="auto" w:fill="FFFFFF"/>
          <w:lang w:val="en-GB"/>
        </w:rPr>
        <w:t xml:space="preserve"> </w:t>
      </w:r>
      <w:r w:rsidR="00B01A38" w:rsidRPr="00F54106">
        <w:rPr>
          <w:rFonts w:cstheme="minorHAnsi"/>
          <w:shd w:val="clear" w:color="auto" w:fill="FFFFFF"/>
          <w:lang w:val="en-GB"/>
        </w:rPr>
        <w:t>The impediments to access to evidence are mainly the result of</w:t>
      </w:r>
      <w:r w:rsidR="000049B6" w:rsidRPr="00F54106">
        <w:rPr>
          <w:rFonts w:cstheme="minorHAnsi"/>
          <w:shd w:val="clear" w:color="auto" w:fill="FFFFFF"/>
          <w:lang w:val="en-GB"/>
        </w:rPr>
        <w:t xml:space="preserve"> </w:t>
      </w:r>
      <w:r w:rsidR="006456BE" w:rsidRPr="00F54106">
        <w:rPr>
          <w:rFonts w:cstheme="minorHAnsi"/>
          <w:shd w:val="clear" w:color="auto" w:fill="FFFFFF"/>
          <w:lang w:val="en-GB"/>
        </w:rPr>
        <w:t xml:space="preserve">recent reform trends </w:t>
      </w:r>
      <w:r w:rsidR="000049B6" w:rsidRPr="00F54106">
        <w:rPr>
          <w:rFonts w:cstheme="minorHAnsi"/>
          <w:shd w:val="clear" w:color="auto" w:fill="FFFFFF"/>
          <w:lang w:val="en-GB"/>
        </w:rPr>
        <w:t>that rather limit disclosure to reduce litigation costs.</w:t>
      </w:r>
      <w:r w:rsidR="006456BE" w:rsidRPr="00F54106">
        <w:rPr>
          <w:rStyle w:val="FootnoteReference"/>
          <w:rFonts w:cstheme="minorHAnsi"/>
          <w:shd w:val="clear" w:color="auto" w:fill="FFFFFF"/>
          <w:lang w:val="en-GB"/>
        </w:rPr>
        <w:footnoteReference w:id="242"/>
      </w:r>
      <w:r w:rsidR="008D40A5" w:rsidRPr="00F54106">
        <w:rPr>
          <w:rFonts w:cstheme="minorHAnsi"/>
          <w:shd w:val="clear" w:color="auto" w:fill="FFFFFF"/>
          <w:lang w:val="en-GB"/>
        </w:rPr>
        <w:t xml:space="preserve"> </w:t>
      </w:r>
      <w:r w:rsidR="00B01A38" w:rsidRPr="00F54106">
        <w:rPr>
          <w:rFonts w:cstheme="minorHAnsi"/>
          <w:shd w:val="clear" w:color="auto" w:fill="FFFFFF"/>
          <w:lang w:val="en-GB"/>
        </w:rPr>
        <w:t xml:space="preserve">Furthermore, </w:t>
      </w:r>
      <w:r w:rsidR="00B01A38" w:rsidRPr="00F54106">
        <w:rPr>
          <w:rFonts w:cstheme="minorHAnsi"/>
          <w:lang w:val="en-GB"/>
        </w:rPr>
        <w:t>t</w:t>
      </w:r>
      <w:r w:rsidR="00653620" w:rsidRPr="00F54106">
        <w:rPr>
          <w:rFonts w:cstheme="minorHAnsi"/>
          <w:lang w:val="en-GB"/>
        </w:rPr>
        <w:t>he Damages Directive’s provisions for disclosure were not expected to have a significant effect on the UK regime as only limited provisions for pre-trial disclosure were included and the concept of disclosure was already firmly entrenched in the UK.</w:t>
      </w:r>
      <w:r w:rsidR="00653620" w:rsidRPr="00F54106">
        <w:rPr>
          <w:rStyle w:val="FootnoteReference"/>
          <w:rFonts w:cstheme="minorHAnsi"/>
          <w:lang w:val="en-GB"/>
        </w:rPr>
        <w:footnoteReference w:id="243"/>
      </w:r>
      <w:r w:rsidR="00653620" w:rsidRPr="00F54106">
        <w:rPr>
          <w:rFonts w:cstheme="minorHAnsi"/>
          <w:lang w:val="en-GB"/>
        </w:rPr>
        <w:t xml:space="preserve"> However, it is also argued that, in</w:t>
      </w:r>
      <w:r w:rsidR="00C202A3" w:rsidRPr="00F54106">
        <w:rPr>
          <w:rFonts w:cstheme="minorHAnsi"/>
          <w:lang w:val="en-GB"/>
        </w:rPr>
        <w:t xml:space="preserve"> addition to </w:t>
      </w:r>
      <w:r w:rsidR="00C202A3" w:rsidRPr="00F54106">
        <w:rPr>
          <w:rFonts w:cstheme="minorHAnsi"/>
          <w:lang w:val="en-GB"/>
        </w:rPr>
        <w:lastRenderedPageBreak/>
        <w:t>the detrimental effect of the Damages Directive on disclosure of leniency material in the UK</w:t>
      </w:r>
      <w:r w:rsidR="00415E41" w:rsidRPr="00F54106">
        <w:rPr>
          <w:rFonts w:cstheme="minorHAnsi"/>
          <w:lang w:val="en-GB"/>
        </w:rPr>
        <w:t xml:space="preserve">, the Damages Directive has reduced the scope of disclosure for claimants in </w:t>
      </w:r>
      <w:r w:rsidR="00A71107" w:rsidRPr="00F54106">
        <w:rPr>
          <w:rFonts w:cstheme="minorHAnsi"/>
          <w:lang w:val="en-GB"/>
        </w:rPr>
        <w:t xml:space="preserve">the UK in </w:t>
      </w:r>
      <w:r w:rsidR="00415E41" w:rsidRPr="00F54106">
        <w:rPr>
          <w:rFonts w:cstheme="minorHAnsi"/>
          <w:lang w:val="en-GB"/>
        </w:rPr>
        <w:t>general</w:t>
      </w:r>
      <w:r w:rsidR="00A569A7" w:rsidRPr="00F54106">
        <w:rPr>
          <w:rFonts w:cstheme="minorHAnsi"/>
          <w:lang w:val="en-GB"/>
        </w:rPr>
        <w:t>.</w:t>
      </w:r>
      <w:r w:rsidR="00415E41" w:rsidRPr="00F54106">
        <w:rPr>
          <w:rStyle w:val="FootnoteReference"/>
          <w:rFonts w:cstheme="minorHAnsi"/>
          <w:lang w:val="en-GB"/>
        </w:rPr>
        <w:footnoteReference w:id="244"/>
      </w:r>
      <w:r w:rsidR="00415E41" w:rsidRPr="00F54106">
        <w:rPr>
          <w:rFonts w:cstheme="minorHAnsi"/>
          <w:lang w:val="en-GB"/>
        </w:rPr>
        <w:t xml:space="preserve"> </w:t>
      </w:r>
      <w:r w:rsidR="00A569A7" w:rsidRPr="00F54106">
        <w:rPr>
          <w:rFonts w:cstheme="minorHAnsi"/>
          <w:lang w:val="en-GB"/>
        </w:rPr>
        <w:t>The main argument for this is that the Damages Directive</w:t>
      </w:r>
      <w:r w:rsidR="00415E41" w:rsidRPr="00F54106">
        <w:rPr>
          <w:rFonts w:cstheme="minorHAnsi"/>
          <w:lang w:val="en-GB"/>
        </w:rPr>
        <w:t xml:space="preserve"> mandates </w:t>
      </w:r>
      <w:r w:rsidR="00C202A3" w:rsidRPr="00F54106">
        <w:rPr>
          <w:rFonts w:cstheme="minorHAnsi"/>
          <w:lang w:val="en-GB"/>
        </w:rPr>
        <w:t>claims</w:t>
      </w:r>
      <w:r w:rsidR="00415E41" w:rsidRPr="00F54106">
        <w:rPr>
          <w:rFonts w:cstheme="minorHAnsi"/>
          <w:lang w:val="en-GB"/>
        </w:rPr>
        <w:t xml:space="preserve"> to be supported by available facts and evidence to justify the disclosure request,</w:t>
      </w:r>
      <w:r w:rsidR="00415E41" w:rsidRPr="00F54106">
        <w:rPr>
          <w:rStyle w:val="FootnoteReference"/>
          <w:rFonts w:cstheme="minorHAnsi"/>
          <w:lang w:val="en-GB"/>
        </w:rPr>
        <w:footnoteReference w:id="245"/>
      </w:r>
      <w:r w:rsidR="00415E41" w:rsidRPr="00F54106">
        <w:rPr>
          <w:rFonts w:cstheme="minorHAnsi"/>
          <w:lang w:val="en-GB"/>
        </w:rPr>
        <w:t xml:space="preserve"> which is higher than the established evidentiary burden before English courts.</w:t>
      </w:r>
      <w:r w:rsidR="00415E41" w:rsidRPr="00F54106">
        <w:rPr>
          <w:rStyle w:val="FootnoteReference"/>
          <w:rFonts w:cstheme="minorHAnsi"/>
          <w:lang w:val="en-GB"/>
        </w:rPr>
        <w:footnoteReference w:id="246"/>
      </w:r>
      <w:r w:rsidR="00F548CA" w:rsidRPr="00F54106">
        <w:rPr>
          <w:rFonts w:cstheme="minorHAnsi"/>
          <w:lang w:val="en-GB"/>
        </w:rPr>
        <w:t xml:space="preserve"> What is more, </w:t>
      </w:r>
      <w:r w:rsidR="00097593" w:rsidRPr="00F54106">
        <w:rPr>
          <w:rFonts w:cstheme="minorHAnsi"/>
          <w:shd w:val="clear" w:color="auto" w:fill="FFFFFF"/>
          <w:lang w:val="en-GB"/>
        </w:rPr>
        <w:t xml:space="preserve">one of the previous contributors to the UK’s attractiveness before the implementation of the Damages Directive is the English court’s </w:t>
      </w:r>
      <w:r w:rsidR="00167344" w:rsidRPr="00F54106">
        <w:rPr>
          <w:rFonts w:cstheme="minorHAnsi"/>
          <w:shd w:val="clear" w:color="auto" w:fill="FFFFFF"/>
          <w:lang w:val="en-GB"/>
        </w:rPr>
        <w:t>approach to</w:t>
      </w:r>
      <w:r w:rsidR="00097593" w:rsidRPr="00F54106">
        <w:rPr>
          <w:rFonts w:cstheme="minorHAnsi"/>
          <w:shd w:val="clear" w:color="auto" w:fill="FFFFFF"/>
          <w:lang w:val="en-GB"/>
        </w:rPr>
        <w:t xml:space="preserve"> the balancing test on </w:t>
      </w:r>
      <w:r w:rsidR="00167344" w:rsidRPr="00F54106">
        <w:rPr>
          <w:rFonts w:cstheme="minorHAnsi"/>
          <w:shd w:val="clear" w:color="auto" w:fill="FFFFFF"/>
          <w:lang w:val="en-GB"/>
        </w:rPr>
        <w:t xml:space="preserve">the </w:t>
      </w:r>
      <w:r w:rsidR="00097593" w:rsidRPr="00F54106">
        <w:rPr>
          <w:rFonts w:cstheme="minorHAnsi"/>
          <w:shd w:val="clear" w:color="auto" w:fill="FFFFFF"/>
          <w:lang w:val="en-GB"/>
        </w:rPr>
        <w:t>disclosure of leniency materials.</w:t>
      </w:r>
      <w:r w:rsidR="00097593" w:rsidRPr="00F54106">
        <w:rPr>
          <w:rStyle w:val="FootnoteReference"/>
          <w:rFonts w:cstheme="minorHAnsi"/>
          <w:shd w:val="clear" w:color="auto" w:fill="FFFFFF"/>
          <w:lang w:val="en-GB"/>
        </w:rPr>
        <w:footnoteReference w:id="247"/>
      </w:r>
      <w:r w:rsidR="00097593" w:rsidRPr="00F54106">
        <w:rPr>
          <w:rFonts w:cstheme="minorHAnsi"/>
          <w:shd w:val="clear" w:color="auto" w:fill="FFFFFF"/>
          <w:lang w:val="en-GB"/>
        </w:rPr>
        <w:t xml:space="preserve"> Leniency materials could previously be disclosed as a result of the CJEU’s ruling in </w:t>
      </w:r>
      <w:proofErr w:type="spellStart"/>
      <w:r w:rsidR="00097593" w:rsidRPr="00F54106">
        <w:rPr>
          <w:rFonts w:cstheme="minorHAnsi"/>
          <w:i/>
          <w:iCs/>
          <w:shd w:val="clear" w:color="auto" w:fill="FFFFFF"/>
          <w:lang w:val="en-GB"/>
        </w:rPr>
        <w:t>Pfleiderer</w:t>
      </w:r>
      <w:proofErr w:type="spellEnd"/>
      <w:r w:rsidR="00097593" w:rsidRPr="00F54106">
        <w:rPr>
          <w:rFonts w:cstheme="minorHAnsi"/>
          <w:i/>
          <w:iCs/>
          <w:shd w:val="clear" w:color="auto" w:fill="FFFFFF"/>
          <w:lang w:val="en-GB"/>
        </w:rPr>
        <w:t xml:space="preserve"> AG v </w:t>
      </w:r>
      <w:proofErr w:type="spellStart"/>
      <w:r w:rsidR="00097593" w:rsidRPr="00F54106">
        <w:rPr>
          <w:rFonts w:cstheme="minorHAnsi"/>
          <w:i/>
          <w:iCs/>
          <w:shd w:val="clear" w:color="auto" w:fill="FFFFFF"/>
          <w:lang w:val="en-GB"/>
        </w:rPr>
        <w:t>Bundeskartellamt</w:t>
      </w:r>
      <w:proofErr w:type="spellEnd"/>
      <w:r w:rsidR="00097593" w:rsidRPr="00F54106">
        <w:rPr>
          <w:rFonts w:cstheme="minorHAnsi"/>
          <w:shd w:val="clear" w:color="auto" w:fill="FFFFFF"/>
          <w:lang w:val="en-GB"/>
        </w:rPr>
        <w:t>, which specifies a balancing test to be made by national courts on a case-by-case basis</w:t>
      </w:r>
      <w:r w:rsidR="00167344" w:rsidRPr="00F54106">
        <w:rPr>
          <w:rFonts w:cstheme="minorHAnsi"/>
          <w:shd w:val="clear" w:color="auto" w:fill="FFFFFF"/>
          <w:lang w:val="en-GB"/>
        </w:rPr>
        <w:t>.</w:t>
      </w:r>
      <w:r w:rsidR="00097593" w:rsidRPr="00F54106">
        <w:rPr>
          <w:rStyle w:val="FootnoteReference"/>
          <w:rFonts w:cstheme="minorHAnsi"/>
          <w:shd w:val="clear" w:color="auto" w:fill="FFFFFF"/>
          <w:lang w:val="en-GB"/>
        </w:rPr>
        <w:footnoteReference w:id="248"/>
      </w:r>
      <w:r w:rsidR="00097593" w:rsidRPr="00F54106">
        <w:rPr>
          <w:rFonts w:cstheme="minorHAnsi"/>
          <w:shd w:val="clear" w:color="auto" w:fill="FFFFFF"/>
          <w:lang w:val="en-GB"/>
        </w:rPr>
        <w:t xml:space="preserve"> However, </w:t>
      </w:r>
      <w:r w:rsidR="00F548CA" w:rsidRPr="00F54106">
        <w:rPr>
          <w:rFonts w:cstheme="minorHAnsi"/>
          <w:shd w:val="clear" w:color="auto" w:fill="FFFFFF"/>
          <w:lang w:val="en-GB"/>
        </w:rPr>
        <w:t>a blanket ban on the disclosure of leniency statements was subsequently implemented through the Damages Directive under Article 6(6), and effectively takes away th</w:t>
      </w:r>
      <w:r w:rsidR="00097593" w:rsidRPr="00F54106">
        <w:rPr>
          <w:rFonts w:cstheme="minorHAnsi"/>
          <w:shd w:val="clear" w:color="auto" w:fill="FFFFFF"/>
          <w:lang w:val="en-GB"/>
        </w:rPr>
        <w:t xml:space="preserve">is </w:t>
      </w:r>
      <w:r w:rsidR="00F548CA" w:rsidRPr="00F54106">
        <w:rPr>
          <w:rFonts w:cstheme="minorHAnsi"/>
          <w:shd w:val="clear" w:color="auto" w:fill="FFFFFF"/>
          <w:lang w:val="en-GB"/>
        </w:rPr>
        <w:t>advantageous characteristic of the UK</w:t>
      </w:r>
      <w:r w:rsidR="00097593" w:rsidRPr="00F54106">
        <w:rPr>
          <w:rFonts w:cstheme="minorHAnsi"/>
          <w:shd w:val="clear" w:color="auto" w:fill="FFFFFF"/>
          <w:lang w:val="en-GB"/>
        </w:rPr>
        <w:t>.</w:t>
      </w:r>
    </w:p>
    <w:p w14:paraId="75F51523" w14:textId="77777777" w:rsidR="006D67F3" w:rsidRPr="00F54106" w:rsidRDefault="006D67F3" w:rsidP="006D67F3">
      <w:pPr>
        <w:spacing w:line="276" w:lineRule="auto"/>
        <w:rPr>
          <w:rFonts w:cstheme="minorHAnsi"/>
          <w:lang w:val="en-GB"/>
        </w:rPr>
      </w:pPr>
    </w:p>
    <w:p w14:paraId="5638E529" w14:textId="39EF077D" w:rsidR="006D67F3" w:rsidRPr="00F54106" w:rsidRDefault="001F001E" w:rsidP="001F001E">
      <w:pPr>
        <w:pStyle w:val="Heading3"/>
        <w:rPr>
          <w:lang w:val="en-GB"/>
        </w:rPr>
      </w:pPr>
      <w:bookmarkStart w:id="105" w:name="_Toc107610231"/>
      <w:r w:rsidRPr="00F54106">
        <w:rPr>
          <w:lang w:val="en-GB"/>
        </w:rPr>
        <w:t>2.2</w:t>
      </w:r>
      <w:r w:rsidR="006D67F3" w:rsidRPr="00F54106">
        <w:rPr>
          <w:lang w:val="en-GB"/>
        </w:rPr>
        <w:t>.5</w:t>
      </w:r>
      <w:r w:rsidR="002C36CD" w:rsidRPr="00F54106">
        <w:rPr>
          <w:lang w:val="en-GB"/>
        </w:rPr>
        <w:t xml:space="preserve"> The liberal approach of UK courts in a</w:t>
      </w:r>
      <w:r w:rsidR="006D67F3" w:rsidRPr="00F54106">
        <w:rPr>
          <w:lang w:val="en-GB"/>
        </w:rPr>
        <w:t>dopting jurisdiction</w:t>
      </w:r>
      <w:bookmarkEnd w:id="105"/>
    </w:p>
    <w:p w14:paraId="5FBC4310" w14:textId="4257A616" w:rsidR="006D67F3" w:rsidRPr="00F54106" w:rsidRDefault="006D67F3" w:rsidP="006D67F3">
      <w:pPr>
        <w:spacing w:line="276" w:lineRule="auto"/>
        <w:rPr>
          <w:rFonts w:cstheme="minorHAnsi"/>
          <w:lang w:val="en-GB"/>
        </w:rPr>
      </w:pPr>
      <w:r w:rsidRPr="00F54106">
        <w:rPr>
          <w:rFonts w:cstheme="minorHAnsi"/>
          <w:lang w:val="en-GB"/>
        </w:rPr>
        <w:t>Claimants in the UK have been successful in obtaining English jurisdiction in several cases even though none of the cartelists addressed by the Commission’s decision was domiciled in the UK.</w:t>
      </w:r>
      <w:r w:rsidRPr="00F54106">
        <w:rPr>
          <w:rStyle w:val="FootnoteReference"/>
          <w:rFonts w:cstheme="minorHAnsi"/>
          <w:lang w:val="en-GB"/>
        </w:rPr>
        <w:footnoteReference w:id="249"/>
      </w:r>
      <w:r w:rsidRPr="00F54106">
        <w:rPr>
          <w:rFonts w:cstheme="minorHAnsi"/>
          <w:lang w:val="en-GB"/>
        </w:rPr>
        <w:t xml:space="preserve"> As a result, it is argued that English courts have been liberal in their approach to jurisdiction</w:t>
      </w:r>
      <w:r w:rsidRPr="00F54106">
        <w:rPr>
          <w:rStyle w:val="FootnoteReference"/>
          <w:rFonts w:cstheme="minorHAnsi"/>
          <w:lang w:val="en-GB"/>
        </w:rPr>
        <w:footnoteReference w:id="250"/>
      </w:r>
      <w:r w:rsidRPr="00F54106">
        <w:rPr>
          <w:rFonts w:cstheme="minorHAnsi"/>
          <w:lang w:val="en-GB"/>
        </w:rPr>
        <w:t xml:space="preserve"> under the recast Brussels I Regulation (Brussels I).</w:t>
      </w:r>
      <w:r w:rsidRPr="00F54106">
        <w:rPr>
          <w:rStyle w:val="FootnoteReference"/>
          <w:rFonts w:cstheme="minorHAnsi"/>
          <w:lang w:val="en-GB"/>
        </w:rPr>
        <w:footnoteReference w:id="251"/>
      </w:r>
      <w:r w:rsidRPr="00F54106">
        <w:rPr>
          <w:rFonts w:cstheme="minorHAnsi"/>
          <w:lang w:val="en-GB"/>
        </w:rPr>
        <w:t xml:space="preserve"> In general, a claim needs to be brought before the courts of the Member State in which the undertaking is domiciled,</w:t>
      </w:r>
      <w:r w:rsidRPr="00F54106">
        <w:rPr>
          <w:rStyle w:val="FootnoteReference"/>
          <w:rFonts w:cstheme="minorHAnsi"/>
          <w:lang w:val="en-GB"/>
        </w:rPr>
        <w:footnoteReference w:id="252"/>
      </w:r>
      <w:r w:rsidRPr="00F54106">
        <w:rPr>
          <w:rFonts w:cstheme="minorHAnsi"/>
          <w:lang w:val="en-GB"/>
        </w:rPr>
        <w:t xml:space="preserve"> but this is subject to exceptions. Importantly, England is established as an “international commercial hub” where almost all large undertakings will have a subsidiary or engage in business activities, which increases the likelihood that jurisdiction will be adopted under the exceptions of Brussels I.</w:t>
      </w:r>
      <w:r w:rsidRPr="00F54106">
        <w:rPr>
          <w:rStyle w:val="FootnoteReference"/>
          <w:rFonts w:cstheme="minorHAnsi"/>
          <w:lang w:val="en-GB"/>
        </w:rPr>
        <w:footnoteReference w:id="253"/>
      </w:r>
      <w:r w:rsidRPr="00F54106">
        <w:rPr>
          <w:rFonts w:cstheme="minorHAnsi"/>
          <w:lang w:val="en-GB"/>
        </w:rPr>
        <w:t xml:space="preserve"> Moreover, it is argued that the CJEU’s judgement in CDC Hydrogen Peroxide with respect to the exceptions in Articles 7(2) and 8(1) of Brussels I has potentially </w:t>
      </w:r>
      <w:r w:rsidRPr="00F54106">
        <w:rPr>
          <w:rFonts w:cstheme="minorHAnsi"/>
          <w:lang w:val="en-GB"/>
        </w:rPr>
        <w:lastRenderedPageBreak/>
        <w:t>further encouraged claimants to trial at English courts. This is because the CJEU held that the “so closely connected” criterium under Article 8(1) of Brussels I is fulfilled when cartel members have “participated in different places at different times”,</w:t>
      </w:r>
      <w:r w:rsidRPr="00F54106">
        <w:rPr>
          <w:rStyle w:val="FootnoteReference"/>
          <w:rFonts w:cstheme="minorHAnsi"/>
          <w:lang w:val="en-GB"/>
        </w:rPr>
        <w:footnoteReference w:id="254"/>
      </w:r>
      <w:r w:rsidRPr="00F54106">
        <w:rPr>
          <w:rFonts w:cstheme="minorHAnsi"/>
          <w:lang w:val="en-GB"/>
        </w:rPr>
        <w:t xml:space="preserve"> and, in relation to the interpretation of art.7(2), the CJEU held that “the place where the damage occurred” is in general the “victim’s registered office” and that an "undertaking" could recover “the whole of the loss inflicted upon [it]” in that place”.</w:t>
      </w:r>
      <w:r w:rsidRPr="00F54106">
        <w:rPr>
          <w:rStyle w:val="FootnoteReference"/>
          <w:rFonts w:cstheme="minorHAnsi"/>
          <w:lang w:val="en-GB"/>
        </w:rPr>
        <w:footnoteReference w:id="255"/>
      </w:r>
      <w:r w:rsidRPr="00F54106">
        <w:rPr>
          <w:rFonts w:cstheme="minorHAnsi"/>
          <w:lang w:val="en-GB"/>
        </w:rPr>
        <w:t xml:space="preserve"> As a result, antitrust damages claims are facilitated as jurisdiction under Brussels I can be established with relatively little effort in the UK,</w:t>
      </w:r>
      <w:r w:rsidRPr="00F54106">
        <w:rPr>
          <w:rStyle w:val="FootnoteReference"/>
          <w:rFonts w:cstheme="minorHAnsi"/>
          <w:lang w:val="en-GB"/>
        </w:rPr>
        <w:footnoteReference w:id="256"/>
      </w:r>
      <w:r w:rsidRPr="00F54106">
        <w:rPr>
          <w:rFonts w:cstheme="minorHAnsi"/>
          <w:lang w:val="en-GB"/>
        </w:rPr>
        <w:t xml:space="preserve"> but this may have become different following the Brexit.</w:t>
      </w:r>
      <w:r w:rsidR="008C5347" w:rsidRPr="00F54106">
        <w:rPr>
          <w:rStyle w:val="FootnoteReference"/>
          <w:rFonts w:cstheme="minorHAnsi"/>
          <w:lang w:val="en-GB"/>
        </w:rPr>
        <w:footnoteReference w:id="257"/>
      </w:r>
    </w:p>
    <w:p w14:paraId="2F885A9C" w14:textId="77777777" w:rsidR="00502E64" w:rsidRPr="00F54106" w:rsidRDefault="00502E64" w:rsidP="00FC31D7">
      <w:pPr>
        <w:spacing w:line="276" w:lineRule="auto"/>
        <w:rPr>
          <w:rFonts w:cstheme="minorHAnsi"/>
          <w:b/>
          <w:bCs/>
          <w:lang w:val="en-GB"/>
        </w:rPr>
      </w:pPr>
    </w:p>
    <w:p w14:paraId="131BD8B4" w14:textId="7604C359" w:rsidR="00CF27CA" w:rsidRPr="00F54106" w:rsidRDefault="001F001E" w:rsidP="001F001E">
      <w:pPr>
        <w:pStyle w:val="Heading3"/>
        <w:rPr>
          <w:lang w:val="en-GB"/>
        </w:rPr>
      </w:pPr>
      <w:bookmarkStart w:id="111" w:name="_Toc107610232"/>
      <w:r w:rsidRPr="00F54106">
        <w:rPr>
          <w:lang w:val="en-GB"/>
        </w:rPr>
        <w:t>2.2</w:t>
      </w:r>
      <w:r w:rsidR="00CF27CA" w:rsidRPr="00F54106">
        <w:rPr>
          <w:lang w:val="en-GB"/>
        </w:rPr>
        <w:t>.</w:t>
      </w:r>
      <w:r w:rsidR="00FF058F" w:rsidRPr="00F54106">
        <w:rPr>
          <w:lang w:val="en-GB"/>
        </w:rPr>
        <w:t>6</w:t>
      </w:r>
      <w:r w:rsidR="00753B59" w:rsidRPr="00F54106">
        <w:rPr>
          <w:lang w:val="en-GB"/>
        </w:rPr>
        <w:t xml:space="preserve"> </w:t>
      </w:r>
      <w:r w:rsidR="00B26D73" w:rsidRPr="00F54106">
        <w:rPr>
          <w:lang w:val="en-GB"/>
        </w:rPr>
        <w:t>The availability of l</w:t>
      </w:r>
      <w:r w:rsidR="00E73FF8" w:rsidRPr="00F54106">
        <w:rPr>
          <w:lang w:val="en-GB"/>
        </w:rPr>
        <w:t xml:space="preserve">itigation </w:t>
      </w:r>
      <w:r w:rsidR="00B26D73" w:rsidRPr="00F54106">
        <w:rPr>
          <w:lang w:val="en-GB"/>
        </w:rPr>
        <w:t>f</w:t>
      </w:r>
      <w:r w:rsidR="00E73FF8" w:rsidRPr="00F54106">
        <w:rPr>
          <w:lang w:val="en-GB"/>
        </w:rPr>
        <w:t>inance</w:t>
      </w:r>
      <w:r w:rsidR="00B26D73" w:rsidRPr="00F54106">
        <w:rPr>
          <w:lang w:val="en-GB"/>
        </w:rPr>
        <w:t xml:space="preserve"> in the UK</w:t>
      </w:r>
      <w:bookmarkEnd w:id="111"/>
    </w:p>
    <w:p w14:paraId="34786304" w14:textId="0BEF78C2" w:rsidR="00AB29F5" w:rsidRPr="00F54106" w:rsidRDefault="00E73FF8" w:rsidP="00FC31D7">
      <w:pPr>
        <w:spacing w:line="276" w:lineRule="auto"/>
        <w:rPr>
          <w:rFonts w:cstheme="minorHAnsi"/>
          <w:lang w:val="en-GB"/>
        </w:rPr>
      </w:pPr>
      <w:r w:rsidRPr="00F54106">
        <w:rPr>
          <w:rFonts w:cstheme="minorHAnsi"/>
          <w:lang w:val="en-GB"/>
        </w:rPr>
        <w:t xml:space="preserve">Litigation finance </w:t>
      </w:r>
      <w:r w:rsidR="00816E53" w:rsidRPr="00F54106">
        <w:rPr>
          <w:rFonts w:cstheme="minorHAnsi"/>
          <w:lang w:val="en-GB"/>
        </w:rPr>
        <w:t>may shift</w:t>
      </w:r>
      <w:r w:rsidRPr="00F54106">
        <w:rPr>
          <w:rFonts w:cstheme="minorHAnsi"/>
          <w:lang w:val="en-GB"/>
        </w:rPr>
        <w:t xml:space="preserve"> the costs of paying legal fees and expenses from the claimant to the funder</w:t>
      </w:r>
      <w:r w:rsidR="00E27656" w:rsidRPr="00F54106">
        <w:rPr>
          <w:rFonts w:cstheme="minorHAnsi"/>
          <w:lang w:val="en-GB"/>
        </w:rPr>
        <w:t xml:space="preserve"> and is said to be easy to obtain in the UK compared to other jurisdictions.</w:t>
      </w:r>
      <w:r w:rsidR="00E27656" w:rsidRPr="00F54106">
        <w:rPr>
          <w:rStyle w:val="FootnoteReference"/>
          <w:rFonts w:cstheme="minorHAnsi"/>
          <w:lang w:val="en-GB"/>
        </w:rPr>
        <w:footnoteReference w:id="258"/>
      </w:r>
      <w:r w:rsidR="00E27656" w:rsidRPr="00F54106">
        <w:rPr>
          <w:rFonts w:cstheme="minorHAnsi"/>
          <w:lang w:val="en-GB"/>
        </w:rPr>
        <w:t xml:space="preserve"> </w:t>
      </w:r>
      <w:r w:rsidR="0036648A" w:rsidRPr="00F54106">
        <w:rPr>
          <w:rFonts w:cstheme="minorHAnsi"/>
          <w:lang w:val="en-GB"/>
        </w:rPr>
        <w:t>T</w:t>
      </w:r>
      <w:r w:rsidR="003B324E" w:rsidRPr="00F54106">
        <w:rPr>
          <w:rFonts w:cstheme="minorHAnsi"/>
          <w:lang w:val="en-GB"/>
        </w:rPr>
        <w:t xml:space="preserve">he characteristics of </w:t>
      </w:r>
      <w:r w:rsidR="00E27656" w:rsidRPr="00F54106">
        <w:rPr>
          <w:rFonts w:cstheme="minorHAnsi"/>
          <w:lang w:val="en-GB"/>
        </w:rPr>
        <w:t xml:space="preserve">specialized </w:t>
      </w:r>
      <w:r w:rsidR="003B324E" w:rsidRPr="00F54106">
        <w:rPr>
          <w:rFonts w:cstheme="minorHAnsi"/>
          <w:lang w:val="en-GB"/>
        </w:rPr>
        <w:t>litigation financing firms</w:t>
      </w:r>
      <w:r w:rsidR="0036648A" w:rsidRPr="00F54106">
        <w:rPr>
          <w:rFonts w:cstheme="minorHAnsi"/>
          <w:lang w:val="en-GB"/>
        </w:rPr>
        <w:t xml:space="preserve"> also have several advantages</w:t>
      </w:r>
      <w:r w:rsidR="00C43720">
        <w:rPr>
          <w:rFonts w:cstheme="minorHAnsi"/>
          <w:lang w:val="en-GB"/>
        </w:rPr>
        <w:t>. In this respect,</w:t>
      </w:r>
      <w:r w:rsidR="0036648A" w:rsidRPr="00F54106">
        <w:rPr>
          <w:rFonts w:cstheme="minorHAnsi"/>
          <w:lang w:val="en-GB"/>
        </w:rPr>
        <w:t xml:space="preserve"> t</w:t>
      </w:r>
      <w:r w:rsidR="003B324E" w:rsidRPr="00F54106">
        <w:rPr>
          <w:rFonts w:cstheme="minorHAnsi"/>
          <w:lang w:val="en-GB"/>
        </w:rPr>
        <w:t>hese firms often employ</w:t>
      </w:r>
      <w:r w:rsidR="00095D47" w:rsidRPr="00F54106">
        <w:rPr>
          <w:rFonts w:cstheme="minorHAnsi"/>
          <w:lang w:val="en-GB"/>
        </w:rPr>
        <w:t xml:space="preserve"> </w:t>
      </w:r>
      <w:r w:rsidR="008A3CA4" w:rsidRPr="00F54106">
        <w:rPr>
          <w:rFonts w:cstheme="minorHAnsi"/>
          <w:lang w:val="en-GB"/>
        </w:rPr>
        <w:t>conditional fee agreements</w:t>
      </w:r>
      <w:r w:rsidR="00095D47" w:rsidRPr="00F54106">
        <w:rPr>
          <w:rFonts w:cstheme="minorHAnsi"/>
          <w:lang w:val="en-GB"/>
        </w:rPr>
        <w:t xml:space="preserve"> or damages based agreements,</w:t>
      </w:r>
      <w:r w:rsidR="00095D47" w:rsidRPr="00F54106">
        <w:rPr>
          <w:rStyle w:val="FootnoteReference"/>
          <w:rFonts w:cstheme="minorHAnsi"/>
          <w:lang w:val="en-GB"/>
        </w:rPr>
        <w:footnoteReference w:id="259"/>
      </w:r>
      <w:r w:rsidR="00095D47" w:rsidRPr="00F54106">
        <w:rPr>
          <w:rFonts w:cstheme="minorHAnsi"/>
          <w:lang w:val="en-GB"/>
        </w:rPr>
        <w:t xml:space="preserve"> also known as </w:t>
      </w:r>
      <w:r w:rsidR="00C31F4B" w:rsidRPr="00F54106">
        <w:rPr>
          <w:rFonts w:cstheme="minorHAnsi"/>
          <w:lang w:val="en-GB"/>
        </w:rPr>
        <w:t>“</w:t>
      </w:r>
      <w:r w:rsidR="00095D47" w:rsidRPr="00F54106">
        <w:rPr>
          <w:rFonts w:cstheme="minorHAnsi"/>
          <w:lang w:val="en-GB"/>
        </w:rPr>
        <w:t>no win, no fee</w:t>
      </w:r>
      <w:r w:rsidR="00C31F4B" w:rsidRPr="00F54106">
        <w:rPr>
          <w:rFonts w:cstheme="minorHAnsi"/>
          <w:lang w:val="en-GB"/>
        </w:rPr>
        <w:t>”</w:t>
      </w:r>
      <w:r w:rsidR="00095D47" w:rsidRPr="00F54106">
        <w:rPr>
          <w:rFonts w:cstheme="minorHAnsi"/>
          <w:lang w:val="en-GB"/>
        </w:rPr>
        <w:t xml:space="preserve"> agreements</w:t>
      </w:r>
      <w:r w:rsidR="008A3CA4" w:rsidRPr="00F54106">
        <w:rPr>
          <w:rFonts w:cstheme="minorHAnsi"/>
          <w:lang w:val="en-GB"/>
        </w:rPr>
        <w:t>, where the former refers to</w:t>
      </w:r>
      <w:r w:rsidR="00816E53" w:rsidRPr="00F54106">
        <w:rPr>
          <w:rFonts w:cstheme="minorHAnsi"/>
          <w:lang w:val="en-GB"/>
        </w:rPr>
        <w:t xml:space="preserve"> paying a </w:t>
      </w:r>
      <w:r w:rsidR="008A3CA4" w:rsidRPr="00F54106">
        <w:rPr>
          <w:rFonts w:cstheme="minorHAnsi"/>
          <w:lang w:val="en-GB"/>
        </w:rPr>
        <w:t>percentage</w:t>
      </w:r>
      <w:r w:rsidR="00816E53" w:rsidRPr="00F54106">
        <w:rPr>
          <w:rFonts w:cstheme="minorHAnsi"/>
          <w:lang w:val="en-GB"/>
        </w:rPr>
        <w:t xml:space="preserve"> of the recovered damages</w:t>
      </w:r>
      <w:r w:rsidR="008A3CA4" w:rsidRPr="00F54106">
        <w:rPr>
          <w:rFonts w:cstheme="minorHAnsi"/>
          <w:lang w:val="en-GB"/>
        </w:rPr>
        <w:t xml:space="preserve"> if the claim is successful, while the latter refers to </w:t>
      </w:r>
      <w:r w:rsidR="005374DD" w:rsidRPr="00F54106">
        <w:rPr>
          <w:rFonts w:cstheme="minorHAnsi"/>
          <w:lang w:val="en-GB"/>
        </w:rPr>
        <w:t xml:space="preserve">a </w:t>
      </w:r>
      <w:r w:rsidR="00350D3B" w:rsidRPr="00F54106">
        <w:rPr>
          <w:rFonts w:cstheme="minorHAnsi"/>
          <w:lang w:val="en-GB"/>
        </w:rPr>
        <w:t>pay</w:t>
      </w:r>
      <w:r w:rsidR="00FD65D1" w:rsidRPr="00F54106">
        <w:rPr>
          <w:rFonts w:cstheme="minorHAnsi"/>
          <w:lang w:val="en-GB"/>
        </w:rPr>
        <w:t>ing all or a part of the fees</w:t>
      </w:r>
      <w:r w:rsidR="005374DD" w:rsidRPr="00F54106">
        <w:rPr>
          <w:rFonts w:cstheme="minorHAnsi"/>
          <w:lang w:val="en-GB"/>
        </w:rPr>
        <w:t xml:space="preserve"> when the claim is successful.</w:t>
      </w:r>
      <w:r w:rsidR="007641FA" w:rsidRPr="00F54106">
        <w:rPr>
          <w:rStyle w:val="FootnoteReference"/>
          <w:rFonts w:cstheme="minorHAnsi"/>
          <w:lang w:val="en-GB"/>
        </w:rPr>
        <w:footnoteReference w:id="260"/>
      </w:r>
      <w:r w:rsidR="005374DD" w:rsidRPr="00F54106">
        <w:rPr>
          <w:rFonts w:cstheme="minorHAnsi"/>
          <w:lang w:val="en-GB"/>
        </w:rPr>
        <w:t xml:space="preserve"> </w:t>
      </w:r>
      <w:r w:rsidR="007641FA" w:rsidRPr="00F54106">
        <w:rPr>
          <w:rFonts w:cstheme="minorHAnsi"/>
          <w:lang w:val="en-GB"/>
        </w:rPr>
        <w:t xml:space="preserve">These </w:t>
      </w:r>
      <w:r w:rsidR="00095D47" w:rsidRPr="00F54106">
        <w:rPr>
          <w:rFonts w:cstheme="minorHAnsi"/>
          <w:lang w:val="en-GB"/>
        </w:rPr>
        <w:t>conditional fee agreements</w:t>
      </w:r>
      <w:r w:rsidR="007641FA" w:rsidRPr="00F54106">
        <w:rPr>
          <w:rFonts w:cstheme="minorHAnsi"/>
          <w:lang w:val="en-GB"/>
        </w:rPr>
        <w:t xml:space="preserve"> </w:t>
      </w:r>
      <w:r w:rsidR="00095D47" w:rsidRPr="00F54106">
        <w:rPr>
          <w:rFonts w:cstheme="minorHAnsi"/>
          <w:lang w:val="en-GB"/>
        </w:rPr>
        <w:t>have seen a considerable rise in popularity in the UK</w:t>
      </w:r>
      <w:r w:rsidR="00E03356" w:rsidRPr="00F54106">
        <w:rPr>
          <w:rFonts w:cstheme="minorHAnsi"/>
          <w:lang w:val="en-GB"/>
        </w:rPr>
        <w:t>,</w:t>
      </w:r>
      <w:r w:rsidR="00E03356" w:rsidRPr="00F54106">
        <w:rPr>
          <w:rStyle w:val="FootnoteReference"/>
          <w:rFonts w:cstheme="minorHAnsi"/>
          <w:lang w:val="en-GB"/>
        </w:rPr>
        <w:footnoteReference w:id="261"/>
      </w:r>
      <w:r w:rsidR="00E03356" w:rsidRPr="00F54106">
        <w:rPr>
          <w:rFonts w:cstheme="minorHAnsi"/>
          <w:lang w:val="en-GB"/>
        </w:rPr>
        <w:t xml:space="preserve"> while </w:t>
      </w:r>
      <w:r w:rsidR="00095D47" w:rsidRPr="00F54106">
        <w:rPr>
          <w:rFonts w:cstheme="minorHAnsi"/>
          <w:lang w:val="en-GB"/>
        </w:rPr>
        <w:t>the</w:t>
      </w:r>
      <w:r w:rsidR="00337237" w:rsidRPr="00F54106">
        <w:rPr>
          <w:rFonts w:cstheme="minorHAnsi"/>
          <w:lang w:val="en-GB"/>
        </w:rPr>
        <w:t xml:space="preserve"> implementation of the</w:t>
      </w:r>
      <w:r w:rsidR="00095D47" w:rsidRPr="00F54106">
        <w:rPr>
          <w:rFonts w:cstheme="minorHAnsi"/>
          <w:lang w:val="en-GB"/>
        </w:rPr>
        <w:t xml:space="preserve"> Damages</w:t>
      </w:r>
      <w:r w:rsidR="00E03356" w:rsidRPr="00F54106">
        <w:rPr>
          <w:rFonts w:cstheme="minorHAnsi"/>
          <w:lang w:val="en-GB"/>
        </w:rPr>
        <w:t>-</w:t>
      </w:r>
      <w:r w:rsidR="00095D47" w:rsidRPr="00F54106">
        <w:rPr>
          <w:rFonts w:cstheme="minorHAnsi"/>
          <w:lang w:val="en-GB"/>
        </w:rPr>
        <w:t>Based Ag</w:t>
      </w:r>
      <w:r w:rsidR="00337237" w:rsidRPr="00F54106">
        <w:rPr>
          <w:rFonts w:cstheme="minorHAnsi"/>
          <w:lang w:val="en-GB"/>
        </w:rPr>
        <w:t xml:space="preserve">reements Regulations 2013 </w:t>
      </w:r>
      <w:r w:rsidR="00DF1DD8">
        <w:rPr>
          <w:rFonts w:cstheme="minorHAnsi"/>
          <w:lang w:val="en-GB"/>
        </w:rPr>
        <w:t>is named to have</w:t>
      </w:r>
      <w:r w:rsidR="00337237" w:rsidRPr="00F54106">
        <w:rPr>
          <w:rFonts w:cstheme="minorHAnsi"/>
          <w:lang w:val="en-GB"/>
        </w:rPr>
        <w:t xml:space="preserve"> incentivized lawyers to attempt more risky and demanding cases</w:t>
      </w:r>
      <w:r w:rsidR="00E03356" w:rsidRPr="00F54106">
        <w:rPr>
          <w:rFonts w:cstheme="minorHAnsi"/>
          <w:lang w:val="en-GB"/>
        </w:rPr>
        <w:t xml:space="preserve"> as well</w:t>
      </w:r>
      <w:r w:rsidR="00337237" w:rsidRPr="00F54106">
        <w:rPr>
          <w:rFonts w:cstheme="minorHAnsi"/>
          <w:lang w:val="en-GB"/>
        </w:rPr>
        <w:t>.</w:t>
      </w:r>
      <w:r w:rsidR="00E03356" w:rsidRPr="00F54106">
        <w:rPr>
          <w:rStyle w:val="FootnoteReference"/>
          <w:rFonts w:cstheme="minorHAnsi"/>
          <w:lang w:val="en-GB"/>
        </w:rPr>
        <w:footnoteReference w:id="262"/>
      </w:r>
      <w:r w:rsidR="00095D47" w:rsidRPr="00F54106">
        <w:rPr>
          <w:rFonts w:cstheme="minorHAnsi"/>
          <w:lang w:val="en-GB"/>
        </w:rPr>
        <w:t xml:space="preserve"> </w:t>
      </w:r>
      <w:r w:rsidR="0036648A" w:rsidRPr="00F54106">
        <w:rPr>
          <w:rFonts w:cstheme="minorHAnsi"/>
          <w:lang w:val="en-GB"/>
        </w:rPr>
        <w:t xml:space="preserve">Moreover, the claimant law firms </w:t>
      </w:r>
      <w:r w:rsidR="00337237" w:rsidRPr="00F54106">
        <w:rPr>
          <w:rFonts w:cstheme="minorHAnsi"/>
          <w:lang w:val="en-GB"/>
        </w:rPr>
        <w:t xml:space="preserve">often </w:t>
      </w:r>
      <w:r w:rsidR="0036648A" w:rsidRPr="00F54106">
        <w:rPr>
          <w:rFonts w:cstheme="minorHAnsi"/>
          <w:lang w:val="en-GB"/>
        </w:rPr>
        <w:t>cooperate with other claimant law firms and are particularly engaged with the concept of competition law.</w:t>
      </w:r>
      <w:r w:rsidR="0036648A" w:rsidRPr="00F54106">
        <w:rPr>
          <w:rStyle w:val="FootnoteReference"/>
          <w:rFonts w:cstheme="minorHAnsi"/>
          <w:lang w:val="en-GB"/>
        </w:rPr>
        <w:footnoteReference w:id="263"/>
      </w:r>
      <w:r w:rsidR="008640B8" w:rsidRPr="00F54106">
        <w:rPr>
          <w:rFonts w:cstheme="minorHAnsi"/>
          <w:lang w:val="en-GB"/>
        </w:rPr>
        <w:t xml:space="preserve"> </w:t>
      </w:r>
      <w:r w:rsidR="00AB29F5" w:rsidRPr="00F54106">
        <w:rPr>
          <w:rFonts w:cstheme="minorHAnsi"/>
          <w:lang w:val="en-GB"/>
        </w:rPr>
        <w:t>Due to the fact that the High Court, the CAT and the UK Supreme Court are all located in London, almost all of these law firms are located in or close to London</w:t>
      </w:r>
      <w:r w:rsidR="00DF1DD8">
        <w:rPr>
          <w:rFonts w:cstheme="minorHAnsi"/>
          <w:lang w:val="en-GB"/>
        </w:rPr>
        <w:t xml:space="preserve">. This </w:t>
      </w:r>
      <w:r w:rsidR="00A60415">
        <w:rPr>
          <w:rFonts w:cstheme="minorHAnsi"/>
          <w:lang w:val="en-GB"/>
        </w:rPr>
        <w:t>also i</w:t>
      </w:r>
      <w:r w:rsidR="00DF1DD8">
        <w:rPr>
          <w:rFonts w:cstheme="minorHAnsi"/>
          <w:lang w:val="en-GB"/>
        </w:rPr>
        <w:t>ncludes</w:t>
      </w:r>
      <w:r w:rsidR="00AB29F5" w:rsidRPr="00F54106">
        <w:rPr>
          <w:rFonts w:cstheme="minorHAnsi"/>
          <w:lang w:val="en-GB"/>
        </w:rPr>
        <w:t xml:space="preserve"> </w:t>
      </w:r>
      <w:r w:rsidR="00A60415">
        <w:rPr>
          <w:rFonts w:cstheme="minorHAnsi"/>
          <w:lang w:val="en-GB"/>
        </w:rPr>
        <w:t>numerous</w:t>
      </w:r>
      <w:r w:rsidR="00AB29F5" w:rsidRPr="00F54106">
        <w:rPr>
          <w:rFonts w:cstheme="minorHAnsi"/>
          <w:lang w:val="en-GB"/>
        </w:rPr>
        <w:t xml:space="preserve"> US law firms that are able to apply their US expertise </w:t>
      </w:r>
      <w:r w:rsidR="00A60415">
        <w:rPr>
          <w:rFonts w:cstheme="minorHAnsi"/>
          <w:lang w:val="en-GB"/>
        </w:rPr>
        <w:t>to</w:t>
      </w:r>
      <w:r w:rsidR="00AB29F5" w:rsidRPr="00F54106">
        <w:rPr>
          <w:rFonts w:cstheme="minorHAnsi"/>
          <w:lang w:val="en-GB"/>
        </w:rPr>
        <w:t xml:space="preserve"> the UK venue and ha</w:t>
      </w:r>
      <w:r w:rsidR="00A60415">
        <w:rPr>
          <w:rFonts w:cstheme="minorHAnsi"/>
          <w:lang w:val="en-GB"/>
        </w:rPr>
        <w:t>d</w:t>
      </w:r>
      <w:r w:rsidR="00AB29F5" w:rsidRPr="00F54106">
        <w:rPr>
          <w:rFonts w:cstheme="minorHAnsi"/>
          <w:lang w:val="en-GB"/>
        </w:rPr>
        <w:t xml:space="preserve"> entered the European Union through </w:t>
      </w:r>
      <w:r w:rsidR="00AB29F5" w:rsidRPr="00F54106">
        <w:rPr>
          <w:rFonts w:cstheme="minorHAnsi"/>
          <w:lang w:val="en-GB"/>
        </w:rPr>
        <w:lastRenderedPageBreak/>
        <w:t>the UK because of its English rules and proceedings.</w:t>
      </w:r>
      <w:r w:rsidR="00AB29F5" w:rsidRPr="00F54106">
        <w:rPr>
          <w:rStyle w:val="FootnoteReference"/>
          <w:rFonts w:cstheme="minorHAnsi"/>
          <w:lang w:val="en-GB"/>
        </w:rPr>
        <w:footnoteReference w:id="264"/>
      </w:r>
      <w:r w:rsidR="00AC4E74" w:rsidRPr="00F54106">
        <w:rPr>
          <w:rFonts w:cstheme="minorHAnsi"/>
          <w:lang w:val="en-GB"/>
        </w:rPr>
        <w:t xml:space="preserve"> In this respect, the use of the English language is mentioned as a “natural advantage” of the UK as </w:t>
      </w:r>
      <w:r w:rsidR="000B56F6" w:rsidRPr="00F54106">
        <w:rPr>
          <w:rFonts w:cstheme="minorHAnsi"/>
          <w:lang w:val="en-GB"/>
        </w:rPr>
        <w:t>all related parties will have a sufficient understanding of the legal terms and jargon, while translations are redundant as well.</w:t>
      </w:r>
      <w:r w:rsidR="000B56F6" w:rsidRPr="00F54106">
        <w:rPr>
          <w:rStyle w:val="FootnoteReference"/>
          <w:rFonts w:cstheme="minorHAnsi"/>
          <w:lang w:val="en-GB"/>
        </w:rPr>
        <w:footnoteReference w:id="265"/>
      </w:r>
      <w:r w:rsidR="00141A0E" w:rsidRPr="00F54106">
        <w:rPr>
          <w:rFonts w:cstheme="minorHAnsi"/>
          <w:lang w:val="en-GB"/>
        </w:rPr>
        <w:t xml:space="preserve"> </w:t>
      </w:r>
    </w:p>
    <w:p w14:paraId="53A5A09B" w14:textId="77777777" w:rsidR="00A60415" w:rsidRDefault="00CD4C47" w:rsidP="00FC31D7">
      <w:pPr>
        <w:spacing w:line="276" w:lineRule="auto"/>
        <w:ind w:firstLine="720"/>
        <w:rPr>
          <w:rFonts w:cstheme="minorHAnsi"/>
          <w:lang w:val="en-GB"/>
        </w:rPr>
      </w:pPr>
      <w:r w:rsidRPr="00F54106">
        <w:rPr>
          <w:rFonts w:cstheme="minorHAnsi"/>
          <w:lang w:val="en-GB"/>
        </w:rPr>
        <w:t xml:space="preserve">However, </w:t>
      </w:r>
      <w:r w:rsidR="00BB7CB6" w:rsidRPr="00F54106">
        <w:rPr>
          <w:rFonts w:cstheme="minorHAnsi"/>
          <w:lang w:val="en-GB"/>
        </w:rPr>
        <w:t xml:space="preserve">section 47c(8) of the Competition Act 1998 states that “a damages-based agreement is unenforceable if it relates to opt-out collective proceedings”, which </w:t>
      </w:r>
      <w:r w:rsidR="00574F48" w:rsidRPr="00F54106">
        <w:rPr>
          <w:rFonts w:cstheme="minorHAnsi"/>
          <w:lang w:val="en-GB"/>
        </w:rPr>
        <w:t xml:space="preserve">is said to possibly </w:t>
      </w:r>
      <w:r w:rsidR="00BB7CB6" w:rsidRPr="00F54106">
        <w:rPr>
          <w:rFonts w:cstheme="minorHAnsi"/>
          <w:lang w:val="en-GB"/>
        </w:rPr>
        <w:t>create difficulties in how third party funding will be available in opt-out collective proceedings.</w:t>
      </w:r>
      <w:r w:rsidR="00574F48" w:rsidRPr="00F54106">
        <w:rPr>
          <w:rStyle w:val="FootnoteReference"/>
          <w:rFonts w:cstheme="minorHAnsi"/>
          <w:lang w:val="en-GB"/>
        </w:rPr>
        <w:footnoteReference w:id="266"/>
      </w:r>
      <w:r w:rsidR="00574F48" w:rsidRPr="00F54106">
        <w:rPr>
          <w:rFonts w:cstheme="minorHAnsi"/>
          <w:lang w:val="en-GB"/>
        </w:rPr>
        <w:t xml:space="preserve"> </w:t>
      </w:r>
      <w:r w:rsidR="0006067B" w:rsidRPr="00F54106">
        <w:rPr>
          <w:rFonts w:cstheme="minorHAnsi"/>
          <w:lang w:val="en-GB"/>
        </w:rPr>
        <w:t>However, t</w:t>
      </w:r>
      <w:r w:rsidR="00A8034C" w:rsidRPr="00F54106">
        <w:rPr>
          <w:rFonts w:cstheme="minorHAnsi"/>
          <w:lang w:val="en-GB"/>
        </w:rPr>
        <w:t xml:space="preserve">he 2017 Judgement of the CAT in </w:t>
      </w:r>
      <w:bookmarkStart w:id="112" w:name="_Hlk107445940"/>
      <w:proofErr w:type="spellStart"/>
      <w:r w:rsidR="00A8034C" w:rsidRPr="00F54106">
        <w:rPr>
          <w:rFonts w:cstheme="minorHAnsi"/>
          <w:i/>
          <w:iCs/>
          <w:lang w:val="en-GB"/>
        </w:rPr>
        <w:t>Merricks</w:t>
      </w:r>
      <w:proofErr w:type="spellEnd"/>
      <w:r w:rsidR="00A8034C" w:rsidRPr="00F54106">
        <w:rPr>
          <w:rFonts w:cstheme="minorHAnsi"/>
          <w:i/>
          <w:iCs/>
          <w:lang w:val="en-GB"/>
        </w:rPr>
        <w:t xml:space="preserve"> v Mastercard </w:t>
      </w:r>
      <w:bookmarkEnd w:id="112"/>
      <w:r w:rsidR="0006067B" w:rsidRPr="00F54106">
        <w:rPr>
          <w:rFonts w:cstheme="minorHAnsi"/>
          <w:lang w:val="en-GB"/>
        </w:rPr>
        <w:t>is said to have</w:t>
      </w:r>
      <w:r w:rsidR="0006067B" w:rsidRPr="00F54106">
        <w:rPr>
          <w:rFonts w:cstheme="minorHAnsi"/>
          <w:i/>
          <w:iCs/>
          <w:lang w:val="en-GB"/>
        </w:rPr>
        <w:t xml:space="preserve"> </w:t>
      </w:r>
      <w:r w:rsidR="0006067B" w:rsidRPr="00F54106">
        <w:rPr>
          <w:rFonts w:cstheme="minorHAnsi"/>
          <w:lang w:val="en-GB"/>
        </w:rPr>
        <w:t>eased the recovery of ATE premiums and success fees from a losing defendant</w:t>
      </w:r>
      <w:r w:rsidR="00A60415">
        <w:rPr>
          <w:rFonts w:cstheme="minorHAnsi"/>
          <w:lang w:val="en-GB"/>
        </w:rPr>
        <w:t>.</w:t>
      </w:r>
      <w:r w:rsidR="0006067B" w:rsidRPr="00F54106">
        <w:rPr>
          <w:rStyle w:val="FootnoteReference"/>
          <w:rFonts w:cstheme="minorHAnsi"/>
          <w:lang w:val="en-GB"/>
        </w:rPr>
        <w:footnoteReference w:id="267"/>
      </w:r>
      <w:r w:rsidR="0006067B" w:rsidRPr="00F54106">
        <w:rPr>
          <w:rFonts w:cstheme="minorHAnsi"/>
          <w:lang w:val="en-GB"/>
        </w:rPr>
        <w:t xml:space="preserve"> </w:t>
      </w:r>
      <w:r w:rsidR="00A60415">
        <w:rPr>
          <w:rFonts w:cstheme="minorHAnsi"/>
          <w:lang w:val="en-GB"/>
        </w:rPr>
        <w:t>Furthermore, it was</w:t>
      </w:r>
      <w:r w:rsidR="0006067B" w:rsidRPr="00F54106">
        <w:rPr>
          <w:rFonts w:cstheme="minorHAnsi"/>
          <w:lang w:val="en-GB"/>
        </w:rPr>
        <w:t xml:space="preserve"> re</w:t>
      </w:r>
      <w:r w:rsidR="00A8034C" w:rsidRPr="00F54106">
        <w:rPr>
          <w:rFonts w:cstheme="minorHAnsi"/>
          <w:lang w:val="en-GB"/>
        </w:rPr>
        <w:t xml:space="preserve">cognized that third party funding was essential </w:t>
      </w:r>
      <w:r w:rsidR="0006067B" w:rsidRPr="00F54106">
        <w:rPr>
          <w:rFonts w:cstheme="minorHAnsi"/>
          <w:lang w:val="en-GB"/>
        </w:rPr>
        <w:t xml:space="preserve">as it </w:t>
      </w:r>
      <w:r w:rsidR="008667C4" w:rsidRPr="00F54106">
        <w:rPr>
          <w:rFonts w:cstheme="minorHAnsi"/>
          <w:lang w:val="en-GB"/>
        </w:rPr>
        <w:t xml:space="preserve">held </w:t>
      </w:r>
      <w:r w:rsidR="007C394B" w:rsidRPr="00F54106">
        <w:rPr>
          <w:rFonts w:cstheme="minorHAnsi"/>
          <w:lang w:val="en-GB"/>
        </w:rPr>
        <w:t>that</w:t>
      </w:r>
      <w:r w:rsidR="00A8034C" w:rsidRPr="00F54106">
        <w:rPr>
          <w:rFonts w:cstheme="minorHAnsi"/>
          <w:i/>
          <w:iCs/>
          <w:lang w:val="en-GB"/>
        </w:rPr>
        <w:t xml:space="preserve"> </w:t>
      </w:r>
      <w:r w:rsidR="007C394B" w:rsidRPr="00F54106">
        <w:rPr>
          <w:rFonts w:cstheme="minorHAnsi"/>
          <w:lang w:val="en-GB"/>
        </w:rPr>
        <w:t>“</w:t>
      </w:r>
      <w:r w:rsidR="005367B8" w:rsidRPr="00F54106">
        <w:rPr>
          <w:rFonts w:cstheme="minorHAnsi"/>
          <w:lang w:val="en-GB"/>
        </w:rPr>
        <w:t>many collective actions would be dependent on third party funding, and it is self-evident that this could not be achieved unless the class representative incurred a conditional liability for the funder’s costs, which could be discharged through recovery out of the unclaimed damages”</w:t>
      </w:r>
      <w:r w:rsidR="0006067B" w:rsidRPr="00F54106">
        <w:rPr>
          <w:rFonts w:cstheme="minorHAnsi"/>
          <w:lang w:val="en-GB"/>
        </w:rPr>
        <w:t>.</w:t>
      </w:r>
      <w:r w:rsidR="005367B8" w:rsidRPr="00F54106">
        <w:rPr>
          <w:rStyle w:val="FootnoteReference"/>
          <w:rFonts w:cstheme="minorHAnsi"/>
          <w:lang w:val="en-GB"/>
        </w:rPr>
        <w:footnoteReference w:id="268"/>
      </w:r>
      <w:r w:rsidR="007C394B" w:rsidRPr="00F54106">
        <w:rPr>
          <w:rFonts w:cstheme="minorHAnsi"/>
          <w:lang w:val="en-GB"/>
        </w:rPr>
        <w:t xml:space="preserve"> </w:t>
      </w:r>
      <w:r w:rsidR="0006067B" w:rsidRPr="00F54106">
        <w:rPr>
          <w:rFonts w:cstheme="minorHAnsi"/>
          <w:lang w:val="en-GB"/>
        </w:rPr>
        <w:t>In addition,</w:t>
      </w:r>
      <w:r w:rsidR="001502F8" w:rsidRPr="00F54106">
        <w:rPr>
          <w:rFonts w:cstheme="minorHAnsi"/>
          <w:lang w:val="en-GB"/>
        </w:rPr>
        <w:t xml:space="preserve"> </w:t>
      </w:r>
      <w:r w:rsidR="005E48FC" w:rsidRPr="00F54106">
        <w:rPr>
          <w:rFonts w:cstheme="minorHAnsi"/>
          <w:lang w:val="en-GB"/>
        </w:rPr>
        <w:t>two arrangement</w:t>
      </w:r>
      <w:r w:rsidR="0099380D" w:rsidRPr="00F54106">
        <w:rPr>
          <w:rFonts w:cstheme="minorHAnsi"/>
          <w:lang w:val="en-GB"/>
        </w:rPr>
        <w:t>s</w:t>
      </w:r>
      <w:r w:rsidR="005E48FC" w:rsidRPr="00F54106">
        <w:rPr>
          <w:rFonts w:cstheme="minorHAnsi"/>
          <w:lang w:val="en-GB"/>
        </w:rPr>
        <w:t xml:space="preserve"> for fees in opt-out collective proceedings have been established</w:t>
      </w:r>
      <w:r w:rsidR="001502F8" w:rsidRPr="00F54106">
        <w:rPr>
          <w:rFonts w:cstheme="minorHAnsi"/>
          <w:lang w:val="en-GB"/>
        </w:rPr>
        <w:t>,</w:t>
      </w:r>
      <w:r w:rsidR="005E48FC" w:rsidRPr="00F54106">
        <w:rPr>
          <w:rStyle w:val="FootnoteReference"/>
          <w:rFonts w:cstheme="minorHAnsi"/>
          <w:lang w:val="en-GB"/>
        </w:rPr>
        <w:footnoteReference w:id="269"/>
      </w:r>
      <w:r w:rsidR="001502F8" w:rsidRPr="00F54106">
        <w:rPr>
          <w:rFonts w:cstheme="minorHAnsi"/>
          <w:lang w:val="en-GB"/>
        </w:rPr>
        <w:t xml:space="preserve"> </w:t>
      </w:r>
      <w:r w:rsidR="0012363F" w:rsidRPr="00F54106">
        <w:rPr>
          <w:rFonts w:cstheme="minorHAnsi"/>
          <w:lang w:val="en-GB"/>
        </w:rPr>
        <w:t>while</w:t>
      </w:r>
      <w:r w:rsidR="0006067B" w:rsidRPr="00F54106">
        <w:rPr>
          <w:rFonts w:cstheme="minorHAnsi"/>
          <w:lang w:val="en-GB"/>
        </w:rPr>
        <w:t xml:space="preserve"> t</w:t>
      </w:r>
      <w:r w:rsidR="008667C4" w:rsidRPr="00F54106">
        <w:rPr>
          <w:rFonts w:cstheme="minorHAnsi"/>
          <w:lang w:val="en-GB"/>
        </w:rPr>
        <w:t xml:space="preserve">he ruling </w:t>
      </w:r>
      <w:r w:rsidR="00DB52EC" w:rsidRPr="00F54106">
        <w:rPr>
          <w:rFonts w:cstheme="minorHAnsi"/>
          <w:lang w:val="en-GB"/>
        </w:rPr>
        <w:t xml:space="preserve">on costs </w:t>
      </w:r>
      <w:r w:rsidR="008667C4" w:rsidRPr="00F54106">
        <w:rPr>
          <w:rFonts w:cstheme="minorHAnsi"/>
          <w:lang w:val="en-GB"/>
        </w:rPr>
        <w:t xml:space="preserve">in </w:t>
      </w:r>
      <w:bookmarkStart w:id="114" w:name="_Hlk107451448"/>
      <w:bookmarkStart w:id="115" w:name="_Hlk107445981"/>
      <w:r w:rsidR="008667C4" w:rsidRPr="00F54106">
        <w:rPr>
          <w:rFonts w:cstheme="minorHAnsi"/>
          <w:i/>
          <w:iCs/>
          <w:lang w:val="en-GB"/>
        </w:rPr>
        <w:t>Gibson v Pride Mobility Products</w:t>
      </w:r>
      <w:bookmarkEnd w:id="114"/>
      <w:r w:rsidR="008667C4" w:rsidRPr="00F54106">
        <w:rPr>
          <w:rFonts w:cstheme="minorHAnsi"/>
          <w:lang w:val="en-GB"/>
        </w:rPr>
        <w:t xml:space="preserve"> </w:t>
      </w:r>
      <w:bookmarkEnd w:id="115"/>
      <w:r w:rsidR="008667C4" w:rsidRPr="00F54106">
        <w:rPr>
          <w:rFonts w:cstheme="minorHAnsi"/>
          <w:lang w:val="en-GB"/>
        </w:rPr>
        <w:t xml:space="preserve">is </w:t>
      </w:r>
      <w:r w:rsidR="0006067B" w:rsidRPr="00F54106">
        <w:rPr>
          <w:rFonts w:cstheme="minorHAnsi"/>
          <w:lang w:val="en-GB"/>
        </w:rPr>
        <w:t xml:space="preserve">named </w:t>
      </w:r>
      <w:r w:rsidR="008667C4" w:rsidRPr="00F54106">
        <w:rPr>
          <w:rFonts w:cstheme="minorHAnsi"/>
          <w:lang w:val="en-GB"/>
        </w:rPr>
        <w:t>to be beneficial to third party funders</w:t>
      </w:r>
      <w:r w:rsidR="009C506F" w:rsidRPr="00F54106">
        <w:rPr>
          <w:rStyle w:val="FootnoteReference"/>
          <w:rFonts w:cstheme="minorHAnsi"/>
          <w:lang w:val="en-GB"/>
        </w:rPr>
        <w:footnoteReference w:id="270"/>
      </w:r>
      <w:r w:rsidR="008667C4" w:rsidRPr="00F54106">
        <w:rPr>
          <w:rFonts w:cstheme="minorHAnsi"/>
          <w:lang w:val="en-GB"/>
        </w:rPr>
        <w:t xml:space="preserve"> as </w:t>
      </w:r>
      <w:r w:rsidR="00DB52EC" w:rsidRPr="00F54106">
        <w:rPr>
          <w:rFonts w:cstheme="minorHAnsi"/>
          <w:lang w:val="en-GB"/>
        </w:rPr>
        <w:t xml:space="preserve">it </w:t>
      </w:r>
      <w:r w:rsidR="005E48FC" w:rsidRPr="00F54106">
        <w:rPr>
          <w:rFonts w:cstheme="minorHAnsi"/>
          <w:lang w:val="en-GB"/>
        </w:rPr>
        <w:t>declared</w:t>
      </w:r>
      <w:r w:rsidR="00DB52EC" w:rsidRPr="00F54106">
        <w:rPr>
          <w:rFonts w:cstheme="minorHAnsi"/>
          <w:lang w:val="en-GB"/>
        </w:rPr>
        <w:t xml:space="preserve"> that the ability to pay recoverable costs </w:t>
      </w:r>
      <w:r w:rsidR="0099380D" w:rsidRPr="00F54106">
        <w:rPr>
          <w:rFonts w:cstheme="minorHAnsi"/>
          <w:lang w:val="en-GB"/>
        </w:rPr>
        <w:t xml:space="preserve">of the defendant </w:t>
      </w:r>
      <w:r w:rsidR="00DB52EC" w:rsidRPr="00F54106">
        <w:rPr>
          <w:rFonts w:cstheme="minorHAnsi"/>
          <w:lang w:val="en-GB"/>
        </w:rPr>
        <w:t>is not considered a basis to refuse authorization of a class representative</w:t>
      </w:r>
      <w:r w:rsidR="00A60415">
        <w:rPr>
          <w:rFonts w:cstheme="minorHAnsi"/>
          <w:lang w:val="en-GB"/>
        </w:rPr>
        <w:t>. Nevertheless,</w:t>
      </w:r>
      <w:r w:rsidR="00873D35" w:rsidRPr="00F54106">
        <w:rPr>
          <w:rFonts w:cstheme="minorHAnsi"/>
          <w:lang w:val="en-GB"/>
        </w:rPr>
        <w:t xml:space="preserve"> </w:t>
      </w:r>
      <w:r w:rsidR="00A60415">
        <w:rPr>
          <w:rFonts w:cstheme="minorHAnsi"/>
          <w:lang w:val="en-GB"/>
        </w:rPr>
        <w:t>it</w:t>
      </w:r>
      <w:r w:rsidR="0012363F" w:rsidRPr="00F54106">
        <w:rPr>
          <w:rFonts w:cstheme="minorHAnsi"/>
          <w:lang w:val="en-GB"/>
        </w:rPr>
        <w:t xml:space="preserve"> </w:t>
      </w:r>
      <w:r w:rsidR="00873D35" w:rsidRPr="00F54106">
        <w:rPr>
          <w:rFonts w:cstheme="minorHAnsi"/>
          <w:lang w:val="en-GB"/>
        </w:rPr>
        <w:t xml:space="preserve">may </w:t>
      </w:r>
      <w:r w:rsidR="00A60415">
        <w:rPr>
          <w:rFonts w:cstheme="minorHAnsi"/>
          <w:lang w:val="en-GB"/>
        </w:rPr>
        <w:t xml:space="preserve">still </w:t>
      </w:r>
      <w:r w:rsidR="00873D35" w:rsidRPr="00F54106">
        <w:rPr>
          <w:rFonts w:cstheme="minorHAnsi"/>
          <w:lang w:val="en-GB"/>
        </w:rPr>
        <w:t xml:space="preserve">be further considered at </w:t>
      </w:r>
      <w:r w:rsidR="003D1EC1" w:rsidRPr="00F54106">
        <w:rPr>
          <w:rFonts w:cstheme="minorHAnsi"/>
          <w:lang w:val="en-GB"/>
        </w:rPr>
        <w:t xml:space="preserve">the renewed </w:t>
      </w:r>
      <w:r w:rsidR="00873D35" w:rsidRPr="00F54106">
        <w:rPr>
          <w:rFonts w:cstheme="minorHAnsi"/>
          <w:lang w:val="en-GB"/>
        </w:rPr>
        <w:t>application for a collective proceedings order</w:t>
      </w:r>
      <w:r w:rsidR="009C506F" w:rsidRPr="00F54106">
        <w:rPr>
          <w:rFonts w:cstheme="minorHAnsi"/>
          <w:lang w:val="en-GB"/>
        </w:rPr>
        <w:t>.</w:t>
      </w:r>
      <w:r w:rsidR="00873D35" w:rsidRPr="00F54106">
        <w:rPr>
          <w:rStyle w:val="FootnoteReference"/>
          <w:rFonts w:cstheme="minorHAnsi"/>
          <w:lang w:val="en-GB"/>
        </w:rPr>
        <w:footnoteReference w:id="271"/>
      </w:r>
      <w:r w:rsidR="00DB52EC" w:rsidRPr="00F54106">
        <w:rPr>
          <w:rFonts w:cstheme="minorHAnsi"/>
          <w:lang w:val="en-GB"/>
        </w:rPr>
        <w:t xml:space="preserve"> </w:t>
      </w:r>
    </w:p>
    <w:p w14:paraId="72B8D5F1" w14:textId="6D0820EE" w:rsidR="004B4324" w:rsidRPr="00F54106" w:rsidRDefault="001502F8" w:rsidP="00FC31D7">
      <w:pPr>
        <w:spacing w:line="276" w:lineRule="auto"/>
        <w:ind w:firstLine="720"/>
        <w:rPr>
          <w:rFonts w:cstheme="minorHAnsi"/>
          <w:lang w:val="en-GB"/>
        </w:rPr>
      </w:pPr>
      <w:r w:rsidRPr="00F54106">
        <w:rPr>
          <w:rFonts w:cstheme="minorHAnsi"/>
          <w:lang w:val="en-GB"/>
        </w:rPr>
        <w:t>Despite the beneficial factors above, t</w:t>
      </w:r>
      <w:r w:rsidR="0006067B" w:rsidRPr="00F54106">
        <w:rPr>
          <w:rFonts w:cstheme="minorHAnsi"/>
          <w:lang w:val="en-GB"/>
        </w:rPr>
        <w:t xml:space="preserve">here was a concern that </w:t>
      </w:r>
      <w:r w:rsidR="008E766C" w:rsidRPr="00F54106">
        <w:rPr>
          <w:rFonts w:cstheme="minorHAnsi"/>
          <w:lang w:val="en-GB"/>
        </w:rPr>
        <w:t xml:space="preserve">collective proceedings would not be primarily used by consumers depending on the UK Supreme Court’s ruling on eligibility in </w:t>
      </w:r>
      <w:proofErr w:type="spellStart"/>
      <w:r w:rsidR="008E766C" w:rsidRPr="00F54106">
        <w:rPr>
          <w:rFonts w:cstheme="minorHAnsi"/>
          <w:i/>
          <w:iCs/>
          <w:lang w:val="en-GB"/>
        </w:rPr>
        <w:t>Merricks</w:t>
      </w:r>
      <w:proofErr w:type="spellEnd"/>
      <w:r w:rsidR="008E766C" w:rsidRPr="00F54106">
        <w:rPr>
          <w:rFonts w:cstheme="minorHAnsi"/>
          <w:i/>
          <w:iCs/>
          <w:lang w:val="en-GB"/>
        </w:rPr>
        <w:t xml:space="preserve"> v Mastercard</w:t>
      </w:r>
      <w:r w:rsidR="00A60415">
        <w:rPr>
          <w:rFonts w:cstheme="minorHAnsi"/>
          <w:lang w:val="en-GB"/>
        </w:rPr>
        <w:t>.</w:t>
      </w:r>
      <w:r w:rsidR="005E48FC" w:rsidRPr="00F54106">
        <w:rPr>
          <w:rStyle w:val="FootnoteReference"/>
          <w:rFonts w:cstheme="minorHAnsi"/>
          <w:lang w:val="en-GB"/>
        </w:rPr>
        <w:footnoteReference w:id="272"/>
      </w:r>
      <w:r w:rsidR="008E766C" w:rsidRPr="00F54106">
        <w:rPr>
          <w:rFonts w:cstheme="minorHAnsi"/>
          <w:lang w:val="en-GB"/>
        </w:rPr>
        <w:t xml:space="preserve"> </w:t>
      </w:r>
      <w:r w:rsidR="00A60415">
        <w:rPr>
          <w:rFonts w:cstheme="minorHAnsi"/>
          <w:lang w:val="en-GB"/>
        </w:rPr>
        <w:t>However,</w:t>
      </w:r>
      <w:r w:rsidR="008E766C" w:rsidRPr="00F54106">
        <w:rPr>
          <w:rFonts w:cstheme="minorHAnsi"/>
          <w:lang w:val="en-GB"/>
        </w:rPr>
        <w:t xml:space="preserve"> this </w:t>
      </w:r>
      <w:r w:rsidR="0099380D" w:rsidRPr="00F54106">
        <w:rPr>
          <w:rFonts w:cstheme="minorHAnsi"/>
          <w:lang w:val="en-GB"/>
        </w:rPr>
        <w:t>may have</w:t>
      </w:r>
      <w:r w:rsidR="008E766C" w:rsidRPr="00F54106">
        <w:rPr>
          <w:rFonts w:cstheme="minorHAnsi"/>
          <w:lang w:val="en-GB"/>
        </w:rPr>
        <w:t xml:space="preserve"> proven to </w:t>
      </w:r>
      <w:r w:rsidR="003F30D6" w:rsidRPr="00F54106">
        <w:rPr>
          <w:rFonts w:cstheme="minorHAnsi"/>
          <w:lang w:val="en-GB"/>
        </w:rPr>
        <w:t>not be the case</w:t>
      </w:r>
      <w:r w:rsidRPr="00F54106">
        <w:rPr>
          <w:rFonts w:cstheme="minorHAnsi"/>
          <w:lang w:val="en-GB"/>
        </w:rPr>
        <w:t>.</w:t>
      </w:r>
      <w:r w:rsidRPr="00F54106">
        <w:rPr>
          <w:rStyle w:val="FootnoteReference"/>
          <w:rFonts w:cstheme="minorHAnsi"/>
          <w:lang w:val="en-GB"/>
        </w:rPr>
        <w:footnoteReference w:id="273"/>
      </w:r>
    </w:p>
    <w:p w14:paraId="7145DEE5" w14:textId="77777777" w:rsidR="000D7A5C" w:rsidRPr="00F54106" w:rsidRDefault="000D7A5C" w:rsidP="00FC31D7">
      <w:pPr>
        <w:spacing w:line="276" w:lineRule="auto"/>
        <w:rPr>
          <w:rFonts w:cstheme="minorHAnsi"/>
          <w:lang w:val="en-GB"/>
        </w:rPr>
      </w:pPr>
    </w:p>
    <w:p w14:paraId="27F8169F" w14:textId="227F2201" w:rsidR="003F30D6" w:rsidRPr="00F54106" w:rsidRDefault="001F001E" w:rsidP="001F001E">
      <w:pPr>
        <w:pStyle w:val="Heading3"/>
        <w:rPr>
          <w:lang w:val="en-GB"/>
        </w:rPr>
      </w:pPr>
      <w:bookmarkStart w:id="118" w:name="_Toc107610233"/>
      <w:r w:rsidRPr="00F54106">
        <w:rPr>
          <w:lang w:val="en-GB"/>
        </w:rPr>
        <w:t>2.2</w:t>
      </w:r>
      <w:r w:rsidR="00932D12" w:rsidRPr="00F54106">
        <w:rPr>
          <w:lang w:val="en-GB"/>
        </w:rPr>
        <w:t>.</w:t>
      </w:r>
      <w:r w:rsidR="00FF058F" w:rsidRPr="00F54106">
        <w:rPr>
          <w:lang w:val="en-GB"/>
        </w:rPr>
        <w:t>7</w:t>
      </w:r>
      <w:r w:rsidR="00932D12" w:rsidRPr="00F54106">
        <w:rPr>
          <w:lang w:val="en-GB"/>
        </w:rPr>
        <w:t xml:space="preserve"> </w:t>
      </w:r>
      <w:r w:rsidR="00670E70" w:rsidRPr="00F54106">
        <w:rPr>
          <w:lang w:val="en-GB"/>
        </w:rPr>
        <w:t>Potential drawbacks to t</w:t>
      </w:r>
      <w:r w:rsidR="00B26D73" w:rsidRPr="00F54106">
        <w:rPr>
          <w:lang w:val="en-GB"/>
        </w:rPr>
        <w:t xml:space="preserve">he UK’s appeal as a </w:t>
      </w:r>
      <w:r w:rsidR="00670E70" w:rsidRPr="00F54106">
        <w:rPr>
          <w:lang w:val="en-GB"/>
        </w:rPr>
        <w:t>result of the Brexit</w:t>
      </w:r>
      <w:bookmarkEnd w:id="118"/>
    </w:p>
    <w:p w14:paraId="60D3C0D5" w14:textId="5FF7EE2D" w:rsidR="00A061CC" w:rsidRPr="00F54106" w:rsidRDefault="003F30D6" w:rsidP="00FC31D7">
      <w:pPr>
        <w:spacing w:line="276" w:lineRule="auto"/>
        <w:rPr>
          <w:rFonts w:cstheme="minorHAnsi"/>
          <w:lang w:val="en-GB"/>
        </w:rPr>
      </w:pPr>
      <w:r w:rsidRPr="00F54106">
        <w:rPr>
          <w:rFonts w:cstheme="minorHAnsi"/>
          <w:lang w:val="en-GB"/>
        </w:rPr>
        <w:t xml:space="preserve">Since the UK has left the EU, European laws </w:t>
      </w:r>
      <w:r w:rsidR="00922015" w:rsidRPr="00F54106">
        <w:rPr>
          <w:rFonts w:cstheme="minorHAnsi"/>
          <w:lang w:val="en-GB"/>
        </w:rPr>
        <w:t>are</w:t>
      </w:r>
      <w:r w:rsidRPr="00F54106">
        <w:rPr>
          <w:rFonts w:cstheme="minorHAnsi"/>
          <w:lang w:val="en-GB"/>
        </w:rPr>
        <w:t xml:space="preserve"> treated as a foreign law</w:t>
      </w:r>
      <w:r w:rsidR="00922015" w:rsidRPr="00F54106">
        <w:rPr>
          <w:rFonts w:cstheme="minorHAnsi"/>
          <w:lang w:val="en-GB"/>
        </w:rPr>
        <w:t xml:space="preserve">, while infringements </w:t>
      </w:r>
      <w:r w:rsidR="007949BF" w:rsidRPr="00F54106">
        <w:rPr>
          <w:rFonts w:cstheme="minorHAnsi"/>
          <w:lang w:val="en-GB"/>
        </w:rPr>
        <w:t xml:space="preserve">decisions from the EU no </w:t>
      </w:r>
      <w:r w:rsidR="00FF2029" w:rsidRPr="00F54106">
        <w:rPr>
          <w:rFonts w:cstheme="minorHAnsi"/>
          <w:lang w:val="en-GB"/>
        </w:rPr>
        <w:t xml:space="preserve">longer </w:t>
      </w:r>
      <w:r w:rsidR="004D62C1" w:rsidRPr="00F54106">
        <w:rPr>
          <w:rFonts w:cstheme="minorHAnsi"/>
          <w:lang w:val="en-GB"/>
        </w:rPr>
        <w:t xml:space="preserve">have a binding effect on English courts under section 58A of the Competition Act 1998. As a result, it is speculated that </w:t>
      </w:r>
      <w:r w:rsidR="00A64745" w:rsidRPr="00F54106">
        <w:rPr>
          <w:rFonts w:cstheme="minorHAnsi"/>
          <w:lang w:val="en-GB"/>
        </w:rPr>
        <w:t xml:space="preserve">consumers will have more difficulties in raising collective actions based on infringement decisions from the Commission and that incentives to litigate in the UK </w:t>
      </w:r>
      <w:r w:rsidR="0046764A" w:rsidRPr="00F54106">
        <w:rPr>
          <w:rFonts w:cstheme="minorHAnsi"/>
          <w:lang w:val="en-GB"/>
        </w:rPr>
        <w:t xml:space="preserve">are </w:t>
      </w:r>
      <w:r w:rsidR="00A64745" w:rsidRPr="00F54106">
        <w:rPr>
          <w:rFonts w:cstheme="minorHAnsi"/>
          <w:lang w:val="en-GB"/>
        </w:rPr>
        <w:lastRenderedPageBreak/>
        <w:t>reduced.</w:t>
      </w:r>
      <w:r w:rsidR="0046764A" w:rsidRPr="00F54106">
        <w:rPr>
          <w:rStyle w:val="FootnoteReference"/>
          <w:rFonts w:cstheme="minorHAnsi"/>
          <w:lang w:val="en-GB"/>
        </w:rPr>
        <w:footnoteReference w:id="274"/>
      </w:r>
      <w:r w:rsidR="0046764A" w:rsidRPr="00F54106">
        <w:rPr>
          <w:rFonts w:cstheme="minorHAnsi"/>
          <w:lang w:val="en-GB"/>
        </w:rPr>
        <w:t xml:space="preserve"> </w:t>
      </w:r>
      <w:r w:rsidR="00CE5596" w:rsidRPr="00F54106">
        <w:rPr>
          <w:rFonts w:cstheme="minorHAnsi"/>
          <w:lang w:val="en-GB"/>
        </w:rPr>
        <w:t xml:space="preserve">Nevertheless, many claims before UK courts in 2021 have </w:t>
      </w:r>
      <w:r w:rsidR="003465E7" w:rsidRPr="00F54106">
        <w:rPr>
          <w:rFonts w:cstheme="minorHAnsi"/>
          <w:lang w:val="en-GB"/>
        </w:rPr>
        <w:t xml:space="preserve">still </w:t>
      </w:r>
      <w:r w:rsidR="00CE5596" w:rsidRPr="00F54106">
        <w:rPr>
          <w:rFonts w:cstheme="minorHAnsi"/>
          <w:lang w:val="en-GB"/>
        </w:rPr>
        <w:t>been established on Commission infringement decisions.</w:t>
      </w:r>
      <w:r w:rsidR="00CE5596" w:rsidRPr="00F54106">
        <w:rPr>
          <w:rStyle w:val="FootnoteReference"/>
          <w:rFonts w:cstheme="minorHAnsi"/>
          <w:lang w:val="en-GB"/>
        </w:rPr>
        <w:footnoteReference w:id="275"/>
      </w:r>
      <w:r w:rsidR="00CE5596" w:rsidRPr="00F54106">
        <w:rPr>
          <w:rFonts w:cstheme="minorHAnsi"/>
          <w:lang w:val="en-GB"/>
        </w:rPr>
        <w:t xml:space="preserve"> </w:t>
      </w:r>
    </w:p>
    <w:p w14:paraId="29CBE999" w14:textId="378B6AD7" w:rsidR="00060E7B" w:rsidRPr="00F54106" w:rsidRDefault="004F5FCC" w:rsidP="00FC31D7">
      <w:pPr>
        <w:spacing w:line="276" w:lineRule="auto"/>
        <w:ind w:firstLine="720"/>
        <w:rPr>
          <w:rFonts w:cstheme="minorHAnsi"/>
          <w:lang w:val="en-GB"/>
        </w:rPr>
      </w:pPr>
      <w:r w:rsidRPr="00F54106">
        <w:rPr>
          <w:rFonts w:cstheme="minorHAnsi"/>
          <w:lang w:val="en-GB"/>
        </w:rPr>
        <w:t>As a result of its automatic recognition and enforcement</w:t>
      </w:r>
      <w:r w:rsidR="001C2CE4" w:rsidRPr="00F54106">
        <w:rPr>
          <w:rFonts w:cstheme="minorHAnsi"/>
          <w:lang w:val="en-GB"/>
        </w:rPr>
        <w:t xml:space="preserve"> of judgements</w:t>
      </w:r>
      <w:r w:rsidR="002C5948" w:rsidRPr="00F54106">
        <w:rPr>
          <w:rFonts w:cstheme="minorHAnsi"/>
          <w:lang w:val="en-GB"/>
        </w:rPr>
        <w:t xml:space="preserve">, </w:t>
      </w:r>
      <w:r w:rsidR="00E35DBB" w:rsidRPr="00F54106">
        <w:rPr>
          <w:rFonts w:cstheme="minorHAnsi"/>
          <w:lang w:val="en-GB"/>
        </w:rPr>
        <w:t>Brussels I ha</w:t>
      </w:r>
      <w:r w:rsidR="00922015" w:rsidRPr="00F54106">
        <w:rPr>
          <w:rFonts w:cstheme="minorHAnsi"/>
          <w:lang w:val="en-GB"/>
        </w:rPr>
        <w:t xml:space="preserve">s </w:t>
      </w:r>
      <w:r w:rsidR="00E35DBB" w:rsidRPr="00F54106">
        <w:rPr>
          <w:rFonts w:cstheme="minorHAnsi"/>
          <w:lang w:val="en-GB"/>
        </w:rPr>
        <w:t xml:space="preserve">been </w:t>
      </w:r>
      <w:r w:rsidR="00922015" w:rsidRPr="00F54106">
        <w:rPr>
          <w:rFonts w:cstheme="minorHAnsi"/>
          <w:lang w:val="en-GB"/>
        </w:rPr>
        <w:t xml:space="preserve">distinguished as </w:t>
      </w:r>
      <w:r w:rsidR="00E35DBB" w:rsidRPr="00F54106">
        <w:rPr>
          <w:rFonts w:cstheme="minorHAnsi"/>
          <w:lang w:val="en-GB"/>
        </w:rPr>
        <w:t>key in anchoring d</w:t>
      </w:r>
      <w:r w:rsidR="00077573" w:rsidRPr="00F54106">
        <w:rPr>
          <w:rFonts w:cstheme="minorHAnsi"/>
          <w:lang w:val="en-GB"/>
        </w:rPr>
        <w:t>efendants</w:t>
      </w:r>
      <w:r w:rsidR="00E35DBB" w:rsidRPr="00F54106">
        <w:rPr>
          <w:rFonts w:cstheme="minorHAnsi"/>
          <w:lang w:val="en-GB"/>
        </w:rPr>
        <w:t xml:space="preserve"> in the UK</w:t>
      </w:r>
      <w:r w:rsidR="002D3BEB" w:rsidRPr="00F54106">
        <w:rPr>
          <w:rFonts w:cstheme="minorHAnsi"/>
          <w:lang w:val="en-GB"/>
        </w:rPr>
        <w:t xml:space="preserve"> </w:t>
      </w:r>
      <w:r w:rsidR="004A3757" w:rsidRPr="00F54106">
        <w:rPr>
          <w:rFonts w:cstheme="minorHAnsi"/>
          <w:lang w:val="en-GB"/>
        </w:rPr>
        <w:t>and</w:t>
      </w:r>
      <w:r w:rsidR="00922015" w:rsidRPr="00F54106">
        <w:rPr>
          <w:rFonts w:cstheme="minorHAnsi"/>
          <w:lang w:val="en-GB"/>
        </w:rPr>
        <w:t xml:space="preserve"> </w:t>
      </w:r>
      <w:r w:rsidR="003E50C3" w:rsidRPr="00F54106">
        <w:rPr>
          <w:rFonts w:cstheme="minorHAnsi"/>
          <w:lang w:val="en-GB"/>
        </w:rPr>
        <w:t xml:space="preserve">has </w:t>
      </w:r>
      <w:r w:rsidR="00922015" w:rsidRPr="00F54106">
        <w:rPr>
          <w:rFonts w:cstheme="minorHAnsi"/>
          <w:lang w:val="en-GB"/>
        </w:rPr>
        <w:t>allow</w:t>
      </w:r>
      <w:r w:rsidR="003E50C3" w:rsidRPr="00F54106">
        <w:rPr>
          <w:rFonts w:cstheme="minorHAnsi"/>
          <w:lang w:val="en-GB"/>
        </w:rPr>
        <w:t>ed</w:t>
      </w:r>
      <w:r w:rsidR="00922015" w:rsidRPr="00F54106">
        <w:rPr>
          <w:rFonts w:cstheme="minorHAnsi"/>
          <w:lang w:val="en-GB"/>
        </w:rPr>
        <w:t xml:space="preserve"> the centralized litigation of claims </w:t>
      </w:r>
      <w:r w:rsidR="002D3BEB" w:rsidRPr="00F54106">
        <w:rPr>
          <w:rFonts w:cstheme="minorHAnsi"/>
          <w:lang w:val="en-GB"/>
        </w:rPr>
        <w:t>involving multiple defendants before</w:t>
      </w:r>
      <w:r w:rsidR="005D0A12" w:rsidRPr="00F54106">
        <w:rPr>
          <w:rFonts w:cstheme="minorHAnsi"/>
          <w:lang w:val="en-GB"/>
        </w:rPr>
        <w:t xml:space="preserve"> the</w:t>
      </w:r>
      <w:r w:rsidR="002D3BEB" w:rsidRPr="00F54106">
        <w:rPr>
          <w:rFonts w:cstheme="minorHAnsi"/>
          <w:lang w:val="en-GB"/>
        </w:rPr>
        <w:t xml:space="preserve"> </w:t>
      </w:r>
      <w:r w:rsidR="00077573" w:rsidRPr="00F54106">
        <w:rPr>
          <w:rFonts w:cstheme="minorHAnsi"/>
          <w:lang w:val="en-GB"/>
        </w:rPr>
        <w:t xml:space="preserve">efficient and experienced </w:t>
      </w:r>
      <w:r w:rsidR="002D3BEB" w:rsidRPr="00F54106">
        <w:rPr>
          <w:rFonts w:cstheme="minorHAnsi"/>
          <w:lang w:val="en-GB"/>
        </w:rPr>
        <w:t>UK courts</w:t>
      </w:r>
      <w:r w:rsidR="00077573" w:rsidRPr="00F54106">
        <w:rPr>
          <w:rFonts w:cstheme="minorHAnsi"/>
          <w:lang w:val="en-GB"/>
        </w:rPr>
        <w:t>,</w:t>
      </w:r>
      <w:r w:rsidRPr="00F54106">
        <w:rPr>
          <w:rStyle w:val="FootnoteReference"/>
          <w:rFonts w:cstheme="minorHAnsi"/>
          <w:lang w:val="en-GB"/>
        </w:rPr>
        <w:t xml:space="preserve"> </w:t>
      </w:r>
      <w:r w:rsidR="00077573" w:rsidRPr="00F54106">
        <w:rPr>
          <w:rFonts w:cstheme="minorHAnsi"/>
          <w:lang w:val="en-GB"/>
        </w:rPr>
        <w:t>incentivizing claimants to litigate in the UK.</w:t>
      </w:r>
      <w:r w:rsidRPr="00F54106">
        <w:rPr>
          <w:rStyle w:val="FootnoteReference"/>
          <w:rFonts w:cstheme="minorHAnsi"/>
          <w:lang w:val="en-GB"/>
        </w:rPr>
        <w:footnoteReference w:id="276"/>
      </w:r>
      <w:r w:rsidRPr="00F54106">
        <w:rPr>
          <w:rFonts w:cstheme="minorHAnsi"/>
          <w:lang w:val="en-GB"/>
        </w:rPr>
        <w:t xml:space="preserve"> </w:t>
      </w:r>
      <w:r w:rsidR="00077573" w:rsidRPr="00F54106">
        <w:rPr>
          <w:rFonts w:cstheme="minorHAnsi"/>
          <w:lang w:val="en-GB"/>
        </w:rPr>
        <w:t>However, Brussels I</w:t>
      </w:r>
      <w:r w:rsidR="002D3BEB" w:rsidRPr="00F54106">
        <w:rPr>
          <w:rFonts w:cstheme="minorHAnsi"/>
          <w:lang w:val="en-GB"/>
        </w:rPr>
        <w:t xml:space="preserve"> </w:t>
      </w:r>
      <w:r w:rsidR="00AF0CDA" w:rsidRPr="00F54106">
        <w:rPr>
          <w:rFonts w:cstheme="minorHAnsi"/>
          <w:lang w:val="en-GB"/>
        </w:rPr>
        <w:t>no</w:t>
      </w:r>
      <w:r w:rsidR="002D3BEB" w:rsidRPr="00F54106">
        <w:rPr>
          <w:rFonts w:cstheme="minorHAnsi"/>
          <w:lang w:val="en-GB"/>
        </w:rPr>
        <w:t xml:space="preserve"> longer governs jurisdictions </w:t>
      </w:r>
      <w:r w:rsidR="00E30DB2" w:rsidRPr="00F54106">
        <w:rPr>
          <w:rFonts w:cstheme="minorHAnsi"/>
          <w:lang w:val="en-GB"/>
        </w:rPr>
        <w:t xml:space="preserve">as </w:t>
      </w:r>
      <w:r w:rsidR="002D3BEB" w:rsidRPr="00F54106">
        <w:rPr>
          <w:rFonts w:cstheme="minorHAnsi"/>
          <w:lang w:val="en-GB"/>
        </w:rPr>
        <w:t>between EU and English courts.</w:t>
      </w:r>
      <w:r w:rsidR="00A37F20" w:rsidRPr="00F54106">
        <w:rPr>
          <w:rFonts w:cstheme="minorHAnsi"/>
          <w:lang w:val="en-GB"/>
        </w:rPr>
        <w:t xml:space="preserve"> The UK has subsequently applied to re</w:t>
      </w:r>
      <w:r w:rsidR="00670E70" w:rsidRPr="00F54106">
        <w:rPr>
          <w:rFonts w:cstheme="minorHAnsi"/>
          <w:lang w:val="en-GB"/>
        </w:rPr>
        <w:t>-</w:t>
      </w:r>
      <w:r w:rsidR="00A37F20" w:rsidRPr="00F54106">
        <w:rPr>
          <w:rFonts w:cstheme="minorHAnsi"/>
          <w:lang w:val="en-GB"/>
        </w:rPr>
        <w:t>join the Lugano Convention</w:t>
      </w:r>
      <w:r w:rsidR="00B37128" w:rsidRPr="00F54106">
        <w:rPr>
          <w:rFonts w:cstheme="minorHAnsi"/>
          <w:lang w:val="en-GB"/>
        </w:rPr>
        <w:t>, which has a relatively similar framework to Brussels I,</w:t>
      </w:r>
      <w:r w:rsidR="00801122" w:rsidRPr="00F54106">
        <w:rPr>
          <w:rStyle w:val="FootnoteReference"/>
          <w:rFonts w:cstheme="minorHAnsi"/>
          <w:lang w:val="en-GB"/>
        </w:rPr>
        <w:footnoteReference w:id="277"/>
      </w:r>
      <w:r w:rsidR="00D84D56" w:rsidRPr="00F54106">
        <w:rPr>
          <w:rFonts w:cstheme="minorHAnsi"/>
          <w:lang w:val="en-GB"/>
        </w:rPr>
        <w:t xml:space="preserve"> </w:t>
      </w:r>
      <w:r w:rsidR="00A37F20" w:rsidRPr="00F54106">
        <w:rPr>
          <w:rFonts w:cstheme="minorHAnsi"/>
          <w:lang w:val="en-GB"/>
        </w:rPr>
        <w:t>but</w:t>
      </w:r>
      <w:r w:rsidR="00D84D56" w:rsidRPr="00F54106">
        <w:rPr>
          <w:rFonts w:cstheme="minorHAnsi"/>
          <w:lang w:val="en-GB"/>
        </w:rPr>
        <w:t xml:space="preserve"> </w:t>
      </w:r>
      <w:r w:rsidR="00A37F20" w:rsidRPr="00F54106">
        <w:rPr>
          <w:rFonts w:cstheme="minorHAnsi"/>
          <w:lang w:val="en-GB"/>
        </w:rPr>
        <w:t xml:space="preserve">was </w:t>
      </w:r>
      <w:r w:rsidR="00B37128" w:rsidRPr="00F54106">
        <w:rPr>
          <w:rFonts w:cstheme="minorHAnsi"/>
          <w:lang w:val="en-GB"/>
        </w:rPr>
        <w:t>rejected</w:t>
      </w:r>
      <w:r w:rsidR="00F475A1" w:rsidRPr="00F54106">
        <w:rPr>
          <w:rFonts w:cstheme="minorHAnsi"/>
          <w:lang w:val="en-GB"/>
        </w:rPr>
        <w:t xml:space="preserve"> on the 4</w:t>
      </w:r>
      <w:r w:rsidR="00F475A1" w:rsidRPr="00F54106">
        <w:rPr>
          <w:rFonts w:cstheme="minorHAnsi"/>
          <w:vertAlign w:val="superscript"/>
          <w:lang w:val="en-GB"/>
        </w:rPr>
        <w:t>th</w:t>
      </w:r>
      <w:r w:rsidR="00F475A1" w:rsidRPr="00F54106">
        <w:rPr>
          <w:rFonts w:cstheme="minorHAnsi"/>
          <w:lang w:val="en-GB"/>
        </w:rPr>
        <w:t xml:space="preserve"> of May 2021</w:t>
      </w:r>
      <w:r w:rsidR="00A37F20" w:rsidRPr="00F54106">
        <w:rPr>
          <w:rFonts w:cstheme="minorHAnsi"/>
          <w:lang w:val="en-GB"/>
        </w:rPr>
        <w:t xml:space="preserve"> by the Commission</w:t>
      </w:r>
      <w:r w:rsidR="00771BB0">
        <w:rPr>
          <w:rFonts w:cstheme="minorHAnsi"/>
          <w:lang w:val="en-GB"/>
        </w:rPr>
        <w:t>. This is because</w:t>
      </w:r>
      <w:r w:rsidR="00A37F20" w:rsidRPr="00F54106">
        <w:rPr>
          <w:rFonts w:cstheme="minorHAnsi"/>
          <w:lang w:val="en-GB"/>
        </w:rPr>
        <w:t xml:space="preserve"> </w:t>
      </w:r>
      <w:r w:rsidR="00771BB0">
        <w:rPr>
          <w:rFonts w:cstheme="minorHAnsi"/>
          <w:lang w:val="en-GB"/>
        </w:rPr>
        <w:t xml:space="preserve">the Commission </w:t>
      </w:r>
      <w:r w:rsidR="00D84D56" w:rsidRPr="00F54106">
        <w:rPr>
          <w:rFonts w:cstheme="minorHAnsi"/>
          <w:lang w:val="en-GB"/>
        </w:rPr>
        <w:t>felt that</w:t>
      </w:r>
      <w:r w:rsidR="00A37F20" w:rsidRPr="00F54106">
        <w:rPr>
          <w:rFonts w:cstheme="minorHAnsi"/>
          <w:lang w:val="en-GB"/>
        </w:rPr>
        <w:t xml:space="preserve"> the UK </w:t>
      </w:r>
      <w:r w:rsidR="00EB695D" w:rsidRPr="00F54106">
        <w:rPr>
          <w:rFonts w:cstheme="minorHAnsi"/>
          <w:lang w:val="en-GB"/>
        </w:rPr>
        <w:t xml:space="preserve">is now to be regarded as a “third country without a special link to the internal market” and </w:t>
      </w:r>
      <w:r w:rsidR="00E826B1" w:rsidRPr="00F54106">
        <w:rPr>
          <w:rFonts w:cstheme="minorHAnsi"/>
          <w:lang w:val="en-GB"/>
        </w:rPr>
        <w:t xml:space="preserve">suggested </w:t>
      </w:r>
      <w:r w:rsidR="00EB695D" w:rsidRPr="00F54106">
        <w:rPr>
          <w:rFonts w:cstheme="minorHAnsi"/>
          <w:lang w:val="en-GB"/>
        </w:rPr>
        <w:t xml:space="preserve">that the Hague Conventions should </w:t>
      </w:r>
      <w:r w:rsidR="007F6B66" w:rsidRPr="00F54106">
        <w:rPr>
          <w:rFonts w:cstheme="minorHAnsi"/>
          <w:lang w:val="en-GB"/>
        </w:rPr>
        <w:t xml:space="preserve">now </w:t>
      </w:r>
      <w:r w:rsidR="00EB695D" w:rsidRPr="00F54106">
        <w:rPr>
          <w:rFonts w:cstheme="minorHAnsi"/>
          <w:lang w:val="en-GB"/>
        </w:rPr>
        <w:t>embody the framework for civil judicial cooperation between the UK and the EU.</w:t>
      </w:r>
      <w:r w:rsidR="00EB695D" w:rsidRPr="00F54106">
        <w:rPr>
          <w:rStyle w:val="FootnoteReference"/>
          <w:rFonts w:cstheme="minorHAnsi"/>
          <w:lang w:val="en-GB"/>
        </w:rPr>
        <w:footnoteReference w:id="278"/>
      </w:r>
      <w:r w:rsidR="007F6B66" w:rsidRPr="00F54106">
        <w:rPr>
          <w:rFonts w:cstheme="minorHAnsi"/>
          <w:lang w:val="en-GB"/>
        </w:rPr>
        <w:t xml:space="preserve"> </w:t>
      </w:r>
      <w:r w:rsidR="00F475A1" w:rsidRPr="00F54106">
        <w:rPr>
          <w:rFonts w:cstheme="minorHAnsi"/>
          <w:lang w:val="en-GB"/>
        </w:rPr>
        <w:t xml:space="preserve">This </w:t>
      </w:r>
      <w:r w:rsidR="0024129B" w:rsidRPr="00F54106">
        <w:rPr>
          <w:rFonts w:cstheme="minorHAnsi"/>
          <w:lang w:val="en-GB"/>
        </w:rPr>
        <w:t xml:space="preserve">view was </w:t>
      </w:r>
      <w:r w:rsidR="00F475A1" w:rsidRPr="00F54106">
        <w:rPr>
          <w:rFonts w:cstheme="minorHAnsi"/>
          <w:lang w:val="en-GB"/>
        </w:rPr>
        <w:t>non-binding</w:t>
      </w:r>
      <w:r w:rsidR="0024129B" w:rsidRPr="00F54106">
        <w:rPr>
          <w:rFonts w:cstheme="minorHAnsi"/>
          <w:lang w:val="en-GB"/>
        </w:rPr>
        <w:t xml:space="preserve">, but the Commission </w:t>
      </w:r>
      <w:r w:rsidR="000C7DF4" w:rsidRPr="00F54106">
        <w:rPr>
          <w:rFonts w:cstheme="minorHAnsi"/>
          <w:lang w:val="en-GB"/>
        </w:rPr>
        <w:t>officially blocked the UK’s access by sending a</w:t>
      </w:r>
      <w:r w:rsidR="0024129B" w:rsidRPr="00F54106">
        <w:rPr>
          <w:rFonts w:cstheme="minorHAnsi"/>
          <w:lang w:val="en-GB"/>
        </w:rPr>
        <w:t xml:space="preserve"> Communication to the Swiss Federal Council on the 28</w:t>
      </w:r>
      <w:r w:rsidR="0024129B" w:rsidRPr="00F54106">
        <w:rPr>
          <w:rFonts w:cstheme="minorHAnsi"/>
          <w:vertAlign w:val="superscript"/>
          <w:lang w:val="en-GB"/>
        </w:rPr>
        <w:t>th</w:t>
      </w:r>
      <w:r w:rsidR="0024129B" w:rsidRPr="00F54106">
        <w:rPr>
          <w:rFonts w:cstheme="minorHAnsi"/>
          <w:lang w:val="en-GB"/>
        </w:rPr>
        <w:t xml:space="preserve"> of June as the Depositary of the 2007 Lugano Convention</w:t>
      </w:r>
      <w:r w:rsidR="000C447D" w:rsidRPr="00F54106">
        <w:rPr>
          <w:rFonts w:cstheme="minorHAnsi"/>
          <w:lang w:val="en-GB"/>
        </w:rPr>
        <w:t>,</w:t>
      </w:r>
      <w:r w:rsidR="00D409D2" w:rsidRPr="00F54106">
        <w:rPr>
          <w:rStyle w:val="FootnoteReference"/>
          <w:rFonts w:cstheme="minorHAnsi"/>
          <w:lang w:val="en-GB"/>
        </w:rPr>
        <w:footnoteReference w:id="279"/>
      </w:r>
      <w:r w:rsidR="000C447D" w:rsidRPr="00F54106">
        <w:rPr>
          <w:rFonts w:cstheme="minorHAnsi"/>
          <w:lang w:val="en-GB"/>
        </w:rPr>
        <w:t xml:space="preserve"> which </w:t>
      </w:r>
      <w:r w:rsidR="0024129B" w:rsidRPr="00F54106">
        <w:rPr>
          <w:rFonts w:cstheme="minorHAnsi"/>
          <w:lang w:val="en-GB"/>
        </w:rPr>
        <w:t>approved</w:t>
      </w:r>
      <w:r w:rsidR="000C447D" w:rsidRPr="00F54106">
        <w:rPr>
          <w:rFonts w:cstheme="minorHAnsi"/>
          <w:lang w:val="en-GB"/>
        </w:rPr>
        <w:t xml:space="preserve"> the Commission’s view</w:t>
      </w:r>
      <w:r w:rsidR="0024129B" w:rsidRPr="00F54106">
        <w:rPr>
          <w:rFonts w:cstheme="minorHAnsi"/>
          <w:lang w:val="en-GB"/>
        </w:rPr>
        <w:t xml:space="preserve"> on the 1</w:t>
      </w:r>
      <w:r w:rsidR="0024129B" w:rsidRPr="00F54106">
        <w:rPr>
          <w:rFonts w:cstheme="minorHAnsi"/>
          <w:vertAlign w:val="superscript"/>
          <w:lang w:val="en-GB"/>
        </w:rPr>
        <w:t>st</w:t>
      </w:r>
      <w:r w:rsidR="0024129B" w:rsidRPr="00F54106">
        <w:rPr>
          <w:rFonts w:cstheme="minorHAnsi"/>
          <w:lang w:val="en-GB"/>
        </w:rPr>
        <w:t xml:space="preserve"> of July 2021.</w:t>
      </w:r>
      <w:r w:rsidR="000C7DF4" w:rsidRPr="00F54106">
        <w:rPr>
          <w:rStyle w:val="FootnoteReference"/>
          <w:rFonts w:cstheme="minorHAnsi"/>
          <w:lang w:val="en-GB"/>
        </w:rPr>
        <w:footnoteReference w:id="280"/>
      </w:r>
      <w:r w:rsidR="00F475A1" w:rsidRPr="00F54106">
        <w:rPr>
          <w:rFonts w:cstheme="minorHAnsi"/>
          <w:lang w:val="en-GB"/>
        </w:rPr>
        <w:t xml:space="preserve"> </w:t>
      </w:r>
      <w:r w:rsidR="00060E7B" w:rsidRPr="00F54106">
        <w:rPr>
          <w:rFonts w:cstheme="minorHAnsi"/>
          <w:lang w:val="en-GB"/>
        </w:rPr>
        <w:t xml:space="preserve">Instead, </w:t>
      </w:r>
      <w:r w:rsidR="00E764CB" w:rsidRPr="00F54106">
        <w:rPr>
          <w:rFonts w:cstheme="minorHAnsi"/>
          <w:lang w:val="en-GB"/>
        </w:rPr>
        <w:t xml:space="preserve">if proceedings fall outside of the scope of the Hague Convention, </w:t>
      </w:r>
      <w:r w:rsidR="00060E7B" w:rsidRPr="00F54106">
        <w:rPr>
          <w:rFonts w:cstheme="minorHAnsi"/>
          <w:lang w:val="en-GB"/>
        </w:rPr>
        <w:t xml:space="preserve">claimants are now required to request permission from the court for the service of a claim form out of the jurisdiction under </w:t>
      </w:r>
      <w:r w:rsidR="000210EB" w:rsidRPr="00F54106">
        <w:rPr>
          <w:rFonts w:cstheme="minorHAnsi"/>
          <w:lang w:val="en-GB"/>
        </w:rPr>
        <w:t>rule</w:t>
      </w:r>
      <w:r w:rsidR="00060E7B" w:rsidRPr="00F54106">
        <w:rPr>
          <w:rFonts w:cstheme="minorHAnsi"/>
          <w:lang w:val="en-GB"/>
        </w:rPr>
        <w:t xml:space="preserve"> 6.36 of the Civil Procedure Rules</w:t>
      </w:r>
      <w:r w:rsidR="00771BB0">
        <w:rPr>
          <w:rFonts w:cstheme="minorHAnsi"/>
          <w:lang w:val="en-GB"/>
        </w:rPr>
        <w:t>. This is</w:t>
      </w:r>
      <w:r w:rsidR="00060E7B" w:rsidRPr="00F54106">
        <w:rPr>
          <w:rFonts w:cstheme="minorHAnsi"/>
          <w:lang w:val="en-GB"/>
        </w:rPr>
        <w:t xml:space="preserve"> subject to</w:t>
      </w:r>
      <w:r w:rsidR="00B618BA" w:rsidRPr="00F54106">
        <w:rPr>
          <w:rFonts w:cstheme="minorHAnsi"/>
          <w:lang w:val="en-GB"/>
        </w:rPr>
        <w:t xml:space="preserve"> </w:t>
      </w:r>
      <w:r w:rsidR="001C2CE4" w:rsidRPr="00F54106">
        <w:rPr>
          <w:rFonts w:cstheme="minorHAnsi"/>
          <w:lang w:val="en-GB"/>
        </w:rPr>
        <w:t xml:space="preserve">satisfying </w:t>
      </w:r>
      <w:r w:rsidR="00B618BA" w:rsidRPr="00F54106">
        <w:rPr>
          <w:rFonts w:cstheme="minorHAnsi"/>
          <w:lang w:val="en-GB"/>
        </w:rPr>
        <w:t>one of the</w:t>
      </w:r>
      <w:r w:rsidR="00060E7B" w:rsidRPr="00F54106">
        <w:rPr>
          <w:rFonts w:cstheme="minorHAnsi"/>
          <w:lang w:val="en-GB"/>
        </w:rPr>
        <w:t xml:space="preserve"> requirements under paragraph 3.1 of the Practice Direction 6B, unless the requirements under </w:t>
      </w:r>
      <w:r w:rsidR="000210EB" w:rsidRPr="00F54106">
        <w:rPr>
          <w:rFonts w:cstheme="minorHAnsi"/>
          <w:lang w:val="en-GB"/>
        </w:rPr>
        <w:t>rule</w:t>
      </w:r>
      <w:r w:rsidR="00060E7B" w:rsidRPr="00F54106">
        <w:rPr>
          <w:rFonts w:cstheme="minorHAnsi"/>
          <w:lang w:val="en-GB"/>
        </w:rPr>
        <w:t xml:space="preserve"> 6.33 of the Civil Procedure Rules can be fulfilled. In particular, paragraph 3.1(3) of the Practice Direction 6B </w:t>
      </w:r>
      <w:r w:rsidR="00C8080C" w:rsidRPr="00F54106">
        <w:rPr>
          <w:rFonts w:cstheme="minorHAnsi"/>
          <w:lang w:val="en-GB"/>
        </w:rPr>
        <w:t>may be</w:t>
      </w:r>
      <w:r w:rsidR="00060E7B" w:rsidRPr="00F54106">
        <w:rPr>
          <w:rFonts w:cstheme="minorHAnsi"/>
          <w:lang w:val="en-GB"/>
        </w:rPr>
        <w:t xml:space="preserve"> beneficial for claimants </w:t>
      </w:r>
      <w:r w:rsidR="00B618BA" w:rsidRPr="00F54106">
        <w:rPr>
          <w:rFonts w:cstheme="minorHAnsi"/>
          <w:lang w:val="en-GB"/>
        </w:rPr>
        <w:t xml:space="preserve">through the possibility to add the primary liable </w:t>
      </w:r>
      <w:r w:rsidR="00B618BA" w:rsidRPr="00F54106">
        <w:rPr>
          <w:rFonts w:cstheme="minorHAnsi"/>
          <w:lang w:val="en-GB"/>
        </w:rPr>
        <w:lastRenderedPageBreak/>
        <w:t xml:space="preserve">cartel member to a claim </w:t>
      </w:r>
      <w:r w:rsidR="00BF00B4" w:rsidRPr="00F54106">
        <w:rPr>
          <w:rFonts w:cstheme="minorHAnsi"/>
          <w:lang w:val="en-GB"/>
        </w:rPr>
        <w:t>agains</w:t>
      </w:r>
      <w:r w:rsidR="00C8080C" w:rsidRPr="00F54106">
        <w:rPr>
          <w:rFonts w:cstheme="minorHAnsi"/>
          <w:lang w:val="en-GB"/>
        </w:rPr>
        <w:t>t a party from the UK</w:t>
      </w:r>
      <w:r w:rsidR="00B618BA" w:rsidRPr="00F54106">
        <w:rPr>
          <w:rFonts w:cstheme="minorHAnsi"/>
          <w:lang w:val="en-GB"/>
        </w:rPr>
        <w:t>.</w:t>
      </w:r>
      <w:r w:rsidR="00B618BA" w:rsidRPr="00F54106">
        <w:rPr>
          <w:rStyle w:val="FootnoteReference"/>
          <w:rFonts w:cstheme="minorHAnsi"/>
          <w:lang w:val="en-GB"/>
        </w:rPr>
        <w:footnoteReference w:id="281"/>
      </w:r>
      <w:r w:rsidR="00DC2DC8" w:rsidRPr="00F54106">
        <w:rPr>
          <w:rFonts w:cstheme="minorHAnsi"/>
          <w:lang w:val="en-GB"/>
        </w:rPr>
        <w:t xml:space="preserve"> </w:t>
      </w:r>
      <w:r w:rsidR="00771BB0">
        <w:rPr>
          <w:rFonts w:cstheme="minorHAnsi"/>
          <w:lang w:val="en-GB"/>
        </w:rPr>
        <w:t>Finally, the last</w:t>
      </w:r>
      <w:r w:rsidR="00DC2DC8" w:rsidRPr="00F54106">
        <w:rPr>
          <w:rFonts w:cstheme="minorHAnsi"/>
          <w:lang w:val="en-GB"/>
        </w:rPr>
        <w:t xml:space="preserve"> step </w:t>
      </w:r>
      <w:r w:rsidR="00F2003B" w:rsidRPr="00F54106">
        <w:rPr>
          <w:rFonts w:cstheme="minorHAnsi"/>
          <w:lang w:val="en-GB"/>
        </w:rPr>
        <w:t>for</w:t>
      </w:r>
      <w:r w:rsidR="00DC2DC8" w:rsidRPr="00F54106">
        <w:rPr>
          <w:rFonts w:cstheme="minorHAnsi"/>
          <w:lang w:val="en-GB"/>
        </w:rPr>
        <w:t xml:space="preserve"> the court is then to verify if “England and Wales is the proper place in which to bring the claim”.</w:t>
      </w:r>
      <w:r w:rsidR="00DC2DC8" w:rsidRPr="00F54106">
        <w:rPr>
          <w:rStyle w:val="FootnoteReference"/>
          <w:rFonts w:cstheme="minorHAnsi"/>
          <w:lang w:val="en-GB"/>
        </w:rPr>
        <w:footnoteReference w:id="282"/>
      </w:r>
    </w:p>
    <w:p w14:paraId="33B91BAB" w14:textId="283C03A4" w:rsidR="00663939" w:rsidRPr="00F54106" w:rsidRDefault="00060E7B" w:rsidP="00FC31D7">
      <w:pPr>
        <w:spacing w:line="276" w:lineRule="auto"/>
        <w:ind w:firstLine="720"/>
        <w:rPr>
          <w:rFonts w:cstheme="minorHAnsi"/>
          <w:lang w:val="en-GB"/>
        </w:rPr>
      </w:pPr>
      <w:r w:rsidRPr="00F54106">
        <w:rPr>
          <w:rFonts w:cstheme="minorHAnsi"/>
          <w:lang w:val="en-GB"/>
        </w:rPr>
        <w:t>Considering the above,</w:t>
      </w:r>
      <w:r w:rsidR="004A0B89" w:rsidRPr="00F54106">
        <w:rPr>
          <w:rFonts w:cstheme="minorHAnsi"/>
          <w:lang w:val="en-GB"/>
        </w:rPr>
        <w:t xml:space="preserve"> </w:t>
      </w:r>
      <w:r w:rsidR="00A64822" w:rsidRPr="00F54106">
        <w:rPr>
          <w:rFonts w:cstheme="minorHAnsi"/>
          <w:lang w:val="en-GB"/>
        </w:rPr>
        <w:t>it is mostly</w:t>
      </w:r>
      <w:r w:rsidR="004A0B89" w:rsidRPr="00F54106">
        <w:rPr>
          <w:rFonts w:cstheme="minorHAnsi"/>
          <w:lang w:val="en-GB"/>
        </w:rPr>
        <w:t xml:space="preserve"> argued that the UK’s </w:t>
      </w:r>
      <w:r w:rsidR="00C955E3" w:rsidRPr="00F54106">
        <w:rPr>
          <w:rFonts w:cstheme="minorHAnsi"/>
          <w:lang w:val="en-GB"/>
        </w:rPr>
        <w:t xml:space="preserve">post-Brexit </w:t>
      </w:r>
      <w:r w:rsidR="004A0B89" w:rsidRPr="00F54106">
        <w:rPr>
          <w:rFonts w:cstheme="minorHAnsi"/>
          <w:lang w:val="en-GB"/>
        </w:rPr>
        <w:t xml:space="preserve">appeal is dependent on the jurisdiction, recognition and enforcement of judgements </w:t>
      </w:r>
      <w:r w:rsidR="00A64822" w:rsidRPr="00F54106">
        <w:rPr>
          <w:rFonts w:cstheme="minorHAnsi"/>
          <w:lang w:val="en-GB"/>
        </w:rPr>
        <w:t xml:space="preserve">that apply </w:t>
      </w:r>
      <w:r w:rsidR="003465E7" w:rsidRPr="00F54106">
        <w:rPr>
          <w:rFonts w:cstheme="minorHAnsi"/>
          <w:lang w:val="en-GB"/>
        </w:rPr>
        <w:t>either under Brussels I</w:t>
      </w:r>
      <w:r w:rsidR="00CD2E28" w:rsidRPr="00F54106">
        <w:rPr>
          <w:rFonts w:cstheme="minorHAnsi"/>
          <w:lang w:val="en-GB"/>
        </w:rPr>
        <w:t xml:space="preserve"> or</w:t>
      </w:r>
      <w:r w:rsidR="003465E7" w:rsidRPr="00F54106">
        <w:rPr>
          <w:rFonts w:cstheme="minorHAnsi"/>
          <w:lang w:val="en-GB"/>
        </w:rPr>
        <w:t xml:space="preserve"> the Lugano Convention.</w:t>
      </w:r>
      <w:r w:rsidR="00A64822" w:rsidRPr="00F54106">
        <w:rPr>
          <w:rStyle w:val="FootnoteReference"/>
          <w:rFonts w:cstheme="minorHAnsi"/>
          <w:lang w:val="en-GB"/>
        </w:rPr>
        <w:footnoteReference w:id="283"/>
      </w:r>
      <w:r w:rsidR="00A64822" w:rsidRPr="00F54106">
        <w:rPr>
          <w:rFonts w:cstheme="minorHAnsi"/>
          <w:lang w:val="en-GB"/>
        </w:rPr>
        <w:t xml:space="preserve"> As it stands now, the UK will </w:t>
      </w:r>
      <w:r w:rsidR="00C955E3" w:rsidRPr="00F54106">
        <w:rPr>
          <w:rFonts w:cstheme="minorHAnsi"/>
          <w:lang w:val="en-GB"/>
        </w:rPr>
        <w:t>find itself under the provisions of the Hague conventions now that the UK’s efforts to re-join the Lugano Convention have been blocked by the Commission</w:t>
      </w:r>
      <w:r w:rsidR="00771BB0">
        <w:rPr>
          <w:rFonts w:cstheme="minorHAnsi"/>
          <w:lang w:val="en-GB"/>
        </w:rPr>
        <w:t>.</w:t>
      </w:r>
      <w:r w:rsidR="00801122" w:rsidRPr="00F54106">
        <w:rPr>
          <w:rFonts w:cstheme="minorHAnsi"/>
          <w:lang w:val="en-GB"/>
        </w:rPr>
        <w:t xml:space="preserve"> </w:t>
      </w:r>
      <w:r w:rsidR="00771BB0">
        <w:rPr>
          <w:rFonts w:cstheme="minorHAnsi"/>
          <w:lang w:val="en-GB"/>
        </w:rPr>
        <w:t xml:space="preserve">In this regard, the </w:t>
      </w:r>
      <w:r w:rsidRPr="00F54106">
        <w:rPr>
          <w:rFonts w:cstheme="minorHAnsi"/>
          <w:lang w:val="en-GB"/>
        </w:rPr>
        <w:t>l</w:t>
      </w:r>
      <w:r w:rsidR="007F6B66" w:rsidRPr="00F54106">
        <w:rPr>
          <w:rFonts w:cstheme="minorHAnsi"/>
          <w:lang w:val="en-GB"/>
        </w:rPr>
        <w:t xml:space="preserve">iterature </w:t>
      </w:r>
      <w:r w:rsidR="00771BB0">
        <w:rPr>
          <w:rFonts w:cstheme="minorHAnsi"/>
          <w:lang w:val="en-GB"/>
        </w:rPr>
        <w:t>that</w:t>
      </w:r>
      <w:r w:rsidR="00170180" w:rsidRPr="00F54106">
        <w:rPr>
          <w:rFonts w:cstheme="minorHAnsi"/>
          <w:lang w:val="en-GB"/>
        </w:rPr>
        <w:t xml:space="preserve"> has argued</w:t>
      </w:r>
      <w:r w:rsidR="007F6B66" w:rsidRPr="00F54106">
        <w:rPr>
          <w:rFonts w:cstheme="minorHAnsi"/>
          <w:lang w:val="en-GB"/>
        </w:rPr>
        <w:t xml:space="preserve"> </w:t>
      </w:r>
      <w:r w:rsidR="00741876" w:rsidRPr="00F54106">
        <w:rPr>
          <w:rFonts w:cstheme="minorHAnsi"/>
          <w:lang w:val="en-GB"/>
        </w:rPr>
        <w:t xml:space="preserve">that the UK’s attractiveness would not wane </w:t>
      </w:r>
      <w:r w:rsidR="00C714DF" w:rsidRPr="00F54106">
        <w:rPr>
          <w:rFonts w:cstheme="minorHAnsi"/>
          <w:lang w:val="en-GB"/>
        </w:rPr>
        <w:t>on the basis of the UK’s application to Lugano Convention</w:t>
      </w:r>
      <w:r w:rsidR="00741876" w:rsidRPr="00F54106">
        <w:rPr>
          <w:rFonts w:cstheme="minorHAnsi"/>
          <w:lang w:val="en-GB"/>
        </w:rPr>
        <w:t xml:space="preserve"> and it</w:t>
      </w:r>
      <w:r w:rsidR="00C1584E" w:rsidRPr="00F54106">
        <w:rPr>
          <w:rFonts w:cstheme="minorHAnsi"/>
          <w:lang w:val="en-GB"/>
        </w:rPr>
        <w:t>s</w:t>
      </w:r>
      <w:r w:rsidR="00741876" w:rsidRPr="00F54106">
        <w:rPr>
          <w:rFonts w:cstheme="minorHAnsi"/>
          <w:lang w:val="en-GB"/>
        </w:rPr>
        <w:t xml:space="preserve"> respective implications </w:t>
      </w:r>
      <w:r w:rsidR="00C1584E" w:rsidRPr="00F54106">
        <w:rPr>
          <w:rFonts w:cstheme="minorHAnsi"/>
          <w:lang w:val="en-GB"/>
        </w:rPr>
        <w:t>for</w:t>
      </w:r>
      <w:r w:rsidR="00741876" w:rsidRPr="00F54106">
        <w:rPr>
          <w:rFonts w:cstheme="minorHAnsi"/>
          <w:lang w:val="en-GB"/>
        </w:rPr>
        <w:t xml:space="preserve"> enforcement and jurisdiction</w:t>
      </w:r>
      <w:r w:rsidR="00801122" w:rsidRPr="00F54106">
        <w:rPr>
          <w:rFonts w:cstheme="minorHAnsi"/>
          <w:lang w:val="en-GB"/>
        </w:rPr>
        <w:t xml:space="preserve"> </w:t>
      </w:r>
      <w:r w:rsidR="00741876" w:rsidRPr="00F54106">
        <w:rPr>
          <w:rFonts w:cstheme="minorHAnsi"/>
          <w:lang w:val="en-GB"/>
        </w:rPr>
        <w:t>is to be refuted.</w:t>
      </w:r>
      <w:r w:rsidR="00C1584E" w:rsidRPr="00F54106">
        <w:rPr>
          <w:rStyle w:val="FootnoteReference"/>
          <w:rFonts w:cstheme="minorHAnsi"/>
          <w:lang w:val="en-GB"/>
        </w:rPr>
        <w:footnoteReference w:id="284"/>
      </w:r>
      <w:r w:rsidR="00CD2E28" w:rsidRPr="00F54106">
        <w:rPr>
          <w:rFonts w:cstheme="minorHAnsi"/>
          <w:lang w:val="en-GB"/>
        </w:rPr>
        <w:t xml:space="preserve"> </w:t>
      </w:r>
      <w:r w:rsidR="002C5948" w:rsidRPr="00F54106">
        <w:rPr>
          <w:rFonts w:cstheme="minorHAnsi"/>
          <w:lang w:val="en-GB"/>
        </w:rPr>
        <w:t>F</w:t>
      </w:r>
      <w:r w:rsidR="00663939" w:rsidRPr="00F54106">
        <w:rPr>
          <w:rFonts w:cstheme="minorHAnsi"/>
          <w:lang w:val="en-GB"/>
        </w:rPr>
        <w:t>or now</w:t>
      </w:r>
      <w:r w:rsidR="00CD2E28" w:rsidRPr="00F54106">
        <w:rPr>
          <w:rFonts w:cstheme="minorHAnsi"/>
          <w:lang w:val="en-GB"/>
        </w:rPr>
        <w:t>,</w:t>
      </w:r>
      <w:r w:rsidR="00741876" w:rsidRPr="00F54106">
        <w:rPr>
          <w:rFonts w:cstheme="minorHAnsi"/>
          <w:lang w:val="en-GB"/>
        </w:rPr>
        <w:t xml:space="preserve"> though,</w:t>
      </w:r>
      <w:r w:rsidR="00663939" w:rsidRPr="00F54106">
        <w:rPr>
          <w:rFonts w:cstheme="minorHAnsi"/>
          <w:lang w:val="en-GB"/>
        </w:rPr>
        <w:t xml:space="preserve"> it is </w:t>
      </w:r>
      <w:r w:rsidR="00741876" w:rsidRPr="00F54106">
        <w:rPr>
          <w:rFonts w:cstheme="minorHAnsi"/>
          <w:lang w:val="en-GB"/>
        </w:rPr>
        <w:t xml:space="preserve">still </w:t>
      </w:r>
      <w:r w:rsidR="00663939" w:rsidRPr="00F54106">
        <w:rPr>
          <w:rFonts w:cstheme="minorHAnsi"/>
          <w:lang w:val="en-GB"/>
        </w:rPr>
        <w:t xml:space="preserve">uncertain what </w:t>
      </w:r>
      <w:r w:rsidR="00170180" w:rsidRPr="00F54106">
        <w:rPr>
          <w:rFonts w:cstheme="minorHAnsi"/>
          <w:lang w:val="en-GB"/>
        </w:rPr>
        <w:t xml:space="preserve">precise </w:t>
      </w:r>
      <w:r w:rsidR="00663939" w:rsidRPr="00F54106">
        <w:rPr>
          <w:rFonts w:cstheme="minorHAnsi"/>
          <w:lang w:val="en-GB"/>
        </w:rPr>
        <w:t xml:space="preserve">impact the Brexit </w:t>
      </w:r>
      <w:r w:rsidR="00741876" w:rsidRPr="00F54106">
        <w:rPr>
          <w:rFonts w:cstheme="minorHAnsi"/>
          <w:lang w:val="en-GB"/>
        </w:rPr>
        <w:t>will have</w:t>
      </w:r>
      <w:r w:rsidR="00663939" w:rsidRPr="00F54106">
        <w:rPr>
          <w:rFonts w:cstheme="minorHAnsi"/>
          <w:lang w:val="en-GB"/>
        </w:rPr>
        <w:t xml:space="preserve"> on </w:t>
      </w:r>
      <w:r w:rsidR="00741876" w:rsidRPr="00F54106">
        <w:rPr>
          <w:rFonts w:cstheme="minorHAnsi"/>
          <w:lang w:val="en-GB"/>
        </w:rPr>
        <w:t xml:space="preserve">the </w:t>
      </w:r>
      <w:r w:rsidR="00663939" w:rsidRPr="00F54106">
        <w:rPr>
          <w:rFonts w:cstheme="minorHAnsi"/>
          <w:lang w:val="en-GB"/>
        </w:rPr>
        <w:t>private enforcement of competition law in the UK</w:t>
      </w:r>
      <w:r w:rsidR="00670E70" w:rsidRPr="00F54106">
        <w:rPr>
          <w:rFonts w:cstheme="minorHAnsi"/>
          <w:lang w:val="en-GB"/>
        </w:rPr>
        <w:t xml:space="preserve">. However, </w:t>
      </w:r>
      <w:r w:rsidR="002C5948" w:rsidRPr="00F54106">
        <w:rPr>
          <w:rFonts w:cstheme="minorHAnsi"/>
          <w:lang w:val="en-GB"/>
        </w:rPr>
        <w:t xml:space="preserve">it remains difficult to see that the UK will </w:t>
      </w:r>
      <w:r w:rsidR="00170180" w:rsidRPr="00F54106">
        <w:rPr>
          <w:rFonts w:cstheme="minorHAnsi"/>
          <w:lang w:val="en-GB"/>
        </w:rPr>
        <w:t>persist to be</w:t>
      </w:r>
      <w:r w:rsidR="002C5948" w:rsidRPr="00F54106">
        <w:rPr>
          <w:rFonts w:cstheme="minorHAnsi"/>
          <w:lang w:val="en-GB"/>
        </w:rPr>
        <w:t xml:space="preserve"> a preferred forum in the future due to </w:t>
      </w:r>
      <w:r w:rsidR="00FC45BD" w:rsidRPr="00F54106">
        <w:rPr>
          <w:rFonts w:cstheme="minorHAnsi"/>
          <w:lang w:val="en-GB"/>
        </w:rPr>
        <w:t>its</w:t>
      </w:r>
      <w:r w:rsidR="00AF0CDA" w:rsidRPr="00F54106">
        <w:rPr>
          <w:rFonts w:cstheme="minorHAnsi"/>
          <w:lang w:val="en-GB"/>
        </w:rPr>
        <w:t xml:space="preserve"> </w:t>
      </w:r>
      <w:r w:rsidR="002C5948" w:rsidRPr="00F54106">
        <w:rPr>
          <w:rFonts w:cstheme="minorHAnsi"/>
          <w:lang w:val="en-GB"/>
        </w:rPr>
        <w:t>lost benefits under Brussels I</w:t>
      </w:r>
      <w:r w:rsidR="00AF0CDA" w:rsidRPr="00F54106">
        <w:rPr>
          <w:rFonts w:cstheme="minorHAnsi"/>
          <w:lang w:val="en-GB"/>
        </w:rPr>
        <w:t>.</w:t>
      </w:r>
      <w:r w:rsidR="001706C6" w:rsidRPr="00F54106">
        <w:rPr>
          <w:rFonts w:cstheme="minorHAnsi"/>
          <w:lang w:val="en-GB"/>
        </w:rPr>
        <w:t xml:space="preserve"> Nevertheless, the 2019 Hague Convention on the Recognition and Enforcement of Foreign Judgments in Civil or Commercial Matters is </w:t>
      </w:r>
      <w:r w:rsidR="00670E70" w:rsidRPr="00F54106">
        <w:rPr>
          <w:rFonts w:cstheme="minorHAnsi"/>
          <w:lang w:val="en-GB"/>
        </w:rPr>
        <w:t xml:space="preserve">also </w:t>
      </w:r>
      <w:r w:rsidR="00A71B24" w:rsidRPr="00F54106">
        <w:rPr>
          <w:rFonts w:cstheme="minorHAnsi"/>
          <w:lang w:val="en-GB"/>
        </w:rPr>
        <w:t>awaiting ratification</w:t>
      </w:r>
      <w:r w:rsidR="00670E70" w:rsidRPr="00F54106">
        <w:rPr>
          <w:rFonts w:cstheme="minorHAnsi"/>
          <w:lang w:val="en-GB"/>
        </w:rPr>
        <w:t>.</w:t>
      </w:r>
      <w:r w:rsidR="00A71B24" w:rsidRPr="00F54106">
        <w:rPr>
          <w:rStyle w:val="FootnoteReference"/>
          <w:rFonts w:cstheme="minorHAnsi"/>
          <w:lang w:val="en-GB"/>
        </w:rPr>
        <w:footnoteReference w:id="285"/>
      </w:r>
      <w:r w:rsidR="001706C6" w:rsidRPr="00F54106">
        <w:rPr>
          <w:rFonts w:cstheme="minorHAnsi"/>
          <w:lang w:val="en-GB"/>
        </w:rPr>
        <w:t xml:space="preserve"> </w:t>
      </w:r>
      <w:r w:rsidR="00670E70" w:rsidRPr="00F54106">
        <w:rPr>
          <w:rFonts w:cstheme="minorHAnsi"/>
          <w:lang w:val="en-GB"/>
        </w:rPr>
        <w:t xml:space="preserve">This convention </w:t>
      </w:r>
      <w:r w:rsidR="00A71B24" w:rsidRPr="00F54106">
        <w:rPr>
          <w:rFonts w:cstheme="minorHAnsi"/>
          <w:lang w:val="en-GB"/>
        </w:rPr>
        <w:t>is said to have “</w:t>
      </w:r>
      <w:r w:rsidR="004D7DC6" w:rsidRPr="00F54106">
        <w:rPr>
          <w:rFonts w:cstheme="minorHAnsi"/>
          <w:lang w:val="en-GB"/>
        </w:rPr>
        <w:t>the potential to facilitate the worldwide recognition and enforcement of judgement in civil and commercial matters”</w:t>
      </w:r>
      <w:r w:rsidR="00A71B24" w:rsidRPr="00F54106">
        <w:rPr>
          <w:rStyle w:val="FootnoteReference"/>
          <w:rFonts w:cstheme="minorHAnsi"/>
          <w:lang w:val="en-GB"/>
        </w:rPr>
        <w:footnoteReference w:id="286"/>
      </w:r>
      <w:r w:rsidR="004D7DC6" w:rsidRPr="00F54106">
        <w:rPr>
          <w:rFonts w:cstheme="minorHAnsi"/>
          <w:lang w:val="en-GB"/>
        </w:rPr>
        <w:t xml:space="preserve"> and may</w:t>
      </w:r>
      <w:r w:rsidR="000E614A" w:rsidRPr="00F54106">
        <w:rPr>
          <w:rFonts w:cstheme="minorHAnsi"/>
          <w:lang w:val="en-GB"/>
        </w:rPr>
        <w:t xml:space="preserve"> therefore</w:t>
      </w:r>
      <w:r w:rsidR="006550E7" w:rsidRPr="00F54106">
        <w:rPr>
          <w:rFonts w:cstheme="minorHAnsi"/>
          <w:lang w:val="en-GB"/>
        </w:rPr>
        <w:t xml:space="preserve"> be</w:t>
      </w:r>
      <w:r w:rsidR="004D7DC6" w:rsidRPr="00F54106">
        <w:rPr>
          <w:rFonts w:cstheme="minorHAnsi"/>
          <w:lang w:val="en-GB"/>
        </w:rPr>
        <w:t xml:space="preserve"> help</w:t>
      </w:r>
      <w:r w:rsidR="006550E7" w:rsidRPr="00F54106">
        <w:rPr>
          <w:rFonts w:cstheme="minorHAnsi"/>
          <w:lang w:val="en-GB"/>
        </w:rPr>
        <w:t>ful to</w:t>
      </w:r>
      <w:r w:rsidR="004D7DC6" w:rsidRPr="00F54106">
        <w:rPr>
          <w:rFonts w:cstheme="minorHAnsi"/>
          <w:lang w:val="en-GB"/>
        </w:rPr>
        <w:t xml:space="preserve"> </w:t>
      </w:r>
      <w:r w:rsidR="00A71B24" w:rsidRPr="00F54106">
        <w:rPr>
          <w:rFonts w:cstheme="minorHAnsi"/>
          <w:lang w:val="en-GB"/>
        </w:rPr>
        <w:t>future claimants</w:t>
      </w:r>
      <w:r w:rsidR="006550E7" w:rsidRPr="00F54106">
        <w:rPr>
          <w:rFonts w:cstheme="minorHAnsi"/>
          <w:lang w:val="en-GB"/>
        </w:rPr>
        <w:t xml:space="preserve"> suing</w:t>
      </w:r>
      <w:r w:rsidR="00A71B24" w:rsidRPr="00F54106">
        <w:rPr>
          <w:rFonts w:cstheme="minorHAnsi"/>
          <w:lang w:val="en-GB"/>
        </w:rPr>
        <w:t xml:space="preserve"> in the UK</w:t>
      </w:r>
      <w:r w:rsidR="004D7DC6" w:rsidRPr="00F54106">
        <w:rPr>
          <w:rFonts w:cstheme="minorHAnsi"/>
          <w:lang w:val="en-GB"/>
        </w:rPr>
        <w:t>.</w:t>
      </w:r>
    </w:p>
    <w:p w14:paraId="279D916F" w14:textId="77777777" w:rsidR="00663939" w:rsidRPr="00F54106" w:rsidRDefault="00663939" w:rsidP="00FC31D7">
      <w:pPr>
        <w:spacing w:line="276" w:lineRule="auto"/>
        <w:rPr>
          <w:rFonts w:cstheme="minorHAnsi"/>
          <w:lang w:val="en-GB"/>
        </w:rPr>
      </w:pPr>
    </w:p>
    <w:p w14:paraId="682639F8" w14:textId="3F731703" w:rsidR="00C160BA" w:rsidRPr="00F54106" w:rsidRDefault="001F001E" w:rsidP="001F001E">
      <w:pPr>
        <w:pStyle w:val="Heading3"/>
        <w:rPr>
          <w:lang w:val="en-GB"/>
        </w:rPr>
      </w:pPr>
      <w:bookmarkStart w:id="129" w:name="_Toc107610234"/>
      <w:r w:rsidRPr="00F54106">
        <w:rPr>
          <w:lang w:val="en-GB"/>
        </w:rPr>
        <w:t>2.2.8 Interim conclusions on the UK as a preferred forum</w:t>
      </w:r>
      <w:bookmarkEnd w:id="129"/>
    </w:p>
    <w:p w14:paraId="7AED5582" w14:textId="7361EC0C" w:rsidR="00D066B9" w:rsidRPr="00F54106" w:rsidRDefault="002B12E7" w:rsidP="00FC31D7">
      <w:pPr>
        <w:spacing w:line="276" w:lineRule="auto"/>
        <w:rPr>
          <w:rFonts w:cstheme="minorHAnsi"/>
          <w:lang w:val="en-GB"/>
        </w:rPr>
      </w:pPr>
      <w:r w:rsidRPr="00F54106">
        <w:rPr>
          <w:rFonts w:cstheme="minorHAnsi"/>
          <w:lang w:val="en-GB"/>
        </w:rPr>
        <w:t>So far, the</w:t>
      </w:r>
      <w:r w:rsidR="00400376" w:rsidRPr="00F54106">
        <w:rPr>
          <w:rFonts w:cstheme="minorHAnsi"/>
          <w:lang w:val="en-GB"/>
        </w:rPr>
        <w:t xml:space="preserve"> findings have indicated that the</w:t>
      </w:r>
      <w:r w:rsidRPr="00F54106">
        <w:rPr>
          <w:rFonts w:cstheme="minorHAnsi"/>
          <w:lang w:val="en-GB"/>
        </w:rPr>
        <w:t xml:space="preserve"> UK</w:t>
      </w:r>
      <w:r w:rsidR="005725AF" w:rsidRPr="00F54106">
        <w:rPr>
          <w:rFonts w:cstheme="minorHAnsi"/>
          <w:lang w:val="en-GB"/>
        </w:rPr>
        <w:t xml:space="preserve"> is </w:t>
      </w:r>
      <w:r w:rsidR="00203768" w:rsidRPr="00F54106">
        <w:rPr>
          <w:rFonts w:cstheme="minorHAnsi"/>
          <w:lang w:val="en-GB"/>
        </w:rPr>
        <w:t>certainly</w:t>
      </w:r>
      <w:r w:rsidR="008F561F" w:rsidRPr="00F54106">
        <w:rPr>
          <w:rFonts w:cstheme="minorHAnsi"/>
          <w:lang w:val="en-GB"/>
        </w:rPr>
        <w:t xml:space="preserve"> </w:t>
      </w:r>
      <w:r w:rsidR="00261287" w:rsidRPr="00F54106">
        <w:rPr>
          <w:rFonts w:cstheme="minorHAnsi"/>
          <w:lang w:val="en-GB"/>
        </w:rPr>
        <w:t xml:space="preserve">favoured </w:t>
      </w:r>
      <w:r w:rsidR="008F561F" w:rsidRPr="00F54106">
        <w:rPr>
          <w:rFonts w:cstheme="minorHAnsi"/>
          <w:lang w:val="en-GB"/>
        </w:rPr>
        <w:t xml:space="preserve">for actions related to cartel infringements. </w:t>
      </w:r>
      <w:r w:rsidR="00015C11" w:rsidRPr="00F54106">
        <w:rPr>
          <w:rFonts w:cstheme="minorHAnsi"/>
          <w:lang w:val="en-GB"/>
        </w:rPr>
        <w:t>In this regard</w:t>
      </w:r>
      <w:r w:rsidR="008F561F" w:rsidRPr="00F54106">
        <w:rPr>
          <w:rFonts w:cstheme="minorHAnsi"/>
          <w:lang w:val="en-GB"/>
        </w:rPr>
        <w:t xml:space="preserve">, the </w:t>
      </w:r>
      <w:r w:rsidR="00140955" w:rsidRPr="00F54106">
        <w:rPr>
          <w:rFonts w:cstheme="minorHAnsi"/>
          <w:lang w:val="en-GB"/>
        </w:rPr>
        <w:t xml:space="preserve">literature has substantiated that the </w:t>
      </w:r>
      <w:r w:rsidR="008F561F" w:rsidRPr="00F54106">
        <w:rPr>
          <w:rFonts w:cstheme="minorHAnsi"/>
          <w:lang w:val="en-GB"/>
        </w:rPr>
        <w:t>UK contains a specialized court for cartel damages claims with a three-headed panel</w:t>
      </w:r>
      <w:r w:rsidR="00140955" w:rsidRPr="00F54106">
        <w:rPr>
          <w:rFonts w:cstheme="minorHAnsi"/>
          <w:lang w:val="en-GB"/>
        </w:rPr>
        <w:t xml:space="preserve"> of different professionals</w:t>
      </w:r>
      <w:r w:rsidR="008F561F" w:rsidRPr="00F54106">
        <w:rPr>
          <w:rFonts w:cstheme="minorHAnsi"/>
          <w:lang w:val="en-GB"/>
        </w:rPr>
        <w:t xml:space="preserve">, </w:t>
      </w:r>
      <w:r w:rsidR="00203768" w:rsidRPr="00F54106">
        <w:rPr>
          <w:rFonts w:cstheme="minorHAnsi"/>
          <w:lang w:val="en-GB"/>
        </w:rPr>
        <w:t>while English courts are experienced in handling</w:t>
      </w:r>
      <w:r w:rsidR="00261287" w:rsidRPr="00F54106">
        <w:rPr>
          <w:rFonts w:cstheme="minorHAnsi"/>
          <w:lang w:val="en-GB"/>
        </w:rPr>
        <w:t xml:space="preserve"> these type of</w:t>
      </w:r>
      <w:r w:rsidR="00203768" w:rsidRPr="00F54106">
        <w:rPr>
          <w:rFonts w:cstheme="minorHAnsi"/>
          <w:lang w:val="en-GB"/>
        </w:rPr>
        <w:t xml:space="preserve"> claims and </w:t>
      </w:r>
      <w:r w:rsidR="007A263E">
        <w:rPr>
          <w:rFonts w:cstheme="minorHAnsi"/>
          <w:lang w:val="en-GB"/>
        </w:rPr>
        <w:t xml:space="preserve">actively manage a case </w:t>
      </w:r>
      <w:r w:rsidR="00140955" w:rsidRPr="00F54106">
        <w:rPr>
          <w:rFonts w:cstheme="minorHAnsi"/>
          <w:lang w:val="en-GB"/>
        </w:rPr>
        <w:t>to</w:t>
      </w:r>
      <w:r w:rsidR="008F561F" w:rsidRPr="00F54106">
        <w:rPr>
          <w:rFonts w:cstheme="minorHAnsi"/>
          <w:lang w:val="en-GB"/>
        </w:rPr>
        <w:t xml:space="preserve"> achiev</w:t>
      </w:r>
      <w:r w:rsidR="00140955" w:rsidRPr="00F54106">
        <w:rPr>
          <w:rFonts w:cstheme="minorHAnsi"/>
          <w:lang w:val="en-GB"/>
        </w:rPr>
        <w:t xml:space="preserve">e </w:t>
      </w:r>
      <w:r w:rsidR="008F561F" w:rsidRPr="00F54106">
        <w:rPr>
          <w:rFonts w:cstheme="minorHAnsi"/>
          <w:lang w:val="en-GB"/>
        </w:rPr>
        <w:t>efficient litigation</w:t>
      </w:r>
      <w:r w:rsidR="00140955" w:rsidRPr="00F54106">
        <w:rPr>
          <w:rFonts w:cstheme="minorHAnsi"/>
          <w:lang w:val="en-GB"/>
        </w:rPr>
        <w:t>.</w:t>
      </w:r>
      <w:r w:rsidR="00351F54" w:rsidRPr="00F54106">
        <w:rPr>
          <w:rFonts w:cstheme="minorHAnsi"/>
          <w:lang w:val="en-GB"/>
        </w:rPr>
        <w:t xml:space="preserve"> Furthermore,</w:t>
      </w:r>
      <w:r w:rsidR="007A263E">
        <w:rPr>
          <w:rFonts w:cstheme="minorHAnsi"/>
          <w:lang w:val="en-GB"/>
        </w:rPr>
        <w:t xml:space="preserve"> </w:t>
      </w:r>
      <w:r w:rsidR="007A263E" w:rsidRPr="00F54106">
        <w:rPr>
          <w:rFonts w:cstheme="minorHAnsi"/>
          <w:lang w:val="en-GB"/>
        </w:rPr>
        <w:t xml:space="preserve">even though some have argued that the Damages Directive has negatively impacted </w:t>
      </w:r>
      <w:r w:rsidR="007A263E">
        <w:rPr>
          <w:rFonts w:cstheme="minorHAnsi"/>
          <w:lang w:val="en-GB"/>
        </w:rPr>
        <w:t>disclosure of evidence in the UK, the UK’s</w:t>
      </w:r>
      <w:r w:rsidR="00351F54" w:rsidRPr="00F54106">
        <w:rPr>
          <w:rFonts w:cstheme="minorHAnsi"/>
          <w:lang w:val="en-GB"/>
        </w:rPr>
        <w:t xml:space="preserve"> </w:t>
      </w:r>
      <w:r w:rsidR="00B94A86" w:rsidRPr="00F54106">
        <w:rPr>
          <w:rFonts w:cstheme="minorHAnsi"/>
          <w:lang w:val="en-GB"/>
        </w:rPr>
        <w:t xml:space="preserve">mature </w:t>
      </w:r>
      <w:r w:rsidR="005725AF" w:rsidRPr="00F54106">
        <w:rPr>
          <w:rFonts w:cstheme="minorHAnsi"/>
          <w:lang w:val="en-GB"/>
        </w:rPr>
        <w:t>disclosure regime</w:t>
      </w:r>
      <w:r w:rsidR="00140955" w:rsidRPr="00F54106">
        <w:rPr>
          <w:rFonts w:cstheme="minorHAnsi"/>
          <w:lang w:val="en-GB"/>
        </w:rPr>
        <w:t xml:space="preserve"> with the obligation to disclose all available evidence, subject to safeguards, </w:t>
      </w:r>
      <w:r w:rsidR="00351F54" w:rsidRPr="00F54106">
        <w:rPr>
          <w:rFonts w:cstheme="minorHAnsi"/>
          <w:lang w:val="en-GB"/>
        </w:rPr>
        <w:t>is considered very attractive</w:t>
      </w:r>
      <w:r w:rsidR="003C5BF7" w:rsidRPr="00F54106">
        <w:rPr>
          <w:rFonts w:cstheme="minorHAnsi"/>
          <w:lang w:val="en-GB"/>
        </w:rPr>
        <w:t xml:space="preserve"> </w:t>
      </w:r>
      <w:r w:rsidR="00015C11" w:rsidRPr="00F54106">
        <w:rPr>
          <w:rFonts w:cstheme="minorHAnsi"/>
          <w:lang w:val="en-GB"/>
        </w:rPr>
        <w:t>by the literature</w:t>
      </w:r>
      <w:r w:rsidR="00351F54" w:rsidRPr="00F54106">
        <w:rPr>
          <w:rFonts w:cstheme="minorHAnsi"/>
          <w:lang w:val="en-GB"/>
        </w:rPr>
        <w:t>.</w:t>
      </w:r>
      <w:r w:rsidR="003C5BF7" w:rsidRPr="00F54106">
        <w:rPr>
          <w:rFonts w:cstheme="minorHAnsi"/>
          <w:lang w:val="en-GB"/>
        </w:rPr>
        <w:t xml:space="preserve"> </w:t>
      </w:r>
      <w:r w:rsidR="00015C11" w:rsidRPr="00F54106">
        <w:rPr>
          <w:rFonts w:cstheme="minorHAnsi"/>
          <w:lang w:val="en-GB"/>
        </w:rPr>
        <w:t xml:space="preserve">Next to this, it is </w:t>
      </w:r>
      <w:r w:rsidR="00015C11" w:rsidRPr="00F54106">
        <w:rPr>
          <w:rFonts w:cstheme="minorHAnsi"/>
          <w:lang w:val="en-GB"/>
        </w:rPr>
        <w:lastRenderedPageBreak/>
        <w:t>r</w:t>
      </w:r>
      <w:r w:rsidR="008C5347" w:rsidRPr="00F54106">
        <w:rPr>
          <w:rFonts w:cstheme="minorHAnsi"/>
          <w:lang w:val="en-GB"/>
        </w:rPr>
        <w:t>elatively easy to establish jurisdiction before British courts</w:t>
      </w:r>
      <w:r w:rsidR="00015C11" w:rsidRPr="00F54106">
        <w:rPr>
          <w:rFonts w:cstheme="minorHAnsi"/>
          <w:lang w:val="en-GB"/>
        </w:rPr>
        <w:t xml:space="preserve"> since </w:t>
      </w:r>
      <w:r w:rsidR="008C5347" w:rsidRPr="00F54106">
        <w:rPr>
          <w:rFonts w:cstheme="minorHAnsi"/>
          <w:lang w:val="en-GB"/>
        </w:rPr>
        <w:t>many businesses are domiciled in the UK</w:t>
      </w:r>
      <w:r w:rsidR="007B34A9" w:rsidRPr="00F54106">
        <w:rPr>
          <w:rFonts w:cstheme="minorHAnsi"/>
          <w:lang w:val="en-GB"/>
        </w:rPr>
        <w:t xml:space="preserve"> and</w:t>
      </w:r>
      <w:r w:rsidR="00C33899">
        <w:rPr>
          <w:rFonts w:cstheme="minorHAnsi"/>
          <w:lang w:val="en-GB"/>
        </w:rPr>
        <w:t xml:space="preserve"> English</w:t>
      </w:r>
      <w:r w:rsidR="007B34A9" w:rsidRPr="00F54106">
        <w:rPr>
          <w:rFonts w:cstheme="minorHAnsi"/>
          <w:lang w:val="en-GB"/>
        </w:rPr>
        <w:t xml:space="preserve"> courts </w:t>
      </w:r>
      <w:r w:rsidR="00C33899">
        <w:rPr>
          <w:rFonts w:cstheme="minorHAnsi"/>
          <w:lang w:val="en-GB"/>
        </w:rPr>
        <w:t>have been</w:t>
      </w:r>
      <w:r w:rsidR="007B34A9" w:rsidRPr="00F54106">
        <w:rPr>
          <w:rFonts w:cstheme="minorHAnsi"/>
          <w:lang w:val="en-GB"/>
        </w:rPr>
        <w:t xml:space="preserve"> very liberal on this aspect</w:t>
      </w:r>
      <w:r w:rsidR="00C33899">
        <w:rPr>
          <w:rFonts w:cstheme="minorHAnsi"/>
          <w:lang w:val="en-GB"/>
        </w:rPr>
        <w:t>. In addition,</w:t>
      </w:r>
      <w:r w:rsidR="008C5347" w:rsidRPr="00F54106">
        <w:rPr>
          <w:rFonts w:cstheme="minorHAnsi"/>
          <w:lang w:val="en-GB"/>
        </w:rPr>
        <w:t xml:space="preserve"> </w:t>
      </w:r>
      <w:r w:rsidR="00015C11" w:rsidRPr="00F54106">
        <w:rPr>
          <w:rFonts w:cstheme="minorHAnsi"/>
          <w:lang w:val="en-GB"/>
        </w:rPr>
        <w:t xml:space="preserve">attempts to establish </w:t>
      </w:r>
      <w:r w:rsidR="008C5347" w:rsidRPr="00F54106">
        <w:rPr>
          <w:rFonts w:cstheme="minorHAnsi"/>
          <w:lang w:val="en-GB"/>
        </w:rPr>
        <w:t xml:space="preserve">jurisdiction </w:t>
      </w:r>
      <w:r w:rsidR="00015C11" w:rsidRPr="00F54106">
        <w:rPr>
          <w:rFonts w:cstheme="minorHAnsi"/>
          <w:lang w:val="en-GB"/>
        </w:rPr>
        <w:t>on the basis of the</w:t>
      </w:r>
      <w:r w:rsidR="008C5347" w:rsidRPr="00F54106">
        <w:rPr>
          <w:rFonts w:cstheme="minorHAnsi"/>
          <w:lang w:val="en-GB"/>
        </w:rPr>
        <w:t xml:space="preserve"> exceptions in Brussels I are often successful as well</w:t>
      </w:r>
      <w:r w:rsidR="00015C11" w:rsidRPr="00F54106">
        <w:rPr>
          <w:rFonts w:cstheme="minorHAnsi"/>
          <w:lang w:val="en-GB"/>
        </w:rPr>
        <w:t xml:space="preserve">. </w:t>
      </w:r>
      <w:r w:rsidR="00151496" w:rsidRPr="00F54106">
        <w:rPr>
          <w:rFonts w:cstheme="minorHAnsi"/>
          <w:lang w:val="en-GB"/>
        </w:rPr>
        <w:t>However, litig</w:t>
      </w:r>
      <w:r w:rsidR="00C33899">
        <w:rPr>
          <w:rFonts w:cstheme="minorHAnsi"/>
          <w:lang w:val="en-GB"/>
        </w:rPr>
        <w:t>ation</w:t>
      </w:r>
      <w:r w:rsidR="00151496" w:rsidRPr="00F54106">
        <w:rPr>
          <w:rFonts w:cstheme="minorHAnsi"/>
          <w:lang w:val="en-GB"/>
        </w:rPr>
        <w:t xml:space="preserve"> in the UK is mentioned to be considerably costly due to the loser pays rule, the split up of barristers and solicitors, and substantial disclosure costs. Nevertheless, litigation finance</w:t>
      </w:r>
      <w:r w:rsidR="007B34A9" w:rsidRPr="00F54106">
        <w:rPr>
          <w:rFonts w:cstheme="minorHAnsi"/>
          <w:lang w:val="en-GB"/>
        </w:rPr>
        <w:t xml:space="preserve"> may help overcome </w:t>
      </w:r>
      <w:r w:rsidR="00C33899">
        <w:rPr>
          <w:rFonts w:cstheme="minorHAnsi"/>
          <w:lang w:val="en-GB"/>
        </w:rPr>
        <w:t xml:space="preserve">high </w:t>
      </w:r>
      <w:r w:rsidR="007464F8" w:rsidRPr="00F54106">
        <w:rPr>
          <w:rFonts w:cstheme="minorHAnsi"/>
          <w:lang w:val="en-GB"/>
        </w:rPr>
        <w:t>costs</w:t>
      </w:r>
      <w:r w:rsidR="007B34A9" w:rsidRPr="00F54106">
        <w:rPr>
          <w:rFonts w:cstheme="minorHAnsi"/>
          <w:lang w:val="en-GB"/>
        </w:rPr>
        <w:t xml:space="preserve"> </w:t>
      </w:r>
      <w:r w:rsidR="00C33899">
        <w:rPr>
          <w:rFonts w:cstheme="minorHAnsi"/>
          <w:lang w:val="en-GB"/>
        </w:rPr>
        <w:t>as it</w:t>
      </w:r>
      <w:r w:rsidR="00151496" w:rsidRPr="00F54106">
        <w:rPr>
          <w:rFonts w:cstheme="minorHAnsi"/>
          <w:lang w:val="en-GB"/>
        </w:rPr>
        <w:t xml:space="preserve"> is said </w:t>
      </w:r>
      <w:r w:rsidR="00C33899">
        <w:rPr>
          <w:rFonts w:cstheme="minorHAnsi"/>
          <w:lang w:val="en-GB"/>
        </w:rPr>
        <w:t xml:space="preserve">that litigation finance is </w:t>
      </w:r>
      <w:r w:rsidR="007464F8" w:rsidRPr="00F54106">
        <w:rPr>
          <w:rFonts w:cstheme="minorHAnsi"/>
          <w:lang w:val="en-GB"/>
        </w:rPr>
        <w:t xml:space="preserve">relatively </w:t>
      </w:r>
      <w:r w:rsidR="00151496" w:rsidRPr="00F54106">
        <w:rPr>
          <w:rFonts w:cstheme="minorHAnsi"/>
          <w:lang w:val="en-GB"/>
        </w:rPr>
        <w:t>easy to obtain in the UK</w:t>
      </w:r>
      <w:r w:rsidR="007B34A9" w:rsidRPr="00F54106">
        <w:rPr>
          <w:rFonts w:cstheme="minorHAnsi"/>
          <w:lang w:val="en-GB"/>
        </w:rPr>
        <w:t xml:space="preserve">. </w:t>
      </w:r>
      <w:r w:rsidR="00015C11" w:rsidRPr="00F54106">
        <w:rPr>
          <w:rFonts w:cstheme="minorHAnsi"/>
          <w:lang w:val="en-GB"/>
        </w:rPr>
        <w:t>Additionally</w:t>
      </w:r>
      <w:r w:rsidR="00D87AC2" w:rsidRPr="00F54106">
        <w:rPr>
          <w:rFonts w:cstheme="minorHAnsi"/>
          <w:lang w:val="en-GB"/>
        </w:rPr>
        <w:t>, the n</w:t>
      </w:r>
      <w:r w:rsidR="00D066B9" w:rsidRPr="00F54106">
        <w:rPr>
          <w:rFonts w:cstheme="minorHAnsi"/>
          <w:lang w:val="en-GB"/>
        </w:rPr>
        <w:t>ew collective redress mechanism</w:t>
      </w:r>
      <w:r w:rsidR="00B23719" w:rsidRPr="00F54106">
        <w:rPr>
          <w:rFonts w:cstheme="minorHAnsi"/>
          <w:lang w:val="en-GB"/>
        </w:rPr>
        <w:t xml:space="preserve"> ha</w:t>
      </w:r>
      <w:r w:rsidR="00015C11" w:rsidRPr="00F54106">
        <w:rPr>
          <w:rFonts w:cstheme="minorHAnsi"/>
          <w:lang w:val="en-GB"/>
        </w:rPr>
        <w:t>s</w:t>
      </w:r>
      <w:r w:rsidR="00B23719" w:rsidRPr="00F54106">
        <w:rPr>
          <w:rFonts w:cstheme="minorHAnsi"/>
          <w:lang w:val="en-GB"/>
        </w:rPr>
        <w:t xml:space="preserve"> incentivized claimants to litigate in the UK, while the specifications on suitability</w:t>
      </w:r>
      <w:r w:rsidR="00D87AC2" w:rsidRPr="00F54106">
        <w:rPr>
          <w:rFonts w:cstheme="minorHAnsi"/>
          <w:lang w:val="en-GB"/>
        </w:rPr>
        <w:t xml:space="preserve"> for a CPO</w:t>
      </w:r>
      <w:r w:rsidR="00847204" w:rsidRPr="00F54106">
        <w:rPr>
          <w:rFonts w:cstheme="minorHAnsi"/>
          <w:lang w:val="en-GB"/>
        </w:rPr>
        <w:t>,</w:t>
      </w:r>
      <w:r w:rsidR="00D87AC2" w:rsidRPr="00F54106">
        <w:rPr>
          <w:rFonts w:cstheme="minorHAnsi"/>
          <w:lang w:val="en-GB"/>
        </w:rPr>
        <w:t xml:space="preserve"> as</w:t>
      </w:r>
      <w:r w:rsidR="00B23719" w:rsidRPr="00F54106">
        <w:rPr>
          <w:rFonts w:cstheme="minorHAnsi"/>
          <w:lang w:val="en-GB"/>
        </w:rPr>
        <w:t xml:space="preserve"> provided by the UK Supreme Court in </w:t>
      </w:r>
      <w:proofErr w:type="spellStart"/>
      <w:r w:rsidR="00B23719" w:rsidRPr="00F54106">
        <w:rPr>
          <w:rFonts w:cstheme="minorHAnsi"/>
          <w:i/>
          <w:iCs/>
          <w:lang w:val="en-GB"/>
        </w:rPr>
        <w:t>Merricks</w:t>
      </w:r>
      <w:proofErr w:type="spellEnd"/>
      <w:r w:rsidR="00B23719" w:rsidRPr="00F54106">
        <w:rPr>
          <w:rFonts w:cstheme="minorHAnsi"/>
          <w:i/>
          <w:iCs/>
          <w:lang w:val="en-GB"/>
        </w:rPr>
        <w:t xml:space="preserve"> v Mastercard</w:t>
      </w:r>
      <w:r w:rsidR="00847204" w:rsidRPr="00F54106">
        <w:rPr>
          <w:rFonts w:cstheme="minorHAnsi"/>
          <w:lang w:val="en-GB"/>
        </w:rPr>
        <w:t>,</w:t>
      </w:r>
      <w:r w:rsidR="00B23719" w:rsidRPr="00F54106">
        <w:rPr>
          <w:rFonts w:cstheme="minorHAnsi"/>
          <w:lang w:val="en-GB"/>
        </w:rPr>
        <w:t xml:space="preserve"> </w:t>
      </w:r>
      <w:r w:rsidR="00151496" w:rsidRPr="00F54106">
        <w:rPr>
          <w:rFonts w:cstheme="minorHAnsi"/>
          <w:lang w:val="en-GB"/>
        </w:rPr>
        <w:t xml:space="preserve">is named to </w:t>
      </w:r>
      <w:r w:rsidR="00D87AC2" w:rsidRPr="00F54106">
        <w:rPr>
          <w:rFonts w:cstheme="minorHAnsi"/>
          <w:lang w:val="en-GB"/>
        </w:rPr>
        <w:t>have made filing collective proceedings</w:t>
      </w:r>
      <w:r w:rsidR="00B23719" w:rsidRPr="00F54106">
        <w:rPr>
          <w:rFonts w:cstheme="minorHAnsi"/>
          <w:lang w:val="en-GB"/>
        </w:rPr>
        <w:t xml:space="preserve"> considerably </w:t>
      </w:r>
      <w:r w:rsidR="00EF4DE4" w:rsidRPr="00F54106">
        <w:rPr>
          <w:rFonts w:cstheme="minorHAnsi"/>
          <w:lang w:val="en-GB"/>
        </w:rPr>
        <w:t>more accessible</w:t>
      </w:r>
      <w:r w:rsidR="00B23719" w:rsidRPr="00F54106">
        <w:rPr>
          <w:rFonts w:cstheme="minorHAnsi"/>
          <w:lang w:val="en-GB"/>
        </w:rPr>
        <w:t xml:space="preserve"> for consumers</w:t>
      </w:r>
      <w:r w:rsidR="00EF4DE4" w:rsidRPr="00F54106">
        <w:rPr>
          <w:rFonts w:cstheme="minorHAnsi"/>
          <w:lang w:val="en-GB"/>
        </w:rPr>
        <w:t xml:space="preserve">. </w:t>
      </w:r>
      <w:r w:rsidR="00823E2D" w:rsidRPr="00F54106">
        <w:rPr>
          <w:rFonts w:cstheme="minorHAnsi"/>
          <w:lang w:val="en-GB"/>
        </w:rPr>
        <w:t>Unfortunately, a</w:t>
      </w:r>
      <w:r w:rsidR="00847204" w:rsidRPr="00F54106">
        <w:rPr>
          <w:rFonts w:cstheme="minorHAnsi"/>
          <w:lang w:val="en-GB"/>
        </w:rPr>
        <w:t xml:space="preserve"> potentially dark c</w:t>
      </w:r>
      <w:r w:rsidR="00A321C9">
        <w:rPr>
          <w:rFonts w:cstheme="minorHAnsi"/>
          <w:lang w:val="en-GB"/>
        </w:rPr>
        <w:t>l</w:t>
      </w:r>
      <w:r w:rsidR="00847204" w:rsidRPr="00F54106">
        <w:rPr>
          <w:rFonts w:cstheme="minorHAnsi"/>
          <w:lang w:val="en-GB"/>
        </w:rPr>
        <w:t>oud is cast</w:t>
      </w:r>
      <w:r w:rsidR="00823E2D" w:rsidRPr="00F54106">
        <w:rPr>
          <w:rFonts w:cstheme="minorHAnsi"/>
          <w:lang w:val="en-GB"/>
        </w:rPr>
        <w:t xml:space="preserve"> on the </w:t>
      </w:r>
      <w:r w:rsidR="00C33899">
        <w:rPr>
          <w:rFonts w:cstheme="minorHAnsi"/>
          <w:lang w:val="en-GB"/>
        </w:rPr>
        <w:t>English forum</w:t>
      </w:r>
      <w:r w:rsidR="00823E2D" w:rsidRPr="00F54106">
        <w:rPr>
          <w:rFonts w:cstheme="minorHAnsi"/>
          <w:lang w:val="en-GB"/>
        </w:rPr>
        <w:t xml:space="preserve"> as a result of the</w:t>
      </w:r>
      <w:r w:rsidR="00847204" w:rsidRPr="00F54106">
        <w:rPr>
          <w:rFonts w:cstheme="minorHAnsi"/>
          <w:lang w:val="en-GB"/>
        </w:rPr>
        <w:t xml:space="preserve"> </w:t>
      </w:r>
      <w:r w:rsidR="007464F8" w:rsidRPr="00F54106">
        <w:rPr>
          <w:rFonts w:cstheme="minorHAnsi"/>
          <w:lang w:val="en-GB"/>
        </w:rPr>
        <w:t>Brexit</w:t>
      </w:r>
      <w:r w:rsidR="00A615EF" w:rsidRPr="00F54106">
        <w:rPr>
          <w:rFonts w:cstheme="minorHAnsi"/>
          <w:lang w:val="en-GB"/>
        </w:rPr>
        <w:t>, which effectively removes the aforementioned benefits under Brussels I</w:t>
      </w:r>
      <w:r w:rsidR="00823E2D" w:rsidRPr="00F54106">
        <w:rPr>
          <w:rFonts w:cstheme="minorHAnsi"/>
          <w:lang w:val="en-GB"/>
        </w:rPr>
        <w:t>. Although the practical effects of the Brexit are still unknown, it remains to be seen whether the UK can remain a leading country for the private enforcement of antitrust damages claims.</w:t>
      </w:r>
    </w:p>
    <w:p w14:paraId="106B2376" w14:textId="793C131F" w:rsidR="006D67F3" w:rsidRPr="00F54106" w:rsidRDefault="006D67F3" w:rsidP="00FC31D7">
      <w:pPr>
        <w:spacing w:line="276" w:lineRule="auto"/>
        <w:rPr>
          <w:rFonts w:cstheme="minorHAnsi"/>
          <w:lang w:val="en-GB"/>
        </w:rPr>
      </w:pPr>
    </w:p>
    <w:p w14:paraId="10B68161" w14:textId="3F12E038" w:rsidR="006D67F3" w:rsidRPr="00F54106" w:rsidRDefault="006D67F3" w:rsidP="00FC31D7">
      <w:pPr>
        <w:spacing w:line="276" w:lineRule="auto"/>
        <w:rPr>
          <w:rFonts w:cstheme="minorHAnsi"/>
          <w:lang w:val="en-GB"/>
        </w:rPr>
      </w:pPr>
    </w:p>
    <w:p w14:paraId="52309C4F" w14:textId="2DE965FB" w:rsidR="00203768" w:rsidRPr="00F54106" w:rsidRDefault="00203768" w:rsidP="00FC31D7">
      <w:pPr>
        <w:spacing w:line="276" w:lineRule="auto"/>
        <w:rPr>
          <w:rFonts w:cstheme="minorHAnsi"/>
          <w:lang w:val="en-GB"/>
        </w:rPr>
      </w:pPr>
    </w:p>
    <w:p w14:paraId="6DFA1B82" w14:textId="2EFE3573" w:rsidR="00203768" w:rsidRPr="00F54106" w:rsidRDefault="00203768" w:rsidP="00FC31D7">
      <w:pPr>
        <w:spacing w:line="276" w:lineRule="auto"/>
        <w:rPr>
          <w:rFonts w:cstheme="minorHAnsi"/>
          <w:lang w:val="en-GB"/>
        </w:rPr>
      </w:pPr>
    </w:p>
    <w:p w14:paraId="695553EB" w14:textId="098141BB" w:rsidR="00203768" w:rsidRPr="00F54106" w:rsidRDefault="00203768" w:rsidP="00FC31D7">
      <w:pPr>
        <w:spacing w:line="276" w:lineRule="auto"/>
        <w:rPr>
          <w:rFonts w:cstheme="minorHAnsi"/>
          <w:lang w:val="en-GB"/>
        </w:rPr>
      </w:pPr>
    </w:p>
    <w:p w14:paraId="3EC350DD" w14:textId="66021562" w:rsidR="00203768" w:rsidRPr="00F54106" w:rsidRDefault="00203768" w:rsidP="00FC31D7">
      <w:pPr>
        <w:spacing w:line="276" w:lineRule="auto"/>
        <w:rPr>
          <w:rFonts w:cstheme="minorHAnsi"/>
          <w:lang w:val="en-GB"/>
        </w:rPr>
      </w:pPr>
    </w:p>
    <w:p w14:paraId="78FB4E67" w14:textId="5BFBC4A5" w:rsidR="00203768" w:rsidRPr="00F54106" w:rsidRDefault="00203768" w:rsidP="00FC31D7">
      <w:pPr>
        <w:spacing w:line="276" w:lineRule="auto"/>
        <w:rPr>
          <w:rFonts w:cstheme="minorHAnsi"/>
          <w:lang w:val="en-GB"/>
        </w:rPr>
      </w:pPr>
    </w:p>
    <w:p w14:paraId="1E372C30" w14:textId="56888188" w:rsidR="00203768" w:rsidRPr="00F54106" w:rsidRDefault="00203768" w:rsidP="00FC31D7">
      <w:pPr>
        <w:spacing w:line="276" w:lineRule="auto"/>
        <w:rPr>
          <w:rFonts w:cstheme="minorHAnsi"/>
          <w:lang w:val="en-GB"/>
        </w:rPr>
      </w:pPr>
    </w:p>
    <w:p w14:paraId="4DDE18D8" w14:textId="5C6BF986" w:rsidR="00A615EF" w:rsidRPr="00F54106" w:rsidRDefault="00A615EF" w:rsidP="00FC31D7">
      <w:pPr>
        <w:spacing w:line="276" w:lineRule="auto"/>
        <w:rPr>
          <w:rFonts w:cstheme="minorHAnsi"/>
          <w:lang w:val="en-GB"/>
        </w:rPr>
      </w:pPr>
    </w:p>
    <w:p w14:paraId="35506877" w14:textId="68C46E73" w:rsidR="00A615EF" w:rsidRPr="00F54106" w:rsidRDefault="00A615EF" w:rsidP="00FC31D7">
      <w:pPr>
        <w:spacing w:line="276" w:lineRule="auto"/>
        <w:rPr>
          <w:rFonts w:cstheme="minorHAnsi"/>
          <w:lang w:val="en-GB"/>
        </w:rPr>
      </w:pPr>
    </w:p>
    <w:p w14:paraId="52CE2E15" w14:textId="77777777" w:rsidR="00A615EF" w:rsidRPr="00F54106" w:rsidRDefault="00A615EF" w:rsidP="00FC31D7">
      <w:pPr>
        <w:spacing w:line="276" w:lineRule="auto"/>
        <w:rPr>
          <w:rFonts w:cstheme="minorHAnsi"/>
          <w:lang w:val="en-GB"/>
        </w:rPr>
      </w:pPr>
    </w:p>
    <w:p w14:paraId="3081E67D" w14:textId="027412C5" w:rsidR="00203768" w:rsidRPr="00F54106" w:rsidRDefault="00203768" w:rsidP="00FC31D7">
      <w:pPr>
        <w:spacing w:line="276" w:lineRule="auto"/>
        <w:rPr>
          <w:rFonts w:cstheme="minorHAnsi"/>
          <w:lang w:val="en-GB"/>
        </w:rPr>
      </w:pPr>
    </w:p>
    <w:p w14:paraId="3A00BC60" w14:textId="49477A2E" w:rsidR="00203768" w:rsidRPr="00F54106" w:rsidRDefault="00203768" w:rsidP="00FC31D7">
      <w:pPr>
        <w:spacing w:line="276" w:lineRule="auto"/>
        <w:rPr>
          <w:rFonts w:cstheme="minorHAnsi"/>
          <w:lang w:val="en-GB"/>
        </w:rPr>
      </w:pPr>
    </w:p>
    <w:p w14:paraId="5627163E" w14:textId="348D3911" w:rsidR="00203768" w:rsidRPr="00F54106" w:rsidRDefault="00203768" w:rsidP="00FC31D7">
      <w:pPr>
        <w:spacing w:line="276" w:lineRule="auto"/>
        <w:rPr>
          <w:rFonts w:cstheme="minorHAnsi"/>
          <w:lang w:val="en-GB"/>
        </w:rPr>
      </w:pPr>
    </w:p>
    <w:p w14:paraId="28D31446" w14:textId="77777777" w:rsidR="00203768" w:rsidRPr="00F54106" w:rsidRDefault="00203768" w:rsidP="00FC31D7">
      <w:pPr>
        <w:spacing w:line="276" w:lineRule="auto"/>
        <w:rPr>
          <w:rFonts w:cstheme="minorHAnsi"/>
          <w:lang w:val="en-GB"/>
        </w:rPr>
      </w:pPr>
    </w:p>
    <w:p w14:paraId="19F3595D" w14:textId="27B7FDCF" w:rsidR="006D67F3" w:rsidRPr="00F54106" w:rsidRDefault="006D67F3" w:rsidP="00FC31D7">
      <w:pPr>
        <w:spacing w:line="276" w:lineRule="auto"/>
        <w:rPr>
          <w:rFonts w:cstheme="minorHAnsi"/>
          <w:lang w:val="en-GB"/>
        </w:rPr>
      </w:pPr>
    </w:p>
    <w:p w14:paraId="17A70958" w14:textId="16236A21" w:rsidR="002C061D" w:rsidRDefault="002C061D" w:rsidP="00FC31D7">
      <w:pPr>
        <w:spacing w:line="276" w:lineRule="auto"/>
        <w:rPr>
          <w:rFonts w:cstheme="minorHAnsi"/>
          <w:lang w:val="en-GB"/>
        </w:rPr>
      </w:pPr>
    </w:p>
    <w:p w14:paraId="67AB3493" w14:textId="77777777" w:rsidR="00BD44D6" w:rsidRPr="00F54106" w:rsidRDefault="00BD44D6" w:rsidP="00FC31D7">
      <w:pPr>
        <w:spacing w:line="276" w:lineRule="auto"/>
        <w:rPr>
          <w:rFonts w:cstheme="minorHAnsi"/>
          <w:lang w:val="en-GB"/>
        </w:rPr>
      </w:pPr>
    </w:p>
    <w:p w14:paraId="30506F18" w14:textId="23B8C6D1" w:rsidR="002C061D" w:rsidRPr="00F54106" w:rsidRDefault="001F001E" w:rsidP="001F001E">
      <w:pPr>
        <w:pStyle w:val="Heading2"/>
        <w:rPr>
          <w:lang w:val="en-GB"/>
        </w:rPr>
      </w:pPr>
      <w:bookmarkStart w:id="130" w:name="_Toc107610235"/>
      <w:r w:rsidRPr="00F54106">
        <w:rPr>
          <w:lang w:val="en-GB"/>
        </w:rPr>
        <w:lastRenderedPageBreak/>
        <w:t>2</w:t>
      </w:r>
      <w:r w:rsidR="00FB4090" w:rsidRPr="00F54106">
        <w:rPr>
          <w:lang w:val="en-GB"/>
        </w:rPr>
        <w:t>.</w:t>
      </w:r>
      <w:r w:rsidRPr="00F54106">
        <w:rPr>
          <w:lang w:val="en-GB"/>
        </w:rPr>
        <w:t>3</w:t>
      </w:r>
      <w:r w:rsidR="002C061D" w:rsidRPr="00F54106">
        <w:rPr>
          <w:lang w:val="en-GB"/>
        </w:rPr>
        <w:t xml:space="preserve"> The Netherlands</w:t>
      </w:r>
      <w:r w:rsidR="006D03A6" w:rsidRPr="00F54106">
        <w:rPr>
          <w:lang w:val="en-GB"/>
        </w:rPr>
        <w:t xml:space="preserve"> as a (</w:t>
      </w:r>
      <w:r w:rsidR="00473D82" w:rsidRPr="00F54106">
        <w:rPr>
          <w:lang w:val="en-GB"/>
        </w:rPr>
        <w:t>potential) forum</w:t>
      </w:r>
      <w:r w:rsidR="006D03A6" w:rsidRPr="00F54106">
        <w:rPr>
          <w:lang w:val="en-GB"/>
        </w:rPr>
        <w:t xml:space="preserve"> shopping</w:t>
      </w:r>
      <w:r w:rsidR="00836B2C" w:rsidRPr="00F54106">
        <w:rPr>
          <w:lang w:val="en-GB"/>
        </w:rPr>
        <w:t xml:space="preserve"> </w:t>
      </w:r>
      <w:r w:rsidR="00EF7845" w:rsidRPr="00F54106">
        <w:rPr>
          <w:lang w:val="en-GB"/>
        </w:rPr>
        <w:t>hub</w:t>
      </w:r>
      <w:r w:rsidR="00364F49" w:rsidRPr="00F54106">
        <w:rPr>
          <w:lang w:val="en-GB"/>
        </w:rPr>
        <w:t xml:space="preserve"> for antitrust claims</w:t>
      </w:r>
      <w:bookmarkEnd w:id="130"/>
    </w:p>
    <w:p w14:paraId="69DA41FA" w14:textId="4163D74A" w:rsidR="00E10957" w:rsidRPr="00F54106" w:rsidRDefault="003B7AF2" w:rsidP="00FC31D7">
      <w:pPr>
        <w:spacing w:line="276" w:lineRule="auto"/>
        <w:rPr>
          <w:rFonts w:cstheme="minorHAnsi"/>
          <w:lang w:val="en-GB"/>
        </w:rPr>
      </w:pPr>
      <w:r w:rsidRPr="00F54106">
        <w:rPr>
          <w:rFonts w:cstheme="minorHAnsi"/>
          <w:lang w:val="en-GB"/>
        </w:rPr>
        <w:t xml:space="preserve">The literature </w:t>
      </w:r>
      <w:r w:rsidR="006D03A6" w:rsidRPr="00F54106">
        <w:rPr>
          <w:rFonts w:cstheme="minorHAnsi"/>
          <w:lang w:val="en-GB"/>
        </w:rPr>
        <w:t>proposes</w:t>
      </w:r>
      <w:r w:rsidRPr="00F54106">
        <w:rPr>
          <w:rFonts w:cstheme="minorHAnsi"/>
          <w:lang w:val="en-GB"/>
        </w:rPr>
        <w:t xml:space="preserve"> several </w:t>
      </w:r>
      <w:r w:rsidR="006D03A6" w:rsidRPr="00F54106">
        <w:rPr>
          <w:rFonts w:cstheme="minorHAnsi"/>
          <w:lang w:val="en-GB"/>
        </w:rPr>
        <w:t>features of the Dutch system which contribute to the existence of forum shopping</w:t>
      </w:r>
      <w:r w:rsidRPr="00F54106">
        <w:rPr>
          <w:rFonts w:cstheme="minorHAnsi"/>
          <w:lang w:val="en-GB"/>
        </w:rPr>
        <w:t xml:space="preserve"> in relation to the Dutch forum. </w:t>
      </w:r>
      <w:r w:rsidR="006D03A6" w:rsidRPr="00F54106">
        <w:rPr>
          <w:rFonts w:cstheme="minorHAnsi"/>
          <w:lang w:val="en-GB"/>
        </w:rPr>
        <w:t>In line with what is suggested, t</w:t>
      </w:r>
      <w:r w:rsidR="00CF78D7" w:rsidRPr="00F54106">
        <w:rPr>
          <w:rFonts w:cstheme="minorHAnsi"/>
          <w:lang w:val="en-GB"/>
        </w:rPr>
        <w:t>he</w:t>
      </w:r>
      <w:r w:rsidR="002D0F9D" w:rsidRPr="00F54106">
        <w:rPr>
          <w:rFonts w:cstheme="minorHAnsi"/>
          <w:lang w:val="en-GB"/>
        </w:rPr>
        <w:t xml:space="preserve"> courts of the Netherlands often adopt an</w:t>
      </w:r>
      <w:r w:rsidR="00CF78D7" w:rsidRPr="00F54106">
        <w:rPr>
          <w:rFonts w:cstheme="minorHAnsi"/>
          <w:lang w:val="en-GB"/>
        </w:rPr>
        <w:t xml:space="preserve"> efficient and practical approach </w:t>
      </w:r>
      <w:r w:rsidR="002D0F9D" w:rsidRPr="00F54106">
        <w:rPr>
          <w:rFonts w:cstheme="minorHAnsi"/>
          <w:lang w:val="en-GB"/>
        </w:rPr>
        <w:t>to complex cases,</w:t>
      </w:r>
      <w:r w:rsidR="000C2E3D" w:rsidRPr="00F54106">
        <w:rPr>
          <w:rFonts w:cstheme="minorHAnsi"/>
          <w:lang w:val="en-GB"/>
        </w:rPr>
        <w:t xml:space="preserve"> </w:t>
      </w:r>
      <w:r w:rsidR="002D0F9D" w:rsidRPr="00F54106">
        <w:rPr>
          <w:rFonts w:cstheme="minorHAnsi"/>
          <w:lang w:val="en-GB"/>
        </w:rPr>
        <w:t>while</w:t>
      </w:r>
      <w:r w:rsidR="000C2E3D" w:rsidRPr="00F54106">
        <w:rPr>
          <w:rFonts w:cstheme="minorHAnsi"/>
          <w:lang w:val="en-GB"/>
        </w:rPr>
        <w:t>,</w:t>
      </w:r>
      <w:r w:rsidR="002D0F9D" w:rsidRPr="00F54106">
        <w:rPr>
          <w:rFonts w:cstheme="minorHAnsi"/>
          <w:lang w:val="en-GB"/>
        </w:rPr>
        <w:t xml:space="preserve"> </w:t>
      </w:r>
      <w:r w:rsidR="000C2E3D" w:rsidRPr="00F54106">
        <w:rPr>
          <w:rFonts w:cstheme="minorHAnsi"/>
          <w:lang w:val="en-GB"/>
        </w:rPr>
        <w:t xml:space="preserve">in general, </w:t>
      </w:r>
      <w:r w:rsidR="002D0F9D" w:rsidRPr="00F54106">
        <w:rPr>
          <w:rFonts w:cstheme="minorHAnsi"/>
          <w:lang w:val="en-GB"/>
        </w:rPr>
        <w:t xml:space="preserve">the Dutch legal system </w:t>
      </w:r>
      <w:r w:rsidR="000C2E3D" w:rsidRPr="00F54106">
        <w:rPr>
          <w:rFonts w:cstheme="minorHAnsi"/>
          <w:lang w:val="en-GB"/>
        </w:rPr>
        <w:t>is of</w:t>
      </w:r>
      <w:r w:rsidR="002D0F9D" w:rsidRPr="00F54106">
        <w:rPr>
          <w:rFonts w:cstheme="minorHAnsi"/>
          <w:lang w:val="en-GB"/>
        </w:rPr>
        <w:t xml:space="preserve"> high quality</w:t>
      </w:r>
      <w:r w:rsidR="000C2E3D" w:rsidRPr="00F54106">
        <w:rPr>
          <w:rFonts w:cstheme="minorHAnsi"/>
          <w:lang w:val="en-GB"/>
        </w:rPr>
        <w:t>, has relatively cheap litigation costs and contains opt-out collective settlements</w:t>
      </w:r>
      <w:r w:rsidR="002D0F9D" w:rsidRPr="00F54106">
        <w:rPr>
          <w:rFonts w:cstheme="minorHAnsi"/>
          <w:lang w:val="en-GB"/>
        </w:rPr>
        <w:t xml:space="preserve"> </w:t>
      </w:r>
      <w:r w:rsidR="00702596" w:rsidRPr="00F54106">
        <w:rPr>
          <w:rFonts w:cstheme="minorHAnsi"/>
          <w:lang w:val="en-GB"/>
        </w:rPr>
        <w:t>under its</w:t>
      </w:r>
      <w:r w:rsidR="002D0F9D" w:rsidRPr="00F54106">
        <w:rPr>
          <w:rFonts w:cstheme="minorHAnsi"/>
          <w:lang w:val="en-GB"/>
        </w:rPr>
        <w:t xml:space="preserve"> Collective Mass Claims Settlements Act</w:t>
      </w:r>
      <w:r w:rsidR="000C2E3D" w:rsidRPr="00F54106">
        <w:rPr>
          <w:rFonts w:cstheme="minorHAnsi"/>
          <w:lang w:val="en-GB"/>
        </w:rPr>
        <w:t>.</w:t>
      </w:r>
      <w:r w:rsidR="000C2E3D" w:rsidRPr="00F54106">
        <w:rPr>
          <w:rStyle w:val="FootnoteReference"/>
          <w:rFonts w:cstheme="minorHAnsi"/>
          <w:lang w:val="en-GB"/>
        </w:rPr>
        <w:footnoteReference w:id="287"/>
      </w:r>
      <w:r w:rsidR="00E53A28" w:rsidRPr="00F54106">
        <w:rPr>
          <w:rFonts w:cstheme="minorHAnsi"/>
          <w:lang w:val="en-GB"/>
        </w:rPr>
        <w:t xml:space="preserve"> Claim vehicles are also able to bring actions for damages under their own name</w:t>
      </w:r>
      <w:r w:rsidR="00ED6417" w:rsidRPr="00F54106">
        <w:rPr>
          <w:rFonts w:cstheme="minorHAnsi"/>
          <w:lang w:val="en-GB"/>
        </w:rPr>
        <w:t>, while both the claim vehicles and their funding are not subject to regulations and therefore face little resistance in initiating proceedings.</w:t>
      </w:r>
      <w:r w:rsidR="00ED6417" w:rsidRPr="00F54106">
        <w:rPr>
          <w:rStyle w:val="FootnoteReference"/>
          <w:rFonts w:cstheme="minorHAnsi"/>
          <w:lang w:val="en-GB"/>
        </w:rPr>
        <w:footnoteReference w:id="288"/>
      </w:r>
      <w:r w:rsidR="00ED6417" w:rsidRPr="00F54106">
        <w:rPr>
          <w:rFonts w:cstheme="minorHAnsi"/>
          <w:lang w:val="en-GB"/>
        </w:rPr>
        <w:t xml:space="preserve"> </w:t>
      </w:r>
      <w:r w:rsidR="006A4379" w:rsidRPr="00F54106">
        <w:rPr>
          <w:rFonts w:cstheme="minorHAnsi"/>
          <w:lang w:val="en-GB"/>
        </w:rPr>
        <w:t>Procedural advantages</w:t>
      </w:r>
      <w:r w:rsidR="0045133F" w:rsidRPr="00F54106">
        <w:rPr>
          <w:rFonts w:cstheme="minorHAnsi"/>
          <w:lang w:val="en-GB"/>
        </w:rPr>
        <w:t xml:space="preserve"> of the Netherlands</w:t>
      </w:r>
      <w:r w:rsidR="006A4379" w:rsidRPr="00F54106">
        <w:rPr>
          <w:rFonts w:cstheme="minorHAnsi"/>
          <w:lang w:val="en-GB"/>
        </w:rPr>
        <w:t xml:space="preserve"> include </w:t>
      </w:r>
      <w:r w:rsidR="0045133F" w:rsidRPr="00F54106">
        <w:rPr>
          <w:rFonts w:cstheme="minorHAnsi"/>
          <w:lang w:val="en-GB"/>
        </w:rPr>
        <w:t>a broad admissibility of evidence, preliminary witness hearings, and the possibility to make use of separate proceedings</w:t>
      </w:r>
      <w:r w:rsidR="006A544C" w:rsidRPr="00F54106">
        <w:rPr>
          <w:rFonts w:cstheme="minorHAnsi"/>
          <w:lang w:val="en-GB"/>
        </w:rPr>
        <w:t>,</w:t>
      </w:r>
      <w:r w:rsidR="0045133F" w:rsidRPr="00F54106">
        <w:rPr>
          <w:rStyle w:val="FootnoteReference"/>
          <w:rFonts w:cstheme="minorHAnsi"/>
          <w:lang w:val="en-GB"/>
        </w:rPr>
        <w:footnoteReference w:id="289"/>
      </w:r>
      <w:r w:rsidR="006A544C" w:rsidRPr="00F54106">
        <w:rPr>
          <w:rFonts w:cstheme="minorHAnsi"/>
          <w:lang w:val="en-GB"/>
        </w:rPr>
        <w:t xml:space="preserve"> and well-developed possibilities to obtain disclosure.</w:t>
      </w:r>
      <w:r w:rsidR="006A544C" w:rsidRPr="00F54106">
        <w:rPr>
          <w:rStyle w:val="FootnoteReference"/>
          <w:rFonts w:cstheme="minorHAnsi"/>
          <w:lang w:val="en-GB"/>
        </w:rPr>
        <w:footnoteReference w:id="290"/>
      </w:r>
      <w:r w:rsidR="0045133F" w:rsidRPr="00F54106">
        <w:rPr>
          <w:rFonts w:cstheme="minorHAnsi"/>
          <w:lang w:val="en-GB"/>
        </w:rPr>
        <w:t xml:space="preserve"> </w:t>
      </w:r>
      <w:r w:rsidR="002839E8" w:rsidRPr="00F54106">
        <w:rPr>
          <w:rFonts w:cstheme="minorHAnsi"/>
          <w:lang w:val="en-GB"/>
        </w:rPr>
        <w:t>Several legislative developments have also occurred</w:t>
      </w:r>
      <w:r w:rsidR="001A1D07" w:rsidRPr="00F54106">
        <w:rPr>
          <w:rFonts w:cstheme="minorHAnsi"/>
          <w:lang w:val="en-GB"/>
        </w:rPr>
        <w:t xml:space="preserve"> </w:t>
      </w:r>
      <w:r w:rsidR="002839E8" w:rsidRPr="00F54106">
        <w:rPr>
          <w:rFonts w:cstheme="minorHAnsi"/>
          <w:lang w:val="en-GB"/>
        </w:rPr>
        <w:t>which ha</w:t>
      </w:r>
      <w:r w:rsidR="000D700B" w:rsidRPr="00F54106">
        <w:rPr>
          <w:rFonts w:cstheme="minorHAnsi"/>
          <w:lang w:val="en-GB"/>
        </w:rPr>
        <w:t>ve</w:t>
      </w:r>
      <w:r w:rsidR="002839E8" w:rsidRPr="00F54106">
        <w:rPr>
          <w:rFonts w:cstheme="minorHAnsi"/>
          <w:lang w:val="en-GB"/>
        </w:rPr>
        <w:t xml:space="preserve"> altered the Dutch forum with the aim of aiding</w:t>
      </w:r>
      <w:r w:rsidR="00AD4403" w:rsidRPr="00F54106">
        <w:rPr>
          <w:rFonts w:cstheme="minorHAnsi"/>
          <w:lang w:val="en-GB"/>
        </w:rPr>
        <w:t xml:space="preserve"> </w:t>
      </w:r>
      <w:r w:rsidR="002839E8" w:rsidRPr="00F54106">
        <w:rPr>
          <w:rFonts w:cstheme="minorHAnsi"/>
          <w:lang w:val="en-GB"/>
        </w:rPr>
        <w:t xml:space="preserve">litigators by solving issues and hurdles </w:t>
      </w:r>
      <w:r w:rsidR="000D700B" w:rsidRPr="00F54106">
        <w:rPr>
          <w:rFonts w:cstheme="minorHAnsi"/>
          <w:lang w:val="en-GB"/>
        </w:rPr>
        <w:t>that naturally arise in actions for damages.</w:t>
      </w:r>
      <w:r w:rsidR="00AD4403" w:rsidRPr="00F54106">
        <w:rPr>
          <w:rFonts w:cstheme="minorHAnsi"/>
          <w:lang w:val="en-GB"/>
        </w:rPr>
        <w:t xml:space="preserve"> These include the creation of the Netherlands Commercial Court (NCC)</w:t>
      </w:r>
      <w:r w:rsidR="00E1204C" w:rsidRPr="00F54106">
        <w:rPr>
          <w:rStyle w:val="FootnoteReference"/>
          <w:rFonts w:cstheme="minorHAnsi"/>
          <w:lang w:val="en-GB"/>
        </w:rPr>
        <w:footnoteReference w:id="291"/>
      </w:r>
      <w:r w:rsidR="00AD4403" w:rsidRPr="00F54106">
        <w:rPr>
          <w:rFonts w:cstheme="minorHAnsi"/>
          <w:lang w:val="en-GB"/>
        </w:rPr>
        <w:t xml:space="preserve"> and the</w:t>
      </w:r>
      <w:r w:rsidR="001A1D07" w:rsidRPr="00F54106">
        <w:rPr>
          <w:rFonts w:cstheme="minorHAnsi"/>
          <w:lang w:val="en-GB"/>
        </w:rPr>
        <w:t xml:space="preserve"> newly implemented</w:t>
      </w:r>
      <w:r w:rsidR="00AD4403" w:rsidRPr="00F54106">
        <w:rPr>
          <w:rFonts w:cstheme="minorHAnsi"/>
          <w:lang w:val="en-GB"/>
        </w:rPr>
        <w:t xml:space="preserve"> Act on the Resolution of Mass Damages in Collective Action (WAMCA)</w:t>
      </w:r>
      <w:r w:rsidR="00372D61" w:rsidRPr="00F54106">
        <w:rPr>
          <w:rFonts w:cstheme="minorHAnsi"/>
          <w:lang w:val="en-GB"/>
        </w:rPr>
        <w:t>,</w:t>
      </w:r>
      <w:r w:rsidR="00E1204C" w:rsidRPr="00F54106">
        <w:rPr>
          <w:rStyle w:val="FootnoteReference"/>
          <w:rFonts w:cstheme="minorHAnsi"/>
          <w:lang w:val="en-GB"/>
        </w:rPr>
        <w:footnoteReference w:id="292"/>
      </w:r>
      <w:r w:rsidR="00372D61" w:rsidRPr="00F54106">
        <w:rPr>
          <w:rFonts w:cstheme="minorHAnsi"/>
          <w:lang w:val="en-GB"/>
        </w:rPr>
        <w:t xml:space="preserve"> which were expected to increase the Netherlands’ appeal over the </w:t>
      </w:r>
      <w:r w:rsidR="006A544C" w:rsidRPr="00F54106">
        <w:rPr>
          <w:rFonts w:cstheme="minorHAnsi"/>
          <w:lang w:val="en-GB"/>
        </w:rPr>
        <w:t>recent</w:t>
      </w:r>
      <w:r w:rsidR="00372D61" w:rsidRPr="00F54106">
        <w:rPr>
          <w:rFonts w:cstheme="minorHAnsi"/>
          <w:lang w:val="en-GB"/>
        </w:rPr>
        <w:t xml:space="preserve"> years. </w:t>
      </w:r>
      <w:r w:rsidR="004D0BD0" w:rsidRPr="00F54106">
        <w:rPr>
          <w:rFonts w:cstheme="minorHAnsi"/>
          <w:lang w:val="en-GB"/>
        </w:rPr>
        <w:t>Interestingly</w:t>
      </w:r>
      <w:r w:rsidR="001F5333" w:rsidRPr="00F54106">
        <w:rPr>
          <w:rFonts w:cstheme="minorHAnsi"/>
          <w:lang w:val="en-GB"/>
        </w:rPr>
        <w:t xml:space="preserve"> and in contrast to Germany and the UK</w:t>
      </w:r>
      <w:r w:rsidR="004D0BD0" w:rsidRPr="00F54106">
        <w:rPr>
          <w:rFonts w:cstheme="minorHAnsi"/>
          <w:lang w:val="en-GB"/>
        </w:rPr>
        <w:t xml:space="preserve">, it is </w:t>
      </w:r>
      <w:r w:rsidR="00A620FA" w:rsidRPr="00F54106">
        <w:rPr>
          <w:rFonts w:cstheme="minorHAnsi"/>
          <w:lang w:val="en-GB"/>
        </w:rPr>
        <w:t>said</w:t>
      </w:r>
      <w:r w:rsidR="004D0BD0" w:rsidRPr="00F54106">
        <w:rPr>
          <w:rFonts w:cstheme="minorHAnsi"/>
          <w:lang w:val="en-GB"/>
        </w:rPr>
        <w:t xml:space="preserve"> that there are no general impediments to private enforcement in the Netherlands</w:t>
      </w:r>
      <w:r w:rsidR="001F5333" w:rsidRPr="00F54106">
        <w:rPr>
          <w:rFonts w:cstheme="minorHAnsi"/>
          <w:lang w:val="en-GB"/>
        </w:rPr>
        <w:t>.</w:t>
      </w:r>
      <w:r w:rsidR="007A7865" w:rsidRPr="00F54106">
        <w:rPr>
          <w:rStyle w:val="FootnoteReference"/>
          <w:rFonts w:cstheme="minorHAnsi"/>
          <w:lang w:val="en-GB"/>
        </w:rPr>
        <w:footnoteReference w:id="293"/>
      </w:r>
      <w:r w:rsidR="004D0BD0" w:rsidRPr="00F54106">
        <w:rPr>
          <w:rFonts w:cstheme="minorHAnsi"/>
          <w:lang w:val="en-GB"/>
        </w:rPr>
        <w:t xml:space="preserve"> </w:t>
      </w:r>
      <w:r w:rsidR="00BD3F66" w:rsidRPr="00F54106">
        <w:rPr>
          <w:rFonts w:cstheme="minorHAnsi"/>
          <w:lang w:val="en-GB"/>
        </w:rPr>
        <w:t xml:space="preserve">Similar to the UK, courts in the Netherlands also regularly adopt jurisdiction relatively easy, which historically </w:t>
      </w:r>
      <w:r w:rsidR="000D0FA3" w:rsidRPr="00F54106">
        <w:rPr>
          <w:rFonts w:cstheme="minorHAnsi"/>
          <w:lang w:val="en-GB"/>
        </w:rPr>
        <w:t xml:space="preserve">made and still makes </w:t>
      </w:r>
      <w:r w:rsidR="00BD3F66" w:rsidRPr="00F54106">
        <w:rPr>
          <w:rFonts w:cstheme="minorHAnsi"/>
          <w:lang w:val="en-GB"/>
        </w:rPr>
        <w:t>it an appealing place to file claims for damages.</w:t>
      </w:r>
      <w:r w:rsidR="00BD3F66" w:rsidRPr="00F54106">
        <w:rPr>
          <w:rStyle w:val="FootnoteReference"/>
          <w:rFonts w:cstheme="minorHAnsi"/>
          <w:lang w:val="en-GB"/>
        </w:rPr>
        <w:footnoteReference w:id="294"/>
      </w:r>
      <w:r w:rsidR="00BD3F66" w:rsidRPr="00F54106">
        <w:rPr>
          <w:rFonts w:cstheme="minorHAnsi"/>
          <w:lang w:val="en-GB"/>
        </w:rPr>
        <w:t xml:space="preserve"> The increasing amounts of cases before the Dutch courts have led to a litigation industry and creates a “virtuous circle”</w:t>
      </w:r>
      <w:r w:rsidR="00DC7E0C" w:rsidRPr="00F54106">
        <w:rPr>
          <w:rFonts w:cstheme="minorHAnsi"/>
          <w:lang w:val="en-GB"/>
        </w:rPr>
        <w:t>, while Dutch courts and policymakers</w:t>
      </w:r>
      <w:r w:rsidR="00BC00D8" w:rsidRPr="00F54106">
        <w:rPr>
          <w:rFonts w:cstheme="minorHAnsi"/>
          <w:lang w:val="en-GB"/>
        </w:rPr>
        <w:t xml:space="preserve"> allegedly</w:t>
      </w:r>
      <w:r w:rsidR="00DC7E0C" w:rsidRPr="00F54106">
        <w:rPr>
          <w:rFonts w:cstheme="minorHAnsi"/>
          <w:lang w:val="en-GB"/>
        </w:rPr>
        <w:t xml:space="preserve"> </w:t>
      </w:r>
      <w:r w:rsidR="00BC00D8" w:rsidRPr="00F54106">
        <w:rPr>
          <w:rFonts w:cstheme="minorHAnsi"/>
          <w:lang w:val="en-GB"/>
        </w:rPr>
        <w:t xml:space="preserve">capitalize on this </w:t>
      </w:r>
      <w:r w:rsidR="00DC7E0C" w:rsidRPr="00F54106">
        <w:rPr>
          <w:rFonts w:cstheme="minorHAnsi"/>
          <w:lang w:val="en-GB"/>
        </w:rPr>
        <w:t>and compete with other jurisdictions for antitrust claims.</w:t>
      </w:r>
      <w:r w:rsidR="00DC7E0C" w:rsidRPr="00F54106">
        <w:rPr>
          <w:rStyle w:val="FootnoteReference"/>
          <w:rFonts w:cstheme="minorHAnsi"/>
          <w:lang w:val="en-GB"/>
        </w:rPr>
        <w:footnoteReference w:id="295"/>
      </w:r>
      <w:r w:rsidR="00DC7E0C" w:rsidRPr="00F54106">
        <w:rPr>
          <w:rFonts w:cstheme="minorHAnsi"/>
          <w:lang w:val="en-GB"/>
        </w:rPr>
        <w:t xml:space="preserve"> </w:t>
      </w:r>
      <w:r w:rsidR="00DC7E0C" w:rsidRPr="00F54106">
        <w:rPr>
          <w:rFonts w:cstheme="minorHAnsi"/>
          <w:lang w:val="en-GB"/>
        </w:rPr>
        <w:lastRenderedPageBreak/>
        <w:t>However, the excessive strain resulting from the increasing claims before Dutch courts have resulted in concerns as to whether the Dutch courts are able to maintain their length of procedures and quality.</w:t>
      </w:r>
      <w:r w:rsidR="00DC7E0C" w:rsidRPr="00F54106">
        <w:rPr>
          <w:rStyle w:val="FootnoteReference"/>
          <w:rFonts w:cstheme="minorHAnsi"/>
          <w:lang w:val="en-GB"/>
        </w:rPr>
        <w:footnoteReference w:id="296"/>
      </w:r>
      <w:r w:rsidR="00DC7E0C" w:rsidRPr="00F54106">
        <w:rPr>
          <w:rFonts w:cstheme="minorHAnsi"/>
          <w:lang w:val="en-GB"/>
        </w:rPr>
        <w:t xml:space="preserve"> </w:t>
      </w:r>
    </w:p>
    <w:p w14:paraId="2E62DD66" w14:textId="5C85CB62" w:rsidR="0045741D" w:rsidRPr="00F54106" w:rsidRDefault="00DF3008" w:rsidP="00FC31D7">
      <w:pPr>
        <w:spacing w:line="276" w:lineRule="auto"/>
        <w:ind w:firstLine="720"/>
        <w:rPr>
          <w:rFonts w:cstheme="minorHAnsi"/>
          <w:lang w:val="en-GB"/>
        </w:rPr>
      </w:pPr>
      <w:r w:rsidRPr="00F54106">
        <w:rPr>
          <w:rFonts w:cstheme="minorHAnsi"/>
          <w:lang w:val="en-GB"/>
        </w:rPr>
        <w:t xml:space="preserve">The Damages Directive was implemented into </w:t>
      </w:r>
      <w:r w:rsidR="00B112C6" w:rsidRPr="00F54106">
        <w:rPr>
          <w:rFonts w:cstheme="minorHAnsi"/>
          <w:lang w:val="en-GB"/>
        </w:rPr>
        <w:t>Dutch national law</w:t>
      </w:r>
      <w:r w:rsidR="00C66E19" w:rsidRPr="00F54106">
        <w:rPr>
          <w:rFonts w:cstheme="minorHAnsi"/>
          <w:lang w:val="en-GB"/>
        </w:rPr>
        <w:t xml:space="preserve"> under the Implementing Act and was effective as of</w:t>
      </w:r>
      <w:r w:rsidRPr="00F54106">
        <w:rPr>
          <w:rFonts w:cstheme="minorHAnsi"/>
          <w:lang w:val="en-GB"/>
        </w:rPr>
        <w:t xml:space="preserve"> </w:t>
      </w:r>
      <w:r w:rsidR="00B112C6" w:rsidRPr="00F54106">
        <w:rPr>
          <w:rFonts w:cstheme="minorHAnsi"/>
          <w:lang w:val="en-GB"/>
        </w:rPr>
        <w:t>27 February 2017</w:t>
      </w:r>
      <w:r w:rsidR="00C66E19" w:rsidRPr="00F54106">
        <w:rPr>
          <w:rFonts w:cstheme="minorHAnsi"/>
          <w:lang w:val="en-GB"/>
        </w:rPr>
        <w:t>,</w:t>
      </w:r>
      <w:r w:rsidR="00FB6A3B" w:rsidRPr="00F54106">
        <w:rPr>
          <w:rStyle w:val="FootnoteReference"/>
          <w:rFonts w:cstheme="minorHAnsi"/>
          <w:lang w:val="en-GB"/>
        </w:rPr>
        <w:footnoteReference w:id="297"/>
      </w:r>
      <w:r w:rsidR="00C66E19" w:rsidRPr="00F54106">
        <w:rPr>
          <w:rFonts w:cstheme="minorHAnsi"/>
          <w:lang w:val="en-GB"/>
        </w:rPr>
        <w:t xml:space="preserve"> which introduced </w:t>
      </w:r>
      <w:r w:rsidR="0045741D" w:rsidRPr="00F54106">
        <w:rPr>
          <w:rFonts w:cstheme="minorHAnsi"/>
          <w:lang w:val="en-GB"/>
        </w:rPr>
        <w:t>a few new</w:t>
      </w:r>
      <w:r w:rsidR="00C66E19" w:rsidRPr="00F54106">
        <w:rPr>
          <w:rFonts w:cstheme="minorHAnsi"/>
          <w:lang w:val="en-GB"/>
        </w:rPr>
        <w:t xml:space="preserve"> provisions for the Dutch Civil Code (DCC) and the Dutch Code of Civil Procedure (DCCP)</w:t>
      </w:r>
      <w:r w:rsidR="00782B76" w:rsidRPr="00F54106">
        <w:rPr>
          <w:rFonts w:cstheme="minorHAnsi"/>
          <w:lang w:val="en-GB"/>
        </w:rPr>
        <w:t>. The legislator implemented the provisions of the Damages Directive with a minimalistic approach due to the differences in terminology used in Dutch law,</w:t>
      </w:r>
      <w:r w:rsidR="00782B76" w:rsidRPr="00F54106">
        <w:rPr>
          <w:rStyle w:val="FootnoteReference"/>
          <w:rFonts w:cstheme="minorHAnsi"/>
          <w:lang w:val="en-GB"/>
        </w:rPr>
        <w:footnoteReference w:id="298"/>
      </w:r>
      <w:r w:rsidR="001B0DF9" w:rsidRPr="00F54106">
        <w:rPr>
          <w:rFonts w:cstheme="minorHAnsi"/>
          <w:lang w:val="en-GB"/>
        </w:rPr>
        <w:t xml:space="preserve"> for which it is argued that the lack of clarity in the Damages Directive would lead to significant litigation in the Netherlands.</w:t>
      </w:r>
      <w:r w:rsidR="001B0DF9" w:rsidRPr="00F54106">
        <w:rPr>
          <w:rStyle w:val="FootnoteReference"/>
          <w:rFonts w:cstheme="minorHAnsi"/>
          <w:lang w:val="en-GB"/>
        </w:rPr>
        <w:footnoteReference w:id="299"/>
      </w:r>
      <w:r w:rsidR="001B0DF9" w:rsidRPr="00F54106">
        <w:rPr>
          <w:rFonts w:cstheme="minorHAnsi"/>
          <w:lang w:val="en-GB"/>
        </w:rPr>
        <w:t xml:space="preserve"> However, as of now</w:t>
      </w:r>
      <w:r w:rsidR="0045741D" w:rsidRPr="00F54106">
        <w:rPr>
          <w:rFonts w:cstheme="minorHAnsi"/>
          <w:lang w:val="en-GB"/>
        </w:rPr>
        <w:t xml:space="preserve"> the literature has not named </w:t>
      </w:r>
      <w:r w:rsidR="00913C8B" w:rsidRPr="00F54106">
        <w:rPr>
          <w:rFonts w:cstheme="minorHAnsi"/>
          <w:lang w:val="en-GB"/>
        </w:rPr>
        <w:t>the</w:t>
      </w:r>
      <w:r w:rsidR="0045741D" w:rsidRPr="00F54106">
        <w:rPr>
          <w:rFonts w:cstheme="minorHAnsi"/>
          <w:lang w:val="en-GB"/>
        </w:rPr>
        <w:t xml:space="preserve"> implementation as particularly helpful for or detrimental to attracting new cases to the Netherlands.</w:t>
      </w:r>
    </w:p>
    <w:p w14:paraId="605B7812" w14:textId="3E9F74B5" w:rsidR="00093FA8" w:rsidRPr="00F54106" w:rsidRDefault="00AE43C0" w:rsidP="00FC31D7">
      <w:pPr>
        <w:spacing w:line="276" w:lineRule="auto"/>
        <w:ind w:firstLine="720"/>
        <w:rPr>
          <w:rFonts w:cstheme="minorHAnsi"/>
          <w:lang w:val="en-GB"/>
        </w:rPr>
      </w:pPr>
      <w:r w:rsidRPr="00F54106">
        <w:rPr>
          <w:rFonts w:cstheme="minorHAnsi"/>
          <w:lang w:val="en-GB"/>
        </w:rPr>
        <w:t xml:space="preserve">The Netherlands is one of the three most popular fora, but distinguishes itself from the UK and Germany in several aspects, as </w:t>
      </w:r>
      <w:r w:rsidR="00122819" w:rsidRPr="00F54106">
        <w:rPr>
          <w:rFonts w:cstheme="minorHAnsi"/>
          <w:lang w:val="en-GB"/>
        </w:rPr>
        <w:t xml:space="preserve">will be illustrated </w:t>
      </w:r>
      <w:r w:rsidRPr="00F54106">
        <w:rPr>
          <w:rFonts w:cstheme="minorHAnsi"/>
          <w:lang w:val="en-GB"/>
        </w:rPr>
        <w:t xml:space="preserve">in this </w:t>
      </w:r>
      <w:r w:rsidR="00A238FC" w:rsidRPr="00F54106">
        <w:rPr>
          <w:rFonts w:cstheme="minorHAnsi"/>
          <w:lang w:val="en-GB"/>
        </w:rPr>
        <w:t>section</w:t>
      </w:r>
      <w:r w:rsidRPr="00F54106">
        <w:rPr>
          <w:rFonts w:cstheme="minorHAnsi"/>
          <w:lang w:val="en-GB"/>
        </w:rPr>
        <w:t>. Most of the actions for damages in the Netherlands are based on follow-on actions from the Commission or a competition authority.</w:t>
      </w:r>
      <w:r w:rsidRPr="00F54106">
        <w:rPr>
          <w:rStyle w:val="FootnoteReference"/>
          <w:rFonts w:cstheme="minorHAnsi"/>
          <w:lang w:val="en-GB"/>
        </w:rPr>
        <w:footnoteReference w:id="300"/>
      </w:r>
      <w:r w:rsidRPr="00F54106">
        <w:rPr>
          <w:rFonts w:cstheme="minorHAnsi"/>
          <w:lang w:val="en-GB"/>
        </w:rPr>
        <w:t xml:space="preserve"> </w:t>
      </w:r>
      <w:r w:rsidR="00037026" w:rsidRPr="00F54106">
        <w:rPr>
          <w:rFonts w:cstheme="minorHAnsi"/>
          <w:lang w:val="en-GB"/>
        </w:rPr>
        <w:t>In addition</w:t>
      </w:r>
      <w:r w:rsidRPr="00F54106">
        <w:rPr>
          <w:rFonts w:cstheme="minorHAnsi"/>
          <w:lang w:val="en-GB"/>
        </w:rPr>
        <w:t>, unofficial statistics show that only 6 actions for damages have been awarded in the Netherlands as of 2021,</w:t>
      </w:r>
      <w:r w:rsidRPr="00F54106">
        <w:rPr>
          <w:rStyle w:val="FootnoteReference"/>
          <w:rFonts w:cstheme="minorHAnsi"/>
          <w:lang w:val="en-GB"/>
        </w:rPr>
        <w:footnoteReference w:id="301"/>
      </w:r>
      <w:r w:rsidRPr="00F54106">
        <w:rPr>
          <w:rFonts w:cstheme="minorHAnsi"/>
          <w:lang w:val="en-GB"/>
        </w:rPr>
        <w:t xml:space="preserve"> which is significantly less than</w:t>
      </w:r>
      <w:r w:rsidR="00B80F3D" w:rsidRPr="00F54106">
        <w:rPr>
          <w:rFonts w:cstheme="minorHAnsi"/>
          <w:lang w:val="en-GB"/>
        </w:rPr>
        <w:t xml:space="preserve"> </w:t>
      </w:r>
      <w:r w:rsidRPr="00F54106">
        <w:rPr>
          <w:rFonts w:cstheme="minorHAnsi"/>
          <w:lang w:val="en-GB"/>
        </w:rPr>
        <w:t>the 177 cases in the favoured jurisdiction Germany</w:t>
      </w:r>
      <w:r w:rsidR="00037026" w:rsidRPr="00F54106">
        <w:rPr>
          <w:rFonts w:cstheme="minorHAnsi"/>
          <w:lang w:val="en-GB"/>
        </w:rPr>
        <w:t>. Although it is noted that the amount of cases in the Laborde study does not fully reflect the activities in the Dutch forum since the damages actions in the Netherlands often involve several interim judgements,</w:t>
      </w:r>
      <w:r w:rsidR="00037026" w:rsidRPr="00F54106">
        <w:rPr>
          <w:rStyle w:val="FootnoteReference"/>
          <w:rFonts w:cstheme="minorHAnsi"/>
          <w:lang w:val="en-GB"/>
        </w:rPr>
        <w:footnoteReference w:id="302"/>
      </w:r>
      <w:r w:rsidR="00037026" w:rsidRPr="00F54106">
        <w:rPr>
          <w:rFonts w:cstheme="minorHAnsi"/>
          <w:lang w:val="en-GB"/>
        </w:rPr>
        <w:t xml:space="preserve"> it still </w:t>
      </w:r>
      <w:r w:rsidRPr="00F54106">
        <w:rPr>
          <w:rFonts w:cstheme="minorHAnsi"/>
          <w:lang w:val="en-GB"/>
        </w:rPr>
        <w:t>contradicts the literature’s statements on the Netherlands as a preferred forum</w:t>
      </w:r>
      <w:r w:rsidR="00037026" w:rsidRPr="00F54106">
        <w:rPr>
          <w:rFonts w:cstheme="minorHAnsi"/>
          <w:lang w:val="en-GB"/>
        </w:rPr>
        <w:t>. Hence</w:t>
      </w:r>
      <w:r w:rsidRPr="00F54106">
        <w:rPr>
          <w:rFonts w:cstheme="minorHAnsi"/>
          <w:lang w:val="en-GB"/>
        </w:rPr>
        <w:t xml:space="preserve">, this </w:t>
      </w:r>
      <w:r w:rsidR="00101EC6" w:rsidRPr="00F54106">
        <w:rPr>
          <w:rFonts w:cstheme="minorHAnsi"/>
          <w:lang w:val="en-GB"/>
        </w:rPr>
        <w:t>section</w:t>
      </w:r>
      <w:r w:rsidRPr="00F54106">
        <w:rPr>
          <w:rFonts w:cstheme="minorHAnsi"/>
          <w:lang w:val="en-GB"/>
        </w:rPr>
        <w:t xml:space="preserve"> sets out to </w:t>
      </w:r>
      <w:r w:rsidR="002F42FA" w:rsidRPr="00F54106">
        <w:rPr>
          <w:rFonts w:cstheme="minorHAnsi"/>
          <w:lang w:val="en-GB"/>
        </w:rPr>
        <w:t xml:space="preserve">in-depth </w:t>
      </w:r>
      <w:r w:rsidRPr="00F54106">
        <w:rPr>
          <w:rFonts w:cstheme="minorHAnsi"/>
          <w:lang w:val="en-GB"/>
        </w:rPr>
        <w:t>discover the literature’s view on why the Netherlands is a preferred forum for cartel damages actions</w:t>
      </w:r>
      <w:r w:rsidR="00101EC6" w:rsidRPr="00F54106">
        <w:rPr>
          <w:rFonts w:cstheme="minorHAnsi"/>
          <w:lang w:val="en-GB"/>
        </w:rPr>
        <w:t>,</w:t>
      </w:r>
      <w:r w:rsidRPr="00F54106">
        <w:rPr>
          <w:rFonts w:cstheme="minorHAnsi"/>
          <w:lang w:val="en-GB"/>
        </w:rPr>
        <w:t xml:space="preserve"> </w:t>
      </w:r>
      <w:r w:rsidR="00101EC6" w:rsidRPr="00F54106">
        <w:rPr>
          <w:rFonts w:cstheme="minorHAnsi"/>
          <w:lang w:val="en-GB"/>
        </w:rPr>
        <w:t xml:space="preserve">for </w:t>
      </w:r>
      <w:r w:rsidRPr="00F54106">
        <w:rPr>
          <w:rFonts w:cstheme="minorHAnsi"/>
          <w:lang w:val="en-GB"/>
        </w:rPr>
        <w:t>which</w:t>
      </w:r>
      <w:r w:rsidR="00101EC6" w:rsidRPr="00F54106">
        <w:rPr>
          <w:rFonts w:cstheme="minorHAnsi"/>
          <w:lang w:val="en-GB"/>
        </w:rPr>
        <w:t xml:space="preserve"> the uncovered elements</w:t>
      </w:r>
      <w:r w:rsidRPr="00F54106">
        <w:rPr>
          <w:rFonts w:cstheme="minorHAnsi"/>
          <w:lang w:val="en-GB"/>
        </w:rPr>
        <w:t xml:space="preserve"> will be compared to the obtained </w:t>
      </w:r>
      <w:r w:rsidR="00101EC6" w:rsidRPr="00F54106">
        <w:rPr>
          <w:rFonts w:cstheme="minorHAnsi"/>
          <w:lang w:val="en-GB"/>
        </w:rPr>
        <w:t>data</w:t>
      </w:r>
      <w:r w:rsidRPr="00F54106">
        <w:rPr>
          <w:rFonts w:cstheme="minorHAnsi"/>
          <w:lang w:val="en-GB"/>
        </w:rPr>
        <w:t xml:space="preserve"> from the qualitative interviews in </w:t>
      </w:r>
      <w:r w:rsidR="00FA5C5C" w:rsidRPr="00F54106">
        <w:rPr>
          <w:rFonts w:cstheme="minorHAnsi"/>
          <w:lang w:val="en-GB"/>
        </w:rPr>
        <w:t>chapter 3</w:t>
      </w:r>
      <w:r w:rsidRPr="00F54106">
        <w:rPr>
          <w:rFonts w:cstheme="minorHAnsi"/>
          <w:lang w:val="en-GB"/>
        </w:rPr>
        <w:t xml:space="preserve">. </w:t>
      </w:r>
    </w:p>
    <w:p w14:paraId="3BAEF167" w14:textId="77777777" w:rsidR="00093FA8" w:rsidRPr="00F54106" w:rsidRDefault="00093FA8" w:rsidP="00FC31D7">
      <w:pPr>
        <w:spacing w:line="276" w:lineRule="auto"/>
        <w:rPr>
          <w:rFonts w:cstheme="minorHAnsi"/>
          <w:lang w:val="en-GB"/>
        </w:rPr>
      </w:pPr>
    </w:p>
    <w:p w14:paraId="283CAA49" w14:textId="016C1AFE" w:rsidR="00D8722C" w:rsidRPr="00F54106" w:rsidRDefault="001F001E" w:rsidP="001F001E">
      <w:pPr>
        <w:pStyle w:val="Heading3"/>
        <w:rPr>
          <w:lang w:val="en-GB"/>
        </w:rPr>
      </w:pPr>
      <w:bookmarkStart w:id="136" w:name="_Toc107610236"/>
      <w:r w:rsidRPr="00F54106">
        <w:rPr>
          <w:lang w:val="en-GB"/>
        </w:rPr>
        <w:lastRenderedPageBreak/>
        <w:t>2</w:t>
      </w:r>
      <w:r w:rsidR="00D8722C" w:rsidRPr="00F54106">
        <w:rPr>
          <w:lang w:val="en-GB"/>
        </w:rPr>
        <w:t>.</w:t>
      </w:r>
      <w:r w:rsidRPr="00F54106">
        <w:rPr>
          <w:lang w:val="en-GB"/>
        </w:rPr>
        <w:t>3.</w:t>
      </w:r>
      <w:r w:rsidR="00246A6D" w:rsidRPr="00F54106">
        <w:rPr>
          <w:lang w:val="en-GB"/>
        </w:rPr>
        <w:t>1</w:t>
      </w:r>
      <w:r w:rsidR="00D8722C" w:rsidRPr="00F54106">
        <w:rPr>
          <w:lang w:val="en-GB"/>
        </w:rPr>
        <w:t xml:space="preserve"> </w:t>
      </w:r>
      <w:r w:rsidR="00B274B3" w:rsidRPr="00F54106">
        <w:rPr>
          <w:lang w:val="en-GB"/>
        </w:rPr>
        <w:t>The efficient and practical a</w:t>
      </w:r>
      <w:r w:rsidR="00B14546" w:rsidRPr="00F54106">
        <w:rPr>
          <w:lang w:val="en-GB"/>
        </w:rPr>
        <w:t xml:space="preserve">pproach to </w:t>
      </w:r>
      <w:r w:rsidR="00122819" w:rsidRPr="00F54106">
        <w:rPr>
          <w:lang w:val="en-GB"/>
        </w:rPr>
        <w:t xml:space="preserve">cartel damages </w:t>
      </w:r>
      <w:r w:rsidR="00B14546" w:rsidRPr="00F54106">
        <w:rPr>
          <w:lang w:val="en-GB"/>
        </w:rPr>
        <w:t>claims by D</w:t>
      </w:r>
      <w:r w:rsidR="00D8722C" w:rsidRPr="00F54106">
        <w:rPr>
          <w:lang w:val="en-GB"/>
        </w:rPr>
        <w:t xml:space="preserve">utch </w:t>
      </w:r>
      <w:r w:rsidR="00B14546" w:rsidRPr="00F54106">
        <w:rPr>
          <w:lang w:val="en-GB"/>
        </w:rPr>
        <w:t>c</w:t>
      </w:r>
      <w:r w:rsidR="00D8722C" w:rsidRPr="00F54106">
        <w:rPr>
          <w:lang w:val="en-GB"/>
        </w:rPr>
        <w:t>ourts</w:t>
      </w:r>
      <w:bookmarkEnd w:id="136"/>
    </w:p>
    <w:p w14:paraId="7A2090FE" w14:textId="02DC74DA" w:rsidR="00F13D79" w:rsidRPr="00F54106" w:rsidRDefault="00F13D79" w:rsidP="00FC31D7">
      <w:pPr>
        <w:spacing w:line="276" w:lineRule="auto"/>
        <w:rPr>
          <w:rFonts w:cstheme="minorHAnsi"/>
          <w:lang w:val="en-GB"/>
        </w:rPr>
      </w:pPr>
      <w:r w:rsidRPr="00F54106">
        <w:rPr>
          <w:rFonts w:cstheme="minorHAnsi"/>
          <w:lang w:val="en-GB"/>
        </w:rPr>
        <w:t>It is said that Dutch courts often adopt a very practical and efficient approach.</w:t>
      </w:r>
      <w:r w:rsidR="00B274B3" w:rsidRPr="00F54106">
        <w:rPr>
          <w:rStyle w:val="FootnoteReference"/>
          <w:rFonts w:cstheme="minorHAnsi"/>
          <w:lang w:val="en-GB"/>
        </w:rPr>
        <w:footnoteReference w:id="303"/>
      </w:r>
      <w:r w:rsidR="00B274B3" w:rsidRPr="00F54106">
        <w:rPr>
          <w:rFonts w:cstheme="minorHAnsi"/>
          <w:lang w:val="en-GB"/>
        </w:rPr>
        <w:t xml:space="preserve"> </w:t>
      </w:r>
      <w:r w:rsidRPr="00F54106">
        <w:rPr>
          <w:rFonts w:cstheme="minorHAnsi"/>
          <w:lang w:val="en-GB"/>
        </w:rPr>
        <w:t xml:space="preserve"> One of the examples </w:t>
      </w:r>
      <w:r w:rsidR="008532E0" w:rsidRPr="00F54106">
        <w:rPr>
          <w:rFonts w:cstheme="minorHAnsi"/>
          <w:lang w:val="en-GB"/>
        </w:rPr>
        <w:t>for this approach mentioned by the literature</w:t>
      </w:r>
      <w:r w:rsidRPr="00F54106">
        <w:rPr>
          <w:rFonts w:cstheme="minorHAnsi"/>
          <w:lang w:val="en-GB"/>
        </w:rPr>
        <w:t xml:space="preserve"> is the approach</w:t>
      </w:r>
      <w:r w:rsidR="001679F9" w:rsidRPr="00F54106">
        <w:rPr>
          <w:rFonts w:cstheme="minorHAnsi"/>
          <w:lang w:val="en-GB"/>
        </w:rPr>
        <w:t xml:space="preserve"> taken </w:t>
      </w:r>
      <w:r w:rsidR="005E00B6" w:rsidRPr="00F54106">
        <w:rPr>
          <w:rFonts w:cstheme="minorHAnsi"/>
          <w:lang w:val="en-GB"/>
        </w:rPr>
        <w:t xml:space="preserve">with respect to </w:t>
      </w:r>
      <w:r w:rsidRPr="00F54106">
        <w:rPr>
          <w:rFonts w:cstheme="minorHAnsi"/>
          <w:lang w:val="en-GB"/>
        </w:rPr>
        <w:t xml:space="preserve">the </w:t>
      </w:r>
      <w:r w:rsidR="005E00B6" w:rsidRPr="00F54106">
        <w:rPr>
          <w:rFonts w:cstheme="minorHAnsi"/>
          <w:lang w:val="en-GB"/>
        </w:rPr>
        <w:t>“</w:t>
      </w:r>
      <w:proofErr w:type="spellStart"/>
      <w:r w:rsidRPr="00F54106">
        <w:rPr>
          <w:rFonts w:cstheme="minorHAnsi"/>
          <w:lang w:val="en-GB"/>
        </w:rPr>
        <w:t>Masterfoods</w:t>
      </w:r>
      <w:proofErr w:type="spellEnd"/>
      <w:r w:rsidRPr="00F54106">
        <w:rPr>
          <w:rFonts w:cstheme="minorHAnsi"/>
          <w:lang w:val="en-GB"/>
        </w:rPr>
        <w:t xml:space="preserve"> Defence</w:t>
      </w:r>
      <w:r w:rsidR="005E00B6" w:rsidRPr="00F54106">
        <w:rPr>
          <w:rFonts w:cstheme="minorHAnsi"/>
          <w:lang w:val="en-GB"/>
        </w:rPr>
        <w:t xml:space="preserve">” in </w:t>
      </w:r>
      <w:r w:rsidR="00451973" w:rsidRPr="00F54106">
        <w:rPr>
          <w:rFonts w:cstheme="minorHAnsi"/>
          <w:lang w:val="en-GB"/>
        </w:rPr>
        <w:t xml:space="preserve">the </w:t>
      </w:r>
      <w:proofErr w:type="spellStart"/>
      <w:r w:rsidR="00451973" w:rsidRPr="00F54106">
        <w:rPr>
          <w:rFonts w:cstheme="minorHAnsi"/>
          <w:i/>
          <w:iCs/>
          <w:lang w:val="en-GB"/>
        </w:rPr>
        <w:t>Equilib</w:t>
      </w:r>
      <w:proofErr w:type="spellEnd"/>
      <w:r w:rsidR="00451973" w:rsidRPr="00F54106">
        <w:rPr>
          <w:rFonts w:cstheme="minorHAnsi"/>
          <w:i/>
          <w:iCs/>
          <w:lang w:val="en-GB"/>
        </w:rPr>
        <w:t xml:space="preserve"> v KLM</w:t>
      </w:r>
      <w:r w:rsidR="00451973" w:rsidRPr="00F54106">
        <w:rPr>
          <w:rFonts w:cstheme="minorHAnsi"/>
          <w:lang w:val="en-GB"/>
        </w:rPr>
        <w:t xml:space="preserve"> case</w:t>
      </w:r>
      <w:r w:rsidR="00E54858" w:rsidRPr="00F54106">
        <w:rPr>
          <w:rFonts w:cstheme="minorHAnsi"/>
          <w:lang w:val="en-GB"/>
        </w:rPr>
        <w:t>.</w:t>
      </w:r>
      <w:r w:rsidR="00B274B3" w:rsidRPr="00F54106">
        <w:rPr>
          <w:rStyle w:val="FootnoteReference"/>
          <w:rFonts w:cstheme="minorHAnsi"/>
          <w:lang w:val="en-GB"/>
        </w:rPr>
        <w:footnoteReference w:id="304"/>
      </w:r>
      <w:r w:rsidR="005E00B6" w:rsidRPr="00F54106">
        <w:rPr>
          <w:rFonts w:cstheme="minorHAnsi"/>
          <w:lang w:val="en-GB"/>
        </w:rPr>
        <w:t xml:space="preserve"> The </w:t>
      </w:r>
      <w:proofErr w:type="spellStart"/>
      <w:r w:rsidR="005E00B6" w:rsidRPr="00F54106">
        <w:rPr>
          <w:rFonts w:cstheme="minorHAnsi"/>
          <w:lang w:val="en-GB"/>
        </w:rPr>
        <w:t>Masterfoods</w:t>
      </w:r>
      <w:proofErr w:type="spellEnd"/>
      <w:r w:rsidR="005E00B6" w:rsidRPr="00F54106">
        <w:rPr>
          <w:rFonts w:cstheme="minorHAnsi"/>
          <w:lang w:val="en-GB"/>
        </w:rPr>
        <w:t xml:space="preserve"> </w:t>
      </w:r>
      <w:r w:rsidR="00451973" w:rsidRPr="00F54106">
        <w:rPr>
          <w:rFonts w:cstheme="minorHAnsi"/>
          <w:lang w:val="en-GB"/>
        </w:rPr>
        <w:t xml:space="preserve">defence relies on the argument that national civil proceedings </w:t>
      </w:r>
      <w:r w:rsidR="00000095" w:rsidRPr="00F54106">
        <w:rPr>
          <w:rFonts w:cstheme="minorHAnsi"/>
          <w:lang w:val="en-GB"/>
        </w:rPr>
        <w:t>should be stayed until the Commission’s decision becomes irreversible.</w:t>
      </w:r>
      <w:r w:rsidR="00EE3236" w:rsidRPr="00F54106">
        <w:rPr>
          <w:rStyle w:val="FootnoteReference"/>
          <w:rFonts w:cstheme="minorHAnsi"/>
          <w:lang w:val="en-GB"/>
        </w:rPr>
        <w:footnoteReference w:id="305"/>
      </w:r>
      <w:r w:rsidR="00EE3236" w:rsidRPr="00F54106">
        <w:rPr>
          <w:rFonts w:cstheme="minorHAnsi"/>
          <w:lang w:val="en-GB"/>
        </w:rPr>
        <w:t xml:space="preserve"> </w:t>
      </w:r>
      <w:r w:rsidR="009B66B9" w:rsidRPr="00F54106">
        <w:rPr>
          <w:rFonts w:cstheme="minorHAnsi"/>
          <w:lang w:val="en-GB"/>
        </w:rPr>
        <w:t>However, t</w:t>
      </w:r>
      <w:r w:rsidR="00EE3236" w:rsidRPr="00F54106">
        <w:rPr>
          <w:rFonts w:cstheme="minorHAnsi"/>
          <w:lang w:val="en-GB"/>
        </w:rPr>
        <w:t>he Court of Appeal of Amsterdam held that this is not necessarily the case and should be examined with respect to the division of tasks of the EU- and national courts.</w:t>
      </w:r>
      <w:r w:rsidR="001F1FC2" w:rsidRPr="00F54106">
        <w:rPr>
          <w:rStyle w:val="FootnoteReference"/>
          <w:rFonts w:cstheme="minorHAnsi"/>
          <w:lang w:val="en-GB"/>
        </w:rPr>
        <w:footnoteReference w:id="306"/>
      </w:r>
      <w:r w:rsidR="007A2F8E" w:rsidRPr="00F54106">
        <w:rPr>
          <w:rFonts w:cstheme="minorHAnsi"/>
          <w:lang w:val="en-GB"/>
        </w:rPr>
        <w:t xml:space="preserve"> </w:t>
      </w:r>
      <w:r w:rsidR="000E6F3A" w:rsidRPr="00F54106">
        <w:rPr>
          <w:rFonts w:cstheme="minorHAnsi"/>
          <w:lang w:val="en-GB"/>
        </w:rPr>
        <w:t xml:space="preserve">It </w:t>
      </w:r>
      <w:r w:rsidR="00C212CE" w:rsidRPr="00F54106">
        <w:rPr>
          <w:rFonts w:cstheme="minorHAnsi"/>
          <w:lang w:val="en-GB"/>
        </w:rPr>
        <w:t xml:space="preserve">further specified </w:t>
      </w:r>
      <w:r w:rsidR="000E6F3A" w:rsidRPr="00F54106">
        <w:rPr>
          <w:rFonts w:cstheme="minorHAnsi"/>
          <w:lang w:val="en-GB"/>
        </w:rPr>
        <w:t xml:space="preserve">that </w:t>
      </w:r>
      <w:r w:rsidR="00C212CE" w:rsidRPr="00F54106">
        <w:rPr>
          <w:rFonts w:cstheme="minorHAnsi"/>
          <w:lang w:val="en-GB"/>
        </w:rPr>
        <w:t xml:space="preserve">the </w:t>
      </w:r>
      <w:r w:rsidR="000E6F3A" w:rsidRPr="00F54106">
        <w:rPr>
          <w:rFonts w:cstheme="minorHAnsi"/>
          <w:lang w:val="en-GB"/>
        </w:rPr>
        <w:t xml:space="preserve">national procedure should only be </w:t>
      </w:r>
      <w:r w:rsidR="00C212CE" w:rsidRPr="00F54106">
        <w:rPr>
          <w:rFonts w:cstheme="minorHAnsi"/>
          <w:lang w:val="en-GB"/>
        </w:rPr>
        <w:t>stayed to</w:t>
      </w:r>
      <w:r w:rsidR="000E6F3A" w:rsidRPr="00F54106">
        <w:rPr>
          <w:rFonts w:cstheme="minorHAnsi"/>
          <w:lang w:val="en-GB"/>
        </w:rPr>
        <w:t xml:space="preserve"> the extent that there are questions of law or fact related to the national procedure that are dependent on </w:t>
      </w:r>
      <w:r w:rsidR="00C212CE" w:rsidRPr="00F54106">
        <w:rPr>
          <w:rFonts w:cstheme="minorHAnsi"/>
          <w:lang w:val="en-GB"/>
        </w:rPr>
        <w:t xml:space="preserve">the </w:t>
      </w:r>
      <w:r w:rsidR="000E6F3A" w:rsidRPr="00F54106">
        <w:rPr>
          <w:rFonts w:cstheme="minorHAnsi"/>
          <w:lang w:val="en-GB"/>
        </w:rPr>
        <w:t>Commission</w:t>
      </w:r>
      <w:r w:rsidR="00C212CE" w:rsidRPr="00F54106">
        <w:rPr>
          <w:rFonts w:cstheme="minorHAnsi"/>
          <w:lang w:val="en-GB"/>
        </w:rPr>
        <w:t>’</w:t>
      </w:r>
      <w:r w:rsidR="000E6F3A" w:rsidRPr="00F54106">
        <w:rPr>
          <w:rFonts w:cstheme="minorHAnsi"/>
          <w:lang w:val="en-GB"/>
        </w:rPr>
        <w:t>s decision</w:t>
      </w:r>
      <w:r w:rsidR="00C212CE" w:rsidRPr="00F54106">
        <w:rPr>
          <w:rFonts w:cstheme="minorHAnsi"/>
          <w:lang w:val="en-GB"/>
        </w:rPr>
        <w:t>, and if there is a reasonable doubt to question the legitimacy of that decision.</w:t>
      </w:r>
      <w:r w:rsidR="00C212CE" w:rsidRPr="00F54106">
        <w:rPr>
          <w:rStyle w:val="FootnoteReference"/>
          <w:rFonts w:cstheme="minorHAnsi"/>
          <w:lang w:val="en-GB"/>
        </w:rPr>
        <w:footnoteReference w:id="307"/>
      </w:r>
      <w:r w:rsidR="00A64EB2" w:rsidRPr="00F54106">
        <w:rPr>
          <w:rFonts w:cstheme="minorHAnsi"/>
          <w:lang w:val="en-GB"/>
        </w:rPr>
        <w:t xml:space="preserve"> As a result</w:t>
      </w:r>
      <w:r w:rsidR="00475622" w:rsidRPr="00F54106">
        <w:rPr>
          <w:rFonts w:cstheme="minorHAnsi"/>
          <w:lang w:val="en-GB"/>
        </w:rPr>
        <w:t xml:space="preserve">, the national court assesses whether to suspend the proceeding based on the defendant’s </w:t>
      </w:r>
      <w:r w:rsidR="00A64EB2" w:rsidRPr="00F54106">
        <w:rPr>
          <w:rFonts w:cstheme="minorHAnsi"/>
          <w:lang w:val="en-GB"/>
        </w:rPr>
        <w:t>prove that there is an appeal against the Commission’s decision</w:t>
      </w:r>
      <w:r w:rsidR="007861A2" w:rsidRPr="00F54106">
        <w:rPr>
          <w:rFonts w:cstheme="minorHAnsi"/>
          <w:lang w:val="en-GB"/>
        </w:rPr>
        <w:t>.</w:t>
      </w:r>
      <w:r w:rsidR="00A64EB2" w:rsidRPr="00F54106">
        <w:rPr>
          <w:rFonts w:cstheme="minorHAnsi"/>
          <w:lang w:val="en-GB"/>
        </w:rPr>
        <w:t xml:space="preserve"> </w:t>
      </w:r>
      <w:r w:rsidR="007861A2" w:rsidRPr="00F54106">
        <w:rPr>
          <w:rFonts w:cstheme="minorHAnsi"/>
          <w:lang w:val="en-GB"/>
        </w:rPr>
        <w:t>This</w:t>
      </w:r>
      <w:r w:rsidR="00475622" w:rsidRPr="00F54106">
        <w:rPr>
          <w:rFonts w:cstheme="minorHAnsi"/>
          <w:lang w:val="en-GB"/>
        </w:rPr>
        <w:t xml:space="preserve"> must be based on reasonable grounds and </w:t>
      </w:r>
      <w:r w:rsidR="00C00810" w:rsidRPr="00F54106">
        <w:rPr>
          <w:rFonts w:cstheme="minorHAnsi"/>
          <w:lang w:val="en-GB"/>
        </w:rPr>
        <w:t xml:space="preserve">based on the </w:t>
      </w:r>
      <w:r w:rsidR="00475622" w:rsidRPr="00F54106">
        <w:rPr>
          <w:rFonts w:cstheme="minorHAnsi"/>
          <w:lang w:val="en-GB"/>
        </w:rPr>
        <w:t>defences</w:t>
      </w:r>
      <w:r w:rsidR="00C00810" w:rsidRPr="00F54106">
        <w:rPr>
          <w:rFonts w:cstheme="minorHAnsi"/>
          <w:lang w:val="en-GB"/>
        </w:rPr>
        <w:t xml:space="preserve"> the defendant</w:t>
      </w:r>
      <w:r w:rsidR="00475622" w:rsidRPr="00F54106">
        <w:rPr>
          <w:rFonts w:cstheme="minorHAnsi"/>
          <w:lang w:val="en-GB"/>
        </w:rPr>
        <w:t xml:space="preserve"> tries to invoke so that the national court can examine if the legitimacy of the decision is relevant to the invoked defences.</w:t>
      </w:r>
      <w:r w:rsidR="00475622" w:rsidRPr="00F54106">
        <w:rPr>
          <w:rStyle w:val="FootnoteReference"/>
          <w:rFonts w:cstheme="minorHAnsi"/>
          <w:lang w:val="en-GB"/>
        </w:rPr>
        <w:footnoteReference w:id="308"/>
      </w:r>
      <w:r w:rsidR="00475622" w:rsidRPr="00F54106">
        <w:rPr>
          <w:rFonts w:cstheme="minorHAnsi"/>
          <w:lang w:val="en-GB"/>
        </w:rPr>
        <w:t xml:space="preserve"> </w:t>
      </w:r>
      <w:r w:rsidR="00E54858" w:rsidRPr="00F54106">
        <w:rPr>
          <w:rFonts w:cstheme="minorHAnsi"/>
          <w:lang w:val="en-GB"/>
        </w:rPr>
        <w:t>I</w:t>
      </w:r>
      <w:r w:rsidR="00C00810" w:rsidRPr="00F54106">
        <w:rPr>
          <w:rFonts w:cstheme="minorHAnsi"/>
          <w:lang w:val="en-GB"/>
        </w:rPr>
        <w:t>t is</w:t>
      </w:r>
      <w:r w:rsidR="00E54858" w:rsidRPr="00F54106">
        <w:rPr>
          <w:rFonts w:cstheme="minorHAnsi"/>
          <w:lang w:val="en-GB"/>
        </w:rPr>
        <w:t xml:space="preserve"> therefore</w:t>
      </w:r>
      <w:r w:rsidR="00C00810" w:rsidRPr="00F54106">
        <w:rPr>
          <w:rFonts w:cstheme="minorHAnsi"/>
          <w:lang w:val="en-GB"/>
        </w:rPr>
        <w:t xml:space="preserve"> argued that </w:t>
      </w:r>
      <w:r w:rsidR="00E54858" w:rsidRPr="00F54106">
        <w:rPr>
          <w:rFonts w:cstheme="minorHAnsi"/>
          <w:lang w:val="en-GB"/>
        </w:rPr>
        <w:t xml:space="preserve">both </w:t>
      </w:r>
      <w:r w:rsidR="00C00810" w:rsidRPr="00F54106">
        <w:rPr>
          <w:rFonts w:cstheme="minorHAnsi"/>
          <w:lang w:val="en-GB"/>
        </w:rPr>
        <w:t>delays are avoided for claimants and th</w:t>
      </w:r>
      <w:r w:rsidR="007861A2" w:rsidRPr="00F54106">
        <w:rPr>
          <w:rFonts w:cstheme="minorHAnsi"/>
          <w:lang w:val="en-GB"/>
        </w:rPr>
        <w:t>at th</w:t>
      </w:r>
      <w:r w:rsidR="00C00810" w:rsidRPr="00F54106">
        <w:rPr>
          <w:rFonts w:cstheme="minorHAnsi"/>
          <w:lang w:val="en-GB"/>
        </w:rPr>
        <w:t xml:space="preserve">e defendant’s costs are reduced </w:t>
      </w:r>
      <w:r w:rsidR="007861A2" w:rsidRPr="00F54106">
        <w:rPr>
          <w:rFonts w:cstheme="minorHAnsi"/>
          <w:lang w:val="en-GB"/>
        </w:rPr>
        <w:t>as the defendant</w:t>
      </w:r>
      <w:r w:rsidR="00C00810" w:rsidRPr="00F54106">
        <w:rPr>
          <w:rFonts w:cstheme="minorHAnsi"/>
          <w:lang w:val="en-GB"/>
        </w:rPr>
        <w:t xml:space="preserve"> does not </w:t>
      </w:r>
      <w:r w:rsidR="004F207F" w:rsidRPr="00F54106">
        <w:rPr>
          <w:rFonts w:cstheme="minorHAnsi"/>
          <w:lang w:val="en-GB"/>
        </w:rPr>
        <w:t xml:space="preserve">necessarily </w:t>
      </w:r>
      <w:r w:rsidR="00C00810" w:rsidRPr="00F54106">
        <w:rPr>
          <w:rFonts w:cstheme="minorHAnsi"/>
          <w:lang w:val="en-GB"/>
        </w:rPr>
        <w:t xml:space="preserve">need to defend </w:t>
      </w:r>
      <w:r w:rsidR="007861A2" w:rsidRPr="00F54106">
        <w:rPr>
          <w:rFonts w:cstheme="minorHAnsi"/>
          <w:lang w:val="en-GB"/>
        </w:rPr>
        <w:t>him</w:t>
      </w:r>
      <w:r w:rsidR="00C00810" w:rsidRPr="00F54106">
        <w:rPr>
          <w:rFonts w:cstheme="minorHAnsi"/>
          <w:lang w:val="en-GB"/>
        </w:rPr>
        <w:t>self</w:t>
      </w:r>
      <w:r w:rsidR="004B6A1D" w:rsidRPr="00F54106">
        <w:rPr>
          <w:rFonts w:cstheme="minorHAnsi"/>
          <w:lang w:val="en-GB"/>
        </w:rPr>
        <w:t xml:space="preserve"> in civil proceedings</w:t>
      </w:r>
      <w:r w:rsidR="00C00810" w:rsidRPr="00F54106">
        <w:rPr>
          <w:rFonts w:cstheme="minorHAnsi"/>
          <w:lang w:val="en-GB"/>
        </w:rPr>
        <w:t xml:space="preserve"> before the Commission’s decision</w:t>
      </w:r>
      <w:r w:rsidR="004B6A1D" w:rsidRPr="00F54106">
        <w:rPr>
          <w:rFonts w:cstheme="minorHAnsi"/>
          <w:lang w:val="en-GB"/>
        </w:rPr>
        <w:t xml:space="preserve"> is irrevocable</w:t>
      </w:r>
      <w:r w:rsidR="00C00810" w:rsidRPr="00F54106">
        <w:rPr>
          <w:rFonts w:cstheme="minorHAnsi"/>
          <w:lang w:val="en-GB"/>
        </w:rPr>
        <w:t>.</w:t>
      </w:r>
      <w:r w:rsidR="004B6A1D" w:rsidRPr="00F54106">
        <w:rPr>
          <w:rStyle w:val="FootnoteReference"/>
          <w:rFonts w:cstheme="minorHAnsi"/>
          <w:lang w:val="en-GB"/>
        </w:rPr>
        <w:footnoteReference w:id="309"/>
      </w:r>
    </w:p>
    <w:p w14:paraId="198125F8" w14:textId="017D5068" w:rsidR="00BC00D8" w:rsidRPr="00F54106" w:rsidRDefault="00BB71E4" w:rsidP="00FC31D7">
      <w:pPr>
        <w:spacing w:line="276" w:lineRule="auto"/>
        <w:ind w:firstLine="720"/>
        <w:rPr>
          <w:rFonts w:cstheme="minorHAnsi"/>
          <w:lang w:val="en-GB"/>
        </w:rPr>
      </w:pPr>
      <w:r w:rsidRPr="00F54106">
        <w:rPr>
          <w:rFonts w:cstheme="minorHAnsi"/>
          <w:lang w:val="en-GB"/>
        </w:rPr>
        <w:t xml:space="preserve">It is </w:t>
      </w:r>
      <w:r w:rsidR="00000095" w:rsidRPr="00F54106">
        <w:rPr>
          <w:rFonts w:cstheme="minorHAnsi"/>
          <w:lang w:val="en-GB"/>
        </w:rPr>
        <w:t xml:space="preserve">also </w:t>
      </w:r>
      <w:r w:rsidRPr="00F54106">
        <w:rPr>
          <w:rFonts w:cstheme="minorHAnsi"/>
          <w:lang w:val="en-GB"/>
        </w:rPr>
        <w:t>argued that Dutch courts</w:t>
      </w:r>
      <w:r w:rsidR="00893F93" w:rsidRPr="00F54106">
        <w:rPr>
          <w:rFonts w:cstheme="minorHAnsi"/>
          <w:lang w:val="en-GB"/>
        </w:rPr>
        <w:t xml:space="preserve"> </w:t>
      </w:r>
      <w:r w:rsidR="00EE3236" w:rsidRPr="00F54106">
        <w:rPr>
          <w:rFonts w:cstheme="minorHAnsi"/>
          <w:lang w:val="en-GB"/>
        </w:rPr>
        <w:t>(</w:t>
      </w:r>
      <w:r w:rsidR="00893F93" w:rsidRPr="00F54106">
        <w:rPr>
          <w:rFonts w:cstheme="minorHAnsi"/>
          <w:lang w:val="en-GB"/>
        </w:rPr>
        <w:t xml:space="preserve">and Dutch </w:t>
      </w:r>
      <w:r w:rsidRPr="00F54106">
        <w:rPr>
          <w:rFonts w:cstheme="minorHAnsi"/>
          <w:lang w:val="en-GB"/>
        </w:rPr>
        <w:t>policymakers</w:t>
      </w:r>
      <w:r w:rsidR="00000095" w:rsidRPr="00F54106">
        <w:rPr>
          <w:rFonts w:cstheme="minorHAnsi"/>
          <w:lang w:val="en-GB"/>
        </w:rPr>
        <w:t xml:space="preserve"> as well</w:t>
      </w:r>
      <w:r w:rsidR="00EE3236" w:rsidRPr="00F54106">
        <w:rPr>
          <w:rFonts w:cstheme="minorHAnsi"/>
          <w:lang w:val="en-GB"/>
        </w:rPr>
        <w:t>)</w:t>
      </w:r>
      <w:r w:rsidRPr="00F54106">
        <w:rPr>
          <w:rFonts w:cstheme="minorHAnsi"/>
          <w:lang w:val="en-GB"/>
        </w:rPr>
        <w:t xml:space="preserve"> compete with other jurisdictions for cartel damages cases</w:t>
      </w:r>
      <w:r w:rsidR="00893F93" w:rsidRPr="00F54106">
        <w:rPr>
          <w:rFonts w:cstheme="minorHAnsi"/>
          <w:lang w:val="en-GB"/>
        </w:rPr>
        <w:t xml:space="preserve"> due to lucrative motives and the opportunity it provides to shape the law</w:t>
      </w:r>
      <w:r w:rsidRPr="00F54106">
        <w:rPr>
          <w:rFonts w:cstheme="minorHAnsi"/>
          <w:lang w:val="en-GB"/>
        </w:rPr>
        <w:t xml:space="preserve">. </w:t>
      </w:r>
      <w:r w:rsidR="00893F93" w:rsidRPr="00F54106">
        <w:rPr>
          <w:rFonts w:cstheme="minorHAnsi"/>
          <w:lang w:val="en-GB"/>
        </w:rPr>
        <w:t xml:space="preserve">This can </w:t>
      </w:r>
      <w:r w:rsidR="005D049C" w:rsidRPr="00F54106">
        <w:rPr>
          <w:rFonts w:cstheme="minorHAnsi"/>
          <w:lang w:val="en-GB"/>
        </w:rPr>
        <w:t>be seen in the creation of the NCC, with English as its default language, as a means to pull international disputes toward the Dutch forum</w:t>
      </w:r>
      <w:r w:rsidR="00093FA8" w:rsidRPr="00F54106">
        <w:rPr>
          <w:rFonts w:cstheme="minorHAnsi"/>
          <w:lang w:val="en-GB"/>
        </w:rPr>
        <w:t xml:space="preserve"> and strengthen it in comparison to other international courts</w:t>
      </w:r>
      <w:r w:rsidR="005D049C" w:rsidRPr="00F54106">
        <w:rPr>
          <w:rFonts w:cstheme="minorHAnsi"/>
          <w:lang w:val="en-GB"/>
        </w:rPr>
        <w:t>.</w:t>
      </w:r>
      <w:r w:rsidR="00093FA8" w:rsidRPr="00F54106">
        <w:rPr>
          <w:rStyle w:val="FootnoteReference"/>
          <w:rFonts w:cstheme="minorHAnsi"/>
          <w:lang w:val="en-GB"/>
        </w:rPr>
        <w:footnoteReference w:id="310"/>
      </w:r>
      <w:r w:rsidR="001679F9" w:rsidRPr="00F54106">
        <w:rPr>
          <w:rFonts w:cstheme="minorHAnsi"/>
          <w:lang w:val="en-GB"/>
        </w:rPr>
        <w:t xml:space="preserve"> </w:t>
      </w:r>
      <w:r w:rsidR="0061096D" w:rsidRPr="00F54106">
        <w:rPr>
          <w:rFonts w:cstheme="minorHAnsi"/>
          <w:lang w:val="en-GB"/>
        </w:rPr>
        <w:t xml:space="preserve">As a specialized court for international commercial disputes, the </w:t>
      </w:r>
      <w:r w:rsidR="00EF06E6" w:rsidRPr="00F54106">
        <w:rPr>
          <w:rFonts w:cstheme="minorHAnsi"/>
          <w:lang w:val="en-GB"/>
        </w:rPr>
        <w:t xml:space="preserve">NCC was mentioned to </w:t>
      </w:r>
      <w:r w:rsidR="0061096D" w:rsidRPr="00F54106">
        <w:rPr>
          <w:rFonts w:cstheme="minorHAnsi"/>
          <w:lang w:val="en-GB"/>
        </w:rPr>
        <w:t>increase the Netherlands’ attractiveness</w:t>
      </w:r>
      <w:r w:rsidR="00EF06E6" w:rsidRPr="00F54106">
        <w:rPr>
          <w:rFonts w:cstheme="minorHAnsi"/>
          <w:lang w:val="en-GB"/>
        </w:rPr>
        <w:t xml:space="preserve"> </w:t>
      </w:r>
      <w:r w:rsidR="0061096D" w:rsidRPr="00F54106">
        <w:rPr>
          <w:rFonts w:cstheme="minorHAnsi"/>
          <w:lang w:val="en-GB"/>
        </w:rPr>
        <w:t>for damages cases</w:t>
      </w:r>
      <w:r w:rsidR="00EF06E6" w:rsidRPr="00F54106">
        <w:rPr>
          <w:rFonts w:cstheme="minorHAnsi"/>
          <w:lang w:val="en-GB"/>
        </w:rPr>
        <w:t>.</w:t>
      </w:r>
      <w:r w:rsidR="0061096D" w:rsidRPr="00F54106">
        <w:rPr>
          <w:rStyle w:val="FootnoteReference"/>
          <w:rFonts w:cstheme="minorHAnsi"/>
          <w:lang w:val="en-GB"/>
        </w:rPr>
        <w:footnoteReference w:id="311"/>
      </w:r>
      <w:r w:rsidR="00EF06E6" w:rsidRPr="00F54106">
        <w:rPr>
          <w:rFonts w:cstheme="minorHAnsi"/>
          <w:lang w:val="en-GB"/>
        </w:rPr>
        <w:t xml:space="preserve"> </w:t>
      </w:r>
      <w:r w:rsidR="001679F9" w:rsidRPr="00F54106">
        <w:rPr>
          <w:rFonts w:cstheme="minorHAnsi"/>
          <w:lang w:val="en-GB"/>
        </w:rPr>
        <w:t>However</w:t>
      </w:r>
      <w:r w:rsidR="00777A7C" w:rsidRPr="00F54106">
        <w:rPr>
          <w:rFonts w:cstheme="minorHAnsi"/>
          <w:lang w:val="en-GB"/>
        </w:rPr>
        <w:t>,</w:t>
      </w:r>
      <w:r w:rsidR="001679F9" w:rsidRPr="00F54106">
        <w:rPr>
          <w:rFonts w:cstheme="minorHAnsi"/>
          <w:lang w:val="en-GB"/>
        </w:rPr>
        <w:t xml:space="preserve"> the NCC has proven to </w:t>
      </w:r>
      <w:r w:rsidR="00777A7C" w:rsidRPr="00F54106">
        <w:rPr>
          <w:rFonts w:cstheme="minorHAnsi"/>
          <w:lang w:val="en-GB"/>
        </w:rPr>
        <w:t>attract a</w:t>
      </w:r>
      <w:r w:rsidR="001679F9" w:rsidRPr="00F54106">
        <w:rPr>
          <w:rFonts w:cstheme="minorHAnsi"/>
          <w:lang w:val="en-GB"/>
        </w:rPr>
        <w:t xml:space="preserve"> low amount of cases</w:t>
      </w:r>
      <w:r w:rsidR="001B6023">
        <w:rPr>
          <w:rFonts w:cstheme="minorHAnsi"/>
          <w:lang w:val="en-GB"/>
        </w:rPr>
        <w:t xml:space="preserve"> </w:t>
      </w:r>
      <w:r w:rsidR="007861A2" w:rsidRPr="00F54106">
        <w:rPr>
          <w:rFonts w:cstheme="minorHAnsi"/>
          <w:lang w:val="en-GB"/>
        </w:rPr>
        <w:t xml:space="preserve">and is more costly, while </w:t>
      </w:r>
      <w:r w:rsidR="008532E0" w:rsidRPr="00F54106">
        <w:rPr>
          <w:rFonts w:cstheme="minorHAnsi"/>
          <w:lang w:val="en-GB"/>
        </w:rPr>
        <w:t>the additional requirement that</w:t>
      </w:r>
      <w:r w:rsidR="00777A7C" w:rsidRPr="00F54106">
        <w:rPr>
          <w:rFonts w:cstheme="minorHAnsi"/>
          <w:lang w:val="en-GB"/>
        </w:rPr>
        <w:t xml:space="preserve"> </w:t>
      </w:r>
      <w:r w:rsidR="00777A7C" w:rsidRPr="00F54106">
        <w:rPr>
          <w:rFonts w:cstheme="minorHAnsi"/>
          <w:lang w:val="en-GB"/>
        </w:rPr>
        <w:lastRenderedPageBreak/>
        <w:t>parties need give their consent</w:t>
      </w:r>
      <w:r w:rsidR="008532E0" w:rsidRPr="00F54106">
        <w:rPr>
          <w:rFonts w:cstheme="minorHAnsi"/>
          <w:lang w:val="en-GB"/>
        </w:rPr>
        <w:t xml:space="preserve"> </w:t>
      </w:r>
      <w:r w:rsidR="00777A7C" w:rsidRPr="00F54106">
        <w:rPr>
          <w:rFonts w:cstheme="minorHAnsi"/>
          <w:lang w:val="en-GB"/>
        </w:rPr>
        <w:t xml:space="preserve">before </w:t>
      </w:r>
      <w:r w:rsidR="00EF06E6" w:rsidRPr="00F54106">
        <w:rPr>
          <w:rFonts w:cstheme="minorHAnsi"/>
          <w:lang w:val="en-GB"/>
        </w:rPr>
        <w:t>a</w:t>
      </w:r>
      <w:r w:rsidR="00777A7C" w:rsidRPr="00F54106">
        <w:rPr>
          <w:rFonts w:cstheme="minorHAnsi"/>
          <w:lang w:val="en-GB"/>
        </w:rPr>
        <w:t xml:space="preserve"> court can assume jurisdiction</w:t>
      </w:r>
      <w:r w:rsidR="00EF06E6" w:rsidRPr="00F54106">
        <w:rPr>
          <w:rFonts w:cstheme="minorHAnsi"/>
          <w:lang w:val="en-GB"/>
        </w:rPr>
        <w:t xml:space="preserve"> </w:t>
      </w:r>
      <w:r w:rsidR="008532E0" w:rsidRPr="00F54106">
        <w:rPr>
          <w:rFonts w:cstheme="minorHAnsi"/>
          <w:lang w:val="en-GB"/>
        </w:rPr>
        <w:t xml:space="preserve">has made more recent literature </w:t>
      </w:r>
      <w:r w:rsidR="00F319F6" w:rsidRPr="00F54106">
        <w:rPr>
          <w:rFonts w:cstheme="minorHAnsi"/>
          <w:lang w:val="en-GB"/>
        </w:rPr>
        <w:t>believe</w:t>
      </w:r>
      <w:r w:rsidR="00777A7C" w:rsidRPr="00F54106">
        <w:rPr>
          <w:rFonts w:cstheme="minorHAnsi"/>
          <w:lang w:val="en-GB"/>
        </w:rPr>
        <w:t xml:space="preserve"> that </w:t>
      </w:r>
      <w:r w:rsidR="00EF06E6" w:rsidRPr="00F54106">
        <w:rPr>
          <w:rFonts w:cstheme="minorHAnsi"/>
          <w:lang w:val="en-GB"/>
        </w:rPr>
        <w:t xml:space="preserve">the NCC </w:t>
      </w:r>
      <w:r w:rsidR="00F319F6" w:rsidRPr="00F54106">
        <w:rPr>
          <w:rFonts w:cstheme="minorHAnsi"/>
          <w:lang w:val="en-GB"/>
        </w:rPr>
        <w:t>is un</w:t>
      </w:r>
      <w:r w:rsidR="00777A7C" w:rsidRPr="00F54106">
        <w:rPr>
          <w:rFonts w:cstheme="minorHAnsi"/>
          <w:lang w:val="en-GB"/>
        </w:rPr>
        <w:t xml:space="preserve">likely </w:t>
      </w:r>
      <w:r w:rsidR="00F319F6" w:rsidRPr="00F54106">
        <w:rPr>
          <w:rFonts w:cstheme="minorHAnsi"/>
          <w:lang w:val="en-GB"/>
        </w:rPr>
        <w:t xml:space="preserve">to </w:t>
      </w:r>
      <w:r w:rsidR="00777A7C" w:rsidRPr="00F54106">
        <w:rPr>
          <w:rFonts w:cstheme="minorHAnsi"/>
          <w:lang w:val="en-GB"/>
        </w:rPr>
        <w:t>contribute to the Netherlands’ appeal as a forum.</w:t>
      </w:r>
      <w:r w:rsidR="00777A7C" w:rsidRPr="00F54106">
        <w:rPr>
          <w:rStyle w:val="FootnoteReference"/>
          <w:rFonts w:cstheme="minorHAnsi"/>
          <w:lang w:val="en-GB"/>
        </w:rPr>
        <w:footnoteReference w:id="312"/>
      </w:r>
    </w:p>
    <w:p w14:paraId="2615A4E2" w14:textId="1CBB9168" w:rsidR="006050DD" w:rsidRPr="00F54106" w:rsidRDefault="0045482A" w:rsidP="00FC31D7">
      <w:pPr>
        <w:spacing w:line="276" w:lineRule="auto"/>
        <w:ind w:firstLine="720"/>
        <w:rPr>
          <w:rFonts w:cstheme="minorHAnsi"/>
          <w:lang w:val="en-GB"/>
        </w:rPr>
      </w:pPr>
      <w:r w:rsidRPr="00F54106">
        <w:rPr>
          <w:rFonts w:cstheme="minorHAnsi"/>
          <w:lang w:val="en-GB"/>
        </w:rPr>
        <w:t>Even though some courts have specialized over the years, t</w:t>
      </w:r>
      <w:r w:rsidR="00E74403" w:rsidRPr="00F54106">
        <w:rPr>
          <w:rFonts w:cstheme="minorHAnsi"/>
          <w:lang w:val="en-GB"/>
        </w:rPr>
        <w:t>here is</w:t>
      </w:r>
      <w:r w:rsidR="00EF06E6" w:rsidRPr="00F54106">
        <w:rPr>
          <w:rFonts w:cstheme="minorHAnsi"/>
          <w:lang w:val="en-GB"/>
        </w:rPr>
        <w:t xml:space="preserve"> </w:t>
      </w:r>
      <w:r w:rsidR="00E74403" w:rsidRPr="00F54106">
        <w:rPr>
          <w:rFonts w:cstheme="minorHAnsi"/>
          <w:lang w:val="en-GB"/>
        </w:rPr>
        <w:t>no specialized court structure in the Dutch courts</w:t>
      </w:r>
      <w:r w:rsidR="008A506B" w:rsidRPr="00F54106">
        <w:rPr>
          <w:rFonts w:cstheme="minorHAnsi"/>
          <w:lang w:val="en-GB"/>
        </w:rPr>
        <w:t xml:space="preserve"> and </w:t>
      </w:r>
      <w:r w:rsidR="007861A2" w:rsidRPr="00F54106">
        <w:rPr>
          <w:rFonts w:cstheme="minorHAnsi"/>
          <w:lang w:val="en-GB"/>
        </w:rPr>
        <w:t>their</w:t>
      </w:r>
      <w:r w:rsidR="008A506B" w:rsidRPr="00F54106">
        <w:rPr>
          <w:rFonts w:cstheme="minorHAnsi"/>
          <w:lang w:val="en-GB"/>
        </w:rPr>
        <w:t xml:space="preserve"> experience may vary per court as each civil court is eligible to handle an antitrust damages claim</w:t>
      </w:r>
      <w:r w:rsidR="00E74403" w:rsidRPr="00F54106">
        <w:rPr>
          <w:rFonts w:cstheme="minorHAnsi"/>
          <w:lang w:val="en-GB"/>
        </w:rPr>
        <w:t>.</w:t>
      </w:r>
      <w:r w:rsidR="00EF06E6" w:rsidRPr="00F54106">
        <w:rPr>
          <w:rStyle w:val="FootnoteReference"/>
          <w:rFonts w:cstheme="minorHAnsi"/>
          <w:lang w:val="en-GB"/>
        </w:rPr>
        <w:footnoteReference w:id="313"/>
      </w:r>
      <w:r w:rsidR="00E74403" w:rsidRPr="00F54106">
        <w:rPr>
          <w:rFonts w:cstheme="minorHAnsi"/>
          <w:lang w:val="en-GB"/>
        </w:rPr>
        <w:t xml:space="preserve"> </w:t>
      </w:r>
      <w:r w:rsidR="00721AF6" w:rsidRPr="00F54106">
        <w:rPr>
          <w:rFonts w:cstheme="minorHAnsi"/>
          <w:lang w:val="en-GB"/>
        </w:rPr>
        <w:t>Nevertheless, the literature mentions that there seems to be “</w:t>
      </w:r>
      <w:r w:rsidR="00721AF6" w:rsidRPr="00F54106">
        <w:rPr>
          <w:rFonts w:cstheme="minorHAnsi"/>
          <w:shd w:val="clear" w:color="auto" w:fill="FFFFFF"/>
          <w:lang w:val="en-GB"/>
        </w:rPr>
        <w:t>an increasing awareness amongst the Dutch judiciary that private antitrust litigation may raise issues that require specific expertise and experience that not all judges can reasonably be expected to</w:t>
      </w:r>
      <w:r w:rsidRPr="00F54106">
        <w:rPr>
          <w:rFonts w:cstheme="minorHAnsi"/>
          <w:shd w:val="clear" w:color="auto" w:fill="FFFFFF"/>
          <w:lang w:val="en-GB"/>
        </w:rPr>
        <w:t xml:space="preserve"> </w:t>
      </w:r>
      <w:r w:rsidR="00721AF6" w:rsidRPr="00F54106">
        <w:rPr>
          <w:rFonts w:cstheme="minorHAnsi"/>
          <w:shd w:val="clear" w:color="auto" w:fill="FFFFFF"/>
          <w:lang w:val="en-GB"/>
        </w:rPr>
        <w:t>possess”</w:t>
      </w:r>
      <w:r w:rsidR="00721AF6" w:rsidRPr="00F54106">
        <w:rPr>
          <w:rFonts w:cstheme="minorHAnsi"/>
          <w:color w:val="333333"/>
          <w:shd w:val="clear" w:color="auto" w:fill="FFFFFF"/>
          <w:lang w:val="en-GB"/>
        </w:rPr>
        <w:t>.</w:t>
      </w:r>
      <w:r w:rsidR="00721AF6" w:rsidRPr="00F54106">
        <w:rPr>
          <w:rStyle w:val="FootnoteReference"/>
          <w:rFonts w:cstheme="minorHAnsi"/>
          <w:lang w:val="en-GB"/>
        </w:rPr>
        <w:footnoteReference w:id="314"/>
      </w:r>
      <w:r w:rsidRPr="00F54106">
        <w:rPr>
          <w:rFonts w:cstheme="minorHAnsi"/>
          <w:lang w:val="en-GB"/>
        </w:rPr>
        <w:t xml:space="preserve"> An example for this was found in </w:t>
      </w:r>
      <w:r w:rsidR="008A506B" w:rsidRPr="00F54106">
        <w:rPr>
          <w:rFonts w:cstheme="minorHAnsi"/>
          <w:lang w:val="en-GB"/>
        </w:rPr>
        <w:t>the invitation of a veteran</w:t>
      </w:r>
      <w:r w:rsidRPr="00F54106">
        <w:rPr>
          <w:rFonts w:cstheme="minorHAnsi"/>
          <w:lang w:val="en-GB"/>
        </w:rPr>
        <w:t xml:space="preserve"> Amsterdam judge</w:t>
      </w:r>
      <w:r w:rsidR="008A506B" w:rsidRPr="00F54106">
        <w:rPr>
          <w:rFonts w:cstheme="minorHAnsi"/>
          <w:lang w:val="en-GB"/>
        </w:rPr>
        <w:t xml:space="preserve"> to join a panel of another </w:t>
      </w:r>
      <w:r w:rsidR="00B14546" w:rsidRPr="00F54106">
        <w:rPr>
          <w:rFonts w:cstheme="minorHAnsi"/>
          <w:lang w:val="en-GB"/>
        </w:rPr>
        <w:t xml:space="preserve">Dutch </w:t>
      </w:r>
      <w:r w:rsidR="008A506B" w:rsidRPr="00F54106">
        <w:rPr>
          <w:rFonts w:cstheme="minorHAnsi"/>
          <w:lang w:val="en-GB"/>
        </w:rPr>
        <w:t>court.</w:t>
      </w:r>
      <w:r w:rsidR="008A506B" w:rsidRPr="00F54106">
        <w:rPr>
          <w:rStyle w:val="FootnoteReference"/>
          <w:rFonts w:cstheme="minorHAnsi"/>
          <w:lang w:val="en-GB"/>
        </w:rPr>
        <w:footnoteReference w:id="315"/>
      </w:r>
    </w:p>
    <w:p w14:paraId="0AA636DD" w14:textId="77777777" w:rsidR="00CA3C70" w:rsidRPr="00F54106" w:rsidRDefault="00CA3C70" w:rsidP="00FC31D7">
      <w:pPr>
        <w:spacing w:line="276" w:lineRule="auto"/>
        <w:rPr>
          <w:rFonts w:cstheme="minorHAnsi"/>
          <w:lang w:val="en-GB"/>
        </w:rPr>
      </w:pPr>
    </w:p>
    <w:p w14:paraId="3788662C" w14:textId="5BD4B590" w:rsidR="00B112C6" w:rsidRPr="00F54106" w:rsidRDefault="001F001E" w:rsidP="001F001E">
      <w:pPr>
        <w:pStyle w:val="Heading3"/>
        <w:rPr>
          <w:lang w:val="en-GB"/>
        </w:rPr>
      </w:pPr>
      <w:bookmarkStart w:id="139" w:name="_Toc107610237"/>
      <w:r w:rsidRPr="00F54106">
        <w:rPr>
          <w:lang w:val="en-GB"/>
        </w:rPr>
        <w:t>2.3</w:t>
      </w:r>
      <w:r w:rsidR="005144D0" w:rsidRPr="00F54106">
        <w:rPr>
          <w:lang w:val="en-GB"/>
        </w:rPr>
        <w:t>.</w:t>
      </w:r>
      <w:r w:rsidR="00080DC8" w:rsidRPr="00F54106">
        <w:rPr>
          <w:lang w:val="en-GB"/>
        </w:rPr>
        <w:t>2</w:t>
      </w:r>
      <w:r w:rsidR="005144D0" w:rsidRPr="00F54106">
        <w:rPr>
          <w:lang w:val="en-GB"/>
        </w:rPr>
        <w:t xml:space="preserve"> </w:t>
      </w:r>
      <w:r w:rsidR="00B6694F" w:rsidRPr="00F54106">
        <w:rPr>
          <w:lang w:val="en-GB"/>
        </w:rPr>
        <w:t>The c</w:t>
      </w:r>
      <w:r w:rsidR="005144D0" w:rsidRPr="00F54106">
        <w:rPr>
          <w:lang w:val="en-GB"/>
        </w:rPr>
        <w:t>osts</w:t>
      </w:r>
      <w:r w:rsidR="005A5619" w:rsidRPr="00F54106">
        <w:rPr>
          <w:lang w:val="en-GB"/>
        </w:rPr>
        <w:t xml:space="preserve"> of litigation</w:t>
      </w:r>
      <w:r w:rsidR="00B6694F" w:rsidRPr="00F54106">
        <w:rPr>
          <w:lang w:val="en-GB"/>
        </w:rPr>
        <w:t xml:space="preserve"> in the Netherlands</w:t>
      </w:r>
      <w:bookmarkEnd w:id="139"/>
    </w:p>
    <w:p w14:paraId="23B9FAF2" w14:textId="0B101455" w:rsidR="000C68E5" w:rsidRPr="00F54106" w:rsidRDefault="00AC2FED" w:rsidP="00FC31D7">
      <w:pPr>
        <w:spacing w:line="276" w:lineRule="auto"/>
        <w:rPr>
          <w:rFonts w:cstheme="minorHAnsi"/>
          <w:lang w:val="en-GB"/>
        </w:rPr>
      </w:pPr>
      <w:r w:rsidRPr="00F54106">
        <w:rPr>
          <w:rFonts w:cstheme="minorHAnsi"/>
          <w:lang w:val="en-GB"/>
        </w:rPr>
        <w:t>T</w:t>
      </w:r>
      <w:r w:rsidR="000C68E5" w:rsidRPr="00F54106">
        <w:rPr>
          <w:rFonts w:cstheme="minorHAnsi"/>
          <w:lang w:val="en-GB"/>
        </w:rPr>
        <w:t>here are indications</w:t>
      </w:r>
      <w:r w:rsidRPr="00F54106">
        <w:rPr>
          <w:rFonts w:cstheme="minorHAnsi"/>
          <w:lang w:val="en-GB"/>
        </w:rPr>
        <w:t xml:space="preserve"> in the literature</w:t>
      </w:r>
      <w:r w:rsidR="000C68E5" w:rsidRPr="00F54106">
        <w:rPr>
          <w:rFonts w:cstheme="minorHAnsi"/>
          <w:lang w:val="en-GB"/>
        </w:rPr>
        <w:t xml:space="preserve"> that cost elements have attracted claimants to the Netherlands. It is mentioned that the system for fixed compensation of legal fees is an area in which the Netherlands distinguishes itself compared to the UK and Germany and helps limit the financial risks of the proceedings.</w:t>
      </w:r>
      <w:r w:rsidR="000C68E5" w:rsidRPr="00F54106">
        <w:rPr>
          <w:rStyle w:val="FootnoteReference"/>
          <w:rFonts w:cstheme="minorHAnsi"/>
          <w:lang w:val="en-GB"/>
        </w:rPr>
        <w:footnoteReference w:id="316"/>
      </w:r>
      <w:r w:rsidR="000C68E5" w:rsidRPr="00F54106">
        <w:rPr>
          <w:rFonts w:cstheme="minorHAnsi"/>
          <w:lang w:val="en-GB"/>
        </w:rPr>
        <w:t xml:space="preserve"> Furthermore, both the costs of proceedings and adverse cost order</w:t>
      </w:r>
      <w:r w:rsidR="00087202" w:rsidRPr="00F54106">
        <w:rPr>
          <w:rFonts w:cstheme="minorHAnsi"/>
          <w:lang w:val="en-GB"/>
        </w:rPr>
        <w:t>s</w:t>
      </w:r>
      <w:r w:rsidR="000C68E5" w:rsidRPr="00F54106">
        <w:rPr>
          <w:rFonts w:cstheme="minorHAnsi"/>
          <w:lang w:val="en-GB"/>
        </w:rPr>
        <w:t xml:space="preserve"> are based on a court-approved scale of costs and are considered low. It is argued that the costs are low because, even when a party requests a declaration of non-infringement or non-liability, the procedural cost risk will not bear any relation to the actual costs of the winning party. As a result, both claimants and defendants may benefit from it.</w:t>
      </w:r>
      <w:r w:rsidR="000C68E5" w:rsidRPr="00F54106">
        <w:rPr>
          <w:rStyle w:val="FootnoteReference"/>
          <w:rFonts w:cstheme="minorHAnsi"/>
          <w:lang w:val="en-GB"/>
        </w:rPr>
        <w:footnoteReference w:id="317"/>
      </w:r>
      <w:r w:rsidR="00CA34E7" w:rsidRPr="00F54106">
        <w:rPr>
          <w:rFonts w:cstheme="minorHAnsi"/>
          <w:lang w:val="en-GB"/>
        </w:rPr>
        <w:t xml:space="preserve"> </w:t>
      </w:r>
      <w:r w:rsidRPr="00F54106">
        <w:rPr>
          <w:rFonts w:cstheme="minorHAnsi"/>
          <w:lang w:val="en-GB"/>
        </w:rPr>
        <w:t>An example can be found in n</w:t>
      </w:r>
      <w:r w:rsidR="00CA34E7" w:rsidRPr="00F54106">
        <w:rPr>
          <w:rFonts w:cstheme="minorHAnsi"/>
          <w:lang w:val="en-GB"/>
        </w:rPr>
        <w:t>ominal costs orders in favour of defendants</w:t>
      </w:r>
      <w:r w:rsidRPr="00F54106">
        <w:rPr>
          <w:rFonts w:cstheme="minorHAnsi"/>
          <w:lang w:val="en-GB"/>
        </w:rPr>
        <w:t xml:space="preserve">, which </w:t>
      </w:r>
      <w:r w:rsidR="00CA34E7" w:rsidRPr="00F54106">
        <w:rPr>
          <w:rFonts w:cstheme="minorHAnsi"/>
          <w:lang w:val="en-GB"/>
        </w:rPr>
        <w:t>are generally named to be less than 20,000 and almost never higher than 50,000 euros.</w:t>
      </w:r>
      <w:r w:rsidR="00CA34E7" w:rsidRPr="00F54106">
        <w:rPr>
          <w:rStyle w:val="FootnoteReference"/>
          <w:rFonts w:cstheme="minorHAnsi"/>
          <w:lang w:val="en-GB"/>
        </w:rPr>
        <w:footnoteReference w:id="318"/>
      </w:r>
    </w:p>
    <w:p w14:paraId="12503964" w14:textId="64798455" w:rsidR="00F667B2" w:rsidRPr="00F54106" w:rsidRDefault="004702B2" w:rsidP="00FC31D7">
      <w:pPr>
        <w:spacing w:line="276" w:lineRule="auto"/>
        <w:ind w:firstLine="720"/>
        <w:rPr>
          <w:rFonts w:cstheme="minorHAnsi"/>
          <w:lang w:val="en-GB"/>
        </w:rPr>
      </w:pPr>
      <w:r w:rsidRPr="00F54106">
        <w:rPr>
          <w:rFonts w:cstheme="minorHAnsi"/>
          <w:lang w:val="en-GB"/>
        </w:rPr>
        <w:t xml:space="preserve">The general rule for costs is that the </w:t>
      </w:r>
      <w:r w:rsidR="00211AB2" w:rsidRPr="00F54106">
        <w:rPr>
          <w:rFonts w:cstheme="minorHAnsi"/>
          <w:lang w:val="en-GB"/>
        </w:rPr>
        <w:t>court will require the losing party to pay the legal costs incurred by the winning party</w:t>
      </w:r>
      <w:r w:rsidR="001A42FC" w:rsidRPr="00F54106">
        <w:rPr>
          <w:rFonts w:cstheme="minorHAnsi"/>
          <w:lang w:val="en-GB"/>
        </w:rPr>
        <w:t>.</w:t>
      </w:r>
      <w:r w:rsidR="001A42FC" w:rsidRPr="00F54106">
        <w:rPr>
          <w:rStyle w:val="FootnoteReference"/>
          <w:rFonts w:cstheme="minorHAnsi"/>
          <w:lang w:val="en-GB"/>
        </w:rPr>
        <w:footnoteReference w:id="319"/>
      </w:r>
      <w:r w:rsidR="00FB48DC" w:rsidRPr="00F54106">
        <w:rPr>
          <w:rFonts w:cstheme="minorHAnsi"/>
          <w:lang w:val="en-GB"/>
        </w:rPr>
        <w:t xml:space="preserve"> </w:t>
      </w:r>
      <w:r w:rsidR="001A42FC" w:rsidRPr="00F54106">
        <w:rPr>
          <w:rFonts w:cstheme="minorHAnsi"/>
          <w:lang w:val="en-GB"/>
        </w:rPr>
        <w:t xml:space="preserve">However, </w:t>
      </w:r>
      <w:r w:rsidR="00E32306" w:rsidRPr="00F54106">
        <w:rPr>
          <w:rFonts w:cstheme="minorHAnsi"/>
          <w:lang w:val="en-GB"/>
        </w:rPr>
        <w:t>the literature argues that this is actually closer to the “each party bears its own costs” rule rather than the “loser pays” rule</w:t>
      </w:r>
      <w:r w:rsidR="000D521F" w:rsidRPr="00F54106">
        <w:rPr>
          <w:rFonts w:cstheme="minorHAnsi"/>
          <w:lang w:val="en-GB"/>
        </w:rPr>
        <w:t>.</w:t>
      </w:r>
      <w:r w:rsidR="000D521F" w:rsidRPr="00F54106">
        <w:rPr>
          <w:rStyle w:val="FootnoteReference"/>
          <w:rFonts w:cstheme="minorHAnsi"/>
          <w:lang w:val="en-GB"/>
        </w:rPr>
        <w:footnoteReference w:id="320"/>
      </w:r>
      <w:r w:rsidR="00E32306" w:rsidRPr="00F54106">
        <w:rPr>
          <w:rFonts w:cstheme="minorHAnsi"/>
          <w:lang w:val="en-GB"/>
        </w:rPr>
        <w:t xml:space="preserve"> </w:t>
      </w:r>
      <w:r w:rsidR="007203AA" w:rsidRPr="00F54106">
        <w:rPr>
          <w:rFonts w:cstheme="minorHAnsi"/>
          <w:lang w:val="en-GB"/>
        </w:rPr>
        <w:t>Attorney</w:t>
      </w:r>
      <w:r w:rsidR="000D521F" w:rsidRPr="00F54106">
        <w:rPr>
          <w:rFonts w:cstheme="minorHAnsi"/>
          <w:lang w:val="en-GB"/>
        </w:rPr>
        <w:t xml:space="preserve"> fees and economic </w:t>
      </w:r>
      <w:r w:rsidR="000D521F" w:rsidRPr="00F54106">
        <w:rPr>
          <w:rFonts w:cstheme="minorHAnsi"/>
          <w:lang w:val="en-GB"/>
        </w:rPr>
        <w:lastRenderedPageBreak/>
        <w:t xml:space="preserve">consultancy fees are </w:t>
      </w:r>
      <w:r w:rsidR="007203AA" w:rsidRPr="00F54106">
        <w:rPr>
          <w:rFonts w:cstheme="minorHAnsi"/>
          <w:lang w:val="en-GB"/>
        </w:rPr>
        <w:t>considered</w:t>
      </w:r>
      <w:r w:rsidR="000D521F" w:rsidRPr="00F54106">
        <w:rPr>
          <w:rFonts w:cstheme="minorHAnsi"/>
          <w:lang w:val="en-GB"/>
        </w:rPr>
        <w:t xml:space="preserve"> the most important costs</w:t>
      </w:r>
      <w:r w:rsidR="007203AA" w:rsidRPr="00F54106">
        <w:rPr>
          <w:rFonts w:cstheme="minorHAnsi"/>
          <w:lang w:val="en-GB"/>
        </w:rPr>
        <w:t xml:space="preserve"> in this regard</w:t>
      </w:r>
      <w:r w:rsidR="000D521F" w:rsidRPr="00F54106">
        <w:rPr>
          <w:rFonts w:cstheme="minorHAnsi"/>
          <w:lang w:val="en-GB"/>
        </w:rPr>
        <w:t>.</w:t>
      </w:r>
      <w:r w:rsidR="000D521F" w:rsidRPr="00F54106">
        <w:rPr>
          <w:rStyle w:val="FootnoteReference"/>
          <w:rFonts w:cstheme="minorHAnsi"/>
          <w:lang w:val="en-GB"/>
        </w:rPr>
        <w:footnoteReference w:id="321"/>
      </w:r>
      <w:r w:rsidR="000D521F" w:rsidRPr="00F54106">
        <w:rPr>
          <w:rFonts w:cstheme="minorHAnsi"/>
          <w:lang w:val="en-GB"/>
        </w:rPr>
        <w:t xml:space="preserve"> </w:t>
      </w:r>
      <w:r w:rsidR="00E32306" w:rsidRPr="00F54106">
        <w:rPr>
          <w:rFonts w:cstheme="minorHAnsi"/>
          <w:lang w:val="en-GB"/>
        </w:rPr>
        <w:t>T</w:t>
      </w:r>
      <w:r w:rsidR="001A42FC" w:rsidRPr="00F54106">
        <w:rPr>
          <w:rFonts w:cstheme="minorHAnsi"/>
          <w:lang w:val="en-GB"/>
        </w:rPr>
        <w:t>he</w:t>
      </w:r>
      <w:r w:rsidR="00FB48DC" w:rsidRPr="00F54106">
        <w:rPr>
          <w:rFonts w:cstheme="minorHAnsi"/>
          <w:lang w:val="en-GB"/>
        </w:rPr>
        <w:t xml:space="preserve"> recoverable costs</w:t>
      </w:r>
      <w:r w:rsidR="001A42FC" w:rsidRPr="00F54106">
        <w:rPr>
          <w:rFonts w:cstheme="minorHAnsi"/>
          <w:lang w:val="en-GB"/>
        </w:rPr>
        <w:t xml:space="preserve"> for attorneys</w:t>
      </w:r>
      <w:r w:rsidR="00FB48DC" w:rsidRPr="00F54106">
        <w:rPr>
          <w:rFonts w:cstheme="minorHAnsi"/>
          <w:lang w:val="en-GB"/>
        </w:rPr>
        <w:t xml:space="preserve"> are fixed</w:t>
      </w:r>
      <w:r w:rsidR="001A42FC" w:rsidRPr="00F54106">
        <w:rPr>
          <w:rFonts w:cstheme="minorHAnsi"/>
          <w:lang w:val="en-GB"/>
        </w:rPr>
        <w:t xml:space="preserve"> on the basis of a point system</w:t>
      </w:r>
      <w:r w:rsidR="00087202" w:rsidRPr="00F54106">
        <w:rPr>
          <w:rFonts w:cstheme="minorHAnsi"/>
          <w:lang w:val="en-GB"/>
        </w:rPr>
        <w:t>.</w:t>
      </w:r>
      <w:r w:rsidR="00E32306" w:rsidRPr="00F54106">
        <w:rPr>
          <w:rFonts w:cstheme="minorHAnsi"/>
          <w:lang w:val="en-GB"/>
        </w:rPr>
        <w:t xml:space="preserve"> </w:t>
      </w:r>
      <w:r w:rsidR="00087202" w:rsidRPr="00F54106">
        <w:rPr>
          <w:rFonts w:cstheme="minorHAnsi"/>
          <w:lang w:val="en-GB"/>
        </w:rPr>
        <w:t>T</w:t>
      </w:r>
      <w:r w:rsidR="001A42FC" w:rsidRPr="00F54106">
        <w:rPr>
          <w:rFonts w:cstheme="minorHAnsi"/>
          <w:lang w:val="en-GB"/>
        </w:rPr>
        <w:t xml:space="preserve">he amount of points awarded depends on the procedural steps undertaken by the court and </w:t>
      </w:r>
      <w:r w:rsidR="000D521F" w:rsidRPr="00F54106">
        <w:rPr>
          <w:rFonts w:cstheme="minorHAnsi"/>
          <w:lang w:val="en-GB"/>
        </w:rPr>
        <w:t>are</w:t>
      </w:r>
      <w:r w:rsidR="001A42FC" w:rsidRPr="00F54106">
        <w:rPr>
          <w:rFonts w:cstheme="minorHAnsi"/>
          <w:lang w:val="en-GB"/>
        </w:rPr>
        <w:t xml:space="preserve"> then multiplied by the fixed </w:t>
      </w:r>
      <w:proofErr w:type="spellStart"/>
      <w:r w:rsidR="001A42FC" w:rsidRPr="00F54106">
        <w:rPr>
          <w:rFonts w:cstheme="minorHAnsi"/>
          <w:i/>
          <w:iCs/>
          <w:lang w:val="en-GB"/>
        </w:rPr>
        <w:t>liquidatietarief</w:t>
      </w:r>
      <w:proofErr w:type="spellEnd"/>
      <w:r w:rsidR="001A42FC" w:rsidRPr="00F54106">
        <w:rPr>
          <w:rFonts w:cstheme="minorHAnsi"/>
          <w:lang w:val="en-GB"/>
        </w:rPr>
        <w:t xml:space="preserve">, </w:t>
      </w:r>
      <w:r w:rsidR="000C68E5" w:rsidRPr="00F54106">
        <w:rPr>
          <w:rFonts w:cstheme="minorHAnsi"/>
          <w:lang w:val="en-GB"/>
        </w:rPr>
        <w:t>which</w:t>
      </w:r>
      <w:r w:rsidR="00CA3C70" w:rsidRPr="00F54106">
        <w:rPr>
          <w:rFonts w:cstheme="minorHAnsi"/>
          <w:lang w:val="en-GB"/>
        </w:rPr>
        <w:t xml:space="preserve"> </w:t>
      </w:r>
      <w:r w:rsidR="000C68E5" w:rsidRPr="00F54106">
        <w:rPr>
          <w:rFonts w:cstheme="minorHAnsi"/>
          <w:lang w:val="en-GB"/>
        </w:rPr>
        <w:t>scale</w:t>
      </w:r>
      <w:r w:rsidR="00CA3C70" w:rsidRPr="00F54106">
        <w:rPr>
          <w:rFonts w:cstheme="minorHAnsi"/>
          <w:lang w:val="en-GB"/>
        </w:rPr>
        <w:t>s</w:t>
      </w:r>
      <w:r w:rsidR="000C68E5" w:rsidRPr="00F54106">
        <w:rPr>
          <w:rFonts w:cstheme="minorHAnsi"/>
          <w:lang w:val="en-GB"/>
        </w:rPr>
        <w:t xml:space="preserve"> for larger claimants</w:t>
      </w:r>
      <w:r w:rsidR="00087202" w:rsidRPr="00F54106">
        <w:rPr>
          <w:rFonts w:cstheme="minorHAnsi"/>
          <w:lang w:val="en-GB"/>
        </w:rPr>
        <w:t>,</w:t>
      </w:r>
      <w:r w:rsidR="000C68E5" w:rsidRPr="00F54106">
        <w:rPr>
          <w:rFonts w:cstheme="minorHAnsi"/>
          <w:lang w:val="en-GB"/>
        </w:rPr>
        <w:t xml:space="preserve"> but is said to be very modest in amount.</w:t>
      </w:r>
      <w:r w:rsidR="001A42FC" w:rsidRPr="00F54106">
        <w:rPr>
          <w:rStyle w:val="FootnoteReference"/>
          <w:rFonts w:cstheme="minorHAnsi"/>
          <w:lang w:val="en-GB"/>
        </w:rPr>
        <w:footnoteReference w:id="322"/>
      </w:r>
      <w:r w:rsidR="000C68E5" w:rsidRPr="00F54106">
        <w:rPr>
          <w:rFonts w:cstheme="minorHAnsi"/>
          <w:lang w:val="en-GB"/>
        </w:rPr>
        <w:t xml:space="preserve"> Therefore, the actual amount that </w:t>
      </w:r>
      <w:r w:rsidR="00763EB6" w:rsidRPr="00F54106">
        <w:rPr>
          <w:rFonts w:cstheme="minorHAnsi"/>
          <w:lang w:val="en-GB"/>
        </w:rPr>
        <w:t>can be</w:t>
      </w:r>
      <w:r w:rsidR="000C68E5" w:rsidRPr="00F54106">
        <w:rPr>
          <w:rFonts w:cstheme="minorHAnsi"/>
          <w:lang w:val="en-GB"/>
        </w:rPr>
        <w:t xml:space="preserve"> recovered only amounts for a small portion </w:t>
      </w:r>
      <w:r w:rsidR="00763EB6" w:rsidRPr="00F54106">
        <w:rPr>
          <w:rFonts w:cstheme="minorHAnsi"/>
          <w:lang w:val="en-GB"/>
        </w:rPr>
        <w:t>of the</w:t>
      </w:r>
      <w:r w:rsidR="000C68E5" w:rsidRPr="00F54106">
        <w:rPr>
          <w:rFonts w:cstheme="minorHAnsi"/>
          <w:lang w:val="en-GB"/>
        </w:rPr>
        <w:t xml:space="preserve"> </w:t>
      </w:r>
      <w:r w:rsidR="00763EB6" w:rsidRPr="00F54106">
        <w:rPr>
          <w:rFonts w:cstheme="minorHAnsi"/>
          <w:lang w:val="en-GB"/>
        </w:rPr>
        <w:t>incurred costs</w:t>
      </w:r>
      <w:r w:rsidR="005816BE" w:rsidRPr="00F54106">
        <w:rPr>
          <w:rFonts w:cstheme="minorHAnsi"/>
          <w:lang w:val="en-GB"/>
        </w:rPr>
        <w:t xml:space="preserve">. Furthermore, Article 6:96(2)(b) of the DCC stipulates that costs for economic experts may also be recovered if they can </w:t>
      </w:r>
      <w:r w:rsidR="00B14546" w:rsidRPr="00F54106">
        <w:rPr>
          <w:rFonts w:cstheme="minorHAnsi"/>
          <w:lang w:val="en-GB"/>
        </w:rPr>
        <w:t xml:space="preserve">be </w:t>
      </w:r>
      <w:r w:rsidR="005816BE" w:rsidRPr="00F54106">
        <w:rPr>
          <w:rFonts w:cstheme="minorHAnsi"/>
          <w:lang w:val="en-GB"/>
        </w:rPr>
        <w:t>attributed as “reasonable costs for the determination of the damage and liability”.</w:t>
      </w:r>
      <w:r w:rsidR="005816BE" w:rsidRPr="00F54106">
        <w:rPr>
          <w:rStyle w:val="FootnoteReference"/>
          <w:rFonts w:cstheme="minorHAnsi"/>
          <w:lang w:val="en-GB"/>
        </w:rPr>
        <w:footnoteReference w:id="323"/>
      </w:r>
      <w:r w:rsidR="00EF130E" w:rsidRPr="00F54106">
        <w:rPr>
          <w:rFonts w:cstheme="minorHAnsi"/>
          <w:lang w:val="en-GB"/>
        </w:rPr>
        <w:t xml:space="preserve"> </w:t>
      </w:r>
      <w:r w:rsidR="00763EB6" w:rsidRPr="00F54106">
        <w:rPr>
          <w:rFonts w:cstheme="minorHAnsi"/>
          <w:lang w:val="en-GB"/>
        </w:rPr>
        <w:t>W</w:t>
      </w:r>
      <w:r w:rsidR="00EF130E" w:rsidRPr="00F54106">
        <w:rPr>
          <w:rFonts w:cstheme="minorHAnsi"/>
          <w:lang w:val="en-GB"/>
        </w:rPr>
        <w:t>inning claimants may therefore be reimbursed for their economic consultancy fees</w:t>
      </w:r>
      <w:r w:rsidR="00087202" w:rsidRPr="00F54106">
        <w:rPr>
          <w:rFonts w:cstheme="minorHAnsi"/>
          <w:lang w:val="en-GB"/>
        </w:rPr>
        <w:t xml:space="preserve">. However, </w:t>
      </w:r>
      <w:r w:rsidR="00EF130E" w:rsidRPr="00F54106">
        <w:rPr>
          <w:rFonts w:cstheme="minorHAnsi"/>
          <w:lang w:val="en-GB"/>
        </w:rPr>
        <w:t xml:space="preserve">defendants on the other hand will not be able to do so as their economic consulting is based on the </w:t>
      </w:r>
      <w:r w:rsidR="00E32306" w:rsidRPr="00F54106">
        <w:rPr>
          <w:rFonts w:cstheme="minorHAnsi"/>
          <w:lang w:val="en-GB"/>
        </w:rPr>
        <w:t>attempt</w:t>
      </w:r>
      <w:r w:rsidR="00EF130E" w:rsidRPr="00F54106">
        <w:rPr>
          <w:rFonts w:cstheme="minorHAnsi"/>
          <w:lang w:val="en-GB"/>
        </w:rPr>
        <w:t xml:space="preserve"> to </w:t>
      </w:r>
      <w:r w:rsidR="007203AA" w:rsidRPr="00F54106">
        <w:rPr>
          <w:rFonts w:cstheme="minorHAnsi"/>
          <w:lang w:val="en-GB"/>
        </w:rPr>
        <w:t>contest the damages rather than determine</w:t>
      </w:r>
      <w:r w:rsidR="00EF130E" w:rsidRPr="00F54106">
        <w:rPr>
          <w:rFonts w:cstheme="minorHAnsi"/>
          <w:lang w:val="en-GB"/>
        </w:rPr>
        <w:t xml:space="preserve"> </w:t>
      </w:r>
      <w:r w:rsidR="007203AA" w:rsidRPr="00F54106">
        <w:rPr>
          <w:rFonts w:cstheme="minorHAnsi"/>
          <w:lang w:val="en-GB"/>
        </w:rPr>
        <w:t>them</w:t>
      </w:r>
      <w:r w:rsidR="00EF130E" w:rsidRPr="00F54106">
        <w:rPr>
          <w:rFonts w:cstheme="minorHAnsi"/>
          <w:lang w:val="en-GB"/>
        </w:rPr>
        <w:t>.</w:t>
      </w:r>
      <w:r w:rsidR="00E32306" w:rsidRPr="00F54106">
        <w:rPr>
          <w:rStyle w:val="FootnoteReference"/>
          <w:rFonts w:cstheme="minorHAnsi"/>
          <w:lang w:val="en-GB"/>
        </w:rPr>
        <w:footnoteReference w:id="324"/>
      </w:r>
    </w:p>
    <w:p w14:paraId="3351587B" w14:textId="77777777" w:rsidR="00F667B2" w:rsidRPr="00F54106" w:rsidRDefault="00F667B2" w:rsidP="00FC31D7">
      <w:pPr>
        <w:spacing w:line="276" w:lineRule="auto"/>
        <w:rPr>
          <w:rFonts w:cstheme="minorHAnsi"/>
          <w:lang w:val="en-GB"/>
        </w:rPr>
      </w:pPr>
    </w:p>
    <w:p w14:paraId="09A0940B" w14:textId="75343EA8" w:rsidR="00B112C6" w:rsidRPr="00F54106" w:rsidRDefault="001F001E" w:rsidP="001F001E">
      <w:pPr>
        <w:pStyle w:val="Heading3"/>
        <w:rPr>
          <w:lang w:val="en-GB"/>
        </w:rPr>
      </w:pPr>
      <w:bookmarkStart w:id="143" w:name="_Toc107610238"/>
      <w:r w:rsidRPr="00F54106">
        <w:rPr>
          <w:lang w:val="en-GB"/>
        </w:rPr>
        <w:t>2.3</w:t>
      </w:r>
      <w:r w:rsidR="00B112C6" w:rsidRPr="00F54106">
        <w:rPr>
          <w:lang w:val="en-GB"/>
        </w:rPr>
        <w:t>.</w:t>
      </w:r>
      <w:r w:rsidR="00080DC8" w:rsidRPr="00F54106">
        <w:rPr>
          <w:lang w:val="en-GB"/>
        </w:rPr>
        <w:t>3</w:t>
      </w:r>
      <w:r w:rsidR="00B112C6" w:rsidRPr="00F54106">
        <w:rPr>
          <w:lang w:val="en-GB"/>
        </w:rPr>
        <w:t xml:space="preserve"> </w:t>
      </w:r>
      <w:r w:rsidR="00AE4EAE" w:rsidRPr="00F54106">
        <w:rPr>
          <w:lang w:val="en-GB"/>
        </w:rPr>
        <w:t>The</w:t>
      </w:r>
      <w:r w:rsidR="00B6694F" w:rsidRPr="00F54106">
        <w:rPr>
          <w:lang w:val="en-GB"/>
        </w:rPr>
        <w:t xml:space="preserve"> extensive</w:t>
      </w:r>
      <w:r w:rsidR="00AE4EAE" w:rsidRPr="00F54106">
        <w:rPr>
          <w:lang w:val="en-GB"/>
        </w:rPr>
        <w:t xml:space="preserve"> Dutch</w:t>
      </w:r>
      <w:r w:rsidR="00122819" w:rsidRPr="00F54106">
        <w:rPr>
          <w:lang w:val="en-GB"/>
        </w:rPr>
        <w:t xml:space="preserve"> c</w:t>
      </w:r>
      <w:r w:rsidR="00B112C6" w:rsidRPr="00F54106">
        <w:rPr>
          <w:lang w:val="en-GB"/>
        </w:rPr>
        <w:t>ollective redress</w:t>
      </w:r>
      <w:r w:rsidR="00122819" w:rsidRPr="00F54106">
        <w:rPr>
          <w:lang w:val="en-GB"/>
        </w:rPr>
        <w:t xml:space="preserve"> </w:t>
      </w:r>
      <w:r w:rsidR="00AE4EAE" w:rsidRPr="00F54106">
        <w:rPr>
          <w:lang w:val="en-GB"/>
        </w:rPr>
        <w:t>regime</w:t>
      </w:r>
      <w:bookmarkEnd w:id="143"/>
    </w:p>
    <w:p w14:paraId="2904D406" w14:textId="5A95AAE0" w:rsidR="0021025F" w:rsidRPr="00F54106" w:rsidRDefault="00B112C6" w:rsidP="00FC31D7">
      <w:pPr>
        <w:spacing w:line="276" w:lineRule="auto"/>
        <w:rPr>
          <w:rFonts w:cstheme="minorHAnsi"/>
          <w:lang w:val="en-GB"/>
        </w:rPr>
      </w:pPr>
      <w:r w:rsidRPr="00F54106">
        <w:rPr>
          <w:rFonts w:cstheme="minorHAnsi"/>
          <w:lang w:val="en-GB"/>
        </w:rPr>
        <w:t>The Netherlands has several options to accumulate multiple claims into a single proceeding</w:t>
      </w:r>
      <w:r w:rsidR="00201F70" w:rsidRPr="00F54106">
        <w:rPr>
          <w:rFonts w:cstheme="minorHAnsi"/>
          <w:lang w:val="en-GB"/>
        </w:rPr>
        <w:t xml:space="preserve">, </w:t>
      </w:r>
      <w:r w:rsidR="002C1EAE" w:rsidRPr="00F54106">
        <w:rPr>
          <w:rFonts w:cstheme="minorHAnsi"/>
          <w:lang w:val="en-GB"/>
        </w:rPr>
        <w:t xml:space="preserve">such as the assignment model, the WCAM and the new WAMCA, </w:t>
      </w:r>
      <w:r w:rsidR="00201F70" w:rsidRPr="00F54106">
        <w:rPr>
          <w:rFonts w:cstheme="minorHAnsi"/>
          <w:lang w:val="en-GB"/>
        </w:rPr>
        <w:t>which ha</w:t>
      </w:r>
      <w:r w:rsidR="002C1EAE" w:rsidRPr="00F54106">
        <w:rPr>
          <w:rFonts w:cstheme="minorHAnsi"/>
          <w:lang w:val="en-GB"/>
        </w:rPr>
        <w:t>ve</w:t>
      </w:r>
      <w:r w:rsidR="00201F70" w:rsidRPr="00F54106">
        <w:rPr>
          <w:rFonts w:cstheme="minorHAnsi"/>
          <w:lang w:val="en-GB"/>
        </w:rPr>
        <w:t xml:space="preserve"> the</w:t>
      </w:r>
      <w:r w:rsidR="002C1EAE" w:rsidRPr="00F54106">
        <w:rPr>
          <w:rFonts w:cstheme="minorHAnsi"/>
          <w:lang w:val="en-GB"/>
        </w:rPr>
        <w:t xml:space="preserve"> added</w:t>
      </w:r>
      <w:r w:rsidR="00201F70" w:rsidRPr="00F54106">
        <w:rPr>
          <w:rFonts w:cstheme="minorHAnsi"/>
          <w:lang w:val="en-GB"/>
        </w:rPr>
        <w:t xml:space="preserve"> benefit</w:t>
      </w:r>
      <w:r w:rsidR="0021025F" w:rsidRPr="00F54106">
        <w:rPr>
          <w:rFonts w:cstheme="minorHAnsi"/>
          <w:lang w:val="en-GB"/>
        </w:rPr>
        <w:t xml:space="preserve"> that the costs can be shared by all victims of the cartel.</w:t>
      </w:r>
      <w:r w:rsidR="00201F70" w:rsidRPr="00F54106">
        <w:rPr>
          <w:rStyle w:val="FootnoteReference"/>
          <w:rFonts w:cstheme="minorHAnsi"/>
          <w:lang w:val="en-GB"/>
        </w:rPr>
        <w:footnoteReference w:id="325"/>
      </w:r>
      <w:r w:rsidR="000D0FA3" w:rsidRPr="00F54106">
        <w:rPr>
          <w:rFonts w:cstheme="minorHAnsi"/>
          <w:lang w:val="en-GB"/>
        </w:rPr>
        <w:t xml:space="preserve"> </w:t>
      </w:r>
      <w:r w:rsidR="002C1EAE" w:rsidRPr="00F54106">
        <w:rPr>
          <w:rFonts w:cstheme="minorHAnsi"/>
          <w:lang w:val="en-GB"/>
        </w:rPr>
        <w:t>In particular,</w:t>
      </w:r>
      <w:r w:rsidR="00957DF6" w:rsidRPr="00F54106">
        <w:rPr>
          <w:rFonts w:cstheme="minorHAnsi"/>
          <w:lang w:val="en-GB"/>
        </w:rPr>
        <w:t xml:space="preserve"> the recent introduction of the WAMCA is a</w:t>
      </w:r>
      <w:r w:rsidR="00E1137D" w:rsidRPr="00F54106">
        <w:rPr>
          <w:rFonts w:cstheme="minorHAnsi"/>
          <w:lang w:val="en-GB"/>
        </w:rPr>
        <w:t xml:space="preserve"> testament to </w:t>
      </w:r>
      <w:r w:rsidR="00957DF6" w:rsidRPr="00F54106">
        <w:rPr>
          <w:rFonts w:cstheme="minorHAnsi"/>
          <w:lang w:val="en-GB"/>
        </w:rPr>
        <w:t xml:space="preserve">the newer </w:t>
      </w:r>
      <w:r w:rsidR="00B44544" w:rsidRPr="00F54106">
        <w:rPr>
          <w:rFonts w:cstheme="minorHAnsi"/>
          <w:lang w:val="en-GB"/>
        </w:rPr>
        <w:t>legislative develop</w:t>
      </w:r>
      <w:r w:rsidR="00957DF6" w:rsidRPr="00F54106">
        <w:rPr>
          <w:rFonts w:cstheme="minorHAnsi"/>
          <w:lang w:val="en-GB"/>
        </w:rPr>
        <w:t xml:space="preserve">ments for collective actions for damages </w:t>
      </w:r>
      <w:r w:rsidR="00201F70" w:rsidRPr="00F54106">
        <w:rPr>
          <w:rFonts w:cstheme="minorHAnsi"/>
          <w:lang w:val="en-GB"/>
        </w:rPr>
        <w:t xml:space="preserve">that </w:t>
      </w:r>
      <w:r w:rsidR="00957DF6" w:rsidRPr="00F54106">
        <w:rPr>
          <w:rFonts w:cstheme="minorHAnsi"/>
          <w:lang w:val="en-GB"/>
        </w:rPr>
        <w:t>aim to facilitate private enforcement.</w:t>
      </w:r>
      <w:r w:rsidR="00866AA5" w:rsidRPr="00F54106">
        <w:rPr>
          <w:rFonts w:cstheme="minorHAnsi"/>
          <w:lang w:val="en-GB"/>
        </w:rPr>
        <w:t xml:space="preserve"> </w:t>
      </w:r>
    </w:p>
    <w:p w14:paraId="39E4075B" w14:textId="77777777" w:rsidR="00F20C2C" w:rsidRPr="00F54106" w:rsidRDefault="00F20C2C" w:rsidP="00FC31D7">
      <w:pPr>
        <w:spacing w:line="276" w:lineRule="auto"/>
        <w:rPr>
          <w:rFonts w:cstheme="minorHAnsi"/>
          <w:lang w:val="en-GB"/>
        </w:rPr>
      </w:pPr>
    </w:p>
    <w:p w14:paraId="03A16BAD" w14:textId="753F1B47" w:rsidR="00201F70" w:rsidRPr="00F54106" w:rsidRDefault="0046256E" w:rsidP="001F001E">
      <w:pPr>
        <w:pStyle w:val="Heading4"/>
        <w:rPr>
          <w:lang w:val="en-GB"/>
        </w:rPr>
      </w:pPr>
      <w:r w:rsidRPr="00F54106">
        <w:rPr>
          <w:lang w:val="en-GB"/>
        </w:rPr>
        <w:t>2.3</w:t>
      </w:r>
      <w:r w:rsidR="003D4178" w:rsidRPr="00F54106">
        <w:rPr>
          <w:lang w:val="en-GB"/>
        </w:rPr>
        <w:t>.</w:t>
      </w:r>
      <w:r w:rsidR="00080DC8" w:rsidRPr="00F54106">
        <w:rPr>
          <w:lang w:val="en-GB"/>
        </w:rPr>
        <w:t>3</w:t>
      </w:r>
      <w:r w:rsidR="003D4178" w:rsidRPr="00F54106">
        <w:rPr>
          <w:lang w:val="en-GB"/>
        </w:rPr>
        <w:t xml:space="preserve">.1 </w:t>
      </w:r>
      <w:r w:rsidRPr="00F54106">
        <w:rPr>
          <w:lang w:val="en-GB"/>
        </w:rPr>
        <w:t>The a</w:t>
      </w:r>
      <w:r w:rsidR="003D4178" w:rsidRPr="00F54106">
        <w:rPr>
          <w:lang w:val="en-GB"/>
        </w:rPr>
        <w:t>ssignment model</w:t>
      </w:r>
    </w:p>
    <w:p w14:paraId="2DE88E30" w14:textId="15EBDBF5" w:rsidR="003D4178" w:rsidRPr="00F54106" w:rsidRDefault="00866AA5" w:rsidP="00FC31D7">
      <w:pPr>
        <w:spacing w:line="276" w:lineRule="auto"/>
        <w:rPr>
          <w:rFonts w:cstheme="minorHAnsi"/>
          <w:lang w:val="en-GB"/>
        </w:rPr>
      </w:pPr>
      <w:r w:rsidRPr="00F54106">
        <w:rPr>
          <w:rFonts w:cstheme="minorHAnsi"/>
          <w:lang w:val="en-GB"/>
        </w:rPr>
        <w:t>Most of the claims for damages have historically been brought by claim vehicles under the assignment model</w:t>
      </w:r>
      <w:r w:rsidR="002C1EAE" w:rsidRPr="00F54106">
        <w:rPr>
          <w:rFonts w:cstheme="minorHAnsi"/>
          <w:lang w:val="en-GB"/>
        </w:rPr>
        <w:t>.</w:t>
      </w:r>
      <w:r w:rsidRPr="00F54106">
        <w:rPr>
          <w:rStyle w:val="FootnoteReference"/>
          <w:rFonts w:cstheme="minorHAnsi"/>
          <w:lang w:val="en-GB"/>
        </w:rPr>
        <w:footnoteReference w:id="326"/>
      </w:r>
      <w:r w:rsidRPr="00F54106">
        <w:rPr>
          <w:rFonts w:cstheme="minorHAnsi"/>
          <w:lang w:val="en-GB"/>
        </w:rPr>
        <w:t xml:space="preserve"> </w:t>
      </w:r>
      <w:r w:rsidR="00B44544" w:rsidRPr="00F54106">
        <w:rPr>
          <w:rFonts w:cstheme="minorHAnsi"/>
          <w:lang w:val="en-GB"/>
        </w:rPr>
        <w:t xml:space="preserve">The </w:t>
      </w:r>
      <w:r w:rsidR="00015801" w:rsidRPr="00F54106">
        <w:rPr>
          <w:rFonts w:cstheme="minorHAnsi"/>
          <w:lang w:val="en-GB"/>
        </w:rPr>
        <w:t xml:space="preserve">Dutch </w:t>
      </w:r>
      <w:r w:rsidR="00B44544" w:rsidRPr="00F54106">
        <w:rPr>
          <w:rFonts w:cstheme="minorHAnsi"/>
          <w:lang w:val="en-GB"/>
        </w:rPr>
        <w:t xml:space="preserve">assignment model </w:t>
      </w:r>
      <w:r w:rsidR="00015801" w:rsidRPr="00F54106">
        <w:rPr>
          <w:rFonts w:cstheme="minorHAnsi"/>
          <w:lang w:val="en-GB"/>
        </w:rPr>
        <w:t>consists of a</w:t>
      </w:r>
      <w:r w:rsidR="00B44544" w:rsidRPr="00F54106">
        <w:rPr>
          <w:rFonts w:cstheme="minorHAnsi"/>
          <w:lang w:val="en-GB"/>
        </w:rPr>
        <w:t xml:space="preserve"> claim aggregation mechanism that makes it possible to bundle claims</w:t>
      </w:r>
      <w:r w:rsidR="00C17FFA" w:rsidRPr="00F54106">
        <w:rPr>
          <w:rFonts w:cstheme="minorHAnsi"/>
          <w:lang w:val="en-GB"/>
        </w:rPr>
        <w:t xml:space="preserve"> through cessions</w:t>
      </w:r>
      <w:r w:rsidR="00B44544" w:rsidRPr="00F54106">
        <w:rPr>
          <w:rFonts w:cstheme="minorHAnsi"/>
          <w:lang w:val="en-GB"/>
        </w:rPr>
        <w:t xml:space="preserve">. </w:t>
      </w:r>
      <w:r w:rsidR="00C17FFA" w:rsidRPr="00F54106">
        <w:rPr>
          <w:rFonts w:cstheme="minorHAnsi"/>
          <w:lang w:val="en-GB"/>
        </w:rPr>
        <w:t>Under Article 3:83(1) of the DCC, a claim may be transferred unless the law or the nature of the law precludes the assignment.</w:t>
      </w:r>
      <w:r w:rsidR="00F20C2C" w:rsidRPr="00F54106">
        <w:rPr>
          <w:rFonts w:cstheme="minorHAnsi"/>
          <w:lang w:val="en-GB"/>
        </w:rPr>
        <w:t xml:space="preserve"> </w:t>
      </w:r>
      <w:r w:rsidR="002C1EAE" w:rsidRPr="00F54106">
        <w:rPr>
          <w:rFonts w:cstheme="minorHAnsi"/>
          <w:lang w:val="en-GB"/>
        </w:rPr>
        <w:t>Nevertheless</w:t>
      </w:r>
      <w:r w:rsidR="00F20C2C" w:rsidRPr="00F54106">
        <w:rPr>
          <w:rFonts w:cstheme="minorHAnsi"/>
          <w:lang w:val="en-GB"/>
        </w:rPr>
        <w:t xml:space="preserve">, parties can freely exclude assignment </w:t>
      </w:r>
      <w:r w:rsidRPr="00F54106">
        <w:rPr>
          <w:rFonts w:cstheme="minorHAnsi"/>
          <w:lang w:val="en-GB"/>
        </w:rPr>
        <w:t xml:space="preserve">if </w:t>
      </w:r>
      <w:r w:rsidR="002C1EAE" w:rsidRPr="00F54106">
        <w:rPr>
          <w:rFonts w:cstheme="minorHAnsi"/>
          <w:lang w:val="en-GB"/>
        </w:rPr>
        <w:t>included</w:t>
      </w:r>
      <w:r w:rsidRPr="00F54106">
        <w:rPr>
          <w:rFonts w:cstheme="minorHAnsi"/>
          <w:lang w:val="en-GB"/>
        </w:rPr>
        <w:t xml:space="preserve"> in their</w:t>
      </w:r>
      <w:r w:rsidR="00F20C2C" w:rsidRPr="00F54106">
        <w:rPr>
          <w:rFonts w:cstheme="minorHAnsi"/>
          <w:lang w:val="en-GB"/>
        </w:rPr>
        <w:t xml:space="preserve"> agreement.</w:t>
      </w:r>
      <w:r w:rsidRPr="00F54106">
        <w:rPr>
          <w:rFonts w:cstheme="minorHAnsi"/>
          <w:lang w:val="en-GB"/>
        </w:rPr>
        <w:t xml:space="preserve"> </w:t>
      </w:r>
      <w:r w:rsidR="00E0646D" w:rsidRPr="00F54106">
        <w:rPr>
          <w:rFonts w:cstheme="minorHAnsi"/>
          <w:lang w:val="en-GB"/>
        </w:rPr>
        <w:t xml:space="preserve">In addition, </w:t>
      </w:r>
      <w:r w:rsidR="002C1EAE" w:rsidRPr="00F54106">
        <w:rPr>
          <w:rFonts w:cstheme="minorHAnsi"/>
          <w:lang w:val="en-GB"/>
        </w:rPr>
        <w:t xml:space="preserve">a </w:t>
      </w:r>
      <w:r w:rsidR="00E0646D" w:rsidRPr="00F54106">
        <w:rPr>
          <w:rFonts w:cstheme="minorHAnsi"/>
          <w:lang w:val="en-GB"/>
        </w:rPr>
        <w:t>d</w:t>
      </w:r>
      <w:r w:rsidR="00015801" w:rsidRPr="00F54106">
        <w:rPr>
          <w:rFonts w:cstheme="minorHAnsi"/>
          <w:lang w:val="en-GB"/>
        </w:rPr>
        <w:t>elivery of a claim is required in order to assign a claim, for which Article 3:94(1)</w:t>
      </w:r>
      <w:r w:rsidR="00E0646D" w:rsidRPr="00F54106">
        <w:rPr>
          <w:rFonts w:cstheme="minorHAnsi"/>
          <w:lang w:val="en-GB"/>
        </w:rPr>
        <w:t xml:space="preserve"> and 3:94(2)</w:t>
      </w:r>
      <w:r w:rsidR="00015801" w:rsidRPr="00F54106">
        <w:rPr>
          <w:rFonts w:cstheme="minorHAnsi"/>
          <w:lang w:val="en-GB"/>
        </w:rPr>
        <w:t xml:space="preserve"> of the DCC provide </w:t>
      </w:r>
      <w:r w:rsidR="00E0646D" w:rsidRPr="00F54106">
        <w:rPr>
          <w:rFonts w:cstheme="minorHAnsi"/>
          <w:lang w:val="en-GB"/>
        </w:rPr>
        <w:t xml:space="preserve">two options; (1) a transfer through a </w:t>
      </w:r>
      <w:r w:rsidR="00E0646D" w:rsidRPr="00F54106">
        <w:rPr>
          <w:rFonts w:cstheme="minorHAnsi"/>
          <w:lang w:val="en-GB"/>
        </w:rPr>
        <w:lastRenderedPageBreak/>
        <w:t xml:space="preserve">notarial deed and a notification to the debtor, and (2) </w:t>
      </w:r>
      <w:r w:rsidR="00037026" w:rsidRPr="00F54106">
        <w:rPr>
          <w:rFonts w:cstheme="minorHAnsi"/>
          <w:lang w:val="en-GB"/>
        </w:rPr>
        <w:t xml:space="preserve">a transfer </w:t>
      </w:r>
      <w:r w:rsidR="00E0646D" w:rsidRPr="00F54106">
        <w:rPr>
          <w:rFonts w:cstheme="minorHAnsi"/>
          <w:lang w:val="en-GB"/>
        </w:rPr>
        <w:t>through</w:t>
      </w:r>
      <w:r w:rsidR="00037026" w:rsidRPr="00F54106">
        <w:rPr>
          <w:rFonts w:cstheme="minorHAnsi"/>
          <w:lang w:val="en-GB"/>
        </w:rPr>
        <w:t xml:space="preserve"> only</w:t>
      </w:r>
      <w:r w:rsidR="00E0646D" w:rsidRPr="00F54106">
        <w:rPr>
          <w:rFonts w:cstheme="minorHAnsi"/>
          <w:lang w:val="en-GB"/>
        </w:rPr>
        <w:t xml:space="preserve"> a notarial </w:t>
      </w:r>
      <w:r w:rsidR="003A429A" w:rsidRPr="00F54106">
        <w:rPr>
          <w:rFonts w:cstheme="minorHAnsi"/>
          <w:lang w:val="en-GB"/>
        </w:rPr>
        <w:t>deed when the debtor is unknown at the moment the deed is drawn up</w:t>
      </w:r>
      <w:r w:rsidR="002C1EAE" w:rsidRPr="00F54106">
        <w:rPr>
          <w:rFonts w:cstheme="minorHAnsi"/>
          <w:lang w:val="en-GB"/>
        </w:rPr>
        <w:t xml:space="preserve">. It is not necessary to notify the debtor </w:t>
      </w:r>
      <w:r w:rsidR="003A429A" w:rsidRPr="00F54106">
        <w:rPr>
          <w:rFonts w:cstheme="minorHAnsi"/>
          <w:lang w:val="en-GB"/>
        </w:rPr>
        <w:t>when assigning the claim, a notification must be made with due speed after the identity of the debtor has become known</w:t>
      </w:r>
      <w:r w:rsidR="002C1EAE" w:rsidRPr="00F54106">
        <w:rPr>
          <w:rFonts w:cstheme="minorHAnsi"/>
          <w:lang w:val="en-GB"/>
        </w:rPr>
        <w:t xml:space="preserve"> </w:t>
      </w:r>
      <w:r w:rsidR="003A429A" w:rsidRPr="00F54106">
        <w:rPr>
          <w:rFonts w:cstheme="minorHAnsi"/>
          <w:lang w:val="en-GB"/>
        </w:rPr>
        <w:t>in order to enforce the claim.</w:t>
      </w:r>
      <w:r w:rsidR="003A429A" w:rsidRPr="00F54106">
        <w:rPr>
          <w:rStyle w:val="FootnoteReference"/>
          <w:rFonts w:cstheme="minorHAnsi"/>
          <w:lang w:val="en-GB"/>
        </w:rPr>
        <w:footnoteReference w:id="327"/>
      </w:r>
      <w:r w:rsidR="00A944F8" w:rsidRPr="00F54106">
        <w:rPr>
          <w:rFonts w:cstheme="minorHAnsi"/>
          <w:lang w:val="en-GB"/>
        </w:rPr>
        <w:t xml:space="preserve"> </w:t>
      </w:r>
    </w:p>
    <w:p w14:paraId="1DB56C5D" w14:textId="77777777" w:rsidR="00037026" w:rsidRPr="00F54106" w:rsidRDefault="00037026" w:rsidP="00FC31D7">
      <w:pPr>
        <w:spacing w:line="276" w:lineRule="auto"/>
        <w:rPr>
          <w:rFonts w:cstheme="minorHAnsi"/>
          <w:lang w:val="en-GB"/>
        </w:rPr>
      </w:pPr>
    </w:p>
    <w:p w14:paraId="545BAC53" w14:textId="67E88A30" w:rsidR="00037026" w:rsidRPr="00F54106" w:rsidRDefault="0046256E" w:rsidP="0046256E">
      <w:pPr>
        <w:pStyle w:val="Heading4"/>
        <w:rPr>
          <w:lang w:val="en-GB"/>
        </w:rPr>
      </w:pPr>
      <w:r w:rsidRPr="00F54106">
        <w:rPr>
          <w:lang w:val="en-GB"/>
        </w:rPr>
        <w:t>2.3</w:t>
      </w:r>
      <w:r w:rsidR="00037026" w:rsidRPr="00F54106">
        <w:rPr>
          <w:lang w:val="en-GB"/>
        </w:rPr>
        <w:t>.</w:t>
      </w:r>
      <w:r w:rsidR="00080DC8" w:rsidRPr="00F54106">
        <w:rPr>
          <w:lang w:val="en-GB"/>
        </w:rPr>
        <w:t>3</w:t>
      </w:r>
      <w:r w:rsidR="00037026" w:rsidRPr="00F54106">
        <w:rPr>
          <w:lang w:val="en-GB"/>
        </w:rPr>
        <w:t>.2 Litigation funders, lawyers and lucrative business</w:t>
      </w:r>
    </w:p>
    <w:p w14:paraId="73004980" w14:textId="7CD2D3C9" w:rsidR="00037026" w:rsidRPr="00F54106" w:rsidRDefault="00037026" w:rsidP="00036EDC">
      <w:pPr>
        <w:spacing w:line="276" w:lineRule="auto"/>
        <w:rPr>
          <w:rFonts w:cstheme="minorHAnsi"/>
          <w:lang w:val="en-GB"/>
        </w:rPr>
      </w:pPr>
      <w:r w:rsidRPr="00F54106">
        <w:rPr>
          <w:rFonts w:cstheme="minorHAnsi"/>
          <w:lang w:val="en-GB"/>
        </w:rPr>
        <w:t>As a result of the growing number of cases in the Netherlands, increasing amounts of lawyers are starting to engage with competition law related damages claims as well.</w:t>
      </w:r>
      <w:r w:rsidRPr="00F54106">
        <w:rPr>
          <w:rStyle w:val="FootnoteReference"/>
          <w:rFonts w:cstheme="minorHAnsi"/>
          <w:lang w:val="en-GB"/>
        </w:rPr>
        <w:footnoteReference w:id="328"/>
      </w:r>
      <w:r w:rsidRPr="00F54106">
        <w:rPr>
          <w:rFonts w:cstheme="minorHAnsi"/>
          <w:lang w:val="en-GB"/>
        </w:rPr>
        <w:t xml:space="preserve"> It is claimed that this has brought specialization and potentially “something akin to a claimant’s bar: lawyers that specialise in bringing antitrust damages actions and that actively try to attract new cases to their portfolio”.</w:t>
      </w:r>
      <w:r w:rsidRPr="00F54106">
        <w:rPr>
          <w:rStyle w:val="FootnoteReference"/>
          <w:rFonts w:cstheme="minorHAnsi"/>
          <w:lang w:val="en-GB"/>
        </w:rPr>
        <w:footnoteReference w:id="329"/>
      </w:r>
      <w:r w:rsidRPr="00F54106">
        <w:rPr>
          <w:rFonts w:cstheme="minorHAnsi"/>
          <w:lang w:val="en-GB"/>
        </w:rPr>
        <w:t xml:space="preserve"> Litigation funders are also considered key contributors to the Dutch forum. This is because they (and the lawyers as well) have brought numerous follow-on damages actions before Dutch courts,</w:t>
      </w:r>
      <w:r w:rsidRPr="00F54106">
        <w:rPr>
          <w:rStyle w:val="FootnoteReference"/>
          <w:rFonts w:cstheme="minorHAnsi"/>
          <w:lang w:val="en-GB"/>
        </w:rPr>
        <w:footnoteReference w:id="330"/>
      </w:r>
      <w:r w:rsidRPr="00F54106">
        <w:rPr>
          <w:rFonts w:cstheme="minorHAnsi"/>
          <w:lang w:val="en-GB"/>
        </w:rPr>
        <w:t xml:space="preserve"> actively raise awareness that they will engage in proceedings following a cartel infringement</w:t>
      </w:r>
      <w:r w:rsidR="002028F8" w:rsidRPr="00F54106">
        <w:rPr>
          <w:rFonts w:cstheme="minorHAnsi"/>
          <w:lang w:val="en-GB"/>
        </w:rPr>
        <w:t>,</w:t>
      </w:r>
      <w:r w:rsidRPr="00F54106">
        <w:rPr>
          <w:rFonts w:cstheme="minorHAnsi"/>
          <w:lang w:val="en-GB"/>
        </w:rPr>
        <w:t xml:space="preserve"> and invite injured parties to join,</w:t>
      </w:r>
      <w:r w:rsidRPr="00F54106">
        <w:rPr>
          <w:rStyle w:val="FootnoteReference"/>
          <w:rFonts w:cstheme="minorHAnsi"/>
          <w:lang w:val="en-GB"/>
        </w:rPr>
        <w:footnoteReference w:id="331"/>
      </w:r>
      <w:r w:rsidRPr="00F54106">
        <w:rPr>
          <w:rFonts w:cstheme="minorHAnsi"/>
          <w:lang w:val="en-GB"/>
        </w:rPr>
        <w:t xml:space="preserve"> which sometimes even happens before a final decision by the Commission.</w:t>
      </w:r>
      <w:r w:rsidRPr="00F54106">
        <w:rPr>
          <w:rStyle w:val="FootnoteReference"/>
          <w:rFonts w:cstheme="minorHAnsi"/>
          <w:lang w:val="en-GB"/>
        </w:rPr>
        <w:footnoteReference w:id="332"/>
      </w:r>
      <w:r w:rsidRPr="00F54106">
        <w:rPr>
          <w:rFonts w:cstheme="minorHAnsi"/>
          <w:lang w:val="en-GB"/>
        </w:rPr>
        <w:t xml:space="preserve"> </w:t>
      </w:r>
      <w:r w:rsidR="00036EDC" w:rsidRPr="00F54106">
        <w:rPr>
          <w:rFonts w:cstheme="minorHAnsi"/>
          <w:lang w:val="en-GB"/>
        </w:rPr>
        <w:t>In contrast to lawyers, both claim vehicles and litigation funders are also not regulated. Claim vehicles may, for example, be both profit and non-profit organizations</w:t>
      </w:r>
      <w:r w:rsidR="00036EDC" w:rsidRPr="00F54106">
        <w:rPr>
          <w:rStyle w:val="FootnoteReference"/>
          <w:rFonts w:cstheme="minorHAnsi"/>
          <w:lang w:val="en-GB"/>
        </w:rPr>
        <w:footnoteReference w:id="333"/>
      </w:r>
      <w:r w:rsidR="00036EDC" w:rsidRPr="00F54106">
        <w:rPr>
          <w:rFonts w:cstheme="minorHAnsi"/>
          <w:lang w:val="en-GB"/>
        </w:rPr>
        <w:t xml:space="preserve"> and can aggregate individual claims and pursue collective redress in their own name.</w:t>
      </w:r>
      <w:r w:rsidR="00036EDC" w:rsidRPr="00F54106">
        <w:rPr>
          <w:rStyle w:val="FootnoteReference"/>
          <w:rFonts w:cstheme="minorHAnsi"/>
          <w:lang w:val="en-GB"/>
        </w:rPr>
        <w:footnoteReference w:id="334"/>
      </w:r>
      <w:r w:rsidR="00036EDC" w:rsidRPr="00F54106">
        <w:rPr>
          <w:rFonts w:cstheme="minorHAnsi"/>
          <w:lang w:val="en-GB"/>
        </w:rPr>
        <w:t xml:space="preserve"> Furthermore, they are not restrained in adopting contingency fees and can work with a no cure, no pay guarantee, which has proven useful in many follow-on damages actions.</w:t>
      </w:r>
      <w:r w:rsidR="00036EDC" w:rsidRPr="00F54106">
        <w:rPr>
          <w:rStyle w:val="FootnoteReference"/>
          <w:rFonts w:cstheme="minorHAnsi"/>
          <w:lang w:val="en-GB"/>
        </w:rPr>
        <w:footnoteReference w:id="335"/>
      </w:r>
      <w:r w:rsidR="00036EDC" w:rsidRPr="00F54106">
        <w:rPr>
          <w:rFonts w:cstheme="minorHAnsi"/>
          <w:lang w:val="en-GB"/>
        </w:rPr>
        <w:t xml:space="preserve"> </w:t>
      </w:r>
      <w:r w:rsidRPr="00F54106">
        <w:rPr>
          <w:rFonts w:cstheme="minorHAnsi"/>
          <w:lang w:val="en-GB"/>
        </w:rPr>
        <w:t>Dutch courts have also not accepted any objections to the assignment model that have been made by defendants and</w:t>
      </w:r>
      <w:r w:rsidR="00B6694F" w:rsidRPr="00F54106">
        <w:rPr>
          <w:rFonts w:cstheme="minorHAnsi"/>
          <w:lang w:val="en-GB"/>
        </w:rPr>
        <w:t xml:space="preserve"> have</w:t>
      </w:r>
      <w:r w:rsidRPr="00F54106">
        <w:rPr>
          <w:rFonts w:cstheme="minorHAnsi"/>
          <w:lang w:val="en-GB"/>
        </w:rPr>
        <w:t xml:space="preserve"> affirmed the legitimacy of it.</w:t>
      </w:r>
      <w:r w:rsidRPr="00F54106">
        <w:rPr>
          <w:rStyle w:val="FootnoteReference"/>
          <w:rFonts w:cstheme="minorHAnsi"/>
          <w:lang w:val="en-GB"/>
        </w:rPr>
        <w:footnoteReference w:id="336"/>
      </w:r>
      <w:r w:rsidRPr="00F54106">
        <w:rPr>
          <w:rFonts w:cstheme="minorHAnsi"/>
          <w:lang w:val="en-GB"/>
        </w:rPr>
        <w:t xml:space="preserve"> As a result, claim </w:t>
      </w:r>
      <w:r w:rsidRPr="00F54106">
        <w:rPr>
          <w:rFonts w:cstheme="minorHAnsi"/>
          <w:lang w:val="en-GB"/>
        </w:rPr>
        <w:lastRenderedPageBreak/>
        <w:t>vehicles are here to stay, have become inherent to the Dutch forum and the defendants have finally found opponents th</w:t>
      </w:r>
      <w:r w:rsidR="009E3DD4" w:rsidRPr="00F54106">
        <w:rPr>
          <w:rFonts w:cstheme="minorHAnsi"/>
          <w:lang w:val="en-GB"/>
        </w:rPr>
        <w:t>at match th</w:t>
      </w:r>
      <w:r w:rsidRPr="00F54106">
        <w:rPr>
          <w:rFonts w:cstheme="minorHAnsi"/>
          <w:lang w:val="en-GB"/>
        </w:rPr>
        <w:t>eir own size. It is therefore argued that litigation funders and surge in lawyers on the Dutch forum play an important role for the amount of cases before the Netherlands,</w:t>
      </w:r>
      <w:r w:rsidRPr="00F54106">
        <w:rPr>
          <w:rStyle w:val="FootnoteReference"/>
          <w:rFonts w:cstheme="minorHAnsi"/>
          <w:lang w:val="en-GB"/>
        </w:rPr>
        <w:footnoteReference w:id="337"/>
      </w:r>
      <w:r w:rsidRPr="00F54106">
        <w:rPr>
          <w:rFonts w:cstheme="minorHAnsi"/>
          <w:lang w:val="en-GB"/>
        </w:rPr>
        <w:t xml:space="preserve"> while the claim vehicles help to facilitate low-value claims that are otherwise not tried before courts as a result of their funded pockets.</w:t>
      </w:r>
      <w:r w:rsidRPr="00F54106">
        <w:rPr>
          <w:rStyle w:val="FootnoteReference"/>
          <w:rFonts w:cstheme="minorHAnsi"/>
          <w:lang w:val="en-GB"/>
        </w:rPr>
        <w:footnoteReference w:id="338"/>
      </w:r>
    </w:p>
    <w:p w14:paraId="17BE7036" w14:textId="77777777" w:rsidR="00866AA5" w:rsidRPr="00F54106" w:rsidRDefault="00866AA5" w:rsidP="00FC31D7">
      <w:pPr>
        <w:spacing w:line="276" w:lineRule="auto"/>
        <w:rPr>
          <w:rFonts w:cstheme="minorHAnsi"/>
          <w:lang w:val="en-GB"/>
        </w:rPr>
      </w:pPr>
    </w:p>
    <w:p w14:paraId="47DDEF60" w14:textId="0B22B104" w:rsidR="009D776F" w:rsidRPr="00F54106" w:rsidRDefault="0046256E" w:rsidP="0046256E">
      <w:pPr>
        <w:pStyle w:val="Heading4"/>
        <w:rPr>
          <w:lang w:val="en-GB"/>
        </w:rPr>
      </w:pPr>
      <w:r w:rsidRPr="00F54106">
        <w:rPr>
          <w:lang w:val="en-GB"/>
        </w:rPr>
        <w:t>2.3</w:t>
      </w:r>
      <w:r w:rsidR="009D776F" w:rsidRPr="00F54106">
        <w:rPr>
          <w:lang w:val="en-GB"/>
        </w:rPr>
        <w:t>.</w:t>
      </w:r>
      <w:r w:rsidR="00080DC8" w:rsidRPr="00F54106">
        <w:rPr>
          <w:lang w:val="en-GB"/>
        </w:rPr>
        <w:t>3</w:t>
      </w:r>
      <w:r w:rsidR="009D776F" w:rsidRPr="00F54106">
        <w:rPr>
          <w:lang w:val="en-GB"/>
        </w:rPr>
        <w:t>.</w:t>
      </w:r>
      <w:r w:rsidR="00037026" w:rsidRPr="00F54106">
        <w:rPr>
          <w:lang w:val="en-GB"/>
        </w:rPr>
        <w:t>3</w:t>
      </w:r>
      <w:r w:rsidR="009D776F" w:rsidRPr="00F54106">
        <w:rPr>
          <w:lang w:val="en-GB"/>
        </w:rPr>
        <w:t xml:space="preserve"> </w:t>
      </w:r>
      <w:r w:rsidR="00D864A0" w:rsidRPr="00F54106">
        <w:rPr>
          <w:lang w:val="en-GB"/>
        </w:rPr>
        <w:t xml:space="preserve">Settling collectively under the </w:t>
      </w:r>
      <w:r w:rsidR="009D776F" w:rsidRPr="00F54106">
        <w:rPr>
          <w:lang w:val="en-GB"/>
        </w:rPr>
        <w:t>WCAM</w:t>
      </w:r>
    </w:p>
    <w:p w14:paraId="1A84A295" w14:textId="199E4E2D" w:rsidR="009D776F" w:rsidRPr="00F54106" w:rsidRDefault="00CE5284" w:rsidP="00FC31D7">
      <w:pPr>
        <w:spacing w:line="276" w:lineRule="auto"/>
        <w:rPr>
          <w:rFonts w:cstheme="minorHAnsi"/>
          <w:lang w:val="en-GB"/>
        </w:rPr>
      </w:pPr>
      <w:r w:rsidRPr="00F54106">
        <w:rPr>
          <w:rFonts w:cstheme="minorHAnsi"/>
          <w:lang w:val="en-GB"/>
        </w:rPr>
        <w:t xml:space="preserve">The Netherlands was the only country in the EU with </w:t>
      </w:r>
      <w:r w:rsidR="002863AD" w:rsidRPr="00F54106">
        <w:rPr>
          <w:rFonts w:cstheme="minorHAnsi"/>
          <w:lang w:val="en-GB"/>
        </w:rPr>
        <w:t xml:space="preserve">binding </w:t>
      </w:r>
      <w:r w:rsidRPr="00F54106">
        <w:rPr>
          <w:rFonts w:cstheme="minorHAnsi"/>
          <w:lang w:val="en-GB"/>
        </w:rPr>
        <w:t xml:space="preserve">collective settlements for a long time. </w:t>
      </w:r>
      <w:r w:rsidR="00991958" w:rsidRPr="00F54106">
        <w:rPr>
          <w:rFonts w:cstheme="minorHAnsi"/>
          <w:lang w:val="en-GB"/>
        </w:rPr>
        <w:t xml:space="preserve">Before </w:t>
      </w:r>
      <w:r w:rsidR="00E1137D" w:rsidRPr="00F54106">
        <w:rPr>
          <w:rFonts w:cstheme="minorHAnsi"/>
          <w:lang w:val="en-GB"/>
        </w:rPr>
        <w:t>the implementation of the WCAM</w:t>
      </w:r>
      <w:r w:rsidR="00991958" w:rsidRPr="00F54106">
        <w:rPr>
          <w:rFonts w:cstheme="minorHAnsi"/>
          <w:lang w:val="en-GB"/>
        </w:rPr>
        <w:t xml:space="preserve">, the Dutch legislative provisions were not able legally force tort-feasors to reimburse victims and at the same time also failed in forcing victims into settlement with a </w:t>
      </w:r>
      <w:r w:rsidR="00E1137D" w:rsidRPr="00F54106">
        <w:rPr>
          <w:rFonts w:cstheme="minorHAnsi"/>
          <w:lang w:val="en-GB"/>
        </w:rPr>
        <w:t xml:space="preserve">sufficient </w:t>
      </w:r>
      <w:r w:rsidR="00991958" w:rsidRPr="00F54106">
        <w:rPr>
          <w:rFonts w:cstheme="minorHAnsi"/>
          <w:lang w:val="en-GB"/>
        </w:rPr>
        <w:t>amount of finality.</w:t>
      </w:r>
      <w:r w:rsidR="00991958" w:rsidRPr="00F54106">
        <w:rPr>
          <w:rStyle w:val="FootnoteReference"/>
          <w:rFonts w:cstheme="minorHAnsi"/>
          <w:lang w:val="en-GB"/>
        </w:rPr>
        <w:footnoteReference w:id="339"/>
      </w:r>
      <w:r w:rsidR="00CA114A" w:rsidRPr="00F54106">
        <w:rPr>
          <w:rFonts w:cstheme="minorHAnsi"/>
          <w:lang w:val="en-GB"/>
        </w:rPr>
        <w:t xml:space="preserve"> As a result, the WCAM was introduced with the intention to provide collective settlements on an opt-out bas</w:t>
      </w:r>
      <w:r w:rsidR="002863AD" w:rsidRPr="00F54106">
        <w:rPr>
          <w:rFonts w:cstheme="minorHAnsi"/>
          <w:lang w:val="en-GB"/>
        </w:rPr>
        <w:t>i</w:t>
      </w:r>
      <w:r w:rsidR="00CA114A" w:rsidRPr="00F54106">
        <w:rPr>
          <w:rFonts w:cstheme="minorHAnsi"/>
          <w:lang w:val="en-GB"/>
        </w:rPr>
        <w:t>s in an efficient manner.</w:t>
      </w:r>
      <w:r w:rsidR="002863AD" w:rsidRPr="00F54106">
        <w:rPr>
          <w:rFonts w:cstheme="minorHAnsi"/>
          <w:lang w:val="en-GB"/>
        </w:rPr>
        <w:t xml:space="preserve"> This is done through the Amsterdam Court of Appeal</w:t>
      </w:r>
      <w:r w:rsidR="00E1137D" w:rsidRPr="00F54106">
        <w:rPr>
          <w:rFonts w:cstheme="minorHAnsi"/>
          <w:lang w:val="en-GB"/>
        </w:rPr>
        <w:t xml:space="preserve">, which will evaluate the </w:t>
      </w:r>
      <w:r w:rsidR="002863AD" w:rsidRPr="00F54106">
        <w:rPr>
          <w:rFonts w:cstheme="minorHAnsi"/>
          <w:lang w:val="en-GB"/>
        </w:rPr>
        <w:t>agreement</w:t>
      </w:r>
      <w:r w:rsidR="00E1137D" w:rsidRPr="00F54106">
        <w:rPr>
          <w:rFonts w:cstheme="minorHAnsi"/>
          <w:lang w:val="en-GB"/>
        </w:rPr>
        <w:t>s</w:t>
      </w:r>
      <w:r w:rsidR="002863AD" w:rsidRPr="00F54106">
        <w:rPr>
          <w:rFonts w:cstheme="minorHAnsi"/>
          <w:lang w:val="en-GB"/>
        </w:rPr>
        <w:t xml:space="preserve"> that </w:t>
      </w:r>
      <w:r w:rsidR="00E1137D" w:rsidRPr="00F54106">
        <w:rPr>
          <w:rFonts w:cstheme="minorHAnsi"/>
          <w:lang w:val="en-GB"/>
        </w:rPr>
        <w:t>are</w:t>
      </w:r>
      <w:r w:rsidR="002863AD" w:rsidRPr="00F54106">
        <w:rPr>
          <w:rFonts w:cstheme="minorHAnsi"/>
          <w:lang w:val="en-GB"/>
        </w:rPr>
        <w:t xml:space="preserve"> reached between the representative of a class and the defendants.</w:t>
      </w:r>
      <w:r w:rsidR="007048B7" w:rsidRPr="00F54106">
        <w:rPr>
          <w:rFonts w:cstheme="minorHAnsi"/>
          <w:lang w:val="en-GB"/>
        </w:rPr>
        <w:t xml:space="preserve"> When the Court of Appeal approves of the agreement, it will declare it binding on all persons in the terms of the agreement that did not opt out and all </w:t>
      </w:r>
      <w:r w:rsidR="00794B9C" w:rsidRPr="00F54106">
        <w:rPr>
          <w:rFonts w:cstheme="minorHAnsi"/>
          <w:lang w:val="en-GB"/>
        </w:rPr>
        <w:t xml:space="preserve">persons </w:t>
      </w:r>
      <w:r w:rsidR="007048B7" w:rsidRPr="00F54106">
        <w:rPr>
          <w:rFonts w:cstheme="minorHAnsi"/>
          <w:lang w:val="en-GB"/>
        </w:rPr>
        <w:t>represented by the association or foundation.</w:t>
      </w:r>
      <w:r w:rsidR="007048B7" w:rsidRPr="00F54106">
        <w:rPr>
          <w:rStyle w:val="FootnoteReference"/>
          <w:rFonts w:cstheme="minorHAnsi"/>
          <w:lang w:val="en-GB"/>
        </w:rPr>
        <w:footnoteReference w:id="340"/>
      </w:r>
      <w:r w:rsidR="00794B9C" w:rsidRPr="00F54106">
        <w:rPr>
          <w:rFonts w:cstheme="minorHAnsi"/>
          <w:lang w:val="en-GB"/>
        </w:rPr>
        <w:t xml:space="preserve"> </w:t>
      </w:r>
      <w:r w:rsidR="00EE1EE3" w:rsidRPr="00F54106">
        <w:rPr>
          <w:rFonts w:cstheme="minorHAnsi"/>
          <w:lang w:val="en-GB"/>
        </w:rPr>
        <w:t>The WCAM procedure is made up of four stages; (1) settlement agreement, (2) petition, (3) opt-out, and (4) the distribution of funds.</w:t>
      </w:r>
      <w:r w:rsidR="00EE1EE3" w:rsidRPr="00F54106">
        <w:rPr>
          <w:rStyle w:val="FootnoteReference"/>
          <w:rFonts w:cstheme="minorHAnsi"/>
          <w:lang w:val="en-GB"/>
        </w:rPr>
        <w:footnoteReference w:id="341"/>
      </w:r>
      <w:r w:rsidR="00EE1EE3" w:rsidRPr="00F54106">
        <w:rPr>
          <w:rFonts w:cstheme="minorHAnsi"/>
          <w:lang w:val="en-GB"/>
        </w:rPr>
        <w:t xml:space="preserve"> </w:t>
      </w:r>
      <w:r w:rsidR="008D77BE" w:rsidRPr="00F54106">
        <w:rPr>
          <w:rFonts w:cstheme="minorHAnsi"/>
          <w:lang w:val="en-GB"/>
        </w:rPr>
        <w:t xml:space="preserve">A </w:t>
      </w:r>
      <w:r w:rsidR="00E1137D" w:rsidRPr="00F54106">
        <w:rPr>
          <w:rFonts w:cstheme="minorHAnsi"/>
          <w:lang w:val="en-GB"/>
        </w:rPr>
        <w:t>part of</w:t>
      </w:r>
      <w:r w:rsidR="008D77BE" w:rsidRPr="00F54106">
        <w:rPr>
          <w:rFonts w:cstheme="minorHAnsi"/>
          <w:lang w:val="en-GB"/>
        </w:rPr>
        <w:t xml:space="preserve"> the settlement </w:t>
      </w:r>
      <w:r w:rsidR="00AC2FED" w:rsidRPr="00F54106">
        <w:rPr>
          <w:rFonts w:cstheme="minorHAnsi"/>
          <w:lang w:val="en-GB"/>
        </w:rPr>
        <w:t xml:space="preserve">also </w:t>
      </w:r>
      <w:r w:rsidR="00E1137D" w:rsidRPr="00F54106">
        <w:rPr>
          <w:rFonts w:cstheme="minorHAnsi"/>
          <w:lang w:val="en-GB"/>
        </w:rPr>
        <w:t xml:space="preserve">concerns </w:t>
      </w:r>
      <w:r w:rsidR="00E6792E" w:rsidRPr="00F54106">
        <w:rPr>
          <w:rFonts w:cstheme="minorHAnsi"/>
          <w:lang w:val="en-GB"/>
        </w:rPr>
        <w:t xml:space="preserve">the </w:t>
      </w:r>
      <w:r w:rsidR="008D77BE" w:rsidRPr="00F54106">
        <w:rPr>
          <w:rFonts w:cstheme="minorHAnsi"/>
          <w:lang w:val="en-GB"/>
        </w:rPr>
        <w:t xml:space="preserve">remuneration </w:t>
      </w:r>
      <w:r w:rsidR="00E6792E" w:rsidRPr="00F54106">
        <w:rPr>
          <w:rFonts w:cstheme="minorHAnsi"/>
          <w:lang w:val="en-GB"/>
        </w:rPr>
        <w:t>of</w:t>
      </w:r>
      <w:r w:rsidR="008D77BE" w:rsidRPr="00F54106">
        <w:rPr>
          <w:rFonts w:cstheme="minorHAnsi"/>
          <w:lang w:val="en-GB"/>
        </w:rPr>
        <w:t xml:space="preserve"> the legal costs, which </w:t>
      </w:r>
      <w:r w:rsidR="00E1137D" w:rsidRPr="00F54106">
        <w:rPr>
          <w:rFonts w:cstheme="minorHAnsi"/>
          <w:lang w:val="en-GB"/>
        </w:rPr>
        <w:t>are</w:t>
      </w:r>
      <w:r w:rsidR="008D77BE" w:rsidRPr="00F54106">
        <w:rPr>
          <w:rFonts w:cstheme="minorHAnsi"/>
          <w:lang w:val="en-GB"/>
        </w:rPr>
        <w:t xml:space="preserve"> usually equivalent to the actual costs incurred and </w:t>
      </w:r>
      <w:r w:rsidR="00E1137D" w:rsidRPr="00F54106">
        <w:rPr>
          <w:rFonts w:cstheme="minorHAnsi"/>
          <w:lang w:val="en-GB"/>
        </w:rPr>
        <w:t>are</w:t>
      </w:r>
      <w:r w:rsidR="008D77BE" w:rsidRPr="00F54106">
        <w:rPr>
          <w:rFonts w:cstheme="minorHAnsi"/>
          <w:lang w:val="en-GB"/>
        </w:rPr>
        <w:t xml:space="preserve"> a lot higher than the </w:t>
      </w:r>
      <w:proofErr w:type="spellStart"/>
      <w:r w:rsidR="008D77BE" w:rsidRPr="00F54106">
        <w:rPr>
          <w:rFonts w:cstheme="minorHAnsi"/>
          <w:i/>
          <w:iCs/>
          <w:lang w:val="en-GB"/>
        </w:rPr>
        <w:t>liquidatietarief</w:t>
      </w:r>
      <w:proofErr w:type="spellEnd"/>
      <w:r w:rsidR="008D77BE" w:rsidRPr="00F54106">
        <w:rPr>
          <w:rFonts w:cstheme="minorHAnsi"/>
          <w:lang w:val="en-GB"/>
        </w:rPr>
        <w:t xml:space="preserve"> in a dispute resolution</w:t>
      </w:r>
      <w:r w:rsidR="00E1137D" w:rsidRPr="00F54106">
        <w:rPr>
          <w:rFonts w:cstheme="minorHAnsi"/>
          <w:lang w:val="en-GB"/>
        </w:rPr>
        <w:t>, and are beneficial for both parties.</w:t>
      </w:r>
      <w:r w:rsidR="008D77BE" w:rsidRPr="00F54106">
        <w:rPr>
          <w:rStyle w:val="FootnoteReference"/>
          <w:rFonts w:cstheme="minorHAnsi"/>
          <w:lang w:val="en-GB"/>
        </w:rPr>
        <w:footnoteReference w:id="342"/>
      </w:r>
      <w:r w:rsidR="008D77BE" w:rsidRPr="00F54106">
        <w:rPr>
          <w:rFonts w:cstheme="minorHAnsi"/>
          <w:lang w:val="en-GB"/>
        </w:rPr>
        <w:t xml:space="preserve"> </w:t>
      </w:r>
      <w:r w:rsidR="00C61D86" w:rsidRPr="00F54106">
        <w:rPr>
          <w:rFonts w:cstheme="minorHAnsi"/>
          <w:lang w:val="en-GB"/>
        </w:rPr>
        <w:t>The WCAM is also beneficial to defendants as the opt-out mechanism allows defendants to settle all current and potential future actions at once. Hence</w:t>
      </w:r>
      <w:r w:rsidR="00794B9C" w:rsidRPr="00F54106">
        <w:rPr>
          <w:rFonts w:cstheme="minorHAnsi"/>
          <w:lang w:val="en-GB"/>
        </w:rPr>
        <w:t xml:space="preserve">, the WCAM was considered </w:t>
      </w:r>
      <w:r w:rsidR="00C61D86" w:rsidRPr="00F54106">
        <w:rPr>
          <w:rFonts w:cstheme="minorHAnsi"/>
          <w:lang w:val="en-GB"/>
        </w:rPr>
        <w:t xml:space="preserve">a </w:t>
      </w:r>
      <w:r w:rsidR="00794B9C" w:rsidRPr="00F54106">
        <w:rPr>
          <w:rFonts w:cstheme="minorHAnsi"/>
          <w:lang w:val="en-GB"/>
        </w:rPr>
        <w:t xml:space="preserve">favourable </w:t>
      </w:r>
      <w:r w:rsidR="00C61D86" w:rsidRPr="00F54106">
        <w:rPr>
          <w:rFonts w:cstheme="minorHAnsi"/>
          <w:lang w:val="en-GB"/>
        </w:rPr>
        <w:t xml:space="preserve">element </w:t>
      </w:r>
      <w:r w:rsidR="00A84638" w:rsidRPr="00F54106">
        <w:rPr>
          <w:rFonts w:cstheme="minorHAnsi"/>
          <w:lang w:val="en-GB"/>
        </w:rPr>
        <w:t xml:space="preserve">of the Dutch forum </w:t>
      </w:r>
      <w:r w:rsidR="00794B9C" w:rsidRPr="00F54106">
        <w:rPr>
          <w:rFonts w:cstheme="minorHAnsi"/>
          <w:lang w:val="en-GB"/>
        </w:rPr>
        <w:t>in the literature.</w:t>
      </w:r>
      <w:r w:rsidR="00C61D86" w:rsidRPr="00F54106">
        <w:rPr>
          <w:rStyle w:val="FootnoteReference"/>
          <w:rFonts w:cstheme="minorHAnsi"/>
          <w:lang w:val="en-GB"/>
        </w:rPr>
        <w:footnoteReference w:id="343"/>
      </w:r>
      <w:r w:rsidR="00E6792E" w:rsidRPr="00F54106">
        <w:rPr>
          <w:rFonts w:cstheme="minorHAnsi"/>
          <w:lang w:val="en-GB"/>
        </w:rPr>
        <w:t xml:space="preserve"> In addition,</w:t>
      </w:r>
      <w:r w:rsidR="002C5E85" w:rsidRPr="00F54106">
        <w:rPr>
          <w:rFonts w:cstheme="minorHAnsi"/>
          <w:lang w:val="en-GB"/>
        </w:rPr>
        <w:t xml:space="preserve"> </w:t>
      </w:r>
      <w:r w:rsidR="00E6792E" w:rsidRPr="00F54106">
        <w:rPr>
          <w:rFonts w:cstheme="minorHAnsi"/>
          <w:lang w:val="en-GB"/>
        </w:rPr>
        <w:t xml:space="preserve">the Amsterdam Court of Appeal has shown to </w:t>
      </w:r>
      <w:r w:rsidR="002C5E85" w:rsidRPr="00F54106">
        <w:rPr>
          <w:rFonts w:cstheme="minorHAnsi"/>
          <w:lang w:val="en-GB"/>
        </w:rPr>
        <w:t xml:space="preserve">readily </w:t>
      </w:r>
      <w:r w:rsidR="00E6792E" w:rsidRPr="00F54106">
        <w:rPr>
          <w:rFonts w:cstheme="minorHAnsi"/>
          <w:lang w:val="en-GB"/>
        </w:rPr>
        <w:t xml:space="preserve">accept </w:t>
      </w:r>
      <w:r w:rsidR="00E6792E" w:rsidRPr="00F54106">
        <w:rPr>
          <w:rFonts w:cstheme="minorHAnsi"/>
          <w:lang w:val="en-GB"/>
        </w:rPr>
        <w:lastRenderedPageBreak/>
        <w:t>jurisdiction</w:t>
      </w:r>
      <w:r w:rsidR="00CD1394" w:rsidRPr="00F54106">
        <w:rPr>
          <w:rFonts w:cstheme="minorHAnsi"/>
          <w:lang w:val="en-GB"/>
        </w:rPr>
        <w:t xml:space="preserve"> when it comes to collective settlements,</w:t>
      </w:r>
      <w:r w:rsidR="00CD1394" w:rsidRPr="00F54106">
        <w:rPr>
          <w:rStyle w:val="FootnoteReference"/>
          <w:rFonts w:cstheme="minorHAnsi"/>
          <w:lang w:val="en-GB"/>
        </w:rPr>
        <w:footnoteReference w:id="344"/>
      </w:r>
      <w:r w:rsidR="00CD1394" w:rsidRPr="00F54106">
        <w:rPr>
          <w:rFonts w:cstheme="minorHAnsi"/>
          <w:lang w:val="en-GB"/>
        </w:rPr>
        <w:t xml:space="preserve"> even when no defendants were domiciled in the Netherlands and only a few potential claimants were</w:t>
      </w:r>
      <w:r w:rsidR="002C5E85" w:rsidRPr="00F54106">
        <w:rPr>
          <w:rFonts w:cstheme="minorHAnsi"/>
          <w:lang w:val="en-GB"/>
        </w:rPr>
        <w:t>.</w:t>
      </w:r>
      <w:r w:rsidR="002C5E85" w:rsidRPr="00F54106">
        <w:rPr>
          <w:rStyle w:val="FootnoteReference"/>
          <w:rFonts w:cstheme="minorHAnsi"/>
          <w:lang w:val="en-GB"/>
        </w:rPr>
        <w:footnoteReference w:id="345"/>
      </w:r>
    </w:p>
    <w:p w14:paraId="0C066E8A" w14:textId="77777777" w:rsidR="00E6792E" w:rsidRPr="00F54106" w:rsidRDefault="00E6792E" w:rsidP="00FC31D7">
      <w:pPr>
        <w:spacing w:line="276" w:lineRule="auto"/>
        <w:rPr>
          <w:rFonts w:cstheme="minorHAnsi"/>
          <w:lang w:val="en-GB"/>
        </w:rPr>
      </w:pPr>
    </w:p>
    <w:p w14:paraId="27ADA75F" w14:textId="4AB61B83" w:rsidR="009D776F" w:rsidRPr="00F54106" w:rsidRDefault="0046256E" w:rsidP="0046256E">
      <w:pPr>
        <w:pStyle w:val="Heading4"/>
        <w:rPr>
          <w:lang w:val="en-GB"/>
        </w:rPr>
      </w:pPr>
      <w:r w:rsidRPr="00F54106">
        <w:rPr>
          <w:lang w:val="en-GB"/>
        </w:rPr>
        <w:t>2</w:t>
      </w:r>
      <w:r w:rsidR="009D776F" w:rsidRPr="00F54106">
        <w:rPr>
          <w:lang w:val="en-GB"/>
        </w:rPr>
        <w:t>.</w:t>
      </w:r>
      <w:r w:rsidR="00080DC8" w:rsidRPr="00F54106">
        <w:rPr>
          <w:lang w:val="en-GB"/>
        </w:rPr>
        <w:t>3</w:t>
      </w:r>
      <w:r w:rsidRPr="00F54106">
        <w:rPr>
          <w:lang w:val="en-GB"/>
        </w:rPr>
        <w:t>.3</w:t>
      </w:r>
      <w:r w:rsidR="009D776F" w:rsidRPr="00F54106">
        <w:rPr>
          <w:lang w:val="en-GB"/>
        </w:rPr>
        <w:t>.</w:t>
      </w:r>
      <w:r w:rsidR="00037026" w:rsidRPr="00F54106">
        <w:rPr>
          <w:lang w:val="en-GB"/>
        </w:rPr>
        <w:t>4</w:t>
      </w:r>
      <w:r w:rsidR="009D776F" w:rsidRPr="00F54106">
        <w:rPr>
          <w:lang w:val="en-GB"/>
        </w:rPr>
        <w:t xml:space="preserve"> </w:t>
      </w:r>
      <w:r w:rsidR="00D864A0" w:rsidRPr="00F54106">
        <w:rPr>
          <w:lang w:val="en-GB"/>
        </w:rPr>
        <w:t xml:space="preserve">Claiming collectively under the </w:t>
      </w:r>
      <w:r w:rsidR="009D776F" w:rsidRPr="00F54106">
        <w:rPr>
          <w:lang w:val="en-GB"/>
        </w:rPr>
        <w:t>WAMCA</w:t>
      </w:r>
    </w:p>
    <w:p w14:paraId="3EAAF895" w14:textId="717176B9" w:rsidR="00097F39" w:rsidRPr="00F54106" w:rsidRDefault="00AC2FED" w:rsidP="00FC31D7">
      <w:pPr>
        <w:spacing w:line="276" w:lineRule="auto"/>
        <w:rPr>
          <w:rFonts w:cstheme="minorHAnsi"/>
          <w:lang w:val="en-GB"/>
        </w:rPr>
      </w:pPr>
      <w:r w:rsidRPr="00F54106">
        <w:rPr>
          <w:rFonts w:cstheme="minorHAnsi"/>
          <w:lang w:val="en-GB"/>
        </w:rPr>
        <w:t>Although very shortly discussed by the literature due to its recency, t</w:t>
      </w:r>
      <w:r w:rsidR="009D776F" w:rsidRPr="00F54106">
        <w:rPr>
          <w:rFonts w:cstheme="minorHAnsi"/>
          <w:lang w:val="en-GB"/>
        </w:rPr>
        <w:t xml:space="preserve">he </w:t>
      </w:r>
      <w:r w:rsidR="0021025F" w:rsidRPr="00F54106">
        <w:rPr>
          <w:rFonts w:cstheme="minorHAnsi"/>
          <w:lang w:val="en-GB"/>
        </w:rPr>
        <w:t>WAMCA</w:t>
      </w:r>
      <w:r w:rsidR="009D776F" w:rsidRPr="00F54106">
        <w:rPr>
          <w:rFonts w:cstheme="minorHAnsi"/>
          <w:lang w:val="en-GB"/>
        </w:rPr>
        <w:t xml:space="preserve"> </w:t>
      </w:r>
      <w:r w:rsidR="005E2AA1" w:rsidRPr="00F54106">
        <w:rPr>
          <w:rFonts w:cstheme="minorHAnsi"/>
          <w:lang w:val="en-GB"/>
        </w:rPr>
        <w:t>was</w:t>
      </w:r>
      <w:r w:rsidR="009D776F" w:rsidRPr="00F54106">
        <w:rPr>
          <w:rFonts w:cstheme="minorHAnsi"/>
          <w:lang w:val="en-GB"/>
        </w:rPr>
        <w:t xml:space="preserve"> expected to increase the </w:t>
      </w:r>
      <w:r w:rsidR="00161A1C" w:rsidRPr="00F54106">
        <w:rPr>
          <w:rFonts w:cstheme="minorHAnsi"/>
          <w:lang w:val="en-GB"/>
        </w:rPr>
        <w:t>amount</w:t>
      </w:r>
      <w:r w:rsidR="009D776F" w:rsidRPr="00F54106">
        <w:rPr>
          <w:rFonts w:cstheme="minorHAnsi"/>
          <w:lang w:val="en-GB"/>
        </w:rPr>
        <w:t xml:space="preserve"> of </w:t>
      </w:r>
      <w:r w:rsidR="00E1204C" w:rsidRPr="00F54106">
        <w:rPr>
          <w:rFonts w:cstheme="minorHAnsi"/>
          <w:lang w:val="en-GB"/>
        </w:rPr>
        <w:t>private enforcement of competition law in the Netherlands</w:t>
      </w:r>
      <w:r w:rsidR="009D776F" w:rsidRPr="00F54106">
        <w:rPr>
          <w:rFonts w:cstheme="minorHAnsi"/>
          <w:lang w:val="en-GB"/>
        </w:rPr>
        <w:t>.</w:t>
      </w:r>
      <w:r w:rsidR="009D776F" w:rsidRPr="00F54106">
        <w:rPr>
          <w:rStyle w:val="FootnoteReference"/>
          <w:rFonts w:cstheme="minorHAnsi"/>
          <w:lang w:val="en-GB"/>
        </w:rPr>
        <w:footnoteReference w:id="346"/>
      </w:r>
      <w:r w:rsidR="009D776F" w:rsidRPr="00F54106">
        <w:rPr>
          <w:rFonts w:cstheme="minorHAnsi"/>
          <w:lang w:val="en-GB"/>
        </w:rPr>
        <w:t xml:space="preserve"> </w:t>
      </w:r>
      <w:r w:rsidR="00DF364A" w:rsidRPr="00F54106">
        <w:rPr>
          <w:rFonts w:cstheme="minorHAnsi"/>
          <w:lang w:val="en-GB"/>
        </w:rPr>
        <w:t>Before the implementation of the WAMCA, only collective actions</w:t>
      </w:r>
      <w:r w:rsidR="00E1204C" w:rsidRPr="00F54106">
        <w:rPr>
          <w:rFonts w:cstheme="minorHAnsi"/>
          <w:lang w:val="en-GB"/>
        </w:rPr>
        <w:t xml:space="preserve"> for declaratory ruling</w:t>
      </w:r>
      <w:r w:rsidR="00F374A0" w:rsidRPr="00F54106">
        <w:rPr>
          <w:rStyle w:val="FootnoteReference"/>
          <w:rFonts w:cstheme="minorHAnsi"/>
          <w:lang w:val="en-GB"/>
        </w:rPr>
        <w:footnoteReference w:id="347"/>
      </w:r>
      <w:r w:rsidR="00161A1C" w:rsidRPr="00F54106">
        <w:rPr>
          <w:rFonts w:cstheme="minorHAnsi"/>
          <w:lang w:val="en-GB"/>
        </w:rPr>
        <w:t xml:space="preserve"> and collective settlements under the WCAM</w:t>
      </w:r>
      <w:r w:rsidR="00DF364A" w:rsidRPr="00F54106">
        <w:rPr>
          <w:rFonts w:cstheme="minorHAnsi"/>
          <w:lang w:val="en-GB"/>
        </w:rPr>
        <w:t xml:space="preserve"> could be initiated</w:t>
      </w:r>
      <w:r w:rsidR="00BE06E0" w:rsidRPr="00F54106">
        <w:rPr>
          <w:rFonts w:cstheme="minorHAnsi"/>
          <w:lang w:val="en-GB"/>
        </w:rPr>
        <w:t>.</w:t>
      </w:r>
      <w:r w:rsidR="00161A1C" w:rsidRPr="00F54106">
        <w:rPr>
          <w:rFonts w:cstheme="minorHAnsi"/>
          <w:lang w:val="en-GB"/>
        </w:rPr>
        <w:t xml:space="preserve"> </w:t>
      </w:r>
      <w:r w:rsidR="00BE06E0" w:rsidRPr="00F54106">
        <w:rPr>
          <w:rFonts w:cstheme="minorHAnsi"/>
          <w:lang w:val="en-GB"/>
        </w:rPr>
        <w:t>I</w:t>
      </w:r>
      <w:r w:rsidR="00161A1C" w:rsidRPr="00F54106">
        <w:rPr>
          <w:rFonts w:cstheme="minorHAnsi"/>
          <w:lang w:val="en-GB"/>
        </w:rPr>
        <w:t>t was not possible to</w:t>
      </w:r>
      <w:r w:rsidR="00DF364A" w:rsidRPr="00F54106">
        <w:rPr>
          <w:rFonts w:cstheme="minorHAnsi"/>
          <w:lang w:val="en-GB"/>
        </w:rPr>
        <w:t xml:space="preserve"> claim</w:t>
      </w:r>
      <w:r w:rsidR="00F20C2C" w:rsidRPr="00F54106">
        <w:rPr>
          <w:rFonts w:cstheme="minorHAnsi"/>
          <w:lang w:val="en-GB"/>
        </w:rPr>
        <w:t xml:space="preserve"> damages</w:t>
      </w:r>
      <w:r w:rsidR="00161A1C" w:rsidRPr="00F54106">
        <w:rPr>
          <w:rFonts w:cstheme="minorHAnsi"/>
          <w:lang w:val="en-GB"/>
        </w:rPr>
        <w:t xml:space="preserve"> </w:t>
      </w:r>
      <w:r w:rsidR="00DF364A" w:rsidRPr="00F54106">
        <w:rPr>
          <w:rFonts w:cstheme="minorHAnsi"/>
          <w:lang w:val="en-GB"/>
        </w:rPr>
        <w:t xml:space="preserve">collectively. </w:t>
      </w:r>
      <w:r w:rsidR="00F374A0" w:rsidRPr="00F54106">
        <w:rPr>
          <w:rFonts w:cstheme="minorHAnsi"/>
          <w:lang w:val="en-GB"/>
        </w:rPr>
        <w:t>As a complementary to the WCAM, t</w:t>
      </w:r>
      <w:r w:rsidR="00DF364A" w:rsidRPr="00F54106">
        <w:rPr>
          <w:rFonts w:cstheme="minorHAnsi"/>
          <w:lang w:val="en-GB"/>
        </w:rPr>
        <w:t>he implementation of the WAMCA into Article 3:305a of the DCC</w:t>
      </w:r>
      <w:r w:rsidR="00AE131B" w:rsidRPr="00F54106">
        <w:rPr>
          <w:rFonts w:cstheme="minorHAnsi"/>
          <w:lang w:val="en-GB"/>
        </w:rPr>
        <w:t xml:space="preserve"> and Articles 1018b to 1018m</w:t>
      </w:r>
      <w:r w:rsidR="00DF364A" w:rsidRPr="00F54106">
        <w:rPr>
          <w:rFonts w:cstheme="minorHAnsi"/>
          <w:lang w:val="en-GB"/>
        </w:rPr>
        <w:t xml:space="preserve"> </w:t>
      </w:r>
      <w:r w:rsidR="00AE131B" w:rsidRPr="00F54106">
        <w:rPr>
          <w:rFonts w:cstheme="minorHAnsi"/>
          <w:lang w:val="en-GB"/>
        </w:rPr>
        <w:t xml:space="preserve">of the DCCP </w:t>
      </w:r>
      <w:r w:rsidR="00DF364A" w:rsidRPr="00F54106">
        <w:rPr>
          <w:rFonts w:cstheme="minorHAnsi"/>
          <w:lang w:val="en-GB"/>
        </w:rPr>
        <w:t>now makes it possible to collectively claim</w:t>
      </w:r>
      <w:r w:rsidR="00A67D56" w:rsidRPr="00F54106">
        <w:rPr>
          <w:rFonts w:cstheme="minorHAnsi"/>
          <w:lang w:val="en-GB"/>
        </w:rPr>
        <w:t xml:space="preserve"> </w:t>
      </w:r>
      <w:r w:rsidR="00161A1C" w:rsidRPr="00F54106">
        <w:rPr>
          <w:rFonts w:cstheme="minorHAnsi"/>
          <w:lang w:val="en-GB"/>
        </w:rPr>
        <w:t xml:space="preserve">damages </w:t>
      </w:r>
      <w:r w:rsidR="00A67D56" w:rsidRPr="00F54106">
        <w:rPr>
          <w:rFonts w:cstheme="minorHAnsi"/>
          <w:lang w:val="en-GB"/>
        </w:rPr>
        <w:t>on an opt-out basis</w:t>
      </w:r>
      <w:r w:rsidR="00DF364A" w:rsidRPr="00F54106">
        <w:rPr>
          <w:rFonts w:cstheme="minorHAnsi"/>
          <w:lang w:val="en-GB"/>
        </w:rPr>
        <w:t xml:space="preserve"> through </w:t>
      </w:r>
      <w:r w:rsidR="00A67D56" w:rsidRPr="00F54106">
        <w:rPr>
          <w:rFonts w:cstheme="minorHAnsi"/>
          <w:lang w:val="en-GB"/>
        </w:rPr>
        <w:t>“</w:t>
      </w:r>
      <w:r w:rsidR="00DF364A" w:rsidRPr="00F54106">
        <w:rPr>
          <w:rFonts w:cstheme="minorHAnsi"/>
          <w:lang w:val="en-GB"/>
        </w:rPr>
        <w:t xml:space="preserve">a </w:t>
      </w:r>
      <w:r w:rsidR="00A67D56" w:rsidRPr="00F54106">
        <w:rPr>
          <w:rFonts w:cstheme="minorHAnsi"/>
          <w:lang w:val="en-GB"/>
        </w:rPr>
        <w:t>foundation or association with full legal capacity, … which has the objection to protect specific interests”</w:t>
      </w:r>
      <w:r w:rsidR="00D603BD" w:rsidRPr="00F54106">
        <w:rPr>
          <w:rFonts w:cstheme="minorHAnsi"/>
          <w:lang w:val="en-GB"/>
        </w:rPr>
        <w:t>.</w:t>
      </w:r>
      <w:r w:rsidR="00A67D56" w:rsidRPr="00F54106">
        <w:rPr>
          <w:rStyle w:val="FootnoteReference"/>
          <w:rFonts w:cstheme="minorHAnsi"/>
          <w:lang w:val="en-GB"/>
        </w:rPr>
        <w:footnoteReference w:id="348"/>
      </w:r>
      <w:r w:rsidR="00A67D56" w:rsidRPr="00F54106">
        <w:rPr>
          <w:rFonts w:cstheme="minorHAnsi"/>
          <w:lang w:val="en-GB"/>
        </w:rPr>
        <w:t xml:space="preserve"> </w:t>
      </w:r>
      <w:r w:rsidR="00161A1C" w:rsidRPr="00F54106">
        <w:rPr>
          <w:rFonts w:cstheme="minorHAnsi"/>
          <w:lang w:val="en-GB"/>
        </w:rPr>
        <w:t>The aim of the WAMCA was to facilitate compensation by providing the opportunity to collective claim and also to make sure that different interest groups will not start separate proceedings over the same event.</w:t>
      </w:r>
      <w:r w:rsidR="00161A1C" w:rsidRPr="00F54106">
        <w:rPr>
          <w:rStyle w:val="FootnoteReference"/>
          <w:rFonts w:cstheme="minorHAnsi"/>
          <w:lang w:val="en-GB"/>
        </w:rPr>
        <w:footnoteReference w:id="349"/>
      </w:r>
    </w:p>
    <w:p w14:paraId="0D6EA83A" w14:textId="7CC5BD25" w:rsidR="0021025F" w:rsidRPr="00F54106" w:rsidRDefault="007B7C72" w:rsidP="00FC31D7">
      <w:pPr>
        <w:spacing w:line="276" w:lineRule="auto"/>
        <w:ind w:firstLine="720"/>
        <w:rPr>
          <w:rFonts w:cstheme="minorHAnsi"/>
          <w:lang w:val="en-GB"/>
        </w:rPr>
      </w:pPr>
      <w:r w:rsidRPr="00F54106">
        <w:rPr>
          <w:rFonts w:cstheme="minorHAnsi"/>
          <w:lang w:val="en-GB"/>
        </w:rPr>
        <w:t xml:space="preserve">In order to qualify as a representative, additional safeguards and requirements were implemented to ensure standing of the foundation or association. </w:t>
      </w:r>
      <w:r w:rsidR="00EC2AF3" w:rsidRPr="00F54106">
        <w:rPr>
          <w:rFonts w:cstheme="minorHAnsi"/>
          <w:lang w:val="en-GB"/>
        </w:rPr>
        <w:t xml:space="preserve">For example, </w:t>
      </w:r>
      <w:r w:rsidR="00B93814" w:rsidRPr="00F54106">
        <w:rPr>
          <w:rFonts w:cstheme="minorHAnsi"/>
          <w:lang w:val="en-GB"/>
        </w:rPr>
        <w:t>there must have been a reasonable attempt by the representative to settle the case,</w:t>
      </w:r>
      <w:r w:rsidR="00B93814" w:rsidRPr="00F54106">
        <w:rPr>
          <w:rStyle w:val="FootnoteReference"/>
          <w:rFonts w:cstheme="minorHAnsi"/>
          <w:lang w:val="en-GB"/>
        </w:rPr>
        <w:footnoteReference w:id="350"/>
      </w:r>
      <w:r w:rsidR="00572A27" w:rsidRPr="00F54106">
        <w:rPr>
          <w:rFonts w:cstheme="minorHAnsi"/>
          <w:lang w:val="en-GB"/>
        </w:rPr>
        <w:t xml:space="preserve"> </w:t>
      </w:r>
      <w:r w:rsidR="00B93814" w:rsidRPr="00F54106">
        <w:rPr>
          <w:rFonts w:cstheme="minorHAnsi"/>
          <w:lang w:val="en-GB"/>
        </w:rPr>
        <w:t>the representative needs to have sufficient experience</w:t>
      </w:r>
      <w:r w:rsidR="00572A27" w:rsidRPr="00F54106">
        <w:rPr>
          <w:rFonts w:cstheme="minorHAnsi"/>
          <w:lang w:val="en-GB"/>
        </w:rPr>
        <w:t xml:space="preserve">, </w:t>
      </w:r>
      <w:r w:rsidR="00B93814" w:rsidRPr="00F54106">
        <w:rPr>
          <w:rFonts w:cstheme="minorHAnsi"/>
          <w:lang w:val="en-GB"/>
        </w:rPr>
        <w:t xml:space="preserve">expertise </w:t>
      </w:r>
      <w:r w:rsidR="00572A27" w:rsidRPr="00F54106">
        <w:rPr>
          <w:rFonts w:cstheme="minorHAnsi"/>
          <w:lang w:val="en-GB"/>
        </w:rPr>
        <w:t>and knowhow in relation to the interests it represents</w:t>
      </w:r>
      <w:r w:rsidR="00644800" w:rsidRPr="00F54106">
        <w:rPr>
          <w:rFonts w:cstheme="minorHAnsi"/>
          <w:lang w:val="en-GB"/>
        </w:rPr>
        <w:t>, and must have a non-profit purpose</w:t>
      </w:r>
      <w:r w:rsidR="001623EF" w:rsidRPr="00F54106">
        <w:rPr>
          <w:rFonts w:cstheme="minorHAnsi"/>
          <w:lang w:val="en-GB"/>
        </w:rPr>
        <w:t>.</w:t>
      </w:r>
      <w:r w:rsidR="00644800" w:rsidRPr="00F54106">
        <w:rPr>
          <w:rStyle w:val="FootnoteReference"/>
          <w:rFonts w:cstheme="minorHAnsi"/>
          <w:lang w:val="en-GB"/>
        </w:rPr>
        <w:footnoteReference w:id="351"/>
      </w:r>
      <w:r w:rsidR="001623EF" w:rsidRPr="00F54106">
        <w:rPr>
          <w:rFonts w:cstheme="minorHAnsi"/>
          <w:lang w:val="en-GB"/>
        </w:rPr>
        <w:t xml:space="preserve"> </w:t>
      </w:r>
      <w:r w:rsidR="004425E9" w:rsidRPr="00F54106">
        <w:rPr>
          <w:rFonts w:cstheme="minorHAnsi"/>
          <w:lang w:val="en-GB"/>
        </w:rPr>
        <w:t>A</w:t>
      </w:r>
      <w:r w:rsidR="001623EF" w:rsidRPr="00F54106">
        <w:rPr>
          <w:rFonts w:cstheme="minorHAnsi"/>
          <w:lang w:val="en-GB"/>
        </w:rPr>
        <w:t xml:space="preserve"> claim </w:t>
      </w:r>
      <w:r w:rsidR="004425E9" w:rsidRPr="00F54106">
        <w:rPr>
          <w:rFonts w:cstheme="minorHAnsi"/>
          <w:lang w:val="en-GB"/>
        </w:rPr>
        <w:t xml:space="preserve">will then only be dealt with if it </w:t>
      </w:r>
      <w:r w:rsidR="001623EF" w:rsidRPr="00F54106">
        <w:rPr>
          <w:rFonts w:cstheme="minorHAnsi"/>
          <w:lang w:val="en-GB"/>
        </w:rPr>
        <w:t>can be accepted under Article 3:305(a) of the DCC</w:t>
      </w:r>
      <w:r w:rsidR="004425E9" w:rsidRPr="00F54106">
        <w:rPr>
          <w:rFonts w:cstheme="minorHAnsi"/>
          <w:lang w:val="en-GB"/>
        </w:rPr>
        <w:t xml:space="preserve">, </w:t>
      </w:r>
      <w:r w:rsidR="009E3DD4" w:rsidRPr="00F54106">
        <w:rPr>
          <w:rFonts w:cstheme="minorHAnsi"/>
          <w:lang w:val="en-GB"/>
        </w:rPr>
        <w:t xml:space="preserve">if </w:t>
      </w:r>
      <w:r w:rsidR="001623EF" w:rsidRPr="00F54106">
        <w:rPr>
          <w:rFonts w:cstheme="minorHAnsi"/>
          <w:lang w:val="en-GB"/>
        </w:rPr>
        <w:t xml:space="preserve">it has been made sufficiently clear that bringing a collective action will be more efficient and effective than an individual </w:t>
      </w:r>
      <w:r w:rsidR="004425E9" w:rsidRPr="00F54106">
        <w:rPr>
          <w:rFonts w:cstheme="minorHAnsi"/>
          <w:lang w:val="en-GB"/>
        </w:rPr>
        <w:t>action</w:t>
      </w:r>
      <w:r w:rsidR="004977F9" w:rsidRPr="00F54106">
        <w:rPr>
          <w:rFonts w:cstheme="minorHAnsi"/>
          <w:lang w:val="en-GB"/>
        </w:rPr>
        <w:t xml:space="preserve">, and </w:t>
      </w:r>
      <w:r w:rsidR="004425E9" w:rsidRPr="00F54106">
        <w:rPr>
          <w:rFonts w:cstheme="minorHAnsi"/>
          <w:lang w:val="en-GB"/>
        </w:rPr>
        <w:t>if the claim is not without merit at the time of proceedings</w:t>
      </w:r>
      <w:r w:rsidR="001623EF" w:rsidRPr="00F54106">
        <w:rPr>
          <w:rFonts w:cstheme="minorHAnsi"/>
          <w:lang w:val="en-GB"/>
        </w:rPr>
        <w:t>.</w:t>
      </w:r>
      <w:r w:rsidR="00C91BE3" w:rsidRPr="00F54106">
        <w:rPr>
          <w:rStyle w:val="FootnoteReference"/>
          <w:rFonts w:cstheme="minorHAnsi"/>
          <w:lang w:val="en-GB"/>
        </w:rPr>
        <w:footnoteReference w:id="352"/>
      </w:r>
      <w:r w:rsidR="00097F39" w:rsidRPr="00F54106">
        <w:rPr>
          <w:rFonts w:cstheme="minorHAnsi"/>
          <w:lang w:val="en-GB"/>
        </w:rPr>
        <w:t xml:space="preserve"> As </w:t>
      </w:r>
      <w:r w:rsidR="00CA29E9" w:rsidRPr="00F54106">
        <w:rPr>
          <w:rFonts w:cstheme="minorHAnsi"/>
          <w:lang w:val="en-GB"/>
        </w:rPr>
        <w:lastRenderedPageBreak/>
        <w:t xml:space="preserve">was </w:t>
      </w:r>
      <w:r w:rsidR="009E3DD4" w:rsidRPr="00F54106">
        <w:rPr>
          <w:rFonts w:cstheme="minorHAnsi"/>
          <w:lang w:val="en-GB"/>
        </w:rPr>
        <w:t>seen in</w:t>
      </w:r>
      <w:r w:rsidR="00097F39" w:rsidRPr="00F54106">
        <w:rPr>
          <w:rFonts w:cstheme="minorHAnsi"/>
          <w:lang w:val="en-GB"/>
        </w:rPr>
        <w:t xml:space="preserve"> </w:t>
      </w:r>
      <w:r w:rsidR="009E3DD4" w:rsidRPr="00F54106">
        <w:rPr>
          <w:rFonts w:cstheme="minorHAnsi"/>
          <w:lang w:val="en-GB"/>
        </w:rPr>
        <w:t>Germany</w:t>
      </w:r>
      <w:r w:rsidR="00097F39" w:rsidRPr="00F54106">
        <w:rPr>
          <w:rFonts w:cstheme="minorHAnsi"/>
          <w:lang w:val="en-GB"/>
        </w:rPr>
        <w:t>, foreign members of the class are required to opt-in within the opt-out time period, which is set by the court at a minimum of one month.</w:t>
      </w:r>
      <w:r w:rsidR="00097F39" w:rsidRPr="00F54106">
        <w:rPr>
          <w:rStyle w:val="FootnoteReference"/>
          <w:rFonts w:cstheme="minorHAnsi"/>
          <w:lang w:val="en-GB"/>
        </w:rPr>
        <w:footnoteReference w:id="353"/>
      </w:r>
    </w:p>
    <w:p w14:paraId="7968DE03" w14:textId="773EC483" w:rsidR="00F667B2" w:rsidRPr="00F54106" w:rsidRDefault="00097F39" w:rsidP="00FC31D7">
      <w:pPr>
        <w:spacing w:line="276" w:lineRule="auto"/>
        <w:ind w:firstLine="720"/>
        <w:rPr>
          <w:rFonts w:cstheme="minorHAnsi"/>
          <w:lang w:val="en-GB"/>
        </w:rPr>
      </w:pPr>
      <w:r w:rsidRPr="00F54106">
        <w:rPr>
          <w:rFonts w:cstheme="minorHAnsi"/>
          <w:lang w:val="en-GB"/>
        </w:rPr>
        <w:t xml:space="preserve">After an exclusive representative is appointed, </w:t>
      </w:r>
      <w:r w:rsidR="00ED2DA6" w:rsidRPr="00F54106">
        <w:rPr>
          <w:rFonts w:cstheme="minorHAnsi"/>
          <w:lang w:val="en-GB"/>
        </w:rPr>
        <w:t>a period to reach a collective settlement agreement will be provided by the court where the agreement must fulfil the requirements in Article 7:907 DCC and court approval on the agreement must be obtained.</w:t>
      </w:r>
      <w:r w:rsidR="00ED2DA6" w:rsidRPr="00F54106">
        <w:rPr>
          <w:rStyle w:val="FootnoteReference"/>
          <w:rFonts w:cstheme="minorHAnsi"/>
          <w:lang w:val="en-GB"/>
        </w:rPr>
        <w:footnoteReference w:id="354"/>
      </w:r>
      <w:r w:rsidR="00161A1C" w:rsidRPr="00F54106">
        <w:rPr>
          <w:rFonts w:cstheme="minorHAnsi"/>
          <w:lang w:val="en-GB"/>
        </w:rPr>
        <w:t xml:space="preserve"> Once a settlement is reached</w:t>
      </w:r>
      <w:r w:rsidR="005E2AA1" w:rsidRPr="00F54106">
        <w:rPr>
          <w:rFonts w:cstheme="minorHAnsi"/>
          <w:lang w:val="en-GB"/>
        </w:rPr>
        <w:t xml:space="preserve"> and the court declares it as binding, another opportunity to opt-out will be provided</w:t>
      </w:r>
      <w:r w:rsidR="00BE06E0" w:rsidRPr="00F54106">
        <w:rPr>
          <w:rFonts w:cstheme="minorHAnsi"/>
          <w:lang w:val="en-GB"/>
        </w:rPr>
        <w:t>.</w:t>
      </w:r>
      <w:r w:rsidR="005E2AA1" w:rsidRPr="00F54106">
        <w:rPr>
          <w:rFonts w:cstheme="minorHAnsi"/>
          <w:lang w:val="en-GB"/>
        </w:rPr>
        <w:t xml:space="preserve"> </w:t>
      </w:r>
      <w:r w:rsidR="00CA29E9" w:rsidRPr="00F54106">
        <w:rPr>
          <w:rFonts w:cstheme="minorHAnsi"/>
          <w:lang w:val="en-GB"/>
        </w:rPr>
        <w:t>Lastly, t</w:t>
      </w:r>
      <w:r w:rsidR="00BE06E0" w:rsidRPr="00F54106">
        <w:rPr>
          <w:rFonts w:cstheme="minorHAnsi"/>
          <w:lang w:val="en-GB"/>
        </w:rPr>
        <w:t>he t</w:t>
      </w:r>
      <w:r w:rsidR="005E2AA1" w:rsidRPr="00F54106">
        <w:rPr>
          <w:rFonts w:cstheme="minorHAnsi"/>
          <w:lang w:val="en-GB"/>
        </w:rPr>
        <w:t xml:space="preserve">emporal scope </w:t>
      </w:r>
      <w:r w:rsidR="00BE06E0" w:rsidRPr="00F54106">
        <w:rPr>
          <w:rFonts w:cstheme="minorHAnsi"/>
          <w:lang w:val="en-GB"/>
        </w:rPr>
        <w:t xml:space="preserve">of the WAMCA </w:t>
      </w:r>
      <w:r w:rsidR="005E2AA1" w:rsidRPr="00F54106">
        <w:rPr>
          <w:rFonts w:cstheme="minorHAnsi"/>
          <w:lang w:val="en-GB"/>
        </w:rPr>
        <w:t>is applicable to events that occurred on or after the 15</w:t>
      </w:r>
      <w:r w:rsidR="005E2AA1" w:rsidRPr="00F54106">
        <w:rPr>
          <w:rFonts w:cstheme="minorHAnsi"/>
          <w:vertAlign w:val="superscript"/>
          <w:lang w:val="en-GB"/>
        </w:rPr>
        <w:t>th</w:t>
      </w:r>
      <w:r w:rsidR="005E2AA1" w:rsidRPr="00F54106">
        <w:rPr>
          <w:rFonts w:cstheme="minorHAnsi"/>
          <w:lang w:val="en-GB"/>
        </w:rPr>
        <w:t xml:space="preserve"> of November 2016 and are brought on or after the 1</w:t>
      </w:r>
      <w:r w:rsidR="005E2AA1" w:rsidRPr="00F54106">
        <w:rPr>
          <w:rFonts w:cstheme="minorHAnsi"/>
          <w:vertAlign w:val="superscript"/>
          <w:lang w:val="en-GB"/>
        </w:rPr>
        <w:t>st</w:t>
      </w:r>
      <w:r w:rsidR="005E2AA1" w:rsidRPr="00F54106">
        <w:rPr>
          <w:rFonts w:cstheme="minorHAnsi"/>
          <w:lang w:val="en-GB"/>
        </w:rPr>
        <w:t xml:space="preserve"> of January 2020.</w:t>
      </w:r>
      <w:r w:rsidR="005E2AA1" w:rsidRPr="00F54106">
        <w:rPr>
          <w:rStyle w:val="FootnoteReference"/>
          <w:rFonts w:cstheme="minorHAnsi"/>
          <w:lang w:val="en-GB"/>
        </w:rPr>
        <w:footnoteReference w:id="355"/>
      </w:r>
    </w:p>
    <w:p w14:paraId="470DA2A1" w14:textId="77777777" w:rsidR="00080DC8" w:rsidRPr="00F54106" w:rsidRDefault="00080DC8" w:rsidP="00080DC8">
      <w:pPr>
        <w:spacing w:line="276" w:lineRule="auto"/>
        <w:rPr>
          <w:rFonts w:cstheme="minorHAnsi"/>
          <w:lang w:val="en-GB"/>
        </w:rPr>
      </w:pPr>
    </w:p>
    <w:p w14:paraId="7124CAF5" w14:textId="34774EB4" w:rsidR="00080DC8" w:rsidRPr="00F54106" w:rsidRDefault="0046256E" w:rsidP="0046256E">
      <w:pPr>
        <w:pStyle w:val="Heading3"/>
        <w:rPr>
          <w:lang w:val="en-GB"/>
        </w:rPr>
      </w:pPr>
      <w:bookmarkStart w:id="147" w:name="_Toc107610239"/>
      <w:r w:rsidRPr="00F54106">
        <w:rPr>
          <w:lang w:val="en-GB"/>
        </w:rPr>
        <w:t>2.3</w:t>
      </w:r>
      <w:r w:rsidR="00080DC8" w:rsidRPr="00F54106">
        <w:rPr>
          <w:lang w:val="en-GB"/>
        </w:rPr>
        <w:t xml:space="preserve">.4 </w:t>
      </w:r>
      <w:r w:rsidR="0009578A">
        <w:rPr>
          <w:lang w:val="en-GB"/>
        </w:rPr>
        <w:t xml:space="preserve">The </w:t>
      </w:r>
      <w:r w:rsidR="00CE62FD">
        <w:rPr>
          <w:lang w:val="en-GB"/>
        </w:rPr>
        <w:t>adoption of jurisdiction by Dutch courts: Dutch courts rarely decline jurisdiction</w:t>
      </w:r>
      <w:bookmarkEnd w:id="147"/>
    </w:p>
    <w:p w14:paraId="2B8B1C5B" w14:textId="77777777" w:rsidR="00080DC8" w:rsidRPr="00F54106" w:rsidRDefault="00080DC8" w:rsidP="00080DC8">
      <w:pPr>
        <w:spacing w:line="276" w:lineRule="auto"/>
        <w:rPr>
          <w:rFonts w:cstheme="minorHAnsi"/>
          <w:lang w:val="en-GB"/>
        </w:rPr>
      </w:pPr>
      <w:r w:rsidRPr="00F54106">
        <w:rPr>
          <w:rFonts w:cstheme="minorHAnsi"/>
          <w:lang w:val="en-GB"/>
        </w:rPr>
        <w:t>There are multiple possibilities to establish jurisdiction before Dutch courts under the Brussels I regime. However, the general rule of the Dutch courts when assuming jurisdiction remains whether parties are domiciled in the Netherlands,</w:t>
      </w:r>
      <w:r w:rsidRPr="00F54106">
        <w:rPr>
          <w:rStyle w:val="FootnoteReference"/>
          <w:rFonts w:cstheme="minorHAnsi"/>
          <w:lang w:val="en-GB"/>
        </w:rPr>
        <w:footnoteReference w:id="356"/>
      </w:r>
      <w:r w:rsidRPr="00F54106">
        <w:rPr>
          <w:rFonts w:cstheme="minorHAnsi"/>
          <w:lang w:val="en-GB"/>
        </w:rPr>
        <w:t xml:space="preserve"> which is the case when an undertaking is domiciled, has a statutory seat, central administration or principal place of business in the Netherlands.</w:t>
      </w:r>
      <w:r w:rsidRPr="00F54106">
        <w:rPr>
          <w:rStyle w:val="FootnoteReference"/>
          <w:rFonts w:cstheme="minorHAnsi"/>
          <w:lang w:val="en-GB"/>
        </w:rPr>
        <w:footnoteReference w:id="357"/>
      </w:r>
      <w:r w:rsidRPr="00F54106">
        <w:rPr>
          <w:rFonts w:cstheme="minorHAnsi"/>
          <w:lang w:val="en-GB"/>
        </w:rPr>
        <w:t xml:space="preserve"> </w:t>
      </w:r>
    </w:p>
    <w:p w14:paraId="12CB9292" w14:textId="7C294D65" w:rsidR="00080DC8" w:rsidRPr="00F54106" w:rsidRDefault="00080DC8" w:rsidP="00080DC8">
      <w:pPr>
        <w:spacing w:line="276" w:lineRule="auto"/>
        <w:ind w:firstLine="720"/>
        <w:rPr>
          <w:rFonts w:cstheme="minorHAnsi"/>
          <w:lang w:val="en-GB"/>
        </w:rPr>
      </w:pPr>
      <w:r w:rsidRPr="00F54106">
        <w:rPr>
          <w:rFonts w:cstheme="minorHAnsi"/>
          <w:lang w:val="en-GB"/>
        </w:rPr>
        <w:t>The threshold for Dutch courts to adopt jurisdiction is named to be low, while Dutch courts very rarely decline it.</w:t>
      </w:r>
      <w:r w:rsidRPr="00F54106">
        <w:rPr>
          <w:rStyle w:val="FootnoteReference"/>
          <w:rFonts w:cstheme="minorHAnsi"/>
          <w:lang w:val="en-GB"/>
        </w:rPr>
        <w:footnoteReference w:id="358"/>
      </w:r>
      <w:r w:rsidRPr="00F54106">
        <w:rPr>
          <w:rFonts w:cstheme="minorHAnsi"/>
          <w:lang w:val="en-GB"/>
        </w:rPr>
        <w:t xml:space="preserve"> Claimants often make use of Article 8(1) of Brussels I and the Dutch courts will usually accept jurisdiction under it whenever a Dutch anchor defendant is included in the proceedings and the claims against the foreign defendants are sufficiently close connected to the claims against the Dutch defendant. Sometimes, Dutch courts did not require a Dutch anchor defendant and instead adopted jurisdiction when the infringement took place in the Netherlands or the damage had materialized in it under Article 7(2) of Brussels I.</w:t>
      </w:r>
      <w:r w:rsidRPr="00F54106">
        <w:rPr>
          <w:rStyle w:val="FootnoteReference"/>
          <w:rFonts w:cstheme="minorHAnsi"/>
          <w:lang w:val="en-GB"/>
        </w:rPr>
        <w:footnoteReference w:id="359"/>
      </w:r>
      <w:r w:rsidRPr="00F54106">
        <w:rPr>
          <w:rFonts w:cstheme="minorHAnsi"/>
          <w:lang w:val="en-GB"/>
        </w:rPr>
        <w:t xml:space="preserve"> In addition, adoption on the basis of other legal </w:t>
      </w:r>
      <w:r w:rsidRPr="00F54106">
        <w:rPr>
          <w:rFonts w:cstheme="minorHAnsi"/>
          <w:lang w:val="en-GB"/>
        </w:rPr>
        <w:lastRenderedPageBreak/>
        <w:t xml:space="preserve">grounds such as tort or unjust enrichment in </w:t>
      </w:r>
      <w:proofErr w:type="spellStart"/>
      <w:r w:rsidRPr="00F54106">
        <w:rPr>
          <w:rFonts w:cstheme="minorHAnsi"/>
          <w:i/>
          <w:iCs/>
          <w:lang w:val="en-GB"/>
        </w:rPr>
        <w:t>Tennet</w:t>
      </w:r>
      <w:proofErr w:type="spellEnd"/>
      <w:r w:rsidRPr="00F54106">
        <w:rPr>
          <w:rFonts w:cstheme="minorHAnsi"/>
          <w:i/>
          <w:iCs/>
          <w:lang w:val="en-GB"/>
        </w:rPr>
        <w:t xml:space="preserve"> v ABB</w:t>
      </w:r>
      <w:r w:rsidRPr="00F54106">
        <w:rPr>
          <w:rStyle w:val="FootnoteReference"/>
          <w:rFonts w:cstheme="minorHAnsi"/>
          <w:lang w:val="en-GB"/>
        </w:rPr>
        <w:footnoteReference w:id="360"/>
      </w:r>
      <w:r w:rsidRPr="00F54106">
        <w:rPr>
          <w:rFonts w:cstheme="minorHAnsi"/>
          <w:lang w:val="en-GB"/>
        </w:rPr>
        <w:t xml:space="preserve"> or the double litigation of a previously sued defendant to serve as an anchor defendant in new proceedings were also held possible by Dutch courts</w:t>
      </w:r>
      <w:r w:rsidR="00B644C9" w:rsidRPr="00F54106">
        <w:rPr>
          <w:rFonts w:cstheme="minorHAnsi"/>
          <w:lang w:val="en-GB"/>
        </w:rPr>
        <w:t>.</w:t>
      </w:r>
      <w:r w:rsidRPr="00F54106">
        <w:rPr>
          <w:rStyle w:val="FootnoteReference"/>
          <w:rFonts w:cstheme="minorHAnsi"/>
          <w:lang w:val="en-GB"/>
        </w:rPr>
        <w:footnoteReference w:id="361"/>
      </w:r>
      <w:r w:rsidRPr="00F54106">
        <w:rPr>
          <w:rFonts w:cstheme="minorHAnsi"/>
          <w:lang w:val="en-GB"/>
        </w:rPr>
        <w:t xml:space="preserve"> </w:t>
      </w:r>
      <w:r w:rsidR="00B644C9" w:rsidRPr="00F54106">
        <w:rPr>
          <w:rFonts w:cstheme="minorHAnsi"/>
          <w:lang w:val="en-GB"/>
        </w:rPr>
        <w:t>This</w:t>
      </w:r>
      <w:r w:rsidRPr="00F54106">
        <w:rPr>
          <w:rFonts w:cstheme="minorHAnsi"/>
          <w:lang w:val="en-GB"/>
        </w:rPr>
        <w:t xml:space="preserve"> is seen as a more novel approach to adopting jurisdiction under Article 8(1) of Brussels I.</w:t>
      </w:r>
      <w:r w:rsidRPr="00F54106">
        <w:rPr>
          <w:rStyle w:val="FootnoteReference"/>
          <w:rFonts w:cstheme="minorHAnsi"/>
          <w:lang w:val="en-GB"/>
        </w:rPr>
        <w:footnoteReference w:id="362"/>
      </w:r>
      <w:r w:rsidRPr="00F54106">
        <w:rPr>
          <w:rFonts w:cstheme="minorHAnsi"/>
          <w:lang w:val="en-GB"/>
        </w:rPr>
        <w:t xml:space="preserve"> A further claimant-friendly approach of the Dutch courts can also be found in the way liability is treated when a subsidiary of a cartelist is involved, but for which the subsidiary is not addressed in the European Commission decision.</w:t>
      </w:r>
      <w:r w:rsidRPr="00F54106">
        <w:rPr>
          <w:rStyle w:val="FootnoteReference"/>
          <w:rFonts w:cstheme="minorHAnsi"/>
          <w:lang w:val="en-GB"/>
        </w:rPr>
        <w:footnoteReference w:id="363"/>
      </w:r>
      <w:r w:rsidRPr="00F54106">
        <w:rPr>
          <w:rFonts w:cstheme="minorHAnsi"/>
          <w:lang w:val="en-GB"/>
        </w:rPr>
        <w:t xml:space="preserve"> </w:t>
      </w:r>
    </w:p>
    <w:p w14:paraId="26C2B7C4" w14:textId="632A51CC" w:rsidR="00080DC8" w:rsidRPr="00F54106" w:rsidRDefault="00080DC8" w:rsidP="00080DC8">
      <w:pPr>
        <w:spacing w:line="276" w:lineRule="auto"/>
        <w:ind w:firstLine="720"/>
        <w:rPr>
          <w:rFonts w:cstheme="minorHAnsi"/>
          <w:lang w:val="en-GB"/>
        </w:rPr>
      </w:pPr>
      <w:r w:rsidRPr="00F54106">
        <w:rPr>
          <w:rFonts w:cstheme="minorHAnsi"/>
          <w:lang w:val="en-GB"/>
        </w:rPr>
        <w:t xml:space="preserve">In </w:t>
      </w:r>
      <w:proofErr w:type="spellStart"/>
      <w:r w:rsidRPr="00F54106">
        <w:rPr>
          <w:rFonts w:cstheme="minorHAnsi"/>
          <w:i/>
          <w:iCs/>
          <w:lang w:val="en-GB"/>
        </w:rPr>
        <w:t>TenneT</w:t>
      </w:r>
      <w:proofErr w:type="spellEnd"/>
      <w:r w:rsidRPr="00F54106">
        <w:rPr>
          <w:rFonts w:cstheme="minorHAnsi"/>
          <w:i/>
          <w:iCs/>
          <w:lang w:val="en-GB"/>
        </w:rPr>
        <w:t xml:space="preserve"> v Alstom</w:t>
      </w:r>
      <w:r w:rsidRPr="00F54106">
        <w:rPr>
          <w:rFonts w:cstheme="minorHAnsi"/>
          <w:lang w:val="en-GB"/>
        </w:rPr>
        <w:t xml:space="preserve">, </w:t>
      </w:r>
      <w:proofErr w:type="spellStart"/>
      <w:r w:rsidRPr="00F54106">
        <w:rPr>
          <w:rFonts w:cstheme="minorHAnsi"/>
          <w:lang w:val="en-GB"/>
        </w:rPr>
        <w:t>TenneT</w:t>
      </w:r>
      <w:proofErr w:type="spellEnd"/>
      <w:r w:rsidRPr="00F54106">
        <w:rPr>
          <w:rFonts w:cstheme="minorHAnsi"/>
          <w:lang w:val="en-GB"/>
        </w:rPr>
        <w:t xml:space="preserve"> claimed that the selling of gas-insulated switchgear by </w:t>
      </w:r>
      <w:proofErr w:type="spellStart"/>
      <w:r w:rsidRPr="00F54106">
        <w:rPr>
          <w:rFonts w:cstheme="minorHAnsi"/>
          <w:lang w:val="en-GB"/>
        </w:rPr>
        <w:t>Cogelex</w:t>
      </w:r>
      <w:proofErr w:type="spellEnd"/>
      <w:r w:rsidRPr="00F54106">
        <w:rPr>
          <w:rFonts w:cstheme="minorHAnsi"/>
          <w:lang w:val="en-GB"/>
        </w:rPr>
        <w:t xml:space="preserve">, a subsidiary of Alstom, was to be regarded as a tortuous act due to the too high prices at which they were sold to </w:t>
      </w:r>
      <w:proofErr w:type="spellStart"/>
      <w:r w:rsidRPr="00F54106">
        <w:rPr>
          <w:rFonts w:cstheme="minorHAnsi"/>
          <w:lang w:val="en-GB"/>
        </w:rPr>
        <w:t>TenneT</w:t>
      </w:r>
      <w:proofErr w:type="spellEnd"/>
      <w:r w:rsidRPr="00F54106">
        <w:rPr>
          <w:rFonts w:cstheme="minorHAnsi"/>
          <w:lang w:val="en-GB"/>
        </w:rPr>
        <w:t xml:space="preserve">. Alstom was not domiciled in the Netherlands, so there would be no jurisdiction under Article 8(1) Brussels I. However, the District Court decided that Article 7(2) Brussels I could be applied as the agreement between </w:t>
      </w:r>
      <w:proofErr w:type="spellStart"/>
      <w:r w:rsidRPr="00F54106">
        <w:rPr>
          <w:rFonts w:cstheme="minorHAnsi"/>
          <w:lang w:val="en-GB"/>
        </w:rPr>
        <w:t>Cogelex</w:t>
      </w:r>
      <w:proofErr w:type="spellEnd"/>
      <w:r w:rsidRPr="00F54106">
        <w:rPr>
          <w:rFonts w:cstheme="minorHAnsi"/>
          <w:lang w:val="en-GB"/>
        </w:rPr>
        <w:t xml:space="preserve"> and </w:t>
      </w:r>
      <w:proofErr w:type="spellStart"/>
      <w:r w:rsidRPr="00F54106">
        <w:rPr>
          <w:rFonts w:cstheme="minorHAnsi"/>
          <w:lang w:val="en-GB"/>
        </w:rPr>
        <w:t>TenneT</w:t>
      </w:r>
      <w:proofErr w:type="spellEnd"/>
      <w:r w:rsidRPr="00F54106">
        <w:rPr>
          <w:rFonts w:cstheme="minorHAnsi"/>
          <w:lang w:val="en-GB"/>
        </w:rPr>
        <w:t xml:space="preserve"> was signed in Arnhem, which could be seen as the place in which the harmful event has occurred, and the damage occurred in Arnhem since </w:t>
      </w:r>
      <w:proofErr w:type="spellStart"/>
      <w:r w:rsidRPr="00F54106">
        <w:rPr>
          <w:rFonts w:cstheme="minorHAnsi"/>
          <w:lang w:val="en-GB"/>
        </w:rPr>
        <w:t>TenneT</w:t>
      </w:r>
      <w:proofErr w:type="spellEnd"/>
      <w:r w:rsidRPr="00F54106">
        <w:rPr>
          <w:rFonts w:cstheme="minorHAnsi"/>
          <w:lang w:val="en-GB"/>
        </w:rPr>
        <w:t xml:space="preserve"> was </w:t>
      </w:r>
      <w:r w:rsidR="00711AD0">
        <w:rPr>
          <w:rFonts w:cstheme="minorHAnsi"/>
          <w:lang w:val="en-GB"/>
        </w:rPr>
        <w:t>d</w:t>
      </w:r>
      <w:r w:rsidRPr="00F54106">
        <w:rPr>
          <w:rFonts w:cstheme="minorHAnsi"/>
          <w:lang w:val="en-GB"/>
        </w:rPr>
        <w:t>omiciled there as well.</w:t>
      </w:r>
      <w:r w:rsidRPr="00F54106">
        <w:rPr>
          <w:rStyle w:val="FootnoteReference"/>
          <w:rFonts w:cstheme="minorHAnsi"/>
          <w:lang w:val="en-GB"/>
        </w:rPr>
        <w:footnoteReference w:id="364"/>
      </w:r>
      <w:r w:rsidRPr="00F54106">
        <w:rPr>
          <w:rFonts w:cstheme="minorHAnsi"/>
          <w:lang w:val="en-GB"/>
        </w:rPr>
        <w:t xml:space="preserve"> Furthermore, the District Court considered that the question of whether the other defendants should also be held liable on the same facts and question of law should also be judged by the same court to avoid contradicting judgements</w:t>
      </w:r>
      <w:r w:rsidR="00B644C9" w:rsidRPr="00F54106">
        <w:rPr>
          <w:rFonts w:cstheme="minorHAnsi"/>
          <w:lang w:val="en-GB"/>
        </w:rPr>
        <w:t>. Hence,</w:t>
      </w:r>
      <w:r w:rsidRPr="00F54106">
        <w:rPr>
          <w:rFonts w:cstheme="minorHAnsi"/>
          <w:lang w:val="en-GB"/>
        </w:rPr>
        <w:t xml:space="preserve"> the District Court subsequently adopted jurisdiction.</w:t>
      </w:r>
      <w:r w:rsidRPr="00F54106">
        <w:rPr>
          <w:rStyle w:val="FootnoteReference"/>
          <w:rFonts w:cstheme="minorHAnsi"/>
          <w:lang w:val="en-GB"/>
        </w:rPr>
        <w:footnoteReference w:id="365"/>
      </w:r>
    </w:p>
    <w:p w14:paraId="1710B40C" w14:textId="77777777" w:rsidR="00080DC8" w:rsidRPr="00F54106" w:rsidRDefault="00080DC8" w:rsidP="00080DC8">
      <w:pPr>
        <w:spacing w:line="276" w:lineRule="auto"/>
        <w:ind w:firstLine="720"/>
        <w:rPr>
          <w:rFonts w:cstheme="minorHAnsi"/>
          <w:lang w:val="en-GB"/>
        </w:rPr>
      </w:pPr>
      <w:r w:rsidRPr="00F54106">
        <w:rPr>
          <w:rFonts w:cstheme="minorHAnsi"/>
          <w:lang w:val="en-GB"/>
        </w:rPr>
        <w:t xml:space="preserve">A District Court assumed jurisdiction in similar proceedings brought by </w:t>
      </w:r>
      <w:proofErr w:type="spellStart"/>
      <w:r w:rsidRPr="00F54106">
        <w:rPr>
          <w:rFonts w:cstheme="minorHAnsi"/>
          <w:lang w:val="en-GB"/>
        </w:rPr>
        <w:t>TenneT</w:t>
      </w:r>
      <w:proofErr w:type="spellEnd"/>
      <w:r w:rsidRPr="00F54106">
        <w:rPr>
          <w:rFonts w:cstheme="minorHAnsi"/>
          <w:lang w:val="en-GB"/>
        </w:rPr>
        <w:t xml:space="preserve"> against the Dutch domiciled ABB B.V. and ABB Holdings B.V., and the Swiss domiciled ABB LTD, which were also related to the gas-insulated switchgear cartel. This was done on the basis of Article 8(1) for the Dutch defendants and under Article 7(2) for the Swiss defendant.</w:t>
      </w:r>
      <w:r w:rsidRPr="00F54106">
        <w:rPr>
          <w:rStyle w:val="FootnoteReference"/>
          <w:rFonts w:cstheme="minorHAnsi"/>
          <w:lang w:val="en-GB"/>
        </w:rPr>
        <w:footnoteReference w:id="366"/>
      </w:r>
      <w:r w:rsidRPr="00F54106">
        <w:rPr>
          <w:rFonts w:cstheme="minorHAnsi"/>
          <w:lang w:val="en-GB"/>
        </w:rPr>
        <w:t xml:space="preserve"> The decision was appealed, but still refuted by the Court of Appeal which held that, because the two defendant are domiciled in the Netherlands and the claims against them were sufficiently close connected with those against the Swiss defendant, assuming international jurisdiction was allowed for </w:t>
      </w:r>
      <w:proofErr w:type="spellStart"/>
      <w:r w:rsidRPr="00F54106">
        <w:rPr>
          <w:rFonts w:cstheme="minorHAnsi"/>
          <w:lang w:val="en-GB"/>
        </w:rPr>
        <w:t>TenneT’s</w:t>
      </w:r>
      <w:proofErr w:type="spellEnd"/>
      <w:r w:rsidRPr="00F54106">
        <w:rPr>
          <w:rFonts w:cstheme="minorHAnsi"/>
          <w:lang w:val="en-GB"/>
        </w:rPr>
        <w:t xml:space="preserve"> tort-based claims, but also for other legal grounds.</w:t>
      </w:r>
      <w:r w:rsidRPr="00F54106">
        <w:rPr>
          <w:rStyle w:val="FootnoteReference"/>
          <w:rFonts w:cstheme="minorHAnsi"/>
          <w:lang w:val="en-GB"/>
        </w:rPr>
        <w:footnoteReference w:id="367"/>
      </w:r>
      <w:r w:rsidRPr="00F54106">
        <w:rPr>
          <w:rFonts w:cstheme="minorHAnsi"/>
          <w:lang w:val="en-GB"/>
        </w:rPr>
        <w:t xml:space="preserve"> In this Appeal, the court also concluded that a subsidiary may be held liable for its parent. It held that the attribution of the unlawful cartelist activities to the subsidiary could be done when subsidiary is directed by the parent, while, in this specific case, the subsidiary also did not deliver any motivation on why its subsidiary’s behaviour would not be directed by its parent.</w:t>
      </w:r>
      <w:r w:rsidRPr="00F54106">
        <w:rPr>
          <w:rStyle w:val="FootnoteReference"/>
          <w:rFonts w:cstheme="minorHAnsi"/>
          <w:lang w:val="en-GB"/>
        </w:rPr>
        <w:footnoteReference w:id="368"/>
      </w:r>
    </w:p>
    <w:p w14:paraId="76D7DBAA" w14:textId="77777777" w:rsidR="00080DC8" w:rsidRPr="00F54106" w:rsidRDefault="00080DC8" w:rsidP="00080DC8">
      <w:pPr>
        <w:spacing w:line="276" w:lineRule="auto"/>
        <w:ind w:firstLine="720"/>
        <w:rPr>
          <w:rFonts w:cstheme="minorHAnsi"/>
          <w:lang w:val="en-GB"/>
        </w:rPr>
      </w:pPr>
      <w:r w:rsidRPr="00F54106">
        <w:rPr>
          <w:rFonts w:cstheme="minorHAnsi"/>
          <w:lang w:val="en-GB"/>
        </w:rPr>
        <w:lastRenderedPageBreak/>
        <w:t>As a result, the liberal approach of Dutch courts on applying the burden of proof have mainly been in the favour of claimants.</w:t>
      </w:r>
      <w:r w:rsidRPr="00F54106">
        <w:rPr>
          <w:rStyle w:val="FootnoteReference"/>
          <w:rFonts w:cstheme="minorHAnsi"/>
          <w:lang w:val="en-GB"/>
        </w:rPr>
        <w:footnoteReference w:id="369"/>
      </w:r>
      <w:r w:rsidRPr="00F54106">
        <w:rPr>
          <w:rFonts w:cstheme="minorHAnsi"/>
          <w:lang w:val="en-GB"/>
        </w:rPr>
        <w:t xml:space="preserve"> It is also argued that claimants can be relatively sure that jurisdiction will be adopted by the Dutch courts, which further facilitates the attraction for (follow-on) damages actions in the Netherlands.</w:t>
      </w:r>
      <w:r w:rsidRPr="00F54106">
        <w:rPr>
          <w:rStyle w:val="FootnoteReference"/>
          <w:rFonts w:cstheme="minorHAnsi"/>
          <w:lang w:val="en-GB"/>
        </w:rPr>
        <w:footnoteReference w:id="370"/>
      </w:r>
      <w:r w:rsidRPr="00F54106">
        <w:rPr>
          <w:rFonts w:cstheme="minorHAnsi"/>
          <w:lang w:val="en-GB"/>
        </w:rPr>
        <w:t xml:space="preserve"> In addition, a large foundation of claimant-favourable case law was already laid down in the Dutch forum,</w:t>
      </w:r>
      <w:r w:rsidRPr="00F54106">
        <w:rPr>
          <w:rStyle w:val="FootnoteReference"/>
          <w:rFonts w:cstheme="minorHAnsi"/>
          <w:lang w:val="en-GB"/>
        </w:rPr>
        <w:footnoteReference w:id="371"/>
      </w:r>
      <w:r w:rsidRPr="00F54106">
        <w:rPr>
          <w:rFonts w:cstheme="minorHAnsi"/>
          <w:lang w:val="en-GB"/>
        </w:rPr>
        <w:t xml:space="preserve"> for which it is said to create a virtuous circle as the favourable case law has drawn more cases to the Netherlands, enabling the Dutch courts to further substantiate on and evolve the Dutch case law.</w:t>
      </w:r>
      <w:r w:rsidRPr="00F54106">
        <w:rPr>
          <w:rStyle w:val="FootnoteReference"/>
          <w:rFonts w:cstheme="minorHAnsi"/>
          <w:lang w:val="en-GB"/>
        </w:rPr>
        <w:footnoteReference w:id="372"/>
      </w:r>
    </w:p>
    <w:p w14:paraId="14F9FBAB" w14:textId="34AD6E28" w:rsidR="009D3160" w:rsidRPr="00F54106" w:rsidRDefault="009D3160" w:rsidP="00FC31D7">
      <w:pPr>
        <w:spacing w:line="276" w:lineRule="auto"/>
        <w:rPr>
          <w:rFonts w:cstheme="minorHAnsi"/>
          <w:lang w:val="en-GB"/>
        </w:rPr>
      </w:pPr>
    </w:p>
    <w:p w14:paraId="679106EF" w14:textId="4295CA40" w:rsidR="00664709" w:rsidRPr="00F54106" w:rsidRDefault="006271C6" w:rsidP="006271C6">
      <w:pPr>
        <w:pStyle w:val="Heading3"/>
        <w:rPr>
          <w:lang w:val="en-GB"/>
        </w:rPr>
      </w:pPr>
      <w:bookmarkStart w:id="154" w:name="_Toc107610240"/>
      <w:r w:rsidRPr="00F54106">
        <w:rPr>
          <w:lang w:val="en-GB"/>
        </w:rPr>
        <w:t>2.3.5 Interim conclusions on the Dutch preferred forum</w:t>
      </w:r>
      <w:bookmarkEnd w:id="154"/>
    </w:p>
    <w:p w14:paraId="2CACF4B5" w14:textId="56BBE522" w:rsidR="00B72239" w:rsidRPr="00F54106" w:rsidRDefault="008C759F" w:rsidP="00FC31D7">
      <w:pPr>
        <w:spacing w:line="276" w:lineRule="auto"/>
        <w:rPr>
          <w:rFonts w:cstheme="minorHAnsi"/>
          <w:lang w:val="en-GB"/>
        </w:rPr>
      </w:pPr>
      <w:bookmarkStart w:id="155" w:name="_Hlk107588674"/>
      <w:r w:rsidRPr="00F54106">
        <w:rPr>
          <w:rFonts w:cstheme="minorHAnsi"/>
          <w:lang w:val="en-GB"/>
        </w:rPr>
        <w:t>Like Germany and the UK, the Netherlands is an appealing forum to engage in claims related to cartel damages</w:t>
      </w:r>
      <w:r w:rsidR="0043040E">
        <w:rPr>
          <w:rFonts w:cstheme="minorHAnsi"/>
          <w:lang w:val="en-GB"/>
        </w:rPr>
        <w:t xml:space="preserve"> according to the literature and several </w:t>
      </w:r>
      <w:r w:rsidR="005A091E">
        <w:rPr>
          <w:rFonts w:cstheme="minorHAnsi"/>
          <w:lang w:val="en-GB"/>
        </w:rPr>
        <w:t>enhancing</w:t>
      </w:r>
      <w:r w:rsidR="0043040E">
        <w:rPr>
          <w:rFonts w:cstheme="minorHAnsi"/>
          <w:lang w:val="en-GB"/>
        </w:rPr>
        <w:t xml:space="preserve"> features</w:t>
      </w:r>
      <w:r w:rsidR="005A091E">
        <w:rPr>
          <w:rFonts w:cstheme="minorHAnsi"/>
          <w:lang w:val="en-GB"/>
        </w:rPr>
        <w:t xml:space="preserve"> of the Netherlands</w:t>
      </w:r>
      <w:r w:rsidR="0043040E">
        <w:rPr>
          <w:rFonts w:cstheme="minorHAnsi"/>
          <w:lang w:val="en-GB"/>
        </w:rPr>
        <w:t xml:space="preserve"> have been underscored in this section</w:t>
      </w:r>
      <w:r w:rsidRPr="00F54106">
        <w:rPr>
          <w:rFonts w:cstheme="minorHAnsi"/>
          <w:lang w:val="en-GB"/>
        </w:rPr>
        <w:t xml:space="preserve">. </w:t>
      </w:r>
      <w:r w:rsidR="005A091E">
        <w:rPr>
          <w:rFonts w:cstheme="minorHAnsi"/>
          <w:lang w:val="en-GB"/>
        </w:rPr>
        <w:t xml:space="preserve">Notably, the </w:t>
      </w:r>
      <w:r w:rsidRPr="00F54106">
        <w:rPr>
          <w:rFonts w:cstheme="minorHAnsi"/>
          <w:lang w:val="en-GB"/>
        </w:rPr>
        <w:t xml:space="preserve">Dutch courts are hailed by the literature for their efficient and practical approach as exemplified by the way they have handled the </w:t>
      </w:r>
      <w:proofErr w:type="spellStart"/>
      <w:r w:rsidRPr="00F54106">
        <w:rPr>
          <w:rFonts w:cstheme="minorHAnsi"/>
          <w:lang w:val="en-GB"/>
        </w:rPr>
        <w:t>Masterfoods</w:t>
      </w:r>
      <w:proofErr w:type="spellEnd"/>
      <w:r w:rsidRPr="00F54106">
        <w:rPr>
          <w:rFonts w:cstheme="minorHAnsi"/>
          <w:lang w:val="en-GB"/>
        </w:rPr>
        <w:t xml:space="preserve"> defence, which has subsequently created beneficial effects for both claimants and defendants. </w:t>
      </w:r>
      <w:r w:rsidR="007E0FDA" w:rsidRPr="00F54106">
        <w:rPr>
          <w:rFonts w:cstheme="minorHAnsi"/>
          <w:lang w:val="en-GB"/>
        </w:rPr>
        <w:t xml:space="preserve">Furthermore, </w:t>
      </w:r>
      <w:r w:rsidR="000C74FE" w:rsidRPr="00F54106">
        <w:rPr>
          <w:rFonts w:cstheme="minorHAnsi"/>
          <w:lang w:val="en-GB"/>
        </w:rPr>
        <w:t xml:space="preserve">costs are considered low, while </w:t>
      </w:r>
      <w:r w:rsidR="007E0FDA" w:rsidRPr="00F54106">
        <w:rPr>
          <w:rFonts w:cstheme="minorHAnsi"/>
          <w:lang w:val="en-GB"/>
        </w:rPr>
        <w:t xml:space="preserve">the costs of proceedings and adverse cost orders are calculated on the basis of the </w:t>
      </w:r>
      <w:proofErr w:type="spellStart"/>
      <w:r w:rsidR="007E0FDA" w:rsidRPr="00F54106">
        <w:rPr>
          <w:rFonts w:cstheme="minorHAnsi"/>
          <w:i/>
          <w:iCs/>
          <w:lang w:val="en-GB"/>
        </w:rPr>
        <w:t>liquidatietarief</w:t>
      </w:r>
      <w:proofErr w:type="spellEnd"/>
      <w:r w:rsidR="007E0FDA" w:rsidRPr="00F54106">
        <w:rPr>
          <w:rFonts w:cstheme="minorHAnsi"/>
          <w:lang w:val="en-GB"/>
        </w:rPr>
        <w:t>.</w:t>
      </w:r>
      <w:r w:rsidR="000B4E65" w:rsidRPr="00F54106">
        <w:rPr>
          <w:rFonts w:cstheme="minorHAnsi"/>
          <w:lang w:val="en-GB"/>
        </w:rPr>
        <w:t xml:space="preserve"> </w:t>
      </w:r>
      <w:r w:rsidR="008437A5" w:rsidRPr="00F54106">
        <w:rPr>
          <w:rFonts w:cstheme="minorHAnsi"/>
          <w:lang w:val="en-GB"/>
        </w:rPr>
        <w:t>Hence</w:t>
      </w:r>
      <w:r w:rsidR="000B4E65" w:rsidRPr="00F54106">
        <w:rPr>
          <w:rFonts w:cstheme="minorHAnsi"/>
          <w:lang w:val="en-GB"/>
        </w:rPr>
        <w:t xml:space="preserve">, </w:t>
      </w:r>
      <w:r w:rsidR="00795F51" w:rsidRPr="00F54106">
        <w:rPr>
          <w:rFonts w:cstheme="minorHAnsi"/>
          <w:lang w:val="en-GB"/>
        </w:rPr>
        <w:t xml:space="preserve">even though the DCCP states </w:t>
      </w:r>
      <w:r w:rsidR="008437A5" w:rsidRPr="00F54106">
        <w:rPr>
          <w:rFonts w:cstheme="minorHAnsi"/>
          <w:lang w:val="en-GB"/>
        </w:rPr>
        <w:t>that the loser pays, it is</w:t>
      </w:r>
      <w:r w:rsidR="005A091E">
        <w:rPr>
          <w:rFonts w:cstheme="minorHAnsi"/>
          <w:lang w:val="en-GB"/>
        </w:rPr>
        <w:t xml:space="preserve"> rather</w:t>
      </w:r>
      <w:r w:rsidR="008437A5" w:rsidRPr="00F54106">
        <w:rPr>
          <w:rFonts w:cstheme="minorHAnsi"/>
          <w:lang w:val="en-GB"/>
        </w:rPr>
        <w:t xml:space="preserve"> argued that each party bears its own costs and that</w:t>
      </w:r>
      <w:r w:rsidR="007E0FDA" w:rsidRPr="00F54106">
        <w:rPr>
          <w:rFonts w:cstheme="minorHAnsi"/>
          <w:lang w:val="en-GB"/>
        </w:rPr>
        <w:t xml:space="preserve"> financial risks are</w:t>
      </w:r>
      <w:r w:rsidR="008437A5" w:rsidRPr="00F54106">
        <w:rPr>
          <w:rFonts w:cstheme="minorHAnsi"/>
          <w:lang w:val="en-GB"/>
        </w:rPr>
        <w:t xml:space="preserve"> subsequently</w:t>
      </w:r>
      <w:r w:rsidR="007E0FDA" w:rsidRPr="00F54106">
        <w:rPr>
          <w:rFonts w:cstheme="minorHAnsi"/>
          <w:lang w:val="en-GB"/>
        </w:rPr>
        <w:t xml:space="preserve"> reduced</w:t>
      </w:r>
      <w:r w:rsidR="008437A5" w:rsidRPr="00F54106">
        <w:rPr>
          <w:rFonts w:cstheme="minorHAnsi"/>
          <w:lang w:val="en-GB"/>
        </w:rPr>
        <w:t xml:space="preserve">. Further </w:t>
      </w:r>
      <w:r w:rsidR="005A091E">
        <w:rPr>
          <w:rFonts w:cstheme="minorHAnsi"/>
          <w:lang w:val="en-GB"/>
        </w:rPr>
        <w:t>expediting</w:t>
      </w:r>
      <w:r w:rsidR="008437A5" w:rsidRPr="00F54106">
        <w:rPr>
          <w:rFonts w:cstheme="minorHAnsi"/>
          <w:lang w:val="en-GB"/>
        </w:rPr>
        <w:t xml:space="preserve"> elements may be found in the extensive collective redress regime</w:t>
      </w:r>
      <w:r w:rsidR="005A091E">
        <w:rPr>
          <w:rFonts w:cstheme="minorHAnsi"/>
          <w:lang w:val="en-GB"/>
        </w:rPr>
        <w:t xml:space="preserve"> of the Netherlands</w:t>
      </w:r>
      <w:r w:rsidR="00BE06E0" w:rsidRPr="00F54106">
        <w:rPr>
          <w:rFonts w:cstheme="minorHAnsi"/>
          <w:lang w:val="en-GB"/>
        </w:rPr>
        <w:t xml:space="preserve">, for which </w:t>
      </w:r>
      <w:r w:rsidR="00D855A1" w:rsidRPr="00F54106">
        <w:rPr>
          <w:rFonts w:cstheme="minorHAnsi"/>
          <w:lang w:val="en-GB"/>
        </w:rPr>
        <w:t xml:space="preserve">the one-time </w:t>
      </w:r>
      <w:r w:rsidR="00BE06E0" w:rsidRPr="00F54106">
        <w:rPr>
          <w:rFonts w:cstheme="minorHAnsi"/>
          <w:lang w:val="en-GB"/>
        </w:rPr>
        <w:t>collective settl</w:t>
      </w:r>
      <w:r w:rsidR="00D855A1" w:rsidRPr="00F54106">
        <w:rPr>
          <w:rFonts w:cstheme="minorHAnsi"/>
          <w:lang w:val="en-GB"/>
        </w:rPr>
        <w:t>ement</w:t>
      </w:r>
      <w:r w:rsidR="00BE06E0" w:rsidRPr="00F54106">
        <w:rPr>
          <w:rFonts w:cstheme="minorHAnsi"/>
          <w:lang w:val="en-GB"/>
        </w:rPr>
        <w:t xml:space="preserve"> under the WCAM and collective claiming under the new WAMCA have become evident as key contributors. </w:t>
      </w:r>
      <w:r w:rsidR="00E608E7" w:rsidRPr="00F54106">
        <w:rPr>
          <w:rFonts w:cstheme="minorHAnsi"/>
          <w:lang w:val="en-GB"/>
        </w:rPr>
        <w:t xml:space="preserve">In addition, </w:t>
      </w:r>
      <w:r w:rsidR="0004474D" w:rsidRPr="00F54106">
        <w:rPr>
          <w:rFonts w:cstheme="minorHAnsi"/>
          <w:lang w:val="en-GB"/>
        </w:rPr>
        <w:t>cartel damages actions ha</w:t>
      </w:r>
      <w:r w:rsidR="00D855A1" w:rsidRPr="00F54106">
        <w:rPr>
          <w:rFonts w:cstheme="minorHAnsi"/>
          <w:lang w:val="en-GB"/>
        </w:rPr>
        <w:t>ve</w:t>
      </w:r>
      <w:r w:rsidR="0004474D" w:rsidRPr="00F54106">
        <w:rPr>
          <w:rFonts w:cstheme="minorHAnsi"/>
          <w:lang w:val="en-GB"/>
        </w:rPr>
        <w:t xml:space="preserve"> become a hot topic in the</w:t>
      </w:r>
      <w:r w:rsidR="005A091E">
        <w:rPr>
          <w:rFonts w:cstheme="minorHAnsi"/>
          <w:lang w:val="en-GB"/>
        </w:rPr>
        <w:t xml:space="preserve"> Dutch venue</w:t>
      </w:r>
      <w:r w:rsidR="00D855A1" w:rsidRPr="00F54106">
        <w:rPr>
          <w:rFonts w:cstheme="minorHAnsi"/>
          <w:lang w:val="en-GB"/>
        </w:rPr>
        <w:t xml:space="preserve"> and have</w:t>
      </w:r>
      <w:r w:rsidR="0004474D" w:rsidRPr="00F54106">
        <w:rPr>
          <w:rFonts w:cstheme="minorHAnsi"/>
          <w:lang w:val="en-GB"/>
        </w:rPr>
        <w:t xml:space="preserve"> </w:t>
      </w:r>
      <w:r w:rsidR="00D855A1" w:rsidRPr="00F54106">
        <w:rPr>
          <w:rFonts w:cstheme="minorHAnsi"/>
          <w:lang w:val="en-GB"/>
        </w:rPr>
        <w:t>resulted in</w:t>
      </w:r>
      <w:r w:rsidR="0004474D" w:rsidRPr="00F54106">
        <w:rPr>
          <w:rFonts w:cstheme="minorHAnsi"/>
          <w:lang w:val="en-GB"/>
        </w:rPr>
        <w:t xml:space="preserve"> increasing amounts of</w:t>
      </w:r>
      <w:r w:rsidR="00B222D6" w:rsidRPr="00F54106">
        <w:rPr>
          <w:rFonts w:cstheme="minorHAnsi"/>
          <w:lang w:val="en-GB"/>
        </w:rPr>
        <w:t xml:space="preserve"> </w:t>
      </w:r>
      <w:r w:rsidR="0004474D" w:rsidRPr="00F54106">
        <w:rPr>
          <w:rFonts w:cstheme="minorHAnsi"/>
          <w:lang w:val="en-GB"/>
        </w:rPr>
        <w:t>litigation funders</w:t>
      </w:r>
      <w:r w:rsidR="00D855A1" w:rsidRPr="00F54106">
        <w:rPr>
          <w:rFonts w:cstheme="minorHAnsi"/>
          <w:lang w:val="en-GB"/>
        </w:rPr>
        <w:t xml:space="preserve"> and specialized lawyers</w:t>
      </w:r>
      <w:r w:rsidR="0004474D" w:rsidRPr="00F54106">
        <w:rPr>
          <w:rFonts w:cstheme="minorHAnsi"/>
          <w:lang w:val="en-GB"/>
        </w:rPr>
        <w:t xml:space="preserve">. </w:t>
      </w:r>
      <w:r w:rsidR="00845017">
        <w:rPr>
          <w:rFonts w:cstheme="minorHAnsi"/>
          <w:lang w:val="en-GB"/>
        </w:rPr>
        <w:t>These actively raise awareness on the claims that they</w:t>
      </w:r>
      <w:r w:rsidR="00EB10A1">
        <w:rPr>
          <w:rFonts w:cstheme="minorHAnsi"/>
          <w:lang w:val="en-GB"/>
        </w:rPr>
        <w:t xml:space="preserve"> intend</w:t>
      </w:r>
      <w:r w:rsidR="00845017">
        <w:rPr>
          <w:rFonts w:cstheme="minorHAnsi"/>
          <w:lang w:val="en-GB"/>
        </w:rPr>
        <w:t xml:space="preserve"> </w:t>
      </w:r>
      <w:r w:rsidR="00EB10A1">
        <w:rPr>
          <w:rFonts w:cstheme="minorHAnsi"/>
          <w:lang w:val="en-GB"/>
        </w:rPr>
        <w:t xml:space="preserve">to </w:t>
      </w:r>
      <w:r w:rsidR="00845017">
        <w:rPr>
          <w:rFonts w:cstheme="minorHAnsi"/>
          <w:lang w:val="en-GB"/>
        </w:rPr>
        <w:t>file</w:t>
      </w:r>
      <w:r w:rsidR="00EB10A1">
        <w:rPr>
          <w:rFonts w:cstheme="minorHAnsi"/>
          <w:lang w:val="en-GB"/>
        </w:rPr>
        <w:t>,</w:t>
      </w:r>
      <w:r w:rsidR="00845017">
        <w:rPr>
          <w:rFonts w:cstheme="minorHAnsi"/>
          <w:lang w:val="en-GB"/>
        </w:rPr>
        <w:t xml:space="preserve"> while c</w:t>
      </w:r>
      <w:r w:rsidR="00D855A1" w:rsidRPr="00F54106">
        <w:rPr>
          <w:rFonts w:cstheme="minorHAnsi"/>
          <w:lang w:val="en-GB"/>
        </w:rPr>
        <w:t>laim vehicles and litigation funders are further aided by the fact that they are not regulated and that the assignment model has been accepted by Dutch courts.</w:t>
      </w:r>
      <w:r w:rsidR="00B222D6" w:rsidRPr="00F54106">
        <w:rPr>
          <w:rFonts w:cstheme="minorHAnsi"/>
          <w:lang w:val="en-GB"/>
        </w:rPr>
        <w:t xml:space="preserve"> </w:t>
      </w:r>
      <w:r w:rsidR="00BE06E0" w:rsidRPr="00F54106">
        <w:rPr>
          <w:rFonts w:cstheme="minorHAnsi"/>
          <w:lang w:val="en-GB"/>
        </w:rPr>
        <w:t>As a final point, the literature argues that Dutch courts are very liberal in adopting jurisdiction under Brussels I</w:t>
      </w:r>
      <w:r w:rsidR="00F54106" w:rsidRPr="00F54106">
        <w:rPr>
          <w:rFonts w:cstheme="minorHAnsi"/>
          <w:lang w:val="en-GB"/>
        </w:rPr>
        <w:t xml:space="preserve"> and rarely decline it, while the Dutch favo</w:t>
      </w:r>
      <w:r w:rsidR="00F54106">
        <w:rPr>
          <w:rFonts w:cstheme="minorHAnsi"/>
          <w:lang w:val="en-GB"/>
        </w:rPr>
        <w:t>u</w:t>
      </w:r>
      <w:r w:rsidR="00F54106" w:rsidRPr="00F54106">
        <w:rPr>
          <w:rFonts w:cstheme="minorHAnsi"/>
          <w:lang w:val="en-GB"/>
        </w:rPr>
        <w:t xml:space="preserve">rable case law </w:t>
      </w:r>
      <w:r w:rsidR="00752314">
        <w:rPr>
          <w:rFonts w:cstheme="minorHAnsi"/>
          <w:lang w:val="en-GB"/>
        </w:rPr>
        <w:t>is mentioned to have</w:t>
      </w:r>
      <w:r w:rsidR="00F54106">
        <w:rPr>
          <w:rFonts w:cstheme="minorHAnsi"/>
          <w:lang w:val="en-GB"/>
        </w:rPr>
        <w:t xml:space="preserve"> attracted </w:t>
      </w:r>
      <w:r w:rsidR="00D243E8">
        <w:rPr>
          <w:rFonts w:cstheme="minorHAnsi"/>
          <w:lang w:val="en-GB"/>
        </w:rPr>
        <w:t xml:space="preserve">even </w:t>
      </w:r>
      <w:r w:rsidR="00F54106">
        <w:rPr>
          <w:rFonts w:cstheme="minorHAnsi"/>
          <w:lang w:val="en-GB"/>
        </w:rPr>
        <w:t>more cases</w:t>
      </w:r>
      <w:r w:rsidR="00C87969">
        <w:rPr>
          <w:rFonts w:cstheme="minorHAnsi"/>
          <w:lang w:val="en-GB"/>
        </w:rPr>
        <w:t xml:space="preserve"> to the </w:t>
      </w:r>
      <w:r w:rsidR="005A091E">
        <w:rPr>
          <w:rFonts w:cstheme="minorHAnsi"/>
          <w:lang w:val="en-GB"/>
        </w:rPr>
        <w:t>Dutch forum</w:t>
      </w:r>
      <w:r w:rsidR="00F54106">
        <w:rPr>
          <w:rFonts w:cstheme="minorHAnsi"/>
          <w:lang w:val="en-GB"/>
        </w:rPr>
        <w:t xml:space="preserve"> and </w:t>
      </w:r>
      <w:r w:rsidR="00752314">
        <w:rPr>
          <w:rFonts w:cstheme="minorHAnsi"/>
          <w:lang w:val="en-GB"/>
        </w:rPr>
        <w:t xml:space="preserve">to </w:t>
      </w:r>
      <w:r w:rsidR="00F54106">
        <w:rPr>
          <w:rFonts w:cstheme="minorHAnsi"/>
          <w:lang w:val="en-GB"/>
        </w:rPr>
        <w:t>provide the opportunity</w:t>
      </w:r>
      <w:r w:rsidR="00C87969">
        <w:rPr>
          <w:rFonts w:cstheme="minorHAnsi"/>
          <w:lang w:val="en-GB"/>
        </w:rPr>
        <w:t xml:space="preserve"> for Dutch courts</w:t>
      </w:r>
      <w:r w:rsidR="00F54106">
        <w:rPr>
          <w:rFonts w:cstheme="minorHAnsi"/>
          <w:lang w:val="en-GB"/>
        </w:rPr>
        <w:t xml:space="preserve"> to </w:t>
      </w:r>
      <w:r w:rsidR="00C87969">
        <w:rPr>
          <w:rFonts w:cstheme="minorHAnsi"/>
          <w:lang w:val="en-GB"/>
        </w:rPr>
        <w:t xml:space="preserve">shape the </w:t>
      </w:r>
      <w:r w:rsidR="00752314">
        <w:rPr>
          <w:rFonts w:cstheme="minorHAnsi"/>
          <w:lang w:val="en-GB"/>
        </w:rPr>
        <w:t xml:space="preserve">Dutch </w:t>
      </w:r>
      <w:r w:rsidR="002108D0">
        <w:rPr>
          <w:rFonts w:cstheme="minorHAnsi"/>
          <w:lang w:val="en-GB"/>
        </w:rPr>
        <w:t xml:space="preserve">case </w:t>
      </w:r>
      <w:r w:rsidR="00C87969">
        <w:rPr>
          <w:rFonts w:cstheme="minorHAnsi"/>
          <w:lang w:val="en-GB"/>
        </w:rPr>
        <w:t>law.</w:t>
      </w:r>
      <w:bookmarkEnd w:id="155"/>
    </w:p>
    <w:p w14:paraId="0C9A7341" w14:textId="2EAB5107" w:rsidR="009D388E" w:rsidRPr="00F54106" w:rsidRDefault="006433E0" w:rsidP="00CA1557">
      <w:pPr>
        <w:pStyle w:val="Heading1"/>
        <w:jc w:val="center"/>
        <w:rPr>
          <w:lang w:val="en-GB"/>
        </w:rPr>
      </w:pPr>
      <w:bookmarkStart w:id="156" w:name="_Toc107610241"/>
      <w:r w:rsidRPr="00F54106">
        <w:rPr>
          <w:lang w:val="en-GB"/>
        </w:rPr>
        <w:lastRenderedPageBreak/>
        <w:t>3</w:t>
      </w:r>
      <w:r w:rsidR="009D388E" w:rsidRPr="00F54106">
        <w:rPr>
          <w:lang w:val="en-GB"/>
        </w:rPr>
        <w:t>. Qualitative interviews</w:t>
      </w:r>
      <w:bookmarkEnd w:id="156"/>
    </w:p>
    <w:p w14:paraId="79C04144" w14:textId="77777777" w:rsidR="006C2491" w:rsidRPr="00F54106" w:rsidRDefault="006C2491" w:rsidP="00FC31D7">
      <w:pPr>
        <w:spacing w:line="276" w:lineRule="auto"/>
        <w:rPr>
          <w:rFonts w:cstheme="minorHAnsi"/>
          <w:lang w:val="en-GB"/>
        </w:rPr>
      </w:pPr>
    </w:p>
    <w:p w14:paraId="644806ED" w14:textId="7F94E184" w:rsidR="00C350E4" w:rsidRPr="00F54106" w:rsidRDefault="00A975E7" w:rsidP="00FC31D7">
      <w:pPr>
        <w:spacing w:line="276" w:lineRule="auto"/>
        <w:rPr>
          <w:lang w:val="en-GB"/>
        </w:rPr>
      </w:pPr>
      <w:r w:rsidRPr="00F54106">
        <w:rPr>
          <w:rFonts w:cstheme="minorHAnsi"/>
          <w:lang w:val="en-GB"/>
        </w:rPr>
        <w:t>In this chapter,</w:t>
      </w:r>
      <w:r w:rsidR="00950C2D" w:rsidRPr="00F54106">
        <w:rPr>
          <w:rFonts w:cstheme="minorHAnsi"/>
          <w:lang w:val="en-GB"/>
        </w:rPr>
        <w:t xml:space="preserve"> the </w:t>
      </w:r>
      <w:r w:rsidR="003222C4" w:rsidRPr="00F54106">
        <w:rPr>
          <w:rFonts w:cstheme="minorHAnsi"/>
          <w:lang w:val="en-GB"/>
        </w:rPr>
        <w:t>data</w:t>
      </w:r>
      <w:r w:rsidR="00C350E4" w:rsidRPr="00F54106">
        <w:rPr>
          <w:rFonts w:cstheme="minorHAnsi"/>
          <w:lang w:val="en-GB"/>
        </w:rPr>
        <w:t xml:space="preserve"> obtained</w:t>
      </w:r>
      <w:r w:rsidR="00950C2D" w:rsidRPr="00F54106">
        <w:rPr>
          <w:rFonts w:cstheme="minorHAnsi"/>
          <w:lang w:val="en-GB"/>
        </w:rPr>
        <w:t xml:space="preserve"> </w:t>
      </w:r>
      <w:r w:rsidR="00C350E4" w:rsidRPr="00F54106">
        <w:rPr>
          <w:rFonts w:cstheme="minorHAnsi"/>
          <w:lang w:val="en-GB"/>
        </w:rPr>
        <w:t>from the qualitative interviews</w:t>
      </w:r>
      <w:r w:rsidR="00950C2D" w:rsidRPr="00F54106">
        <w:rPr>
          <w:rFonts w:cstheme="minorHAnsi"/>
          <w:lang w:val="en-GB"/>
        </w:rPr>
        <w:t xml:space="preserve"> </w:t>
      </w:r>
      <w:r w:rsidR="008C6E4C" w:rsidRPr="00F54106">
        <w:rPr>
          <w:rFonts w:cstheme="minorHAnsi"/>
          <w:lang w:val="en-GB"/>
        </w:rPr>
        <w:t>on the</w:t>
      </w:r>
      <w:r w:rsidR="008A4016" w:rsidRPr="00F54106">
        <w:rPr>
          <w:rFonts w:cstheme="minorHAnsi"/>
          <w:lang w:val="en-GB"/>
        </w:rPr>
        <w:t xml:space="preserve"> elements and factors</w:t>
      </w:r>
      <w:r w:rsidR="008C6E4C" w:rsidRPr="00F54106">
        <w:rPr>
          <w:rFonts w:cstheme="minorHAnsi"/>
          <w:lang w:val="en-GB"/>
        </w:rPr>
        <w:t xml:space="preserve"> of the Dutch forum</w:t>
      </w:r>
      <w:r w:rsidR="008A4016" w:rsidRPr="00F54106">
        <w:rPr>
          <w:rFonts w:cstheme="minorHAnsi"/>
          <w:lang w:val="en-GB"/>
        </w:rPr>
        <w:t xml:space="preserve"> that expedite antitrust damages claims in the Netherland are discussed</w:t>
      </w:r>
      <w:r w:rsidR="00950C2D" w:rsidRPr="00F54106">
        <w:rPr>
          <w:rFonts w:cstheme="minorHAnsi"/>
          <w:lang w:val="en-GB"/>
        </w:rPr>
        <w:t xml:space="preserve">. </w:t>
      </w:r>
      <w:r w:rsidR="00950C2D" w:rsidRPr="00F54106">
        <w:rPr>
          <w:lang w:val="en-GB"/>
        </w:rPr>
        <w:t>All interviewees</w:t>
      </w:r>
      <w:r w:rsidR="003129E3" w:rsidRPr="00F54106">
        <w:rPr>
          <w:lang w:val="en-GB"/>
        </w:rPr>
        <w:t xml:space="preserve"> have</w:t>
      </w:r>
      <w:r w:rsidR="00950C2D" w:rsidRPr="00F54106">
        <w:rPr>
          <w:lang w:val="en-GB"/>
        </w:rPr>
        <w:t xml:space="preserve"> </w:t>
      </w:r>
      <w:r w:rsidR="008A4016" w:rsidRPr="00F54106">
        <w:rPr>
          <w:lang w:val="en-GB"/>
        </w:rPr>
        <w:t xml:space="preserve">indeed </w:t>
      </w:r>
      <w:r w:rsidRPr="00F54106">
        <w:rPr>
          <w:lang w:val="en-GB"/>
        </w:rPr>
        <w:t>agree</w:t>
      </w:r>
      <w:r w:rsidR="003129E3" w:rsidRPr="00F54106">
        <w:rPr>
          <w:lang w:val="en-GB"/>
        </w:rPr>
        <w:t>d</w:t>
      </w:r>
      <w:r w:rsidR="00950C2D" w:rsidRPr="00F54106">
        <w:rPr>
          <w:lang w:val="en-GB"/>
        </w:rPr>
        <w:t xml:space="preserve"> that the Netherlands is a preferred forum for antitrust damages claims</w:t>
      </w:r>
      <w:r w:rsidRPr="00F54106">
        <w:rPr>
          <w:lang w:val="en-GB"/>
        </w:rPr>
        <w:t xml:space="preserve"> and have specified </w:t>
      </w:r>
      <w:r w:rsidR="008A4016" w:rsidRPr="00F54106">
        <w:rPr>
          <w:lang w:val="en-GB"/>
        </w:rPr>
        <w:t>various</w:t>
      </w:r>
      <w:r w:rsidRPr="00F54106">
        <w:rPr>
          <w:lang w:val="en-GB"/>
        </w:rPr>
        <w:t xml:space="preserve"> overlapping</w:t>
      </w:r>
      <w:r w:rsidR="00245A77" w:rsidRPr="00F54106">
        <w:rPr>
          <w:lang w:val="en-GB"/>
        </w:rPr>
        <w:t>,</w:t>
      </w:r>
      <w:r w:rsidRPr="00F54106">
        <w:rPr>
          <w:lang w:val="en-GB"/>
        </w:rPr>
        <w:t xml:space="preserve"> but also differing </w:t>
      </w:r>
      <w:r w:rsidR="008F0C33" w:rsidRPr="00F54106">
        <w:rPr>
          <w:lang w:val="en-GB"/>
        </w:rPr>
        <w:t>explanations</w:t>
      </w:r>
      <w:r w:rsidRPr="00F54106">
        <w:rPr>
          <w:lang w:val="en-GB"/>
        </w:rPr>
        <w:t xml:space="preserve"> for this</w:t>
      </w:r>
      <w:r w:rsidR="008A4016" w:rsidRPr="00F54106">
        <w:rPr>
          <w:lang w:val="en-GB"/>
        </w:rPr>
        <w:t xml:space="preserve"> phenomenon</w:t>
      </w:r>
      <w:r w:rsidR="003129E3" w:rsidRPr="00F54106">
        <w:rPr>
          <w:lang w:val="en-GB"/>
        </w:rPr>
        <w:t xml:space="preserve"> </w:t>
      </w:r>
      <w:r w:rsidR="005A5619" w:rsidRPr="00F54106">
        <w:rPr>
          <w:lang w:val="en-GB"/>
        </w:rPr>
        <w:t>as shown</w:t>
      </w:r>
      <w:r w:rsidRPr="00F54106">
        <w:rPr>
          <w:lang w:val="en-GB"/>
        </w:rPr>
        <w:t xml:space="preserve"> below</w:t>
      </w:r>
      <w:r w:rsidR="00950C2D" w:rsidRPr="00F54106">
        <w:rPr>
          <w:lang w:val="en-GB"/>
        </w:rPr>
        <w:t xml:space="preserve">. </w:t>
      </w:r>
      <w:r w:rsidR="003222C4" w:rsidRPr="00F54106">
        <w:rPr>
          <w:lang w:val="en-GB"/>
        </w:rPr>
        <w:t xml:space="preserve">The qualitative data is structured as follows. First, </w:t>
      </w:r>
      <w:r w:rsidR="00781528">
        <w:rPr>
          <w:lang w:val="en-GB"/>
        </w:rPr>
        <w:t xml:space="preserve">the findings on the subject of forum shopping in the Netherlands is discussed. Next, the data obtained on the preferrable features of the Netherlands is presented. Subsequently, </w:t>
      </w:r>
      <w:r w:rsidR="00410B33">
        <w:rPr>
          <w:lang w:val="en-GB"/>
        </w:rPr>
        <w:t xml:space="preserve">the gathered information on the subject of </w:t>
      </w:r>
      <w:r w:rsidR="00781528">
        <w:rPr>
          <w:lang w:val="en-GB"/>
        </w:rPr>
        <w:t xml:space="preserve">ambulance-chasing as a contributing element to private enforcement in the Netherlands </w:t>
      </w:r>
      <w:r w:rsidR="00410B33">
        <w:rPr>
          <w:lang w:val="en-GB"/>
        </w:rPr>
        <w:t xml:space="preserve">is </w:t>
      </w:r>
      <w:r w:rsidR="00782138">
        <w:rPr>
          <w:lang w:val="en-GB"/>
        </w:rPr>
        <w:t>put forth</w:t>
      </w:r>
      <w:r w:rsidR="00410B33">
        <w:rPr>
          <w:lang w:val="en-GB"/>
        </w:rPr>
        <w:t>. Finally, other contributing elements are that have become evident in the interviews are listed and a comparison is made between the produced data in this chapter and section 2.3 on the Netherlands.</w:t>
      </w:r>
    </w:p>
    <w:p w14:paraId="12A4C9FB" w14:textId="7067FA94" w:rsidR="00F9238D" w:rsidRPr="00F54106" w:rsidRDefault="00F9238D" w:rsidP="00FC31D7">
      <w:pPr>
        <w:spacing w:line="276" w:lineRule="auto"/>
        <w:rPr>
          <w:rFonts w:cstheme="minorHAnsi"/>
          <w:b/>
          <w:bCs/>
          <w:lang w:val="en-GB"/>
        </w:rPr>
      </w:pPr>
    </w:p>
    <w:p w14:paraId="3B863749" w14:textId="54688571" w:rsidR="00985B84" w:rsidRPr="00F54106" w:rsidRDefault="006433E0" w:rsidP="00985B84">
      <w:pPr>
        <w:pStyle w:val="Heading2"/>
        <w:spacing w:line="276" w:lineRule="auto"/>
        <w:rPr>
          <w:lang w:val="en-GB"/>
        </w:rPr>
      </w:pPr>
      <w:bookmarkStart w:id="157" w:name="_Toc107610242"/>
      <w:r w:rsidRPr="00F54106">
        <w:rPr>
          <w:lang w:val="en-GB"/>
        </w:rPr>
        <w:t>3</w:t>
      </w:r>
      <w:r w:rsidR="00985B84" w:rsidRPr="00F54106">
        <w:rPr>
          <w:lang w:val="en-GB"/>
        </w:rPr>
        <w:t>.1 Forum shopping in the Netherlands</w:t>
      </w:r>
      <w:r w:rsidR="00164E3B">
        <w:rPr>
          <w:lang w:val="en-GB"/>
        </w:rPr>
        <w:t>: general observations regarding the phenomenon</w:t>
      </w:r>
      <w:bookmarkEnd w:id="157"/>
    </w:p>
    <w:p w14:paraId="2703C5E3" w14:textId="17454EC7" w:rsidR="00985B84" w:rsidRPr="00F54106" w:rsidRDefault="00985B84" w:rsidP="00985B84">
      <w:pPr>
        <w:spacing w:line="276" w:lineRule="auto"/>
        <w:rPr>
          <w:lang w:val="en-GB"/>
        </w:rPr>
      </w:pPr>
      <w:r w:rsidRPr="00F54106">
        <w:rPr>
          <w:lang w:val="en-GB"/>
        </w:rPr>
        <w:t>The interviewees have displayed different views on and experiences with the phenomenon of forum shopping in the Netherlands. Lawyer B claimed to have concrete experiences with forum shopping in the Netherlands. According to lawyer B, Dutch anchor defendants are often used to bring a lawsuit before a Dutch court, even though the</w:t>
      </w:r>
      <w:r w:rsidR="000C32D8">
        <w:rPr>
          <w:lang w:val="en-GB"/>
        </w:rPr>
        <w:t>se</w:t>
      </w:r>
      <w:r w:rsidRPr="00F54106">
        <w:rPr>
          <w:lang w:val="en-GB"/>
        </w:rPr>
        <w:t xml:space="preserve"> cases often display no characteristics that, in the opinion of lawyer B, should be able to connect them to the Netherlands. Lawyer C also claimed to have experiences with forum shopping. Lawyers C mentioned that clients often choose a forum based on where it is easy to bring a claim and where proceedings against a cartel were already in motion. For clients that have already underwent a cartel damages action, selecting a forum will also be dependent on previous experiences with that litigation where positive experiences will bring them back to the previous venue. </w:t>
      </w:r>
    </w:p>
    <w:p w14:paraId="56CB4B30" w14:textId="60212C2A" w:rsidR="00985B84" w:rsidRPr="00F54106" w:rsidRDefault="00985B84" w:rsidP="00985B84">
      <w:pPr>
        <w:spacing w:line="276" w:lineRule="auto"/>
        <w:ind w:firstLine="720"/>
        <w:rPr>
          <w:lang w:val="en-GB"/>
        </w:rPr>
      </w:pPr>
      <w:r w:rsidRPr="00F54106">
        <w:rPr>
          <w:lang w:val="en-GB"/>
        </w:rPr>
        <w:t>In contrast, lawyer A was of the opinion that choosing the appropriate forum to pursue actions for damages should not be defined as forum shopping as it concerns a claimant’s right to choose. Lawyer A only considered that the phenomenon of forum shopping takes place when the action for damages is tried before the court of a country that has nothing to do with the infringement at all. Therefore, lawyer A did not have any experiences with forum shopping in the Netherlands. Similarly, lawyer D also d</w:t>
      </w:r>
      <w:r w:rsidR="0061674D" w:rsidRPr="00F54106">
        <w:rPr>
          <w:lang w:val="en-GB"/>
        </w:rPr>
        <w:t>id</w:t>
      </w:r>
      <w:r w:rsidRPr="00F54106">
        <w:rPr>
          <w:lang w:val="en-GB"/>
        </w:rPr>
        <w:t xml:space="preserve"> not think that forum shopping occurs in the Netherlands but states that it is often adopted as a defence by defendants in order to scatter the claims and make litigating more difficult. Instead, lawyer D prefer</w:t>
      </w:r>
      <w:r w:rsidR="0061674D" w:rsidRPr="00F54106">
        <w:rPr>
          <w:lang w:val="en-GB"/>
        </w:rPr>
        <w:t>red</w:t>
      </w:r>
      <w:r w:rsidRPr="00F54106">
        <w:rPr>
          <w:lang w:val="en-GB"/>
        </w:rPr>
        <w:t xml:space="preserve"> the term “forum choice” rather than forum shopping as only countries in which jurisdiction can </w:t>
      </w:r>
      <w:r w:rsidRPr="00F54106">
        <w:rPr>
          <w:i/>
          <w:iCs/>
          <w:lang w:val="en-GB"/>
        </w:rPr>
        <w:t>legally</w:t>
      </w:r>
      <w:r w:rsidRPr="00F54106">
        <w:rPr>
          <w:lang w:val="en-GB"/>
        </w:rPr>
        <w:t xml:space="preserve"> be</w:t>
      </w:r>
      <w:r w:rsidRPr="00F54106">
        <w:rPr>
          <w:i/>
          <w:iCs/>
          <w:lang w:val="en-GB"/>
        </w:rPr>
        <w:t xml:space="preserve"> </w:t>
      </w:r>
      <w:r w:rsidRPr="00F54106">
        <w:rPr>
          <w:lang w:val="en-GB"/>
        </w:rPr>
        <w:t>established under European and national law are considered. If a court is more liberal and progressive in adopting jurisdiction compared to courts in other countries and those fora are subsequently chosen, then it should not be the concern of the claimants if defendants have issues with the forum that is chosen by the claimants. Instead, lawyers D state</w:t>
      </w:r>
      <w:r w:rsidR="0061674D" w:rsidRPr="00F54106">
        <w:rPr>
          <w:lang w:val="en-GB"/>
        </w:rPr>
        <w:t>d</w:t>
      </w:r>
      <w:r w:rsidRPr="00F54106">
        <w:rPr>
          <w:lang w:val="en-GB"/>
        </w:rPr>
        <w:t xml:space="preserve"> that defendants should take this up with the legislator or try to provoke a new judgement </w:t>
      </w:r>
      <w:r w:rsidR="00E52681">
        <w:rPr>
          <w:lang w:val="en-GB"/>
        </w:rPr>
        <w:t>which would</w:t>
      </w:r>
      <w:r w:rsidRPr="00F54106">
        <w:rPr>
          <w:lang w:val="en-GB"/>
        </w:rPr>
        <w:t xml:space="preserve"> specif</w:t>
      </w:r>
      <w:r w:rsidR="00E52681">
        <w:rPr>
          <w:lang w:val="en-GB"/>
        </w:rPr>
        <w:t>y</w:t>
      </w:r>
      <w:r w:rsidRPr="00F54106">
        <w:rPr>
          <w:lang w:val="en-GB"/>
        </w:rPr>
        <w:t xml:space="preserve"> that </w:t>
      </w:r>
      <w:r w:rsidR="00F94418" w:rsidRPr="00F54106">
        <w:rPr>
          <w:lang w:val="en-GB"/>
        </w:rPr>
        <w:t>choosing a specific forum</w:t>
      </w:r>
      <w:r w:rsidRPr="00F54106">
        <w:rPr>
          <w:lang w:val="en-GB"/>
        </w:rPr>
        <w:t xml:space="preserve"> is not allowed.</w:t>
      </w:r>
    </w:p>
    <w:p w14:paraId="60050463" w14:textId="4DCECDD2" w:rsidR="00985B84" w:rsidRPr="00F54106" w:rsidRDefault="00985B84" w:rsidP="00985B84">
      <w:pPr>
        <w:spacing w:line="276" w:lineRule="auto"/>
        <w:ind w:firstLine="720"/>
        <w:rPr>
          <w:rFonts w:cstheme="minorHAnsi"/>
          <w:lang w:val="en-GB"/>
        </w:rPr>
      </w:pPr>
      <w:bookmarkStart w:id="158" w:name="_Hlk106591496"/>
      <w:r w:rsidRPr="00F54106">
        <w:rPr>
          <w:rFonts w:cstheme="minorHAnsi"/>
          <w:lang w:val="en-GB"/>
        </w:rPr>
        <w:lastRenderedPageBreak/>
        <w:t>Strikingly, judge X was of the opinion that forum shopping regularly occurs in the Netherlands and considered it a problematic issue. According to judge X, lawyers usually go to the forum that suits them best and often succeed in international cases, and particularly in the Netherlands, because almost all large undertakings will likely have shell companies in the Netherlands. Additionally, judge X believe</w:t>
      </w:r>
      <w:r w:rsidR="0061674D" w:rsidRPr="00F54106">
        <w:rPr>
          <w:rFonts w:cstheme="minorHAnsi"/>
          <w:lang w:val="en-GB"/>
        </w:rPr>
        <w:t>d</w:t>
      </w:r>
      <w:r w:rsidRPr="00F54106">
        <w:rPr>
          <w:rFonts w:cstheme="minorHAnsi"/>
          <w:lang w:val="en-GB"/>
        </w:rPr>
        <w:t xml:space="preserve"> that forum shopping is </w:t>
      </w:r>
      <w:r w:rsidR="009F381E" w:rsidRPr="00F54106">
        <w:rPr>
          <w:rFonts w:cstheme="minorHAnsi"/>
          <w:lang w:val="en-GB"/>
        </w:rPr>
        <w:t>especially</w:t>
      </w:r>
      <w:r w:rsidRPr="00F54106">
        <w:rPr>
          <w:rFonts w:cstheme="minorHAnsi"/>
          <w:lang w:val="en-GB"/>
        </w:rPr>
        <w:t xml:space="preserve"> illustrated in two cases where Dutch anchor defendants are tried to be established even though there are serious doubts whether these defendants are actually connected to the infringement. In the first case, the Greek competition authority had determined the infringement of a Greek brewery (AB), of which Heineken indirectly held 98.8% of the shares and was summoned as the anchor defendant. At first, the District Court concluded that it was eligible to hear claims against Heineken, but not against AB.</w:t>
      </w:r>
      <w:r w:rsidRPr="00F54106">
        <w:rPr>
          <w:rStyle w:val="FootnoteReference"/>
          <w:rFonts w:cstheme="minorHAnsi"/>
          <w:lang w:val="en-GB"/>
        </w:rPr>
        <w:footnoteReference w:id="373"/>
      </w:r>
      <w:r w:rsidRPr="00F54106">
        <w:rPr>
          <w:rFonts w:cstheme="minorHAnsi"/>
          <w:lang w:val="en-GB"/>
        </w:rPr>
        <w:t xml:space="preserve"> However, the Court of Appeal held that the claims should nevertheless be judged together to avoid irreconcilable judgements.</w:t>
      </w:r>
      <w:r w:rsidRPr="00F54106">
        <w:rPr>
          <w:rStyle w:val="FootnoteReference"/>
          <w:rFonts w:cstheme="minorHAnsi"/>
          <w:lang w:val="en-GB"/>
        </w:rPr>
        <w:footnoteReference w:id="374"/>
      </w:r>
      <w:r w:rsidRPr="00F54106">
        <w:rPr>
          <w:rFonts w:cstheme="minorHAnsi"/>
          <w:lang w:val="en-GB"/>
        </w:rPr>
        <w:t xml:space="preserve"> Since the second case</w:t>
      </w:r>
      <w:r w:rsidRPr="00F54106">
        <w:rPr>
          <w:rStyle w:val="FootnoteReference"/>
          <w:rFonts w:cstheme="minorHAnsi"/>
          <w:lang w:val="en-GB"/>
        </w:rPr>
        <w:footnoteReference w:id="375"/>
      </w:r>
      <w:r w:rsidRPr="00F54106">
        <w:rPr>
          <w:rFonts w:cstheme="minorHAnsi"/>
          <w:lang w:val="en-GB"/>
        </w:rPr>
        <w:t xml:space="preserve"> was concluded just before the judgement against AB and Heineken by the Court of Appeal, judge X suspects that a similar judgement will be made on appeal in this case as well. In addition to this, Dutch tax payers pay the costs of the procedures and many cases require a substantial amount of time to evaluate. Moreover, some cases need to be judged on the basis of foreign law and do not contribute to the development of the Dutch law at all. As a result, judge X concluded that forum shopping in the Netherlands has gotten out of control and that there should be a substantive connection with the Netherlands in order to trial in it.</w:t>
      </w:r>
      <w:bookmarkEnd w:id="158"/>
    </w:p>
    <w:p w14:paraId="1A5D66DF" w14:textId="2F6ED361" w:rsidR="00985B84" w:rsidRPr="00F54106" w:rsidRDefault="00985B84" w:rsidP="00F94418">
      <w:pPr>
        <w:spacing w:line="276" w:lineRule="auto"/>
        <w:ind w:firstLine="720"/>
        <w:rPr>
          <w:rFonts w:cstheme="minorHAnsi"/>
          <w:lang w:val="en-GB"/>
        </w:rPr>
      </w:pPr>
      <w:r w:rsidRPr="00F54106">
        <w:rPr>
          <w:rFonts w:cstheme="minorHAnsi"/>
          <w:lang w:val="en-GB"/>
        </w:rPr>
        <w:t xml:space="preserve">From the obtained qualitative data, it becomes evident that </w:t>
      </w:r>
      <w:r w:rsidR="000264FC" w:rsidRPr="00F54106">
        <w:rPr>
          <w:rFonts w:cstheme="minorHAnsi"/>
          <w:lang w:val="en-GB"/>
        </w:rPr>
        <w:t>there are contradictory opinions on the phenomenon of forum shopping.</w:t>
      </w:r>
      <w:r w:rsidR="00811229" w:rsidRPr="00F54106">
        <w:rPr>
          <w:rFonts w:cstheme="minorHAnsi"/>
          <w:lang w:val="en-GB"/>
        </w:rPr>
        <w:t xml:space="preserve"> The</w:t>
      </w:r>
      <w:r w:rsidR="000264FC" w:rsidRPr="00F54106">
        <w:rPr>
          <w:rFonts w:cstheme="minorHAnsi"/>
          <w:lang w:val="en-GB"/>
        </w:rPr>
        <w:t xml:space="preserve"> </w:t>
      </w:r>
      <w:r w:rsidR="00811229" w:rsidRPr="00F54106">
        <w:rPr>
          <w:rFonts w:cstheme="minorHAnsi"/>
          <w:lang w:val="en-GB"/>
        </w:rPr>
        <w:t>d</w:t>
      </w:r>
      <w:r w:rsidRPr="00F54106">
        <w:rPr>
          <w:rFonts w:cstheme="minorHAnsi"/>
          <w:lang w:val="en-GB"/>
        </w:rPr>
        <w:t>efending lawyer</w:t>
      </w:r>
      <w:r w:rsidR="008D1D80" w:rsidRPr="00F54106">
        <w:rPr>
          <w:rFonts w:cstheme="minorHAnsi"/>
          <w:lang w:val="en-GB"/>
        </w:rPr>
        <w:t xml:space="preserve">s </w:t>
      </w:r>
      <w:r w:rsidR="009F381E" w:rsidRPr="00F54106">
        <w:rPr>
          <w:rFonts w:cstheme="minorHAnsi"/>
          <w:lang w:val="en-GB"/>
        </w:rPr>
        <w:t>and judge X</w:t>
      </w:r>
      <w:r w:rsidRPr="00F54106">
        <w:rPr>
          <w:rFonts w:cstheme="minorHAnsi"/>
          <w:lang w:val="en-GB"/>
        </w:rPr>
        <w:t xml:space="preserve"> </w:t>
      </w:r>
      <w:r w:rsidR="000264FC" w:rsidRPr="00F54106">
        <w:rPr>
          <w:rFonts w:cstheme="minorHAnsi"/>
          <w:lang w:val="en-GB"/>
        </w:rPr>
        <w:t>believe</w:t>
      </w:r>
      <w:r w:rsidR="00811229" w:rsidRPr="00F54106">
        <w:rPr>
          <w:rFonts w:cstheme="minorHAnsi"/>
          <w:lang w:val="en-GB"/>
        </w:rPr>
        <w:t>d</w:t>
      </w:r>
      <w:r w:rsidR="000264FC" w:rsidRPr="00F54106">
        <w:rPr>
          <w:rFonts w:cstheme="minorHAnsi"/>
          <w:lang w:val="en-GB"/>
        </w:rPr>
        <w:t xml:space="preserve"> that forum shopping regularly occurs in the Netherlands</w:t>
      </w:r>
      <w:r w:rsidR="009F381E" w:rsidRPr="00F54106">
        <w:rPr>
          <w:rFonts w:cstheme="minorHAnsi"/>
          <w:lang w:val="en-GB"/>
        </w:rPr>
        <w:t xml:space="preserve"> </w:t>
      </w:r>
      <w:r w:rsidR="00F94418" w:rsidRPr="00F54106">
        <w:rPr>
          <w:rFonts w:cstheme="minorHAnsi"/>
          <w:lang w:val="en-GB"/>
        </w:rPr>
        <w:t>since</w:t>
      </w:r>
      <w:r w:rsidR="009F381E" w:rsidRPr="00F54106">
        <w:rPr>
          <w:rFonts w:cstheme="minorHAnsi"/>
          <w:lang w:val="en-GB"/>
        </w:rPr>
        <w:t xml:space="preserve"> </w:t>
      </w:r>
      <w:r w:rsidR="00F94418" w:rsidRPr="00F54106">
        <w:rPr>
          <w:rFonts w:cstheme="minorHAnsi"/>
          <w:lang w:val="en-GB"/>
        </w:rPr>
        <w:t>cartel damages claims are tried before Dutch courts without</w:t>
      </w:r>
      <w:r w:rsidR="009F381E" w:rsidRPr="00F54106">
        <w:rPr>
          <w:rFonts w:cstheme="minorHAnsi"/>
          <w:lang w:val="en-GB"/>
        </w:rPr>
        <w:t xml:space="preserve"> </w:t>
      </w:r>
      <w:r w:rsidR="00F94418" w:rsidRPr="00F54106">
        <w:rPr>
          <w:rFonts w:cstheme="minorHAnsi"/>
          <w:lang w:val="en-GB"/>
        </w:rPr>
        <w:t>a</w:t>
      </w:r>
      <w:r w:rsidR="009F381E" w:rsidRPr="00F54106">
        <w:rPr>
          <w:rFonts w:cstheme="minorHAnsi"/>
          <w:lang w:val="en-GB"/>
        </w:rPr>
        <w:t xml:space="preserve"> sufficient connection </w:t>
      </w:r>
      <w:r w:rsidR="00F94418" w:rsidRPr="00F54106">
        <w:rPr>
          <w:rFonts w:cstheme="minorHAnsi"/>
          <w:lang w:val="en-GB"/>
        </w:rPr>
        <w:t>between the c</w:t>
      </w:r>
      <w:r w:rsidR="0061674D" w:rsidRPr="00F54106">
        <w:rPr>
          <w:rFonts w:cstheme="minorHAnsi"/>
          <w:lang w:val="en-GB"/>
        </w:rPr>
        <w:t>laim</w:t>
      </w:r>
      <w:r w:rsidR="00F94418" w:rsidRPr="00F54106">
        <w:rPr>
          <w:rFonts w:cstheme="minorHAnsi"/>
          <w:lang w:val="en-GB"/>
        </w:rPr>
        <w:t xml:space="preserve"> and </w:t>
      </w:r>
      <w:r w:rsidR="009F381E" w:rsidRPr="00F54106">
        <w:rPr>
          <w:rFonts w:cstheme="minorHAnsi"/>
          <w:lang w:val="en-GB"/>
        </w:rPr>
        <w:t xml:space="preserve">the </w:t>
      </w:r>
      <w:r w:rsidR="00F94418" w:rsidRPr="00F54106">
        <w:rPr>
          <w:rFonts w:cstheme="minorHAnsi"/>
          <w:lang w:val="en-GB"/>
        </w:rPr>
        <w:t xml:space="preserve">Netherlands. </w:t>
      </w:r>
      <w:r w:rsidR="009F381E" w:rsidRPr="00F54106">
        <w:rPr>
          <w:rFonts w:cstheme="minorHAnsi"/>
          <w:lang w:val="en-GB"/>
        </w:rPr>
        <w:t>In contrast</w:t>
      </w:r>
      <w:r w:rsidR="008351F3">
        <w:rPr>
          <w:rFonts w:cstheme="minorHAnsi"/>
          <w:lang w:val="en-GB"/>
        </w:rPr>
        <w:t>,</w:t>
      </w:r>
      <w:r w:rsidR="000264FC" w:rsidRPr="00F54106">
        <w:rPr>
          <w:rFonts w:cstheme="minorHAnsi"/>
          <w:lang w:val="en-GB"/>
        </w:rPr>
        <w:t xml:space="preserve"> lawyers on the claimant side were of the opinion that forum shopping</w:t>
      </w:r>
      <w:r w:rsidRPr="00F54106">
        <w:rPr>
          <w:rFonts w:cstheme="minorHAnsi"/>
          <w:lang w:val="en-GB"/>
        </w:rPr>
        <w:t xml:space="preserve"> </w:t>
      </w:r>
      <w:r w:rsidR="000264FC" w:rsidRPr="00F54106">
        <w:rPr>
          <w:rFonts w:cstheme="minorHAnsi"/>
          <w:lang w:val="en-GB"/>
        </w:rPr>
        <w:t xml:space="preserve">is not present in the Netherlands at all. Instead, </w:t>
      </w:r>
      <w:r w:rsidR="00F94418" w:rsidRPr="00F54106">
        <w:rPr>
          <w:rFonts w:cstheme="minorHAnsi"/>
          <w:lang w:val="en-GB"/>
        </w:rPr>
        <w:t>the claiming lawyers considered</w:t>
      </w:r>
      <w:r w:rsidR="00811229" w:rsidRPr="00F54106">
        <w:rPr>
          <w:rFonts w:cstheme="minorHAnsi"/>
          <w:lang w:val="en-GB"/>
        </w:rPr>
        <w:t xml:space="preserve"> </w:t>
      </w:r>
      <w:r w:rsidR="000264FC" w:rsidRPr="00F54106">
        <w:rPr>
          <w:rFonts w:cstheme="minorHAnsi"/>
          <w:lang w:val="en-GB"/>
        </w:rPr>
        <w:t>choosing</w:t>
      </w:r>
      <w:r w:rsidR="00F94418" w:rsidRPr="00F54106">
        <w:rPr>
          <w:rFonts w:cstheme="minorHAnsi"/>
          <w:lang w:val="en-GB"/>
        </w:rPr>
        <w:t xml:space="preserve"> a</w:t>
      </w:r>
      <w:r w:rsidR="000264FC" w:rsidRPr="00F54106">
        <w:rPr>
          <w:rFonts w:cstheme="minorHAnsi"/>
          <w:lang w:val="en-GB"/>
        </w:rPr>
        <w:t xml:space="preserve"> forum is considered a right</w:t>
      </w:r>
      <w:r w:rsidR="00F94418" w:rsidRPr="00F54106">
        <w:rPr>
          <w:rFonts w:cstheme="minorHAnsi"/>
          <w:lang w:val="en-GB"/>
        </w:rPr>
        <w:t>, while</w:t>
      </w:r>
      <w:r w:rsidR="000264FC" w:rsidRPr="00F54106">
        <w:rPr>
          <w:rFonts w:cstheme="minorHAnsi"/>
          <w:lang w:val="en-GB"/>
        </w:rPr>
        <w:t xml:space="preserve"> </w:t>
      </w:r>
      <w:r w:rsidR="00F94418" w:rsidRPr="00F54106">
        <w:rPr>
          <w:rFonts w:cstheme="minorHAnsi"/>
          <w:lang w:val="en-GB"/>
        </w:rPr>
        <w:t>only the</w:t>
      </w:r>
      <w:r w:rsidR="00811229" w:rsidRPr="00F54106">
        <w:rPr>
          <w:rFonts w:cstheme="minorHAnsi"/>
          <w:lang w:val="en-GB"/>
        </w:rPr>
        <w:t xml:space="preserve"> jurisdictions are considered where a suit can be </w:t>
      </w:r>
      <w:r w:rsidR="00811229" w:rsidRPr="00F54106">
        <w:rPr>
          <w:rFonts w:cstheme="minorHAnsi"/>
          <w:i/>
          <w:iCs/>
          <w:lang w:val="en-GB"/>
        </w:rPr>
        <w:t>legally</w:t>
      </w:r>
      <w:r w:rsidR="00811229" w:rsidRPr="00F54106">
        <w:rPr>
          <w:rFonts w:cstheme="minorHAnsi"/>
          <w:lang w:val="en-GB"/>
        </w:rPr>
        <w:t xml:space="preserve"> brought.</w:t>
      </w:r>
    </w:p>
    <w:p w14:paraId="0B7D6CC2" w14:textId="77777777" w:rsidR="00985B84" w:rsidRPr="00F54106" w:rsidRDefault="00985B84" w:rsidP="00985B84">
      <w:pPr>
        <w:spacing w:line="276" w:lineRule="auto"/>
        <w:rPr>
          <w:rFonts w:cstheme="minorHAnsi"/>
          <w:lang w:val="en-GB"/>
        </w:rPr>
      </w:pPr>
    </w:p>
    <w:p w14:paraId="652A748D" w14:textId="131A880E" w:rsidR="001D4D95" w:rsidRPr="00F54106" w:rsidRDefault="006433E0" w:rsidP="00B95204">
      <w:pPr>
        <w:pStyle w:val="Heading2"/>
        <w:rPr>
          <w:lang w:val="en-GB"/>
        </w:rPr>
      </w:pPr>
      <w:bookmarkStart w:id="159" w:name="_Toc107610243"/>
      <w:r w:rsidRPr="00F54106">
        <w:rPr>
          <w:lang w:val="en-GB"/>
        </w:rPr>
        <w:t>3</w:t>
      </w:r>
      <w:r w:rsidR="00B95204" w:rsidRPr="00F54106">
        <w:rPr>
          <w:lang w:val="en-GB"/>
        </w:rPr>
        <w:t>.</w:t>
      </w:r>
      <w:r w:rsidR="00985B84" w:rsidRPr="00F54106">
        <w:rPr>
          <w:lang w:val="en-GB"/>
        </w:rPr>
        <w:t>2</w:t>
      </w:r>
      <w:r w:rsidR="00B95204" w:rsidRPr="00F54106">
        <w:rPr>
          <w:lang w:val="en-GB"/>
        </w:rPr>
        <w:t xml:space="preserve"> Efficiency</w:t>
      </w:r>
      <w:r w:rsidR="009E7B63" w:rsidRPr="00F54106">
        <w:rPr>
          <w:lang w:val="en-GB"/>
        </w:rPr>
        <w:t xml:space="preserve"> </w:t>
      </w:r>
      <w:r w:rsidR="0068659A" w:rsidRPr="00F54106">
        <w:rPr>
          <w:lang w:val="en-GB"/>
        </w:rPr>
        <w:t xml:space="preserve">and approach </w:t>
      </w:r>
      <w:r w:rsidR="009E7B63" w:rsidRPr="00F54106">
        <w:rPr>
          <w:lang w:val="en-GB"/>
        </w:rPr>
        <w:t>of Dutch courts</w:t>
      </w:r>
      <w:r w:rsidR="00811229" w:rsidRPr="00F54106">
        <w:rPr>
          <w:lang w:val="en-GB"/>
        </w:rPr>
        <w:t xml:space="preserve"> as preferred elements</w:t>
      </w:r>
      <w:bookmarkEnd w:id="159"/>
    </w:p>
    <w:p w14:paraId="18A57132" w14:textId="61DB083E" w:rsidR="009A56CB" w:rsidRPr="00F54106" w:rsidRDefault="00825B27" w:rsidP="009A56CB">
      <w:pPr>
        <w:spacing w:line="276" w:lineRule="auto"/>
        <w:rPr>
          <w:lang w:val="en-GB"/>
        </w:rPr>
      </w:pPr>
      <w:r w:rsidRPr="00F54106">
        <w:rPr>
          <w:rFonts w:cstheme="minorHAnsi"/>
          <w:lang w:val="en-GB"/>
        </w:rPr>
        <w:t xml:space="preserve">The qualitative interviews support the literature’s view that the efficiency and practical approach of the Dutch courts is an important factor for filing a claim in the Netherlands. </w:t>
      </w:r>
      <w:r w:rsidR="005312A9" w:rsidRPr="00F54106">
        <w:rPr>
          <w:rFonts w:cstheme="minorHAnsi"/>
          <w:lang w:val="en-GB"/>
        </w:rPr>
        <w:t xml:space="preserve">All interviewees </w:t>
      </w:r>
      <w:r w:rsidR="008D1D80" w:rsidRPr="00F54106">
        <w:rPr>
          <w:rFonts w:cstheme="minorHAnsi"/>
          <w:lang w:val="en-GB"/>
        </w:rPr>
        <w:t>expressed an opinion</w:t>
      </w:r>
      <w:r w:rsidR="00592CE0" w:rsidRPr="00F54106">
        <w:rPr>
          <w:rFonts w:cstheme="minorHAnsi"/>
          <w:lang w:val="en-GB"/>
        </w:rPr>
        <w:t xml:space="preserve"> that</w:t>
      </w:r>
      <w:r w:rsidR="008D1D80" w:rsidRPr="00F54106">
        <w:rPr>
          <w:rFonts w:cstheme="minorHAnsi"/>
          <w:lang w:val="en-GB"/>
        </w:rPr>
        <w:t xml:space="preserve"> the</w:t>
      </w:r>
      <w:r w:rsidR="00592CE0" w:rsidRPr="00F54106">
        <w:rPr>
          <w:rFonts w:cstheme="minorHAnsi"/>
          <w:lang w:val="en-GB"/>
        </w:rPr>
        <w:t xml:space="preserve"> Dutch proceedings are faster compared to most EU countries. </w:t>
      </w:r>
      <w:r w:rsidRPr="00F54106">
        <w:rPr>
          <w:rFonts w:cstheme="minorHAnsi"/>
          <w:lang w:val="en-GB"/>
        </w:rPr>
        <w:t>In addition, l</w:t>
      </w:r>
      <w:r w:rsidR="00592CE0" w:rsidRPr="00F54106">
        <w:rPr>
          <w:rFonts w:cstheme="minorHAnsi"/>
          <w:lang w:val="en-GB"/>
        </w:rPr>
        <w:t>awyers A mention</w:t>
      </w:r>
      <w:r w:rsidR="008D1D80" w:rsidRPr="00F54106">
        <w:rPr>
          <w:rFonts w:cstheme="minorHAnsi"/>
          <w:lang w:val="en-GB"/>
        </w:rPr>
        <w:t>ed</w:t>
      </w:r>
      <w:r w:rsidR="00592CE0" w:rsidRPr="00F54106">
        <w:rPr>
          <w:rFonts w:cstheme="minorHAnsi"/>
          <w:lang w:val="en-GB"/>
        </w:rPr>
        <w:t xml:space="preserve"> that, </w:t>
      </w:r>
      <w:r w:rsidR="00DE3DC3" w:rsidRPr="00F54106">
        <w:rPr>
          <w:lang w:val="en-GB"/>
        </w:rPr>
        <w:t>even though there are many procedural delays and defences possible, most proceedings before Dutch courts only take a few years at first instance</w:t>
      </w:r>
      <w:r w:rsidR="00592CE0" w:rsidRPr="00F54106">
        <w:rPr>
          <w:lang w:val="en-GB"/>
        </w:rPr>
        <w:t>. This is</w:t>
      </w:r>
      <w:r w:rsidR="00DE3DC3" w:rsidRPr="00F54106">
        <w:rPr>
          <w:lang w:val="en-GB"/>
        </w:rPr>
        <w:t xml:space="preserve"> in contrast to countries such as Italy where proceedings almost always take 5 years or longer.</w:t>
      </w:r>
      <w:r w:rsidR="00592CE0" w:rsidRPr="00F54106">
        <w:rPr>
          <w:rFonts w:cstheme="minorHAnsi"/>
          <w:lang w:val="en-GB"/>
        </w:rPr>
        <w:t xml:space="preserve"> </w:t>
      </w:r>
      <w:r w:rsidR="008D1D80" w:rsidRPr="00F54106">
        <w:rPr>
          <w:rFonts w:cstheme="minorHAnsi"/>
          <w:lang w:val="en-GB"/>
        </w:rPr>
        <w:t>Moreover</w:t>
      </w:r>
      <w:r w:rsidR="00BA51F7" w:rsidRPr="00F54106">
        <w:rPr>
          <w:rFonts w:cstheme="minorHAnsi"/>
          <w:lang w:val="en-GB"/>
        </w:rPr>
        <w:t>, lawyer D note</w:t>
      </w:r>
      <w:r w:rsidR="008D1D80" w:rsidRPr="00F54106">
        <w:rPr>
          <w:rFonts w:cstheme="minorHAnsi"/>
          <w:lang w:val="en-GB"/>
        </w:rPr>
        <w:t>d</w:t>
      </w:r>
      <w:r w:rsidR="00BA51F7" w:rsidRPr="00F54106">
        <w:rPr>
          <w:rFonts w:cstheme="minorHAnsi"/>
          <w:lang w:val="en-GB"/>
        </w:rPr>
        <w:t xml:space="preserve"> that </w:t>
      </w:r>
      <w:r w:rsidR="00BA51F7" w:rsidRPr="00F54106">
        <w:rPr>
          <w:lang w:val="en-GB"/>
        </w:rPr>
        <w:t xml:space="preserve">proceedings before Dutch courts are relatively short compared to other countries as they often have less capacity, experience, or even a lower progressive attitude to deal with cartel claims. </w:t>
      </w:r>
      <w:r w:rsidR="00592CE0" w:rsidRPr="00F54106">
        <w:rPr>
          <w:rFonts w:cstheme="minorHAnsi"/>
          <w:lang w:val="en-GB"/>
        </w:rPr>
        <w:t xml:space="preserve">Furthermore, </w:t>
      </w:r>
      <w:r w:rsidR="00986727" w:rsidRPr="00F54106">
        <w:rPr>
          <w:lang w:val="en-GB"/>
        </w:rPr>
        <w:t>Lawyer C mention</w:t>
      </w:r>
      <w:r w:rsidR="008D1D80" w:rsidRPr="00F54106">
        <w:rPr>
          <w:lang w:val="en-GB"/>
        </w:rPr>
        <w:t>ed</w:t>
      </w:r>
      <w:r w:rsidR="00986727" w:rsidRPr="00F54106">
        <w:rPr>
          <w:lang w:val="en-GB"/>
        </w:rPr>
        <w:t xml:space="preserve"> that lawyer C’s law firm is involved </w:t>
      </w:r>
      <w:r w:rsidR="00BA51F7" w:rsidRPr="00F54106">
        <w:rPr>
          <w:lang w:val="en-GB"/>
        </w:rPr>
        <w:t>with</w:t>
      </w:r>
      <w:r w:rsidR="00986727" w:rsidRPr="00F54106">
        <w:rPr>
          <w:lang w:val="en-GB"/>
        </w:rPr>
        <w:t xml:space="preserve"> a database for private litigation claims </w:t>
      </w:r>
      <w:r w:rsidR="008D1D80" w:rsidRPr="00F54106">
        <w:rPr>
          <w:lang w:val="en-GB"/>
        </w:rPr>
        <w:t xml:space="preserve">from Kluwer </w:t>
      </w:r>
      <w:r w:rsidR="00986727" w:rsidRPr="00F54106">
        <w:rPr>
          <w:lang w:val="en-GB"/>
        </w:rPr>
        <w:t xml:space="preserve">in which English and German cases are also included. </w:t>
      </w:r>
      <w:r w:rsidR="00592CE0" w:rsidRPr="00F54106">
        <w:rPr>
          <w:lang w:val="en-GB"/>
        </w:rPr>
        <w:t>Lawyer C explain</w:t>
      </w:r>
      <w:r w:rsidR="008D1D80" w:rsidRPr="00F54106">
        <w:rPr>
          <w:lang w:val="en-GB"/>
        </w:rPr>
        <w:t>ed</w:t>
      </w:r>
      <w:r w:rsidR="00592CE0" w:rsidRPr="00F54106">
        <w:rPr>
          <w:lang w:val="en-GB"/>
        </w:rPr>
        <w:t xml:space="preserve"> that, w</w:t>
      </w:r>
      <w:r w:rsidR="00986727" w:rsidRPr="00F54106">
        <w:rPr>
          <w:lang w:val="en-GB"/>
        </w:rPr>
        <w:t xml:space="preserve">hen </w:t>
      </w:r>
      <w:r w:rsidR="00986727" w:rsidRPr="00F54106">
        <w:rPr>
          <w:lang w:val="en-GB"/>
        </w:rPr>
        <w:lastRenderedPageBreak/>
        <w:t xml:space="preserve">potential expansions of this database with French or Spanish jurisdictions were examined, it </w:t>
      </w:r>
      <w:r w:rsidR="00A76390" w:rsidRPr="00F54106">
        <w:rPr>
          <w:lang w:val="en-GB"/>
        </w:rPr>
        <w:t xml:space="preserve">showed that </w:t>
      </w:r>
      <w:r w:rsidR="00986727" w:rsidRPr="00F54106">
        <w:rPr>
          <w:lang w:val="en-GB"/>
        </w:rPr>
        <w:t xml:space="preserve">proceedings in these jurisdictions almost always lag behind compared to Dutch, English or German proceedings. Hence, </w:t>
      </w:r>
      <w:r w:rsidR="00BA51F7" w:rsidRPr="00F54106">
        <w:rPr>
          <w:lang w:val="en-GB"/>
        </w:rPr>
        <w:t>lawyer C th</w:t>
      </w:r>
      <w:r w:rsidR="008D1D80" w:rsidRPr="00F54106">
        <w:rPr>
          <w:lang w:val="en-GB"/>
        </w:rPr>
        <w:t>ought</w:t>
      </w:r>
      <w:r w:rsidR="00BA51F7" w:rsidRPr="00F54106">
        <w:rPr>
          <w:lang w:val="en-GB"/>
        </w:rPr>
        <w:t xml:space="preserve"> that </w:t>
      </w:r>
      <w:r w:rsidR="00986727" w:rsidRPr="00F54106">
        <w:rPr>
          <w:lang w:val="en-GB"/>
        </w:rPr>
        <w:t xml:space="preserve">the Netherlands is preferred in this sense. </w:t>
      </w:r>
    </w:p>
    <w:p w14:paraId="5B0D3CF5" w14:textId="354312C5" w:rsidR="00DE3DC3" w:rsidRPr="00F54106" w:rsidRDefault="009A56CB" w:rsidP="00425022">
      <w:pPr>
        <w:spacing w:line="276" w:lineRule="auto"/>
        <w:ind w:firstLine="720"/>
        <w:rPr>
          <w:rFonts w:cstheme="minorHAnsi"/>
          <w:b/>
          <w:bCs/>
          <w:lang w:val="en-GB"/>
        </w:rPr>
      </w:pPr>
      <w:r w:rsidRPr="00F54106">
        <w:rPr>
          <w:lang w:val="en-GB"/>
        </w:rPr>
        <w:t>In addition to faster proceedings, lawyer B also note</w:t>
      </w:r>
      <w:r w:rsidR="008D1D80" w:rsidRPr="00F54106">
        <w:rPr>
          <w:lang w:val="en-GB"/>
        </w:rPr>
        <w:t>d</w:t>
      </w:r>
      <w:r w:rsidRPr="00F54106">
        <w:rPr>
          <w:lang w:val="en-GB"/>
        </w:rPr>
        <w:t xml:space="preserve"> that Dutch courts, especially in Amsterdam, have gained a lot of experience with cartel damages claims, making it possible to trial </w:t>
      </w:r>
      <w:r w:rsidR="008D1D80" w:rsidRPr="00F54106">
        <w:rPr>
          <w:lang w:val="en-GB"/>
        </w:rPr>
        <w:t xml:space="preserve">in a much </w:t>
      </w:r>
      <w:r w:rsidRPr="00F54106">
        <w:rPr>
          <w:lang w:val="en-GB"/>
        </w:rPr>
        <w:t>more efficient</w:t>
      </w:r>
      <w:r w:rsidR="008D1D80" w:rsidRPr="00F54106">
        <w:rPr>
          <w:lang w:val="en-GB"/>
        </w:rPr>
        <w:t xml:space="preserve"> way</w:t>
      </w:r>
      <w:r w:rsidRPr="00F54106">
        <w:rPr>
          <w:lang w:val="en-GB"/>
        </w:rPr>
        <w:t xml:space="preserve">. </w:t>
      </w:r>
      <w:r w:rsidR="009B415A" w:rsidRPr="00F54106">
        <w:rPr>
          <w:lang w:val="en-GB"/>
        </w:rPr>
        <w:t xml:space="preserve">For illustration, </w:t>
      </w:r>
      <w:r w:rsidRPr="00F54106">
        <w:rPr>
          <w:lang w:val="en-GB"/>
        </w:rPr>
        <w:t>Lawyer B provide</w:t>
      </w:r>
      <w:r w:rsidR="008D1D80" w:rsidRPr="00F54106">
        <w:rPr>
          <w:lang w:val="en-GB"/>
        </w:rPr>
        <w:t>d</w:t>
      </w:r>
      <w:r w:rsidRPr="00F54106">
        <w:rPr>
          <w:lang w:val="en-GB"/>
        </w:rPr>
        <w:t xml:space="preserve"> a “case management hearing” as an example of efficient litigation where it is first determined which subject of the procedure will be handled at which exact moment during the proceedings</w:t>
      </w:r>
      <w:bookmarkStart w:id="160" w:name="_Hlk106591508"/>
      <w:r w:rsidR="00EF6DB9" w:rsidRPr="00F54106">
        <w:rPr>
          <w:lang w:val="en-GB"/>
        </w:rPr>
        <w:t xml:space="preserve">. </w:t>
      </w:r>
      <w:r w:rsidR="009B415A" w:rsidRPr="00F54106">
        <w:rPr>
          <w:rFonts w:cstheme="minorHAnsi"/>
          <w:lang w:val="en-GB"/>
        </w:rPr>
        <w:t>Furthermore, j</w:t>
      </w:r>
      <w:r w:rsidR="003B27D8" w:rsidRPr="00F54106">
        <w:rPr>
          <w:rFonts w:cstheme="minorHAnsi"/>
          <w:lang w:val="en-GB"/>
        </w:rPr>
        <w:t>udge X highly suspect</w:t>
      </w:r>
      <w:r w:rsidR="008D1D80" w:rsidRPr="00F54106">
        <w:rPr>
          <w:rFonts w:cstheme="minorHAnsi"/>
          <w:lang w:val="en-GB"/>
        </w:rPr>
        <w:t>ed</w:t>
      </w:r>
      <w:r w:rsidR="003B27D8" w:rsidRPr="00F54106">
        <w:rPr>
          <w:rFonts w:cstheme="minorHAnsi"/>
          <w:lang w:val="en-GB"/>
        </w:rPr>
        <w:t xml:space="preserve"> that efficiency of the proceedings is </w:t>
      </w:r>
      <w:r w:rsidR="009B415A" w:rsidRPr="00F54106">
        <w:rPr>
          <w:rFonts w:cstheme="minorHAnsi"/>
          <w:lang w:val="en-GB"/>
        </w:rPr>
        <w:t xml:space="preserve">actually </w:t>
      </w:r>
      <w:r w:rsidR="003B27D8" w:rsidRPr="00F54106">
        <w:rPr>
          <w:rFonts w:cstheme="minorHAnsi"/>
          <w:lang w:val="en-GB"/>
        </w:rPr>
        <w:t xml:space="preserve">the most significant factor in choosing where to litigate and </w:t>
      </w:r>
      <w:r w:rsidR="00EF6DB9" w:rsidRPr="00F54106">
        <w:rPr>
          <w:rFonts w:cstheme="minorHAnsi"/>
          <w:lang w:val="en-GB"/>
        </w:rPr>
        <w:t>state</w:t>
      </w:r>
      <w:r w:rsidR="00EA5202" w:rsidRPr="00F54106">
        <w:rPr>
          <w:rFonts w:cstheme="minorHAnsi"/>
          <w:lang w:val="en-GB"/>
        </w:rPr>
        <w:t>d</w:t>
      </w:r>
      <w:r w:rsidR="003B27D8" w:rsidRPr="00F54106">
        <w:rPr>
          <w:rFonts w:cstheme="minorHAnsi"/>
          <w:lang w:val="en-GB"/>
        </w:rPr>
        <w:t xml:space="preserve"> that the Netherlands, the UK and Germany are at the top of the efficiency ladder in the EU.</w:t>
      </w:r>
      <w:r w:rsidR="009B415A" w:rsidRPr="00F54106">
        <w:rPr>
          <w:rFonts w:cstheme="minorHAnsi"/>
          <w:lang w:val="en-GB"/>
        </w:rPr>
        <w:t xml:space="preserve"> </w:t>
      </w:r>
      <w:r w:rsidR="00EA5202" w:rsidRPr="00F54106">
        <w:rPr>
          <w:rFonts w:cstheme="minorHAnsi"/>
          <w:lang w:val="en-GB"/>
        </w:rPr>
        <w:t xml:space="preserve">As an explanation, </w:t>
      </w:r>
      <w:r w:rsidR="009B415A" w:rsidRPr="00F54106">
        <w:rPr>
          <w:rFonts w:cstheme="minorHAnsi"/>
          <w:lang w:val="en-GB"/>
        </w:rPr>
        <w:t xml:space="preserve">Judge X </w:t>
      </w:r>
      <w:r w:rsidR="00EA5202" w:rsidRPr="00F54106">
        <w:rPr>
          <w:rFonts w:cstheme="minorHAnsi"/>
          <w:lang w:val="en-GB"/>
        </w:rPr>
        <w:t>suggested</w:t>
      </w:r>
      <w:r w:rsidR="009B415A" w:rsidRPr="00F54106">
        <w:rPr>
          <w:rFonts w:cstheme="minorHAnsi"/>
          <w:lang w:val="en-GB"/>
        </w:rPr>
        <w:t xml:space="preserve"> t</w:t>
      </w:r>
      <w:r w:rsidR="00EA5202" w:rsidRPr="00F54106">
        <w:rPr>
          <w:rFonts w:cstheme="minorHAnsi"/>
          <w:lang w:val="en-GB"/>
        </w:rPr>
        <w:t>hat t</w:t>
      </w:r>
      <w:r w:rsidR="009B415A" w:rsidRPr="00F54106">
        <w:rPr>
          <w:rFonts w:cstheme="minorHAnsi"/>
          <w:lang w:val="en-GB"/>
        </w:rPr>
        <w:t>his is because</w:t>
      </w:r>
      <w:r w:rsidR="003B27D8" w:rsidRPr="00F54106">
        <w:rPr>
          <w:rFonts w:cstheme="minorHAnsi"/>
          <w:lang w:val="en-GB"/>
        </w:rPr>
        <w:t xml:space="preserve"> the hearings </w:t>
      </w:r>
      <w:r w:rsidR="009B415A" w:rsidRPr="00F54106">
        <w:rPr>
          <w:rFonts w:cstheme="minorHAnsi"/>
          <w:lang w:val="en-GB"/>
        </w:rPr>
        <w:t xml:space="preserve">in the Netherlands </w:t>
      </w:r>
      <w:r w:rsidR="003B27D8" w:rsidRPr="00F54106">
        <w:rPr>
          <w:rFonts w:cstheme="minorHAnsi"/>
          <w:lang w:val="en-GB"/>
        </w:rPr>
        <w:t>are shorter compared to, for example, the UK, even when not considering</w:t>
      </w:r>
      <w:r w:rsidR="009B415A" w:rsidRPr="00F54106">
        <w:rPr>
          <w:rFonts w:cstheme="minorHAnsi"/>
          <w:lang w:val="en-GB"/>
        </w:rPr>
        <w:t xml:space="preserve"> its</w:t>
      </w:r>
      <w:r w:rsidR="003B27D8" w:rsidRPr="00F54106">
        <w:rPr>
          <w:rFonts w:cstheme="minorHAnsi"/>
          <w:lang w:val="en-GB"/>
        </w:rPr>
        <w:t xml:space="preserve"> beforehand disclosure obligation. </w:t>
      </w:r>
      <w:r w:rsidR="00EA5202" w:rsidRPr="00F54106">
        <w:rPr>
          <w:rFonts w:cstheme="minorHAnsi"/>
          <w:lang w:val="en-GB"/>
        </w:rPr>
        <w:t>Judge X believed t</w:t>
      </w:r>
      <w:r w:rsidR="00250EBD" w:rsidRPr="00F54106">
        <w:rPr>
          <w:rFonts w:cstheme="minorHAnsi"/>
          <w:lang w:val="en-GB"/>
        </w:rPr>
        <w:t xml:space="preserve">his </w:t>
      </w:r>
      <w:r w:rsidR="00EA5202" w:rsidRPr="00F54106">
        <w:rPr>
          <w:rFonts w:cstheme="minorHAnsi"/>
          <w:lang w:val="en-GB"/>
        </w:rPr>
        <w:t>can be observed</w:t>
      </w:r>
      <w:r w:rsidR="00EF6DB9" w:rsidRPr="00F54106">
        <w:rPr>
          <w:rFonts w:cstheme="minorHAnsi"/>
          <w:lang w:val="en-GB"/>
        </w:rPr>
        <w:t xml:space="preserve"> in the fact that</w:t>
      </w:r>
      <w:r w:rsidR="003B27D8" w:rsidRPr="00F54106">
        <w:rPr>
          <w:rFonts w:cstheme="minorHAnsi"/>
          <w:lang w:val="en-GB"/>
        </w:rPr>
        <w:t xml:space="preserve"> the proceedings are not all handled in hearings and </w:t>
      </w:r>
      <w:r w:rsidR="00250EBD" w:rsidRPr="00F54106">
        <w:rPr>
          <w:rFonts w:cstheme="minorHAnsi"/>
          <w:lang w:val="en-GB"/>
        </w:rPr>
        <w:t>a large portion</w:t>
      </w:r>
      <w:r w:rsidR="003B27D8" w:rsidRPr="00F54106">
        <w:rPr>
          <w:rFonts w:cstheme="minorHAnsi"/>
          <w:lang w:val="en-GB"/>
        </w:rPr>
        <w:t xml:space="preserve"> can be </w:t>
      </w:r>
      <w:r w:rsidR="00EF6DB9" w:rsidRPr="00F54106">
        <w:rPr>
          <w:rFonts w:cstheme="minorHAnsi"/>
          <w:lang w:val="en-GB"/>
        </w:rPr>
        <w:t>dealt with</w:t>
      </w:r>
      <w:r w:rsidR="003B27D8" w:rsidRPr="00F54106">
        <w:rPr>
          <w:rFonts w:cstheme="minorHAnsi"/>
          <w:lang w:val="en-GB"/>
        </w:rPr>
        <w:t xml:space="preserve"> in writing, which saves both time and legal costs. </w:t>
      </w:r>
      <w:r w:rsidR="00EA5202" w:rsidRPr="00F54106">
        <w:rPr>
          <w:rFonts w:cstheme="minorHAnsi"/>
          <w:lang w:val="en-GB"/>
        </w:rPr>
        <w:t xml:space="preserve">According to judge X, </w:t>
      </w:r>
      <w:r w:rsidR="003B27D8" w:rsidRPr="00F54106">
        <w:rPr>
          <w:rFonts w:cstheme="minorHAnsi"/>
          <w:lang w:val="en-GB"/>
        </w:rPr>
        <w:t xml:space="preserve">Dutch courts also first “separate the wheat from the chaff” and do not gather all evidence beforehand. In contrast to most EU courts, Dutch courts apply a separation where liability is established first and the damages are assessed afterwards. As a result, </w:t>
      </w:r>
      <w:r w:rsidR="00EA5202" w:rsidRPr="00F54106">
        <w:rPr>
          <w:rFonts w:cstheme="minorHAnsi"/>
          <w:lang w:val="en-GB"/>
        </w:rPr>
        <w:t xml:space="preserve">Judge X </w:t>
      </w:r>
      <w:r w:rsidR="00146F9A" w:rsidRPr="00F54106">
        <w:rPr>
          <w:rFonts w:cstheme="minorHAnsi"/>
          <w:lang w:val="en-GB"/>
        </w:rPr>
        <w:t>concluded</w:t>
      </w:r>
      <w:r w:rsidR="00EA5202" w:rsidRPr="00F54106">
        <w:rPr>
          <w:rFonts w:cstheme="minorHAnsi"/>
          <w:lang w:val="en-GB"/>
        </w:rPr>
        <w:t xml:space="preserve"> that </w:t>
      </w:r>
      <w:r w:rsidR="003B27D8" w:rsidRPr="00F54106">
        <w:rPr>
          <w:rFonts w:cstheme="minorHAnsi"/>
          <w:lang w:val="en-GB"/>
        </w:rPr>
        <w:t>the cases remain more “manageable”, which is an element that is often missing in other EU countries and contributes to the efficiency.</w:t>
      </w:r>
      <w:bookmarkEnd w:id="160"/>
    </w:p>
    <w:p w14:paraId="61D31944" w14:textId="3A6D7437" w:rsidR="00425022" w:rsidRPr="00F54106" w:rsidRDefault="00250EBD" w:rsidP="00250EBD">
      <w:pPr>
        <w:ind w:firstLine="720"/>
        <w:rPr>
          <w:lang w:val="en-GB"/>
        </w:rPr>
      </w:pPr>
      <w:r w:rsidRPr="00F54106">
        <w:rPr>
          <w:lang w:val="en-GB"/>
        </w:rPr>
        <w:t>Both lawyers B and C consider</w:t>
      </w:r>
      <w:r w:rsidR="00EA5202" w:rsidRPr="00F54106">
        <w:rPr>
          <w:lang w:val="en-GB"/>
        </w:rPr>
        <w:t>ed</w:t>
      </w:r>
      <w:r w:rsidRPr="00F54106">
        <w:rPr>
          <w:lang w:val="en-GB"/>
        </w:rPr>
        <w:t xml:space="preserve"> it an advantage that relevant precedents currently exist and</w:t>
      </w:r>
      <w:r w:rsidR="00146F9A" w:rsidRPr="00F54106">
        <w:rPr>
          <w:lang w:val="en-GB"/>
        </w:rPr>
        <w:t xml:space="preserve"> were under the impression</w:t>
      </w:r>
      <w:r w:rsidRPr="00F54106">
        <w:rPr>
          <w:lang w:val="en-GB"/>
        </w:rPr>
        <w:t xml:space="preserve"> that they are especially relevant for the procedure itself. </w:t>
      </w:r>
      <w:r w:rsidR="00E426D3" w:rsidRPr="00F54106">
        <w:rPr>
          <w:lang w:val="en-GB"/>
        </w:rPr>
        <w:t>According to lawyer B,</w:t>
      </w:r>
      <w:r w:rsidRPr="00F54106">
        <w:rPr>
          <w:lang w:val="en-GB"/>
        </w:rPr>
        <w:t xml:space="preserve"> </w:t>
      </w:r>
      <w:r w:rsidR="00E426D3" w:rsidRPr="00F54106">
        <w:rPr>
          <w:lang w:val="en-GB"/>
        </w:rPr>
        <w:t>a</w:t>
      </w:r>
      <w:r w:rsidRPr="00F54106">
        <w:rPr>
          <w:lang w:val="en-GB"/>
        </w:rPr>
        <w:t xml:space="preserve"> court can, on the basis of experience, determine that a different route should be taken with respect to the procedure. For example, it may determine that the applicable law should be discussed first or perhaps determines that the damages should be handled before anything else. Similarly, l</w:t>
      </w:r>
      <w:r w:rsidR="008803E2" w:rsidRPr="00F54106">
        <w:rPr>
          <w:lang w:val="en-GB"/>
        </w:rPr>
        <w:t xml:space="preserve">awyer C </w:t>
      </w:r>
      <w:r w:rsidRPr="00F54106">
        <w:rPr>
          <w:lang w:val="en-GB"/>
        </w:rPr>
        <w:t>state</w:t>
      </w:r>
      <w:r w:rsidR="00146F9A" w:rsidRPr="00F54106">
        <w:rPr>
          <w:lang w:val="en-GB"/>
        </w:rPr>
        <w:t>d</w:t>
      </w:r>
      <w:r w:rsidRPr="00F54106">
        <w:rPr>
          <w:lang w:val="en-GB"/>
        </w:rPr>
        <w:t xml:space="preserve"> that, </w:t>
      </w:r>
      <w:r w:rsidR="008803E2" w:rsidRPr="00F54106">
        <w:rPr>
          <w:lang w:val="en-GB"/>
        </w:rPr>
        <w:t xml:space="preserve">if there already is </w:t>
      </w:r>
      <w:r w:rsidR="00E57885" w:rsidRPr="00F54106">
        <w:rPr>
          <w:lang w:val="en-GB"/>
        </w:rPr>
        <w:t xml:space="preserve">a </w:t>
      </w:r>
      <w:r w:rsidR="008803E2" w:rsidRPr="00F54106">
        <w:rPr>
          <w:lang w:val="en-GB"/>
        </w:rPr>
        <w:t>judgement that specif</w:t>
      </w:r>
      <w:r w:rsidR="00E57885" w:rsidRPr="00F54106">
        <w:rPr>
          <w:lang w:val="en-GB"/>
        </w:rPr>
        <w:t xml:space="preserve">ies the conditions </w:t>
      </w:r>
      <w:r w:rsidR="00C60F0A" w:rsidRPr="00F54106">
        <w:rPr>
          <w:lang w:val="en-GB"/>
        </w:rPr>
        <w:t>for</w:t>
      </w:r>
      <w:r w:rsidR="008803E2" w:rsidRPr="00F54106">
        <w:rPr>
          <w:lang w:val="en-GB"/>
        </w:rPr>
        <w:t xml:space="preserve"> what evidence should be provided to qualify for a compensation</w:t>
      </w:r>
      <w:r w:rsidR="00C60F0A" w:rsidRPr="00F54106">
        <w:rPr>
          <w:lang w:val="en-GB"/>
        </w:rPr>
        <w:t xml:space="preserve"> and how</w:t>
      </w:r>
      <w:r w:rsidR="008803E2" w:rsidRPr="00F54106">
        <w:rPr>
          <w:lang w:val="en-GB"/>
        </w:rPr>
        <w:t>, they may simplify and shorten the procedures</w:t>
      </w:r>
      <w:r w:rsidR="00C60F0A" w:rsidRPr="00F54106">
        <w:rPr>
          <w:lang w:val="en-GB"/>
        </w:rPr>
        <w:t xml:space="preserve"> and enhance the</w:t>
      </w:r>
      <w:r w:rsidR="008803E2" w:rsidRPr="00F54106">
        <w:rPr>
          <w:lang w:val="en-GB"/>
        </w:rPr>
        <w:t xml:space="preserve"> efficiency of cases. </w:t>
      </w:r>
      <w:r w:rsidRPr="00F54106">
        <w:rPr>
          <w:lang w:val="en-GB"/>
        </w:rPr>
        <w:t>Lawyer C th</w:t>
      </w:r>
      <w:r w:rsidR="00146F9A" w:rsidRPr="00F54106">
        <w:rPr>
          <w:lang w:val="en-GB"/>
        </w:rPr>
        <w:t>ought</w:t>
      </w:r>
      <w:r w:rsidRPr="00F54106">
        <w:rPr>
          <w:lang w:val="en-GB"/>
        </w:rPr>
        <w:t xml:space="preserve"> that this</w:t>
      </w:r>
      <w:r w:rsidR="008803E2" w:rsidRPr="00F54106">
        <w:rPr>
          <w:lang w:val="en-GB"/>
        </w:rPr>
        <w:t xml:space="preserve"> may be particularly relevant in the case of claim vehicles as they are mainly concerned with damages claims and, therefore, usually have a broad overview and possession of knowledge of the potential </w:t>
      </w:r>
      <w:r w:rsidR="00986727" w:rsidRPr="00F54106">
        <w:rPr>
          <w:lang w:val="en-GB"/>
        </w:rPr>
        <w:t>fora to litigate in</w:t>
      </w:r>
      <w:r w:rsidR="008803E2" w:rsidRPr="00F54106">
        <w:rPr>
          <w:lang w:val="en-GB"/>
        </w:rPr>
        <w:t>. Hence, claim vehicles can make a well-informed decision and weigh off the beneficial and detrimental factors in order to determine in which forum to litigate, while the gathered evidence provides them with the means to focus on and recruit specific clients.</w:t>
      </w:r>
      <w:r w:rsidR="00986727" w:rsidRPr="00F54106">
        <w:rPr>
          <w:lang w:val="en-GB"/>
        </w:rPr>
        <w:t xml:space="preserve"> </w:t>
      </w:r>
      <w:r w:rsidR="00B46B6F" w:rsidRPr="00F54106">
        <w:rPr>
          <w:lang w:val="en-GB"/>
        </w:rPr>
        <w:t>Moreover, l</w:t>
      </w:r>
      <w:r w:rsidR="00986727" w:rsidRPr="00F54106">
        <w:rPr>
          <w:lang w:val="en-GB"/>
        </w:rPr>
        <w:t xml:space="preserve">awyer D </w:t>
      </w:r>
      <w:r w:rsidR="00592CE0" w:rsidRPr="00F54106">
        <w:rPr>
          <w:lang w:val="en-GB"/>
        </w:rPr>
        <w:t>add</w:t>
      </w:r>
      <w:r w:rsidR="00146F9A" w:rsidRPr="00F54106">
        <w:rPr>
          <w:lang w:val="en-GB"/>
        </w:rPr>
        <w:t>ed</w:t>
      </w:r>
      <w:r w:rsidR="00986727" w:rsidRPr="00F54106">
        <w:rPr>
          <w:lang w:val="en-GB"/>
        </w:rPr>
        <w:t xml:space="preserve"> that Dutch cartel damages precedents in general and precedents on </w:t>
      </w:r>
      <w:r w:rsidR="00B46B6F" w:rsidRPr="00F54106">
        <w:rPr>
          <w:lang w:val="en-GB"/>
        </w:rPr>
        <w:t xml:space="preserve">both </w:t>
      </w:r>
      <w:r w:rsidR="00986727" w:rsidRPr="00F54106">
        <w:rPr>
          <w:lang w:val="en-GB"/>
        </w:rPr>
        <w:t>the collective settlement and collective actions have shown that the Netherlands is a country where settlements and actions are handled very efficiently.</w:t>
      </w:r>
    </w:p>
    <w:p w14:paraId="732F8AD8" w14:textId="58BDAE57" w:rsidR="00760A9F" w:rsidRPr="00F54106" w:rsidRDefault="00BA51F7" w:rsidP="00C81A11">
      <w:pPr>
        <w:ind w:firstLine="720"/>
        <w:rPr>
          <w:lang w:val="en-GB"/>
        </w:rPr>
      </w:pPr>
      <w:r w:rsidRPr="00F54106">
        <w:rPr>
          <w:lang w:val="en-GB"/>
        </w:rPr>
        <w:t>Interestingly, lawyer C and D both believe</w:t>
      </w:r>
      <w:r w:rsidR="00146F9A" w:rsidRPr="00F54106">
        <w:rPr>
          <w:lang w:val="en-GB"/>
        </w:rPr>
        <w:t>d</w:t>
      </w:r>
      <w:r w:rsidRPr="00F54106">
        <w:rPr>
          <w:lang w:val="en-GB"/>
        </w:rPr>
        <w:t xml:space="preserve"> that the possibility to provide documents through electronic means also </w:t>
      </w:r>
      <w:r w:rsidR="00C60F0A" w:rsidRPr="00F54106">
        <w:rPr>
          <w:lang w:val="en-GB"/>
        </w:rPr>
        <w:t>incentivizes</w:t>
      </w:r>
      <w:r w:rsidRPr="00F54106">
        <w:rPr>
          <w:lang w:val="en-GB"/>
        </w:rPr>
        <w:t xml:space="preserve"> to choos</w:t>
      </w:r>
      <w:r w:rsidR="00C60F0A" w:rsidRPr="00F54106">
        <w:rPr>
          <w:lang w:val="en-GB"/>
        </w:rPr>
        <w:t>e</w:t>
      </w:r>
      <w:r w:rsidRPr="00F54106">
        <w:rPr>
          <w:lang w:val="en-GB"/>
        </w:rPr>
        <w:t xml:space="preserve"> Dutch courts. Lawyer C elaborate</w:t>
      </w:r>
      <w:r w:rsidR="00146F9A" w:rsidRPr="00F54106">
        <w:rPr>
          <w:lang w:val="en-GB"/>
        </w:rPr>
        <w:t>d</w:t>
      </w:r>
      <w:r w:rsidRPr="00F54106">
        <w:rPr>
          <w:lang w:val="en-GB"/>
        </w:rPr>
        <w:t xml:space="preserve"> </w:t>
      </w:r>
      <w:r w:rsidR="00146F9A" w:rsidRPr="00F54106">
        <w:rPr>
          <w:lang w:val="en-GB"/>
        </w:rPr>
        <w:t>on this and stated that</w:t>
      </w:r>
      <w:r w:rsidRPr="00F54106">
        <w:rPr>
          <w:lang w:val="en-GB"/>
        </w:rPr>
        <w:t xml:space="preserve"> Dutch judges often adopt a pragmatic approach when it comes to evaluating evidence</w:t>
      </w:r>
      <w:r w:rsidR="00146F9A" w:rsidRPr="00F54106">
        <w:rPr>
          <w:lang w:val="en-GB"/>
        </w:rPr>
        <w:t>, which</w:t>
      </w:r>
      <w:r w:rsidRPr="00F54106">
        <w:rPr>
          <w:lang w:val="en-GB"/>
        </w:rPr>
        <w:t xml:space="preserve"> can be seen in the fact the submission of evidence through electronic means</w:t>
      </w:r>
      <w:r w:rsidR="00C60F0A" w:rsidRPr="00F54106">
        <w:rPr>
          <w:lang w:val="en-GB"/>
        </w:rPr>
        <w:t xml:space="preserve"> is allowed</w:t>
      </w:r>
      <w:r w:rsidRPr="00F54106">
        <w:rPr>
          <w:lang w:val="en-GB"/>
        </w:rPr>
        <w:t xml:space="preserve"> and can be as simple as </w:t>
      </w:r>
      <w:r w:rsidR="003A7380" w:rsidRPr="00F54106">
        <w:rPr>
          <w:lang w:val="en-GB"/>
        </w:rPr>
        <w:t xml:space="preserve">submitting </w:t>
      </w:r>
      <w:r w:rsidRPr="00F54106">
        <w:rPr>
          <w:lang w:val="en-GB"/>
        </w:rPr>
        <w:t xml:space="preserve">an USB-stick. </w:t>
      </w:r>
      <w:r w:rsidR="003A7380" w:rsidRPr="00F54106">
        <w:rPr>
          <w:lang w:val="en-GB"/>
        </w:rPr>
        <w:t xml:space="preserve">Lawyer C </w:t>
      </w:r>
      <w:r w:rsidR="00146F9A" w:rsidRPr="00F54106">
        <w:rPr>
          <w:lang w:val="en-GB"/>
        </w:rPr>
        <w:t>was</w:t>
      </w:r>
      <w:r w:rsidR="003A7380" w:rsidRPr="00F54106">
        <w:rPr>
          <w:lang w:val="en-GB"/>
        </w:rPr>
        <w:t xml:space="preserve"> </w:t>
      </w:r>
      <w:r w:rsidR="00146F9A" w:rsidRPr="00F54106">
        <w:rPr>
          <w:lang w:val="en-GB"/>
        </w:rPr>
        <w:t>of the opinion</w:t>
      </w:r>
      <w:r w:rsidR="003A7380" w:rsidRPr="00F54106">
        <w:rPr>
          <w:lang w:val="en-GB"/>
        </w:rPr>
        <w:t xml:space="preserve"> that p</w:t>
      </w:r>
      <w:r w:rsidRPr="00F54106">
        <w:rPr>
          <w:lang w:val="en-GB"/>
        </w:rPr>
        <w:t xml:space="preserve">roviding </w:t>
      </w:r>
      <w:r w:rsidR="003A7380" w:rsidRPr="00F54106">
        <w:rPr>
          <w:lang w:val="en-GB"/>
        </w:rPr>
        <w:t xml:space="preserve">large amounts of </w:t>
      </w:r>
      <w:r w:rsidRPr="00F54106">
        <w:rPr>
          <w:lang w:val="en-GB"/>
        </w:rPr>
        <w:t xml:space="preserve">evidence on an USB-stick can make a large difference compared to </w:t>
      </w:r>
      <w:r w:rsidR="003A7380" w:rsidRPr="00F54106">
        <w:rPr>
          <w:lang w:val="en-GB"/>
        </w:rPr>
        <w:t>physically handing in</w:t>
      </w:r>
      <w:r w:rsidRPr="00F54106">
        <w:rPr>
          <w:lang w:val="en-GB"/>
        </w:rPr>
        <w:t xml:space="preserve"> the relevant documents, and even more so when the evidence needs to come from other companies and </w:t>
      </w:r>
      <w:r w:rsidR="003A7380" w:rsidRPr="00F54106">
        <w:rPr>
          <w:lang w:val="en-GB"/>
        </w:rPr>
        <w:t>need</w:t>
      </w:r>
      <w:r w:rsidRPr="00F54106">
        <w:rPr>
          <w:lang w:val="en-GB"/>
        </w:rPr>
        <w:t xml:space="preserve"> to be gathered and sent to the court before a deadline. As a result, lawyer C </w:t>
      </w:r>
      <w:r w:rsidR="00146F9A" w:rsidRPr="00F54106">
        <w:rPr>
          <w:lang w:val="en-GB"/>
        </w:rPr>
        <w:t>thought</w:t>
      </w:r>
      <w:r w:rsidRPr="00F54106">
        <w:rPr>
          <w:lang w:val="en-GB"/>
        </w:rPr>
        <w:t xml:space="preserve"> that such simple and practical </w:t>
      </w:r>
      <w:r w:rsidRPr="00F54106">
        <w:rPr>
          <w:lang w:val="en-GB"/>
        </w:rPr>
        <w:lastRenderedPageBreak/>
        <w:t xml:space="preserve">elements can certainly help in bringing the claim and are definitely a considered before selecting a court. </w:t>
      </w:r>
      <w:r w:rsidR="00C81A11" w:rsidRPr="00F54106">
        <w:rPr>
          <w:lang w:val="en-GB"/>
        </w:rPr>
        <w:t>In addition, l</w:t>
      </w:r>
      <w:r w:rsidR="00760A9F" w:rsidRPr="00F54106">
        <w:rPr>
          <w:lang w:val="en-GB"/>
        </w:rPr>
        <w:t xml:space="preserve">awyer D </w:t>
      </w:r>
      <w:r w:rsidR="00146F9A" w:rsidRPr="00F54106">
        <w:rPr>
          <w:lang w:val="en-GB"/>
        </w:rPr>
        <w:t>noted</w:t>
      </w:r>
      <w:r w:rsidR="00760A9F" w:rsidRPr="00F54106">
        <w:rPr>
          <w:lang w:val="en-GB"/>
        </w:rPr>
        <w:t xml:space="preserve"> that individual claimants will usually make considerably different choices than a litigation funder because they are </w:t>
      </w:r>
      <w:r w:rsidR="002E1D5A" w:rsidRPr="00F54106">
        <w:rPr>
          <w:lang w:val="en-GB"/>
        </w:rPr>
        <w:t>generally</w:t>
      </w:r>
      <w:r w:rsidR="00760A9F" w:rsidRPr="00F54106">
        <w:rPr>
          <w:lang w:val="en-GB"/>
        </w:rPr>
        <w:t xml:space="preserve"> more inexperienced with procedures before Dutch courts and are more inclined to select a local lawyer. Accordingly, they often select the fora which requires the least amount of effort and is dealt with in the claimant’s own language.</w:t>
      </w:r>
      <w:r w:rsidR="00C81A11" w:rsidRPr="00F54106">
        <w:rPr>
          <w:lang w:val="en-GB"/>
        </w:rPr>
        <w:t xml:space="preserve"> Hence, the factors that different claimants will take into account also depends on the type of claimant</w:t>
      </w:r>
      <w:r w:rsidR="002E1D5A" w:rsidRPr="00F54106">
        <w:rPr>
          <w:lang w:val="en-GB"/>
        </w:rPr>
        <w:t xml:space="preserve"> according to lawyer D</w:t>
      </w:r>
      <w:r w:rsidR="00C81A11" w:rsidRPr="00F54106">
        <w:rPr>
          <w:lang w:val="en-GB"/>
        </w:rPr>
        <w:t>.</w:t>
      </w:r>
    </w:p>
    <w:p w14:paraId="1AE73CF0" w14:textId="77777777" w:rsidR="00177015" w:rsidRPr="00F54106" w:rsidRDefault="00177015" w:rsidP="00177015">
      <w:pPr>
        <w:spacing w:line="276" w:lineRule="auto"/>
        <w:rPr>
          <w:rFonts w:cstheme="minorHAnsi"/>
          <w:lang w:val="en-GB"/>
        </w:rPr>
      </w:pPr>
    </w:p>
    <w:p w14:paraId="1D1961BB" w14:textId="51107819" w:rsidR="00177015" w:rsidRPr="00F54106" w:rsidRDefault="006433E0" w:rsidP="00177015">
      <w:pPr>
        <w:pStyle w:val="Heading2"/>
        <w:rPr>
          <w:lang w:val="en-GB"/>
        </w:rPr>
      </w:pPr>
      <w:bookmarkStart w:id="161" w:name="_Toc107610244"/>
      <w:r w:rsidRPr="00F54106">
        <w:rPr>
          <w:lang w:val="en-GB"/>
        </w:rPr>
        <w:t>3</w:t>
      </w:r>
      <w:r w:rsidR="00177015" w:rsidRPr="00F54106">
        <w:rPr>
          <w:lang w:val="en-GB"/>
        </w:rPr>
        <w:t>.</w:t>
      </w:r>
      <w:r w:rsidR="00985B84" w:rsidRPr="00F54106">
        <w:rPr>
          <w:lang w:val="en-GB"/>
        </w:rPr>
        <w:t>3</w:t>
      </w:r>
      <w:r w:rsidR="00177015" w:rsidRPr="00F54106">
        <w:rPr>
          <w:lang w:val="en-GB"/>
        </w:rPr>
        <w:t xml:space="preserve"> Costs of litigation</w:t>
      </w:r>
      <w:r w:rsidR="00164E3B">
        <w:rPr>
          <w:lang w:val="en-GB"/>
        </w:rPr>
        <w:t xml:space="preserve"> in the Netherlands</w:t>
      </w:r>
      <w:bookmarkEnd w:id="161"/>
    </w:p>
    <w:p w14:paraId="71C7168D" w14:textId="3400208D" w:rsidR="00177015" w:rsidRPr="00F54106" w:rsidRDefault="00177015" w:rsidP="00177015">
      <w:pPr>
        <w:spacing w:line="276" w:lineRule="auto"/>
        <w:rPr>
          <w:lang w:val="en-GB"/>
        </w:rPr>
      </w:pPr>
      <w:r w:rsidRPr="00F54106">
        <w:rPr>
          <w:lang w:val="en-GB"/>
        </w:rPr>
        <w:t>All interviewees agree</w:t>
      </w:r>
      <w:r w:rsidR="00146F9A" w:rsidRPr="00F54106">
        <w:rPr>
          <w:lang w:val="en-GB"/>
        </w:rPr>
        <w:t>d</w:t>
      </w:r>
      <w:r w:rsidRPr="00F54106">
        <w:rPr>
          <w:lang w:val="en-GB"/>
        </w:rPr>
        <w:t xml:space="preserve"> that the litigation costs are generally lower in the Netherlands and constitute a strong factor why the Dutch forum is chosen. Hence, the qualitative interviews </w:t>
      </w:r>
      <w:r w:rsidR="004B39AB" w:rsidRPr="00F54106">
        <w:rPr>
          <w:lang w:val="en-GB"/>
        </w:rPr>
        <w:t xml:space="preserve">backs the literature’s claims that the cost of litigation motivates claimants to litigate in the Netherlands. In this respect, </w:t>
      </w:r>
      <w:r w:rsidRPr="00F54106">
        <w:rPr>
          <w:lang w:val="en-GB"/>
        </w:rPr>
        <w:t xml:space="preserve">Lawyer </w:t>
      </w:r>
      <w:r w:rsidR="004B39AB" w:rsidRPr="00F54106">
        <w:rPr>
          <w:lang w:val="en-GB"/>
        </w:rPr>
        <w:t>B added</w:t>
      </w:r>
      <w:r w:rsidRPr="00F54106">
        <w:rPr>
          <w:lang w:val="en-GB"/>
        </w:rPr>
        <w:t xml:space="preserve"> that, since the litigation fees are on the low end of the spectrum, bringing an action for damages is easier.</w:t>
      </w:r>
      <w:r w:rsidRPr="00F54106">
        <w:rPr>
          <w:b/>
          <w:bCs/>
          <w:lang w:val="en-GB"/>
        </w:rPr>
        <w:t xml:space="preserve"> </w:t>
      </w:r>
      <w:r w:rsidR="00141202" w:rsidRPr="00F54106">
        <w:rPr>
          <w:lang w:val="en-GB"/>
        </w:rPr>
        <w:t xml:space="preserve">According to lawyer C, </w:t>
      </w:r>
      <w:r w:rsidRPr="00F54106">
        <w:rPr>
          <w:lang w:val="en-GB"/>
        </w:rPr>
        <w:t>Dutch lawyers’ fees are also cheaper than English or German lawyers’ fees, but lawyer C th</w:t>
      </w:r>
      <w:r w:rsidR="00141202" w:rsidRPr="00F54106">
        <w:rPr>
          <w:lang w:val="en-GB"/>
        </w:rPr>
        <w:t>ought</w:t>
      </w:r>
      <w:r w:rsidRPr="00F54106">
        <w:rPr>
          <w:lang w:val="en-GB"/>
        </w:rPr>
        <w:t xml:space="preserve"> that court fees are not decisive in this matter.</w:t>
      </w:r>
      <w:r w:rsidRPr="00F54106">
        <w:rPr>
          <w:b/>
          <w:bCs/>
          <w:lang w:val="en-GB"/>
        </w:rPr>
        <w:t xml:space="preserve"> </w:t>
      </w:r>
      <w:r w:rsidRPr="00F54106">
        <w:rPr>
          <w:lang w:val="en-GB"/>
        </w:rPr>
        <w:t>Lawyer D agree</w:t>
      </w:r>
      <w:r w:rsidR="00141202" w:rsidRPr="00F54106">
        <w:rPr>
          <w:lang w:val="en-GB"/>
        </w:rPr>
        <w:t>d</w:t>
      </w:r>
      <w:r w:rsidRPr="00F54106">
        <w:rPr>
          <w:lang w:val="en-GB"/>
        </w:rPr>
        <w:t xml:space="preserve"> with this view and state</w:t>
      </w:r>
      <w:r w:rsidR="00141202" w:rsidRPr="00F54106">
        <w:rPr>
          <w:lang w:val="en-GB"/>
        </w:rPr>
        <w:t>d</w:t>
      </w:r>
      <w:r w:rsidRPr="00F54106">
        <w:rPr>
          <w:lang w:val="en-GB"/>
        </w:rPr>
        <w:t xml:space="preserve"> that both court fees and lawyers’ fees are relatively inexpensive, but the lawyer’s fees are primarily considered as proceedings before a court may take a significant amount of time. Court fees </w:t>
      </w:r>
      <w:r w:rsidR="00141202" w:rsidRPr="00F54106">
        <w:rPr>
          <w:lang w:val="en-GB"/>
        </w:rPr>
        <w:t xml:space="preserve">were </w:t>
      </w:r>
      <w:r w:rsidRPr="00F54106">
        <w:rPr>
          <w:lang w:val="en-GB"/>
        </w:rPr>
        <w:t xml:space="preserve">not considered a key factor by lawyer D since they concern a fixed, one-time payment and amount to only a small fraction of the total litigation costs. </w:t>
      </w:r>
      <w:r w:rsidR="00141202" w:rsidRPr="00F54106">
        <w:rPr>
          <w:lang w:val="en-GB"/>
        </w:rPr>
        <w:t>Instead, lawyer D was under the impression that</w:t>
      </w:r>
      <w:r w:rsidRPr="00F54106">
        <w:rPr>
          <w:lang w:val="en-GB"/>
        </w:rPr>
        <w:t xml:space="preserve"> the lawyers’ fees and adverse party costs constitute much greater hurdles if these were to become larger in the Netherlands, but lawyer D believe</w:t>
      </w:r>
      <w:r w:rsidR="00141202" w:rsidRPr="00F54106">
        <w:rPr>
          <w:lang w:val="en-GB"/>
        </w:rPr>
        <w:t>d</w:t>
      </w:r>
      <w:r w:rsidRPr="00F54106">
        <w:rPr>
          <w:lang w:val="en-GB"/>
        </w:rPr>
        <w:t xml:space="preserve"> that they are appealing as they are now. Furthermore, Lawyer A add</w:t>
      </w:r>
      <w:r w:rsidR="00141202" w:rsidRPr="00F54106">
        <w:rPr>
          <w:lang w:val="en-GB"/>
        </w:rPr>
        <w:t>ed</w:t>
      </w:r>
      <w:r w:rsidRPr="00F54106">
        <w:rPr>
          <w:lang w:val="en-GB"/>
        </w:rPr>
        <w:t xml:space="preserve"> that, since the costs for court-, lawyers’ and bailiff’s fees are smaller, the financial risk is limited. This can be seen in the fact that losing party is not required to pay all costs of the proceedings under the Dutch system, but only a fixed amount. </w:t>
      </w:r>
      <w:r w:rsidR="0022089C" w:rsidRPr="00F54106">
        <w:rPr>
          <w:lang w:val="en-GB"/>
        </w:rPr>
        <w:t>In line with lawyer A, l</w:t>
      </w:r>
      <w:r w:rsidRPr="00F54106">
        <w:rPr>
          <w:lang w:val="en-GB"/>
        </w:rPr>
        <w:t>awyer D also believe</w:t>
      </w:r>
      <w:r w:rsidR="0022089C" w:rsidRPr="00F54106">
        <w:rPr>
          <w:lang w:val="en-GB"/>
        </w:rPr>
        <w:t>d</w:t>
      </w:r>
      <w:r w:rsidRPr="00F54106">
        <w:rPr>
          <w:lang w:val="en-GB"/>
        </w:rPr>
        <w:t xml:space="preserve"> that there is a low adverse party cost risk in the Netherlands due to the absence of an absolute “loser pays” rule. Lawyer D </w:t>
      </w:r>
      <w:r w:rsidR="00296DC8" w:rsidRPr="00F54106">
        <w:rPr>
          <w:lang w:val="en-GB"/>
        </w:rPr>
        <w:t>further substantiated</w:t>
      </w:r>
      <w:r w:rsidRPr="00F54106">
        <w:rPr>
          <w:lang w:val="en-GB"/>
        </w:rPr>
        <w:t xml:space="preserve"> that such a rule may make litigating extremely expensive when a case is lost, which is, for example, the case in the UK.</w:t>
      </w:r>
    </w:p>
    <w:p w14:paraId="4EFAE9BA" w14:textId="4D140DC9" w:rsidR="00737F51" w:rsidRPr="00F54106" w:rsidRDefault="00177015" w:rsidP="00737F51">
      <w:pPr>
        <w:spacing w:line="276" w:lineRule="auto"/>
        <w:ind w:firstLine="720"/>
        <w:rPr>
          <w:rFonts w:cstheme="minorHAnsi"/>
          <w:lang w:val="en-GB"/>
        </w:rPr>
      </w:pPr>
      <w:bookmarkStart w:id="162" w:name="_Hlk106759652"/>
      <w:r w:rsidRPr="00F54106">
        <w:rPr>
          <w:rFonts w:cstheme="minorHAnsi"/>
          <w:lang w:val="en-GB"/>
        </w:rPr>
        <w:t xml:space="preserve">Judge X </w:t>
      </w:r>
      <w:r w:rsidR="002F3DBF" w:rsidRPr="00F54106">
        <w:rPr>
          <w:rFonts w:cstheme="minorHAnsi"/>
          <w:lang w:val="en-GB"/>
        </w:rPr>
        <w:t>was under the impression</w:t>
      </w:r>
      <w:r w:rsidR="0022089C" w:rsidRPr="00F54106">
        <w:rPr>
          <w:rFonts w:cstheme="minorHAnsi"/>
          <w:lang w:val="en-GB"/>
        </w:rPr>
        <w:t xml:space="preserve"> </w:t>
      </w:r>
      <w:r w:rsidRPr="00F54106">
        <w:rPr>
          <w:rFonts w:cstheme="minorHAnsi"/>
          <w:lang w:val="en-GB"/>
        </w:rPr>
        <w:t xml:space="preserve">that claimants will check the costs for each forum, but also </w:t>
      </w:r>
      <w:r w:rsidR="00737F51" w:rsidRPr="00F54106">
        <w:rPr>
          <w:rFonts w:cstheme="minorHAnsi"/>
          <w:lang w:val="en-GB"/>
        </w:rPr>
        <w:t>believe</w:t>
      </w:r>
      <w:r w:rsidR="0022089C" w:rsidRPr="00F54106">
        <w:rPr>
          <w:rFonts w:cstheme="minorHAnsi"/>
          <w:lang w:val="en-GB"/>
        </w:rPr>
        <w:t>d</w:t>
      </w:r>
      <w:r w:rsidRPr="00F54106">
        <w:rPr>
          <w:rFonts w:cstheme="minorHAnsi"/>
          <w:lang w:val="en-GB"/>
        </w:rPr>
        <w:t xml:space="preserve"> that this is likely more relevant for lawyers’ fees since the court fees “pale in comparison to them”. </w:t>
      </w:r>
      <w:r w:rsidR="00737F51" w:rsidRPr="00F54106">
        <w:rPr>
          <w:rFonts w:cstheme="minorHAnsi"/>
          <w:lang w:val="en-GB"/>
        </w:rPr>
        <w:t xml:space="preserve">However, judge X </w:t>
      </w:r>
      <w:r w:rsidR="002F3DBF" w:rsidRPr="00F54106">
        <w:rPr>
          <w:rFonts w:cstheme="minorHAnsi"/>
          <w:lang w:val="en-GB"/>
        </w:rPr>
        <w:t>also thought</w:t>
      </w:r>
      <w:r w:rsidR="00737F51" w:rsidRPr="00F54106">
        <w:rPr>
          <w:rFonts w:cstheme="minorHAnsi"/>
          <w:lang w:val="en-GB"/>
        </w:rPr>
        <w:t xml:space="preserve"> that the financial risks are lower in the Netherlands</w:t>
      </w:r>
      <w:r w:rsidR="002F3DBF" w:rsidRPr="00F54106">
        <w:rPr>
          <w:rFonts w:cstheme="minorHAnsi"/>
          <w:lang w:val="en-GB"/>
        </w:rPr>
        <w:t xml:space="preserve"> and clarified that this</w:t>
      </w:r>
      <w:r w:rsidR="00737F51" w:rsidRPr="00F54106">
        <w:rPr>
          <w:rFonts w:cstheme="minorHAnsi"/>
          <w:lang w:val="en-GB"/>
        </w:rPr>
        <w:t xml:space="preserve"> is illustrated in the fact that the compensation for the lawyers’ fees as calculated under the </w:t>
      </w:r>
      <w:proofErr w:type="spellStart"/>
      <w:r w:rsidR="00737F51" w:rsidRPr="00F54106">
        <w:rPr>
          <w:rFonts w:cstheme="minorHAnsi"/>
          <w:i/>
          <w:iCs/>
          <w:lang w:val="en-GB"/>
        </w:rPr>
        <w:t>liquidatietarief</w:t>
      </w:r>
      <w:proofErr w:type="spellEnd"/>
      <w:r w:rsidR="00737F51" w:rsidRPr="00F54106">
        <w:rPr>
          <w:rFonts w:cstheme="minorHAnsi"/>
          <w:lang w:val="en-GB"/>
        </w:rPr>
        <w:t xml:space="preserve"> do not come close to the actual costs incurred by the opposing party. Additionally, </w:t>
      </w:r>
      <w:r w:rsidRPr="00F54106">
        <w:rPr>
          <w:rFonts w:cstheme="minorHAnsi"/>
          <w:lang w:val="en-GB"/>
        </w:rPr>
        <w:t>Judge X</w:t>
      </w:r>
      <w:r w:rsidR="00791DBF" w:rsidRPr="00F54106">
        <w:rPr>
          <w:rFonts w:cstheme="minorHAnsi"/>
          <w:lang w:val="en-GB"/>
        </w:rPr>
        <w:t xml:space="preserve"> </w:t>
      </w:r>
      <w:r w:rsidR="0022089C" w:rsidRPr="00F54106">
        <w:rPr>
          <w:rFonts w:cstheme="minorHAnsi"/>
          <w:lang w:val="en-GB"/>
        </w:rPr>
        <w:t>considered that the</w:t>
      </w:r>
      <w:r w:rsidRPr="00F54106">
        <w:rPr>
          <w:rFonts w:cstheme="minorHAnsi"/>
          <w:lang w:val="en-GB"/>
        </w:rPr>
        <w:t xml:space="preserve"> required amount of time and work </w:t>
      </w:r>
      <w:r w:rsidR="00791DBF" w:rsidRPr="00F54106">
        <w:rPr>
          <w:rFonts w:cstheme="minorHAnsi"/>
          <w:lang w:val="en-GB"/>
        </w:rPr>
        <w:t xml:space="preserve">in a case </w:t>
      </w:r>
      <w:r w:rsidRPr="00F54106">
        <w:rPr>
          <w:rFonts w:cstheme="minorHAnsi"/>
          <w:lang w:val="en-GB"/>
        </w:rPr>
        <w:t>is</w:t>
      </w:r>
      <w:r w:rsidR="002F3DBF" w:rsidRPr="00F54106">
        <w:rPr>
          <w:rFonts w:cstheme="minorHAnsi"/>
          <w:lang w:val="en-GB"/>
        </w:rPr>
        <w:t xml:space="preserve"> also</w:t>
      </w:r>
      <w:r w:rsidRPr="00F54106">
        <w:rPr>
          <w:rFonts w:cstheme="minorHAnsi"/>
          <w:lang w:val="en-GB"/>
        </w:rPr>
        <w:t xml:space="preserve"> of importance. Hence, </w:t>
      </w:r>
      <w:r w:rsidR="0022089C" w:rsidRPr="00F54106">
        <w:rPr>
          <w:rFonts w:cstheme="minorHAnsi"/>
          <w:lang w:val="en-GB"/>
        </w:rPr>
        <w:t xml:space="preserve">judge X </w:t>
      </w:r>
      <w:r w:rsidR="002F3DBF" w:rsidRPr="00F54106">
        <w:rPr>
          <w:rFonts w:cstheme="minorHAnsi"/>
          <w:lang w:val="en-GB"/>
        </w:rPr>
        <w:t>stated</w:t>
      </w:r>
      <w:r w:rsidR="0022089C" w:rsidRPr="00F54106">
        <w:rPr>
          <w:rFonts w:cstheme="minorHAnsi"/>
          <w:lang w:val="en-GB"/>
        </w:rPr>
        <w:t xml:space="preserve"> that </w:t>
      </w:r>
      <w:r w:rsidRPr="00F54106">
        <w:rPr>
          <w:rFonts w:cstheme="minorHAnsi"/>
          <w:lang w:val="en-GB"/>
        </w:rPr>
        <w:t xml:space="preserve">the efficiency of the Dutch courts should also help to reduce </w:t>
      </w:r>
      <w:r w:rsidR="002F3DBF" w:rsidRPr="00F54106">
        <w:rPr>
          <w:rFonts w:cstheme="minorHAnsi"/>
          <w:lang w:val="en-GB"/>
        </w:rPr>
        <w:t xml:space="preserve">the </w:t>
      </w:r>
      <w:r w:rsidRPr="00F54106">
        <w:rPr>
          <w:rFonts w:cstheme="minorHAnsi"/>
          <w:lang w:val="en-GB"/>
        </w:rPr>
        <w:t>costs</w:t>
      </w:r>
      <w:r w:rsidR="002F3DBF" w:rsidRPr="00F54106">
        <w:rPr>
          <w:rFonts w:cstheme="minorHAnsi"/>
          <w:lang w:val="en-GB"/>
        </w:rPr>
        <w:t xml:space="preserve"> of litigation.</w:t>
      </w:r>
    </w:p>
    <w:bookmarkEnd w:id="162"/>
    <w:p w14:paraId="503AA5CF" w14:textId="77777777" w:rsidR="00177015" w:rsidRPr="00F54106" w:rsidRDefault="00177015" w:rsidP="00177015">
      <w:pPr>
        <w:spacing w:line="276" w:lineRule="auto"/>
        <w:rPr>
          <w:rFonts w:cstheme="minorHAnsi"/>
          <w:b/>
          <w:bCs/>
          <w:lang w:val="en-GB"/>
        </w:rPr>
      </w:pPr>
    </w:p>
    <w:p w14:paraId="7E153156" w14:textId="18FB2BD2" w:rsidR="00177015" w:rsidRPr="00F54106" w:rsidRDefault="006433E0" w:rsidP="00177015">
      <w:pPr>
        <w:pStyle w:val="Heading2"/>
        <w:rPr>
          <w:lang w:val="en-GB"/>
        </w:rPr>
      </w:pPr>
      <w:bookmarkStart w:id="163" w:name="_Toc107610245"/>
      <w:r w:rsidRPr="00F54106">
        <w:rPr>
          <w:lang w:val="en-GB"/>
        </w:rPr>
        <w:t>3</w:t>
      </w:r>
      <w:r w:rsidR="00177015" w:rsidRPr="00F54106">
        <w:rPr>
          <w:lang w:val="en-GB"/>
        </w:rPr>
        <w:t>.</w:t>
      </w:r>
      <w:r w:rsidR="00985B84" w:rsidRPr="00F54106">
        <w:rPr>
          <w:lang w:val="en-GB"/>
        </w:rPr>
        <w:t>4</w:t>
      </w:r>
      <w:r w:rsidR="00177015" w:rsidRPr="00F54106">
        <w:rPr>
          <w:lang w:val="en-GB"/>
        </w:rPr>
        <w:t xml:space="preserve"> </w:t>
      </w:r>
      <w:r w:rsidR="00164E3B">
        <w:rPr>
          <w:lang w:val="en-GB"/>
        </w:rPr>
        <w:t>The Dutch c</w:t>
      </w:r>
      <w:r w:rsidR="00177015" w:rsidRPr="00F54106">
        <w:rPr>
          <w:lang w:val="en-GB"/>
        </w:rPr>
        <w:t>ollective redress</w:t>
      </w:r>
      <w:r w:rsidR="00164E3B">
        <w:rPr>
          <w:lang w:val="en-GB"/>
        </w:rPr>
        <w:t xml:space="preserve"> regime</w:t>
      </w:r>
      <w:bookmarkEnd w:id="163"/>
    </w:p>
    <w:p w14:paraId="0E12A86E" w14:textId="17BFC3A6" w:rsidR="00177015" w:rsidRPr="00F54106" w:rsidRDefault="00177015" w:rsidP="00177015">
      <w:pPr>
        <w:spacing w:line="276" w:lineRule="auto"/>
        <w:rPr>
          <w:rFonts w:cstheme="minorHAnsi"/>
          <w:lang w:val="en-GB"/>
        </w:rPr>
      </w:pPr>
      <w:bookmarkStart w:id="164" w:name="_Hlk106746514"/>
      <w:r w:rsidRPr="00F54106">
        <w:rPr>
          <w:rFonts w:cstheme="minorHAnsi"/>
          <w:lang w:val="en-GB"/>
        </w:rPr>
        <w:t>The interviews provide</w:t>
      </w:r>
      <w:r w:rsidR="00130A3F" w:rsidRPr="00F54106">
        <w:rPr>
          <w:rFonts w:cstheme="minorHAnsi"/>
          <w:lang w:val="en-GB"/>
        </w:rPr>
        <w:t>d</w:t>
      </w:r>
      <w:r w:rsidRPr="00F54106">
        <w:rPr>
          <w:rFonts w:cstheme="minorHAnsi"/>
          <w:lang w:val="en-GB"/>
        </w:rPr>
        <w:t xml:space="preserve"> evidence in favour of the literature’s claims that the Dutch collective actions regime expedites antitrust claims in the Netherlands. </w:t>
      </w:r>
      <w:r w:rsidR="00386166" w:rsidRPr="00F54106">
        <w:rPr>
          <w:rFonts w:cstheme="minorHAnsi"/>
          <w:lang w:val="en-GB"/>
        </w:rPr>
        <w:t>In this regard, l</w:t>
      </w:r>
      <w:r w:rsidRPr="00F54106">
        <w:rPr>
          <w:rFonts w:cstheme="minorHAnsi"/>
          <w:lang w:val="en-GB"/>
        </w:rPr>
        <w:t xml:space="preserve">awyers A and D </w:t>
      </w:r>
      <w:r w:rsidR="00386166" w:rsidRPr="00F54106">
        <w:rPr>
          <w:rFonts w:cstheme="minorHAnsi"/>
          <w:lang w:val="en-GB"/>
        </w:rPr>
        <w:t>had</w:t>
      </w:r>
      <w:r w:rsidRPr="00F54106">
        <w:rPr>
          <w:rFonts w:cstheme="minorHAnsi"/>
          <w:lang w:val="en-GB"/>
        </w:rPr>
        <w:t xml:space="preserve"> similar opinions </w:t>
      </w:r>
      <w:r w:rsidRPr="00F54106">
        <w:rPr>
          <w:rFonts w:cstheme="minorHAnsi"/>
          <w:lang w:val="en-GB"/>
        </w:rPr>
        <w:lastRenderedPageBreak/>
        <w:t>as reasons. Lawyer A explain</w:t>
      </w:r>
      <w:r w:rsidR="00386166" w:rsidRPr="00F54106">
        <w:rPr>
          <w:rFonts w:cstheme="minorHAnsi"/>
          <w:lang w:val="en-GB"/>
        </w:rPr>
        <w:t>ed</w:t>
      </w:r>
      <w:r w:rsidRPr="00F54106">
        <w:rPr>
          <w:rFonts w:cstheme="minorHAnsi"/>
          <w:lang w:val="en-GB"/>
        </w:rPr>
        <w:t xml:space="preserve"> that the Netherlands’ jurisprudence provides the option to bundle claims through assignments, which is not always an option in other countries. Moreover, lawyer A believe</w:t>
      </w:r>
      <w:r w:rsidR="00386166" w:rsidRPr="00F54106">
        <w:rPr>
          <w:rFonts w:cstheme="minorHAnsi"/>
          <w:lang w:val="en-GB"/>
        </w:rPr>
        <w:t>d</w:t>
      </w:r>
      <w:r w:rsidRPr="00F54106">
        <w:rPr>
          <w:rFonts w:cstheme="minorHAnsi"/>
          <w:lang w:val="en-GB"/>
        </w:rPr>
        <w:t xml:space="preserve"> that the Netherlands is a precursor when it comes to representative actions</w:t>
      </w:r>
      <w:r w:rsidR="00386166" w:rsidRPr="00F54106">
        <w:rPr>
          <w:rFonts w:cstheme="minorHAnsi"/>
          <w:lang w:val="en-GB"/>
        </w:rPr>
        <w:t xml:space="preserve"> believed that this is shown in</w:t>
      </w:r>
      <w:r w:rsidRPr="00F54106">
        <w:rPr>
          <w:rFonts w:cstheme="minorHAnsi"/>
          <w:lang w:val="en-GB"/>
        </w:rPr>
        <w:t xml:space="preserve"> the fact that the Directive on representative actions</w:t>
      </w:r>
      <w:r w:rsidRPr="00F54106">
        <w:rPr>
          <w:rStyle w:val="FootnoteReference"/>
          <w:rFonts w:cstheme="minorHAnsi"/>
          <w:lang w:val="en-GB"/>
        </w:rPr>
        <w:footnoteReference w:id="376"/>
      </w:r>
      <w:r w:rsidRPr="00F54106">
        <w:rPr>
          <w:rFonts w:cstheme="minorHAnsi"/>
          <w:lang w:val="en-GB"/>
        </w:rPr>
        <w:t xml:space="preserve"> was accepted as of June 2020</w:t>
      </w:r>
      <w:r w:rsidR="00386166" w:rsidRPr="00F54106">
        <w:rPr>
          <w:rFonts w:cstheme="minorHAnsi"/>
          <w:lang w:val="en-GB"/>
        </w:rPr>
        <w:t>,</w:t>
      </w:r>
      <w:r w:rsidRPr="00F54106">
        <w:rPr>
          <w:rFonts w:cstheme="minorHAnsi"/>
          <w:lang w:val="en-GB"/>
        </w:rPr>
        <w:t xml:space="preserve"> but is yet to be implemented by many countries. Conversely, the Dutch WAMCA was already in place in the Netherlands as of the 1</w:t>
      </w:r>
      <w:r w:rsidRPr="00F54106">
        <w:rPr>
          <w:rFonts w:cstheme="minorHAnsi"/>
          <w:vertAlign w:val="superscript"/>
          <w:lang w:val="en-GB"/>
        </w:rPr>
        <w:t>st</w:t>
      </w:r>
      <w:r w:rsidRPr="00F54106">
        <w:rPr>
          <w:rFonts w:cstheme="minorHAnsi"/>
          <w:lang w:val="en-GB"/>
        </w:rPr>
        <w:t xml:space="preserve"> of January 2020</w:t>
      </w:r>
      <w:r w:rsidR="00386166" w:rsidRPr="00F54106">
        <w:rPr>
          <w:rFonts w:cstheme="minorHAnsi"/>
          <w:lang w:val="en-GB"/>
        </w:rPr>
        <w:t>.</w:t>
      </w:r>
      <w:r w:rsidRPr="00F54106">
        <w:rPr>
          <w:rFonts w:cstheme="minorHAnsi"/>
          <w:lang w:val="en-GB"/>
        </w:rPr>
        <w:t xml:space="preserve"> </w:t>
      </w:r>
      <w:r w:rsidR="00386166" w:rsidRPr="00F54106">
        <w:rPr>
          <w:rFonts w:cstheme="minorHAnsi"/>
          <w:lang w:val="en-GB"/>
        </w:rPr>
        <w:t xml:space="preserve">In addition, </w:t>
      </w:r>
      <w:r w:rsidRPr="00F54106">
        <w:rPr>
          <w:rFonts w:cstheme="minorHAnsi"/>
          <w:lang w:val="en-GB"/>
        </w:rPr>
        <w:t xml:space="preserve">lawyer A </w:t>
      </w:r>
      <w:r w:rsidR="00386166" w:rsidRPr="00F54106">
        <w:rPr>
          <w:rFonts w:cstheme="minorHAnsi"/>
          <w:lang w:val="en-GB"/>
        </w:rPr>
        <w:t xml:space="preserve">stated </w:t>
      </w:r>
      <w:r w:rsidRPr="00F54106">
        <w:rPr>
          <w:rFonts w:cstheme="minorHAnsi"/>
          <w:lang w:val="en-GB"/>
        </w:rPr>
        <w:t>that the WAMCA is key for claimants that otherwise would have never gone to court due to the involved costs.</w:t>
      </w:r>
    </w:p>
    <w:p w14:paraId="7CD444EC" w14:textId="7DC7192A" w:rsidR="00177015" w:rsidRPr="00F54106" w:rsidRDefault="00177015" w:rsidP="00177015">
      <w:pPr>
        <w:spacing w:line="276" w:lineRule="auto"/>
        <w:ind w:firstLine="720"/>
        <w:rPr>
          <w:lang w:val="en-GB"/>
        </w:rPr>
      </w:pPr>
      <w:r w:rsidRPr="00F54106">
        <w:rPr>
          <w:rFonts w:cstheme="minorHAnsi"/>
          <w:lang w:val="en-GB"/>
        </w:rPr>
        <w:t>Lawyer D</w:t>
      </w:r>
      <w:r w:rsidRPr="00F54106">
        <w:rPr>
          <w:rFonts w:cstheme="minorHAnsi"/>
          <w:b/>
          <w:bCs/>
          <w:lang w:val="en-GB"/>
        </w:rPr>
        <w:t xml:space="preserve"> </w:t>
      </w:r>
      <w:r w:rsidR="00386166" w:rsidRPr="00F54106">
        <w:rPr>
          <w:rFonts w:cstheme="minorHAnsi"/>
          <w:lang w:val="en-GB"/>
        </w:rPr>
        <w:t>was</w:t>
      </w:r>
      <w:r w:rsidRPr="00F54106">
        <w:rPr>
          <w:rFonts w:cstheme="minorHAnsi"/>
          <w:lang w:val="en-GB"/>
        </w:rPr>
        <w:t xml:space="preserve"> of the opinion that,</w:t>
      </w:r>
      <w:r w:rsidRPr="00F54106">
        <w:rPr>
          <w:rFonts w:cstheme="minorHAnsi"/>
          <w:b/>
          <w:bCs/>
          <w:lang w:val="en-GB"/>
        </w:rPr>
        <w:t xml:space="preserve"> </w:t>
      </w:r>
      <w:r w:rsidRPr="00F54106">
        <w:rPr>
          <w:lang w:val="en-GB"/>
        </w:rPr>
        <w:t xml:space="preserve">not only cartel damages claims, but collective actions in general are considered a trend that is inherent to the Dutch forum and judges have become experienced in collective actions as a result. Additionally, the possibility to collectively settle a claim for all future claimants on an opt-out basis under the WCAM </w:t>
      </w:r>
      <w:r w:rsidR="00386166" w:rsidRPr="00F54106">
        <w:rPr>
          <w:lang w:val="en-GB"/>
        </w:rPr>
        <w:t>was</w:t>
      </w:r>
      <w:r w:rsidRPr="00F54106">
        <w:rPr>
          <w:lang w:val="en-GB"/>
        </w:rPr>
        <w:t xml:space="preserve"> regarded</w:t>
      </w:r>
      <w:r w:rsidR="00386166" w:rsidRPr="00F54106">
        <w:rPr>
          <w:lang w:val="en-GB"/>
        </w:rPr>
        <w:t xml:space="preserve"> </w:t>
      </w:r>
      <w:r w:rsidRPr="00F54106">
        <w:rPr>
          <w:lang w:val="en-GB"/>
        </w:rPr>
        <w:t xml:space="preserve">as a beneficial tool for both claimants and defendants by lawyer D. Moreover, lawyer D </w:t>
      </w:r>
      <w:r w:rsidR="00386166" w:rsidRPr="00F54106">
        <w:rPr>
          <w:lang w:val="en-GB"/>
        </w:rPr>
        <w:t>noted that</w:t>
      </w:r>
      <w:r w:rsidRPr="00F54106">
        <w:rPr>
          <w:lang w:val="en-GB"/>
        </w:rPr>
        <w:t xml:space="preserve"> the</w:t>
      </w:r>
      <w:r w:rsidR="00386166" w:rsidRPr="00F54106">
        <w:rPr>
          <w:lang w:val="en-GB"/>
        </w:rPr>
        <w:t>se</w:t>
      </w:r>
      <w:r w:rsidRPr="00F54106">
        <w:rPr>
          <w:lang w:val="en-GB"/>
        </w:rPr>
        <w:t xml:space="preserve"> elements of the WCAM and the WAMCA’s unique feature to collectively claim compensation will likely prolong the Netherlands’ status as a preferred forum. However,</w:t>
      </w:r>
      <w:r w:rsidR="00386166" w:rsidRPr="00F54106">
        <w:rPr>
          <w:lang w:val="en-GB"/>
        </w:rPr>
        <w:t xml:space="preserve"> lawyer D </w:t>
      </w:r>
      <w:r w:rsidR="007B3E59" w:rsidRPr="00F54106">
        <w:rPr>
          <w:lang w:val="en-GB"/>
        </w:rPr>
        <w:t>reckoned that</w:t>
      </w:r>
      <w:r w:rsidRPr="00F54106">
        <w:rPr>
          <w:lang w:val="en-GB"/>
        </w:rPr>
        <w:t xml:space="preserve"> </w:t>
      </w:r>
      <w:r w:rsidR="007B3E59" w:rsidRPr="00F54106">
        <w:rPr>
          <w:lang w:val="en-GB"/>
        </w:rPr>
        <w:t>the WCAM and the WAMCA</w:t>
      </w:r>
      <w:r w:rsidRPr="00F54106">
        <w:rPr>
          <w:lang w:val="en-GB"/>
        </w:rPr>
        <w:t xml:space="preserve"> may also cause the Netherlands to succumb to its own success as </w:t>
      </w:r>
      <w:r w:rsidRPr="00F54106">
        <w:rPr>
          <w:rFonts w:cstheme="minorHAnsi"/>
          <w:lang w:val="en-GB"/>
        </w:rPr>
        <w:t xml:space="preserve">the Dutch courts may become overburdened, which will </w:t>
      </w:r>
      <w:r w:rsidRPr="00F54106">
        <w:rPr>
          <w:lang w:val="en-GB"/>
        </w:rPr>
        <w:t>increase the overall length of the proceedings.</w:t>
      </w:r>
    </w:p>
    <w:p w14:paraId="7C6CC3AA" w14:textId="0A381889" w:rsidR="004831AD" w:rsidRPr="00F54106" w:rsidRDefault="004831AD" w:rsidP="00177015">
      <w:pPr>
        <w:spacing w:line="276" w:lineRule="auto"/>
        <w:ind w:firstLine="720"/>
        <w:rPr>
          <w:rFonts w:cstheme="minorHAnsi"/>
          <w:b/>
          <w:bCs/>
          <w:lang w:val="en-GB"/>
        </w:rPr>
      </w:pPr>
      <w:r w:rsidRPr="00F54106">
        <w:rPr>
          <w:rFonts w:cstheme="minorHAnsi"/>
          <w:lang w:val="en-GB"/>
        </w:rPr>
        <w:t xml:space="preserve">Finally, judge X </w:t>
      </w:r>
      <w:r w:rsidR="007B3E59" w:rsidRPr="00F54106">
        <w:rPr>
          <w:rFonts w:cstheme="minorHAnsi"/>
          <w:lang w:val="en-GB"/>
        </w:rPr>
        <w:t>noted</w:t>
      </w:r>
      <w:r w:rsidR="00737F51" w:rsidRPr="00F54106">
        <w:rPr>
          <w:rFonts w:cstheme="minorHAnsi"/>
          <w:lang w:val="en-GB"/>
        </w:rPr>
        <w:t xml:space="preserve"> that</w:t>
      </w:r>
      <w:r w:rsidRPr="00F54106">
        <w:rPr>
          <w:rFonts w:cstheme="minorHAnsi"/>
          <w:lang w:val="en-GB"/>
        </w:rPr>
        <w:t xml:space="preserve"> claim vehicles provide a real and affordable opportunity to recover damages. Accordingly, more claims have been brought before courts and Judge X state</w:t>
      </w:r>
      <w:r w:rsidR="007B3E59" w:rsidRPr="00F54106">
        <w:rPr>
          <w:rFonts w:cstheme="minorHAnsi"/>
          <w:lang w:val="en-GB"/>
        </w:rPr>
        <w:t>d</w:t>
      </w:r>
      <w:r w:rsidRPr="00F54106">
        <w:rPr>
          <w:rFonts w:cstheme="minorHAnsi"/>
          <w:lang w:val="en-GB"/>
        </w:rPr>
        <w:t xml:space="preserve"> that the European Commission approves of this development since it adds to the principle of effectiveness. Moreover, </w:t>
      </w:r>
      <w:r w:rsidR="007B3E59" w:rsidRPr="00F54106">
        <w:rPr>
          <w:rFonts w:cstheme="minorHAnsi"/>
          <w:lang w:val="en-GB"/>
        </w:rPr>
        <w:t xml:space="preserve">judge X further added that </w:t>
      </w:r>
      <w:r w:rsidRPr="00F54106">
        <w:rPr>
          <w:rFonts w:cstheme="minorHAnsi"/>
          <w:lang w:val="en-GB"/>
        </w:rPr>
        <w:t xml:space="preserve">the claim vehicles likely prefer the Netherlands as the assignment model is still accepted by Dutch courts and the financial risks are, especially in larger cases, lower. </w:t>
      </w:r>
    </w:p>
    <w:bookmarkEnd w:id="164"/>
    <w:p w14:paraId="1A160EEA" w14:textId="77777777" w:rsidR="003E1CC5" w:rsidRPr="00F54106" w:rsidRDefault="003E1CC5" w:rsidP="003E1CC5">
      <w:pPr>
        <w:rPr>
          <w:lang w:val="en-GB"/>
        </w:rPr>
      </w:pPr>
    </w:p>
    <w:p w14:paraId="5B46E3A0" w14:textId="54B72CBC" w:rsidR="003E1CC5" w:rsidRPr="00F54106" w:rsidRDefault="006433E0" w:rsidP="003E1CC5">
      <w:pPr>
        <w:pStyle w:val="Heading2"/>
        <w:rPr>
          <w:lang w:val="en-GB"/>
        </w:rPr>
      </w:pPr>
      <w:bookmarkStart w:id="165" w:name="_Toc107610246"/>
      <w:bookmarkStart w:id="166" w:name="_Hlk106777382"/>
      <w:r w:rsidRPr="00F54106">
        <w:rPr>
          <w:lang w:val="en-GB"/>
        </w:rPr>
        <w:t>3</w:t>
      </w:r>
      <w:r w:rsidR="003E1CC5" w:rsidRPr="00F54106">
        <w:rPr>
          <w:lang w:val="en-GB"/>
        </w:rPr>
        <w:t>.</w:t>
      </w:r>
      <w:r w:rsidR="00985B84" w:rsidRPr="00F54106">
        <w:rPr>
          <w:lang w:val="en-GB"/>
        </w:rPr>
        <w:t>5</w:t>
      </w:r>
      <w:r w:rsidR="003E1CC5" w:rsidRPr="00F54106">
        <w:rPr>
          <w:lang w:val="en-GB"/>
        </w:rPr>
        <w:t xml:space="preserve"> </w:t>
      </w:r>
      <w:r w:rsidR="00C85BE8">
        <w:rPr>
          <w:lang w:val="en-GB"/>
        </w:rPr>
        <w:t>The high number of companies</w:t>
      </w:r>
      <w:r w:rsidR="00164E3B">
        <w:rPr>
          <w:lang w:val="en-GB"/>
        </w:rPr>
        <w:t xml:space="preserve"> </w:t>
      </w:r>
      <w:r w:rsidR="00C85BE8">
        <w:rPr>
          <w:lang w:val="en-GB"/>
        </w:rPr>
        <w:t xml:space="preserve">in the Netherlands </w:t>
      </w:r>
      <w:r w:rsidR="00164E3B">
        <w:rPr>
          <w:lang w:val="en-GB"/>
        </w:rPr>
        <w:t>and the willingness of</w:t>
      </w:r>
      <w:r w:rsidR="003222C4" w:rsidRPr="00F54106">
        <w:rPr>
          <w:lang w:val="en-GB"/>
        </w:rPr>
        <w:t xml:space="preserve"> </w:t>
      </w:r>
      <w:r w:rsidR="00164E3B">
        <w:rPr>
          <w:lang w:val="en-GB"/>
        </w:rPr>
        <w:t>Dutch courts to adopt jurisdiction</w:t>
      </w:r>
      <w:bookmarkEnd w:id="165"/>
    </w:p>
    <w:p w14:paraId="499748F1" w14:textId="61AE6E12" w:rsidR="003E1CC5" w:rsidRPr="00F54106" w:rsidRDefault="000A744E" w:rsidP="003E1CC5">
      <w:pPr>
        <w:spacing w:line="276" w:lineRule="auto"/>
        <w:rPr>
          <w:lang w:val="en-GB"/>
        </w:rPr>
      </w:pPr>
      <w:r w:rsidRPr="00F54106">
        <w:rPr>
          <w:rFonts w:cstheme="minorHAnsi"/>
          <w:lang w:val="en-GB"/>
        </w:rPr>
        <w:t xml:space="preserve">As mentioned in section </w:t>
      </w:r>
      <w:r w:rsidR="00B16751" w:rsidRPr="00F54106">
        <w:rPr>
          <w:rFonts w:cstheme="minorHAnsi"/>
          <w:lang w:val="en-GB"/>
        </w:rPr>
        <w:t>3</w:t>
      </w:r>
      <w:r w:rsidRPr="00F54106">
        <w:rPr>
          <w:rFonts w:cstheme="minorHAnsi"/>
          <w:lang w:val="en-GB"/>
        </w:rPr>
        <w:t>.1, j</w:t>
      </w:r>
      <w:r w:rsidR="003E1CC5" w:rsidRPr="00F54106">
        <w:rPr>
          <w:rFonts w:cstheme="minorHAnsi"/>
          <w:lang w:val="en-GB"/>
        </w:rPr>
        <w:t>udge X note</w:t>
      </w:r>
      <w:r w:rsidR="008A4016" w:rsidRPr="00F54106">
        <w:rPr>
          <w:rFonts w:cstheme="minorHAnsi"/>
          <w:lang w:val="en-GB"/>
        </w:rPr>
        <w:t>d</w:t>
      </w:r>
      <w:r w:rsidR="003E1CC5" w:rsidRPr="00F54106">
        <w:rPr>
          <w:rFonts w:cstheme="minorHAnsi"/>
          <w:lang w:val="en-GB"/>
        </w:rPr>
        <w:t xml:space="preserve"> that there are a lot of shell companies in the Netherlands which </w:t>
      </w:r>
      <w:r w:rsidR="00985B84" w:rsidRPr="00F54106">
        <w:rPr>
          <w:rFonts w:cstheme="minorHAnsi"/>
          <w:lang w:val="en-GB"/>
        </w:rPr>
        <w:t>generally</w:t>
      </w:r>
      <w:r w:rsidR="003E1CC5" w:rsidRPr="00F54106">
        <w:rPr>
          <w:rFonts w:cstheme="minorHAnsi"/>
          <w:lang w:val="en-GB"/>
        </w:rPr>
        <w:t xml:space="preserve"> make it possible to anchor defendant</w:t>
      </w:r>
      <w:r w:rsidR="00A35425" w:rsidRPr="00F54106">
        <w:rPr>
          <w:rFonts w:cstheme="minorHAnsi"/>
          <w:lang w:val="en-GB"/>
        </w:rPr>
        <w:t>s</w:t>
      </w:r>
      <w:r w:rsidR="003E1CC5" w:rsidRPr="00F54106">
        <w:rPr>
          <w:rFonts w:cstheme="minorHAnsi"/>
          <w:lang w:val="en-GB"/>
        </w:rPr>
        <w:t xml:space="preserve"> to the Netherlands, while judge X’s exemplified cases show that claimants are </w:t>
      </w:r>
      <w:r w:rsidR="00985B84" w:rsidRPr="00F54106">
        <w:rPr>
          <w:rFonts w:cstheme="minorHAnsi"/>
          <w:lang w:val="en-GB"/>
        </w:rPr>
        <w:t xml:space="preserve">often </w:t>
      </w:r>
      <w:r w:rsidR="003E1CC5" w:rsidRPr="00F54106">
        <w:rPr>
          <w:rFonts w:cstheme="minorHAnsi"/>
          <w:lang w:val="en-GB"/>
        </w:rPr>
        <w:t>successful in doing so. Likewise, lawyers A and C also mention</w:t>
      </w:r>
      <w:r w:rsidR="007B3E59" w:rsidRPr="00F54106">
        <w:rPr>
          <w:rFonts w:cstheme="minorHAnsi"/>
          <w:lang w:val="en-GB"/>
        </w:rPr>
        <w:t>ed</w:t>
      </w:r>
      <w:r w:rsidR="003E1CC5" w:rsidRPr="00F54106">
        <w:rPr>
          <w:rFonts w:cstheme="minorHAnsi"/>
          <w:lang w:val="en-GB"/>
        </w:rPr>
        <w:t xml:space="preserve"> that</w:t>
      </w:r>
      <w:r w:rsidR="003E1CC5" w:rsidRPr="00F54106">
        <w:rPr>
          <w:lang w:val="en-GB"/>
        </w:rPr>
        <w:t xml:space="preserve"> many companies have at least some establishment in the Netherlands. Consequently, lawyers A and C </w:t>
      </w:r>
      <w:r w:rsidR="007B3E59" w:rsidRPr="00F54106">
        <w:rPr>
          <w:lang w:val="en-GB"/>
        </w:rPr>
        <w:t xml:space="preserve">have </w:t>
      </w:r>
      <w:r w:rsidR="003E1CC5" w:rsidRPr="00F54106">
        <w:rPr>
          <w:lang w:val="en-GB"/>
        </w:rPr>
        <w:t>claim</w:t>
      </w:r>
      <w:r w:rsidR="007B3E59" w:rsidRPr="00F54106">
        <w:rPr>
          <w:lang w:val="en-GB"/>
        </w:rPr>
        <w:t>ed</w:t>
      </w:r>
      <w:r w:rsidR="003E1CC5" w:rsidRPr="00F54106">
        <w:rPr>
          <w:lang w:val="en-GB"/>
        </w:rPr>
        <w:t xml:space="preserve"> that it is frequently possible establish jurisdiction before Dutch courts. Furthermore, </w:t>
      </w:r>
      <w:r w:rsidR="00130A3F" w:rsidRPr="00F54106">
        <w:rPr>
          <w:lang w:val="en-GB"/>
        </w:rPr>
        <w:t xml:space="preserve">in the opinion of lawyer A, the </w:t>
      </w:r>
      <w:r w:rsidR="003E1CC5" w:rsidRPr="00F54106">
        <w:rPr>
          <w:lang w:val="en-GB"/>
        </w:rPr>
        <w:t>Dutch courts are very willing adopt jurisdiction in general</w:t>
      </w:r>
      <w:r w:rsidR="00130A3F" w:rsidRPr="00F54106">
        <w:rPr>
          <w:lang w:val="en-GB"/>
        </w:rPr>
        <w:t xml:space="preserve">. </w:t>
      </w:r>
      <w:r w:rsidR="003E1CC5" w:rsidRPr="00F54106">
        <w:rPr>
          <w:lang w:val="en-GB"/>
        </w:rPr>
        <w:t>In line with the literature, lawyer A also remark</w:t>
      </w:r>
      <w:r w:rsidR="007B3E59" w:rsidRPr="00F54106">
        <w:rPr>
          <w:lang w:val="en-GB"/>
        </w:rPr>
        <w:t>ed</w:t>
      </w:r>
      <w:r w:rsidR="003E1CC5" w:rsidRPr="00F54106">
        <w:rPr>
          <w:lang w:val="en-GB"/>
        </w:rPr>
        <w:t xml:space="preserve"> that a number </w:t>
      </w:r>
      <w:r w:rsidR="00130A3F" w:rsidRPr="00F54106">
        <w:rPr>
          <w:lang w:val="en-GB"/>
        </w:rPr>
        <w:t xml:space="preserve">of </w:t>
      </w:r>
      <w:r w:rsidR="003E1CC5" w:rsidRPr="00F54106">
        <w:rPr>
          <w:lang w:val="en-GB"/>
        </w:rPr>
        <w:t>rulings, such as</w:t>
      </w:r>
      <w:r w:rsidR="006B1E52">
        <w:rPr>
          <w:lang w:val="en-GB"/>
        </w:rPr>
        <w:t xml:space="preserve"> the</w:t>
      </w:r>
      <w:r w:rsidR="003E1CC5" w:rsidRPr="00F54106">
        <w:rPr>
          <w:lang w:val="en-GB"/>
        </w:rPr>
        <w:t xml:space="preserve"> </w:t>
      </w:r>
      <w:proofErr w:type="spellStart"/>
      <w:r w:rsidR="003E1CC5" w:rsidRPr="00F54106">
        <w:rPr>
          <w:i/>
          <w:iCs/>
          <w:lang w:val="en-GB"/>
        </w:rPr>
        <w:t>TenneT</w:t>
      </w:r>
      <w:proofErr w:type="spellEnd"/>
      <w:r w:rsidR="003E1CC5" w:rsidRPr="00F54106">
        <w:rPr>
          <w:i/>
          <w:iCs/>
          <w:lang w:val="en-GB"/>
        </w:rPr>
        <w:t xml:space="preserve"> v ABB</w:t>
      </w:r>
      <w:r w:rsidR="006B1E52" w:rsidRPr="006B1E52">
        <w:rPr>
          <w:lang w:val="en-GB"/>
        </w:rPr>
        <w:t xml:space="preserve"> ruling </w:t>
      </w:r>
      <w:r w:rsidR="006B1E52">
        <w:rPr>
          <w:lang w:val="en-GB"/>
        </w:rPr>
        <w:t>as named in the literature</w:t>
      </w:r>
      <w:r w:rsidR="003E1CC5" w:rsidRPr="00F54106">
        <w:rPr>
          <w:lang w:val="en-GB"/>
        </w:rPr>
        <w:t>, have made the Netherlands more claimant-friendly in this regard.</w:t>
      </w:r>
    </w:p>
    <w:bookmarkEnd w:id="166"/>
    <w:p w14:paraId="2A4DA0E1" w14:textId="77777777" w:rsidR="00785C79" w:rsidRPr="00F54106" w:rsidRDefault="00785C79" w:rsidP="00FC31D7">
      <w:pPr>
        <w:spacing w:line="276" w:lineRule="auto"/>
        <w:rPr>
          <w:rFonts w:cstheme="minorHAnsi"/>
          <w:b/>
          <w:bCs/>
          <w:lang w:val="en-GB"/>
        </w:rPr>
      </w:pPr>
    </w:p>
    <w:p w14:paraId="10EA77C3" w14:textId="7D661B42" w:rsidR="009E7B63" w:rsidRPr="00F54106" w:rsidRDefault="006433E0" w:rsidP="009E7B63">
      <w:pPr>
        <w:pStyle w:val="Heading2"/>
        <w:rPr>
          <w:lang w:val="en-GB"/>
        </w:rPr>
      </w:pPr>
      <w:bookmarkStart w:id="167" w:name="_Toc107610247"/>
      <w:bookmarkStart w:id="168" w:name="_Hlk106777365"/>
      <w:r w:rsidRPr="00F54106">
        <w:rPr>
          <w:lang w:val="en-GB"/>
        </w:rPr>
        <w:lastRenderedPageBreak/>
        <w:t>3</w:t>
      </w:r>
      <w:r w:rsidR="009E7B63" w:rsidRPr="00F54106">
        <w:rPr>
          <w:lang w:val="en-GB"/>
        </w:rPr>
        <w:t>.</w:t>
      </w:r>
      <w:r w:rsidR="00985B84" w:rsidRPr="00F54106">
        <w:rPr>
          <w:lang w:val="en-GB"/>
        </w:rPr>
        <w:t>6</w:t>
      </w:r>
      <w:r w:rsidR="009E7B63" w:rsidRPr="00F54106">
        <w:rPr>
          <w:lang w:val="en-GB"/>
        </w:rPr>
        <w:t xml:space="preserve"> </w:t>
      </w:r>
      <w:r w:rsidR="004A24AB">
        <w:rPr>
          <w:lang w:val="en-GB"/>
        </w:rPr>
        <w:t>The c</w:t>
      </w:r>
      <w:r w:rsidR="00A92A05" w:rsidRPr="00F54106">
        <w:rPr>
          <w:lang w:val="en-GB"/>
        </w:rPr>
        <w:t>ompetences</w:t>
      </w:r>
      <w:r w:rsidR="009E7B63" w:rsidRPr="00F54106">
        <w:rPr>
          <w:lang w:val="en-GB"/>
        </w:rPr>
        <w:t xml:space="preserve"> </w:t>
      </w:r>
      <w:r w:rsidR="00A92A05" w:rsidRPr="00F54106">
        <w:rPr>
          <w:lang w:val="en-GB"/>
        </w:rPr>
        <w:t xml:space="preserve">and education </w:t>
      </w:r>
      <w:r w:rsidR="009E7B63" w:rsidRPr="00F54106">
        <w:rPr>
          <w:lang w:val="en-GB"/>
        </w:rPr>
        <w:t>of</w:t>
      </w:r>
      <w:r w:rsidR="00A92A05" w:rsidRPr="00F54106">
        <w:rPr>
          <w:lang w:val="en-GB"/>
        </w:rPr>
        <w:t xml:space="preserve"> Dutch</w:t>
      </w:r>
      <w:r w:rsidR="009E7B63" w:rsidRPr="00F54106">
        <w:rPr>
          <w:lang w:val="en-GB"/>
        </w:rPr>
        <w:t xml:space="preserve"> judges</w:t>
      </w:r>
      <w:bookmarkEnd w:id="167"/>
    </w:p>
    <w:p w14:paraId="07EAF3C3" w14:textId="659CC707" w:rsidR="00A5038F" w:rsidRPr="00F54106" w:rsidRDefault="001127C5" w:rsidP="00FC31D7">
      <w:pPr>
        <w:spacing w:line="276" w:lineRule="auto"/>
        <w:rPr>
          <w:rFonts w:cstheme="minorHAnsi"/>
          <w:lang w:val="en-GB"/>
        </w:rPr>
      </w:pPr>
      <w:r w:rsidRPr="00F54106">
        <w:rPr>
          <w:rFonts w:cstheme="minorHAnsi"/>
          <w:lang w:val="en-GB"/>
        </w:rPr>
        <w:t>M</w:t>
      </w:r>
      <w:r w:rsidR="00A5038F" w:rsidRPr="00F54106">
        <w:rPr>
          <w:rFonts w:cstheme="minorHAnsi"/>
          <w:lang w:val="en-GB"/>
        </w:rPr>
        <w:t>ost interviewees were of the opinion that the experience, competence and quality of judges encourage parties to select the Dutch forum</w:t>
      </w:r>
      <w:r w:rsidRPr="00F54106">
        <w:rPr>
          <w:rFonts w:cstheme="minorHAnsi"/>
          <w:lang w:val="en-GB"/>
        </w:rPr>
        <w:t>. However</w:t>
      </w:r>
      <w:r w:rsidR="00A5038F" w:rsidRPr="00F54106">
        <w:rPr>
          <w:rFonts w:cstheme="minorHAnsi"/>
          <w:lang w:val="en-GB"/>
        </w:rPr>
        <w:t xml:space="preserve">, the qualitative interviews disclosed a contradictory picture regarding the linguistics </w:t>
      </w:r>
      <w:r w:rsidR="00A92A05" w:rsidRPr="00F54106">
        <w:rPr>
          <w:rFonts w:cstheme="minorHAnsi"/>
          <w:lang w:val="en-GB"/>
        </w:rPr>
        <w:t xml:space="preserve">skills </w:t>
      </w:r>
      <w:r w:rsidR="00A5038F" w:rsidRPr="00F54106">
        <w:rPr>
          <w:rFonts w:cstheme="minorHAnsi"/>
          <w:lang w:val="en-GB"/>
        </w:rPr>
        <w:t>of judges. Whereas all lawyers supported that the use of English during proceedings is a relevant element, judge X</w:t>
      </w:r>
      <w:r w:rsidRPr="00F54106">
        <w:rPr>
          <w:rFonts w:cstheme="minorHAnsi"/>
          <w:lang w:val="en-GB"/>
        </w:rPr>
        <w:t>’s experience with the NCC</w:t>
      </w:r>
      <w:r w:rsidR="00F7331D" w:rsidRPr="00F54106">
        <w:rPr>
          <w:rFonts w:cstheme="minorHAnsi"/>
          <w:lang w:val="en-GB"/>
        </w:rPr>
        <w:t xml:space="preserve"> claim</w:t>
      </w:r>
      <w:r w:rsidR="00450377" w:rsidRPr="00F54106">
        <w:rPr>
          <w:rFonts w:cstheme="minorHAnsi"/>
          <w:lang w:val="en-GB"/>
        </w:rPr>
        <w:t>ed</w:t>
      </w:r>
      <w:r w:rsidR="00F7331D" w:rsidRPr="00F54106">
        <w:rPr>
          <w:rFonts w:cstheme="minorHAnsi"/>
          <w:lang w:val="en-GB"/>
        </w:rPr>
        <w:t xml:space="preserve"> otherwise.</w:t>
      </w:r>
    </w:p>
    <w:p w14:paraId="7963E432" w14:textId="6EA9792A" w:rsidR="00BD4B86" w:rsidRPr="00F54106" w:rsidRDefault="00A5038F" w:rsidP="00BD4B86">
      <w:pPr>
        <w:spacing w:line="276" w:lineRule="auto"/>
        <w:ind w:firstLine="720"/>
        <w:rPr>
          <w:rFonts w:cstheme="minorHAnsi"/>
          <w:b/>
          <w:bCs/>
          <w:lang w:val="en-GB"/>
        </w:rPr>
      </w:pPr>
      <w:r w:rsidRPr="00F54106">
        <w:rPr>
          <w:lang w:val="en-GB"/>
        </w:rPr>
        <w:t xml:space="preserve">Lawyer A </w:t>
      </w:r>
      <w:r w:rsidR="00450377" w:rsidRPr="00F54106">
        <w:rPr>
          <w:lang w:val="en-GB"/>
        </w:rPr>
        <w:t>was</w:t>
      </w:r>
      <w:r w:rsidRPr="00F54106">
        <w:rPr>
          <w:lang w:val="en-GB"/>
        </w:rPr>
        <w:t xml:space="preserve"> under the impression that</w:t>
      </w:r>
      <w:r w:rsidR="00F97C10" w:rsidRPr="00F54106">
        <w:rPr>
          <w:lang w:val="en-GB"/>
        </w:rPr>
        <w:t xml:space="preserve"> the judges of the Netherlands are </w:t>
      </w:r>
      <w:r w:rsidRPr="00F54106">
        <w:rPr>
          <w:lang w:val="en-GB"/>
        </w:rPr>
        <w:t>very</w:t>
      </w:r>
      <w:r w:rsidR="00F97C10" w:rsidRPr="00F54106">
        <w:rPr>
          <w:lang w:val="en-GB"/>
        </w:rPr>
        <w:t xml:space="preserve"> capable due to their independence, efficiency and expertise and often adopt a pragmatic approach to cases. In particular, lawyer A mention</w:t>
      </w:r>
      <w:r w:rsidR="00450377" w:rsidRPr="00F54106">
        <w:rPr>
          <w:lang w:val="en-GB"/>
        </w:rPr>
        <w:t>ed</w:t>
      </w:r>
      <w:r w:rsidR="00F97C10" w:rsidRPr="00F54106">
        <w:rPr>
          <w:lang w:val="en-GB"/>
        </w:rPr>
        <w:t xml:space="preserve"> that independent research in the EU has found that the Dutch judiciary is highly regarded within the EU. Furthermore, </w:t>
      </w:r>
      <w:r w:rsidR="00450377" w:rsidRPr="00F54106">
        <w:rPr>
          <w:lang w:val="en-GB"/>
        </w:rPr>
        <w:t xml:space="preserve">lawyer A stated that the Dutch </w:t>
      </w:r>
      <w:r w:rsidR="00F97C10" w:rsidRPr="00F54106">
        <w:rPr>
          <w:lang w:val="en-GB"/>
        </w:rPr>
        <w:t>judges often have no problems</w:t>
      </w:r>
      <w:r w:rsidR="00450377" w:rsidRPr="00F54106">
        <w:rPr>
          <w:lang w:val="en-GB"/>
        </w:rPr>
        <w:t xml:space="preserve"> in</w:t>
      </w:r>
      <w:r w:rsidR="00F97C10" w:rsidRPr="00F54106">
        <w:rPr>
          <w:lang w:val="en-GB"/>
        </w:rPr>
        <w:t xml:space="preserve"> dealing with documents that are submitted in a foreign language as they usually speak English at a relatively high level and may also have a general understanding of French or German</w:t>
      </w:r>
      <w:r w:rsidR="000917A0" w:rsidRPr="00F54106">
        <w:rPr>
          <w:lang w:val="en-GB"/>
        </w:rPr>
        <w:t xml:space="preserve">, which saves </w:t>
      </w:r>
      <w:r w:rsidR="00BB4D7D" w:rsidRPr="00F54106">
        <w:rPr>
          <w:lang w:val="en-GB"/>
        </w:rPr>
        <w:t xml:space="preserve">both </w:t>
      </w:r>
      <w:r w:rsidR="000917A0" w:rsidRPr="00F54106">
        <w:rPr>
          <w:lang w:val="en-GB"/>
        </w:rPr>
        <w:t>translation costs and time.</w:t>
      </w:r>
      <w:r w:rsidR="00BB4D7D" w:rsidRPr="00F54106">
        <w:rPr>
          <w:rFonts w:cstheme="minorHAnsi"/>
          <w:b/>
          <w:bCs/>
          <w:lang w:val="en-GB"/>
        </w:rPr>
        <w:t xml:space="preserve"> </w:t>
      </w:r>
    </w:p>
    <w:p w14:paraId="690E7B94" w14:textId="786AB615" w:rsidR="00BD4B86" w:rsidRPr="00F54106" w:rsidRDefault="00CD072F" w:rsidP="00BD4B86">
      <w:pPr>
        <w:spacing w:line="276" w:lineRule="auto"/>
        <w:ind w:firstLine="720"/>
        <w:rPr>
          <w:rFonts w:cstheme="minorHAnsi"/>
          <w:b/>
          <w:bCs/>
          <w:lang w:val="en-GB"/>
        </w:rPr>
      </w:pPr>
      <w:r w:rsidRPr="00F54106">
        <w:rPr>
          <w:rFonts w:cstheme="minorHAnsi"/>
          <w:lang w:val="en-GB"/>
        </w:rPr>
        <w:t xml:space="preserve">Lawyer D </w:t>
      </w:r>
      <w:r w:rsidR="00450377" w:rsidRPr="00F54106">
        <w:rPr>
          <w:rFonts w:cstheme="minorHAnsi"/>
          <w:lang w:val="en-GB"/>
        </w:rPr>
        <w:t>was</w:t>
      </w:r>
      <w:r w:rsidR="00596D86" w:rsidRPr="00F54106">
        <w:rPr>
          <w:rFonts w:cstheme="minorHAnsi"/>
          <w:lang w:val="en-GB"/>
        </w:rPr>
        <w:t xml:space="preserve"> also</w:t>
      </w:r>
      <w:r w:rsidRPr="00F54106">
        <w:rPr>
          <w:rFonts w:cstheme="minorHAnsi"/>
          <w:lang w:val="en-GB"/>
        </w:rPr>
        <w:t xml:space="preserve"> convinced that</w:t>
      </w:r>
      <w:r w:rsidRPr="00F54106">
        <w:rPr>
          <w:lang w:val="en-GB"/>
        </w:rPr>
        <w:t xml:space="preserve"> Dutch judges are experienced, well-trained, adopt a pragmatic approach to cases and substantially read up on the proceedings at hand. In addition, </w:t>
      </w:r>
      <w:r w:rsidR="00450377" w:rsidRPr="00F54106">
        <w:rPr>
          <w:lang w:val="en-GB"/>
        </w:rPr>
        <w:t xml:space="preserve">lawyer D believed that </w:t>
      </w:r>
      <w:r w:rsidRPr="00F54106">
        <w:rPr>
          <w:lang w:val="en-GB"/>
        </w:rPr>
        <w:t xml:space="preserve">Dutch judges have sufficient financial knowledge to understand complex calculations of damages as they can comprehend the involved legal and economic concepts, will ask the right questions and can determine the genuineness of the provided arguments by both parties through the experience they have accumulated. </w:t>
      </w:r>
      <w:r w:rsidR="00450377" w:rsidRPr="00F54106">
        <w:rPr>
          <w:lang w:val="en-GB"/>
        </w:rPr>
        <w:t>Lawyer D noted that t</w:t>
      </w:r>
      <w:r w:rsidRPr="00F54106">
        <w:rPr>
          <w:lang w:val="en-GB"/>
        </w:rPr>
        <w:t>here is also some centralization at the larger courts in the Netherlands, which is a helpful, but not necessarily contributing factor. In particular, lawyer D mention</w:t>
      </w:r>
      <w:r w:rsidR="00450377" w:rsidRPr="00F54106">
        <w:rPr>
          <w:lang w:val="en-GB"/>
        </w:rPr>
        <w:t>ed</w:t>
      </w:r>
      <w:r w:rsidRPr="00F54106">
        <w:rPr>
          <w:lang w:val="en-GB"/>
        </w:rPr>
        <w:t xml:space="preserve"> that court experience significantly contributes to the Netherlands’ preferability. Finally, lawyer D claim</w:t>
      </w:r>
      <w:r w:rsidR="00450377" w:rsidRPr="00F54106">
        <w:rPr>
          <w:lang w:val="en-GB"/>
        </w:rPr>
        <w:t>ed</w:t>
      </w:r>
      <w:r w:rsidRPr="00F54106">
        <w:rPr>
          <w:lang w:val="en-GB"/>
        </w:rPr>
        <w:t xml:space="preserve"> that Dutch judges are </w:t>
      </w:r>
      <w:r w:rsidR="00596D86" w:rsidRPr="00F54106">
        <w:rPr>
          <w:lang w:val="en-GB"/>
        </w:rPr>
        <w:t>considerably</w:t>
      </w:r>
      <w:r w:rsidRPr="00F54106">
        <w:rPr>
          <w:lang w:val="en-GB"/>
        </w:rPr>
        <w:t xml:space="preserve"> linguistic as all judges speak sufficient English and some also speak German or French.</w:t>
      </w:r>
    </w:p>
    <w:p w14:paraId="4FF5490D" w14:textId="2D3342B2" w:rsidR="008803E2" w:rsidRPr="00F54106" w:rsidRDefault="006E6B02" w:rsidP="00BD4B86">
      <w:pPr>
        <w:spacing w:line="276" w:lineRule="auto"/>
        <w:ind w:firstLine="720"/>
        <w:rPr>
          <w:rFonts w:cstheme="minorHAnsi"/>
          <w:b/>
          <w:bCs/>
          <w:lang w:val="en-GB"/>
        </w:rPr>
      </w:pPr>
      <w:r w:rsidRPr="00F54106">
        <w:rPr>
          <w:lang w:val="en-GB"/>
        </w:rPr>
        <w:t>Although lawyer B was not able to make statements on the professional training of</w:t>
      </w:r>
      <w:r w:rsidR="00E01CBE" w:rsidRPr="00F54106">
        <w:rPr>
          <w:lang w:val="en-GB"/>
        </w:rPr>
        <w:t xml:space="preserve"> Dutch</w:t>
      </w:r>
      <w:r w:rsidRPr="00F54106">
        <w:rPr>
          <w:lang w:val="en-GB"/>
        </w:rPr>
        <w:t xml:space="preserve"> judges in comparison to foreign judges, lawyer B </w:t>
      </w:r>
      <w:r w:rsidR="00E01CBE" w:rsidRPr="00F54106">
        <w:rPr>
          <w:lang w:val="en-GB"/>
        </w:rPr>
        <w:t>d</w:t>
      </w:r>
      <w:r w:rsidR="00450377" w:rsidRPr="00F54106">
        <w:rPr>
          <w:lang w:val="en-GB"/>
        </w:rPr>
        <w:t>id</w:t>
      </w:r>
      <w:r w:rsidR="00E01CBE" w:rsidRPr="00F54106">
        <w:rPr>
          <w:lang w:val="en-GB"/>
        </w:rPr>
        <w:t xml:space="preserve"> believe </w:t>
      </w:r>
      <w:r w:rsidRPr="00F54106">
        <w:rPr>
          <w:lang w:val="en-GB"/>
        </w:rPr>
        <w:t>that Dutch judges are very proficient in the English language</w:t>
      </w:r>
      <w:r w:rsidR="00E01CBE" w:rsidRPr="00F54106">
        <w:rPr>
          <w:lang w:val="en-GB"/>
        </w:rPr>
        <w:t xml:space="preserve">. As a result, </w:t>
      </w:r>
      <w:r w:rsidR="00450377" w:rsidRPr="00F54106">
        <w:rPr>
          <w:lang w:val="en-GB"/>
        </w:rPr>
        <w:t xml:space="preserve">lawyer B claimed that this may be helpful since </w:t>
      </w:r>
      <w:r w:rsidRPr="00F54106">
        <w:rPr>
          <w:lang w:val="en-GB"/>
        </w:rPr>
        <w:t xml:space="preserve">clients </w:t>
      </w:r>
      <w:r w:rsidR="00E01CBE" w:rsidRPr="00F54106">
        <w:rPr>
          <w:lang w:val="en-GB"/>
        </w:rPr>
        <w:t>can</w:t>
      </w:r>
      <w:r w:rsidRPr="00F54106">
        <w:rPr>
          <w:lang w:val="en-GB"/>
        </w:rPr>
        <w:t xml:space="preserve"> immediately ask questions in English during hearings and receive an answer.</w:t>
      </w:r>
      <w:r w:rsidR="00C60002" w:rsidRPr="00F54106">
        <w:rPr>
          <w:lang w:val="en-GB"/>
        </w:rPr>
        <w:t xml:space="preserve"> </w:t>
      </w:r>
      <w:r w:rsidR="00CD072F" w:rsidRPr="00F54106">
        <w:rPr>
          <w:rFonts w:cstheme="minorHAnsi"/>
          <w:lang w:val="en-GB"/>
        </w:rPr>
        <w:t xml:space="preserve">Similarly, </w:t>
      </w:r>
      <w:r w:rsidR="00CD072F" w:rsidRPr="00F54106">
        <w:rPr>
          <w:lang w:val="en-GB"/>
        </w:rPr>
        <w:t>Lawyer C presume</w:t>
      </w:r>
      <w:r w:rsidR="00450377" w:rsidRPr="00F54106">
        <w:rPr>
          <w:lang w:val="en-GB"/>
        </w:rPr>
        <w:t>d</w:t>
      </w:r>
      <w:r w:rsidR="00CD072F" w:rsidRPr="00F54106">
        <w:rPr>
          <w:lang w:val="en-GB"/>
        </w:rPr>
        <w:t xml:space="preserve"> that judges are at least thought to be professional, which is helpful for the image of the Dutch judiciary, but lawyer C does not have any empirical experiences with the quality of judges.</w:t>
      </w:r>
      <w:r w:rsidR="00CD072F" w:rsidRPr="00F54106">
        <w:rPr>
          <w:rFonts w:cstheme="minorHAnsi"/>
          <w:lang w:val="en-GB"/>
        </w:rPr>
        <w:t xml:space="preserve"> However, lawyer C </w:t>
      </w:r>
      <w:r w:rsidR="00596D86" w:rsidRPr="00F54106">
        <w:rPr>
          <w:rFonts w:cstheme="minorHAnsi"/>
          <w:lang w:val="en-GB"/>
        </w:rPr>
        <w:t>d</w:t>
      </w:r>
      <w:r w:rsidR="00450377" w:rsidRPr="00F54106">
        <w:rPr>
          <w:rFonts w:cstheme="minorHAnsi"/>
          <w:lang w:val="en-GB"/>
        </w:rPr>
        <w:t>id</w:t>
      </w:r>
      <w:r w:rsidR="00596D86" w:rsidRPr="00F54106">
        <w:rPr>
          <w:rFonts w:cstheme="minorHAnsi"/>
          <w:lang w:val="en-GB"/>
        </w:rPr>
        <w:t xml:space="preserve"> add</w:t>
      </w:r>
      <w:r w:rsidR="00CD072F" w:rsidRPr="00F54106">
        <w:rPr>
          <w:rFonts w:cstheme="minorHAnsi"/>
          <w:lang w:val="en-GB"/>
        </w:rPr>
        <w:t xml:space="preserve"> that</w:t>
      </w:r>
      <w:r w:rsidR="00CD072F" w:rsidRPr="00F54106">
        <w:rPr>
          <w:rFonts w:cstheme="minorHAnsi"/>
          <w:b/>
          <w:bCs/>
          <w:lang w:val="en-GB"/>
        </w:rPr>
        <w:t xml:space="preserve"> </w:t>
      </w:r>
      <w:r w:rsidR="00CD072F" w:rsidRPr="00F54106">
        <w:rPr>
          <w:lang w:val="en-GB"/>
        </w:rPr>
        <w:t>b</w:t>
      </w:r>
      <w:r w:rsidR="008803E2" w:rsidRPr="00F54106">
        <w:rPr>
          <w:lang w:val="en-GB"/>
        </w:rPr>
        <w:t xml:space="preserve">oth Dutch lawyers and judges often speak the English language very well, which </w:t>
      </w:r>
      <w:r w:rsidR="00CD072F" w:rsidRPr="00F54106">
        <w:rPr>
          <w:lang w:val="en-GB"/>
        </w:rPr>
        <w:t xml:space="preserve">may </w:t>
      </w:r>
      <w:r w:rsidR="008803E2" w:rsidRPr="00F54106">
        <w:rPr>
          <w:lang w:val="en-GB"/>
        </w:rPr>
        <w:t xml:space="preserve">reduce the language barrier between clients, lawyers and judges. </w:t>
      </w:r>
    </w:p>
    <w:p w14:paraId="1B1151A2" w14:textId="48ABCD41" w:rsidR="00986727" w:rsidRPr="00F54106" w:rsidRDefault="003F09B8" w:rsidP="00177015">
      <w:pPr>
        <w:spacing w:line="276" w:lineRule="auto"/>
        <w:ind w:firstLine="720"/>
        <w:rPr>
          <w:rFonts w:cstheme="minorHAnsi"/>
          <w:lang w:val="en-GB"/>
        </w:rPr>
      </w:pPr>
      <w:r w:rsidRPr="00F54106">
        <w:rPr>
          <w:rFonts w:cstheme="minorHAnsi"/>
          <w:lang w:val="en-GB"/>
        </w:rPr>
        <w:t xml:space="preserve">Judge X </w:t>
      </w:r>
      <w:r w:rsidR="00450377" w:rsidRPr="00F54106">
        <w:rPr>
          <w:rFonts w:cstheme="minorHAnsi"/>
          <w:lang w:val="en-GB"/>
        </w:rPr>
        <w:t>was under the impression</w:t>
      </w:r>
      <w:r w:rsidRPr="00F54106">
        <w:rPr>
          <w:rFonts w:cstheme="minorHAnsi"/>
          <w:lang w:val="en-GB"/>
        </w:rPr>
        <w:t xml:space="preserve"> that claimants take into account whether the judges are adequate and Dutch courts are, in this respect, renowned for their quality as proven by international studies.</w:t>
      </w:r>
      <w:r w:rsidR="00A12054" w:rsidRPr="00F54106">
        <w:rPr>
          <w:rFonts w:cstheme="minorHAnsi"/>
          <w:lang w:val="en-GB"/>
        </w:rPr>
        <w:t xml:space="preserve"> In addition, judge X used to think that the fact that Dutch courts accept English documents and have no problem with speaking English during hearings was a contributing </w:t>
      </w:r>
      <w:r w:rsidR="002A0862" w:rsidRPr="00F54106">
        <w:rPr>
          <w:rFonts w:cstheme="minorHAnsi"/>
          <w:lang w:val="en-GB"/>
        </w:rPr>
        <w:t>element</w:t>
      </w:r>
      <w:r w:rsidR="00BD4B86" w:rsidRPr="00F54106">
        <w:rPr>
          <w:rFonts w:cstheme="minorHAnsi"/>
          <w:lang w:val="en-GB"/>
        </w:rPr>
        <w:t xml:space="preserve"> at first</w:t>
      </w:r>
      <w:r w:rsidR="00A12054" w:rsidRPr="00F54106">
        <w:rPr>
          <w:rFonts w:cstheme="minorHAnsi"/>
          <w:lang w:val="en-GB"/>
        </w:rPr>
        <w:t>. However, judge X</w:t>
      </w:r>
      <w:r w:rsidR="00BD4B86" w:rsidRPr="00F54106">
        <w:rPr>
          <w:rFonts w:cstheme="minorHAnsi"/>
          <w:lang w:val="en-GB"/>
        </w:rPr>
        <w:t xml:space="preserve"> state</w:t>
      </w:r>
      <w:r w:rsidR="00450377" w:rsidRPr="00F54106">
        <w:rPr>
          <w:rFonts w:cstheme="minorHAnsi"/>
          <w:lang w:val="en-GB"/>
        </w:rPr>
        <w:t>d</w:t>
      </w:r>
      <w:r w:rsidR="00BD4B86" w:rsidRPr="00F54106">
        <w:rPr>
          <w:rFonts w:cstheme="minorHAnsi"/>
          <w:lang w:val="en-GB"/>
        </w:rPr>
        <w:t xml:space="preserve"> that </w:t>
      </w:r>
      <w:r w:rsidR="00450377" w:rsidRPr="00F54106">
        <w:rPr>
          <w:rFonts w:cstheme="minorHAnsi"/>
          <w:lang w:val="en-GB"/>
        </w:rPr>
        <w:t>judge X’s</w:t>
      </w:r>
      <w:r w:rsidR="00A12054" w:rsidRPr="00F54106">
        <w:rPr>
          <w:rFonts w:cstheme="minorHAnsi"/>
          <w:lang w:val="en-GB"/>
        </w:rPr>
        <w:t xml:space="preserve"> experiences with the NCC has proven that this is likely not of importance.</w:t>
      </w:r>
    </w:p>
    <w:bookmarkEnd w:id="168"/>
    <w:p w14:paraId="2F70F7AE" w14:textId="37EAF092" w:rsidR="00177015" w:rsidRPr="00F54106" w:rsidRDefault="00177015" w:rsidP="00177015">
      <w:pPr>
        <w:spacing w:line="276" w:lineRule="auto"/>
        <w:rPr>
          <w:rFonts w:cstheme="minorHAnsi"/>
          <w:lang w:val="en-GB"/>
        </w:rPr>
      </w:pPr>
    </w:p>
    <w:p w14:paraId="0E7E54F8" w14:textId="35E7458F" w:rsidR="003222C4" w:rsidRPr="00F54106" w:rsidRDefault="006433E0" w:rsidP="003222C4">
      <w:pPr>
        <w:pStyle w:val="Heading2"/>
        <w:rPr>
          <w:lang w:val="en-GB"/>
        </w:rPr>
      </w:pPr>
      <w:bookmarkStart w:id="169" w:name="_Toc107610248"/>
      <w:r w:rsidRPr="00F54106">
        <w:rPr>
          <w:lang w:val="en-GB"/>
        </w:rPr>
        <w:lastRenderedPageBreak/>
        <w:t>3</w:t>
      </w:r>
      <w:r w:rsidR="003222C4" w:rsidRPr="00F54106">
        <w:rPr>
          <w:lang w:val="en-GB"/>
        </w:rPr>
        <w:t>.7 Ambulance-chasing</w:t>
      </w:r>
      <w:r w:rsidR="0077395D">
        <w:rPr>
          <w:lang w:val="en-GB"/>
        </w:rPr>
        <w:t xml:space="preserve"> and </w:t>
      </w:r>
      <w:r w:rsidR="004A24AB">
        <w:rPr>
          <w:lang w:val="en-GB"/>
        </w:rPr>
        <w:t xml:space="preserve">the </w:t>
      </w:r>
      <w:r w:rsidR="0077395D">
        <w:rPr>
          <w:lang w:val="en-GB"/>
        </w:rPr>
        <w:t>awareness of claimants</w:t>
      </w:r>
      <w:bookmarkEnd w:id="169"/>
    </w:p>
    <w:p w14:paraId="29B77B8F" w14:textId="77777777" w:rsidR="00E62C11" w:rsidRPr="00F54106" w:rsidRDefault="005736EE" w:rsidP="00E62C11">
      <w:pPr>
        <w:spacing w:line="276" w:lineRule="auto"/>
        <w:rPr>
          <w:rFonts w:cstheme="minorHAnsi"/>
          <w:b/>
          <w:bCs/>
          <w:lang w:val="en-GB"/>
        </w:rPr>
      </w:pPr>
      <w:r w:rsidRPr="00F54106">
        <w:rPr>
          <w:lang w:val="en-GB"/>
        </w:rPr>
        <w:t>Even though a</w:t>
      </w:r>
      <w:r w:rsidR="003222C4" w:rsidRPr="00F54106">
        <w:rPr>
          <w:lang w:val="en-GB"/>
        </w:rPr>
        <w:t>mbulance-chasing is not mentioned as a contributing factor by lawyer A, lawyer A’s law firm often employs “active monitoring”. Lawyer A comment</w:t>
      </w:r>
      <w:r w:rsidRPr="00F54106">
        <w:rPr>
          <w:lang w:val="en-GB"/>
        </w:rPr>
        <w:t>ed</w:t>
      </w:r>
      <w:r w:rsidR="003222C4" w:rsidRPr="00F54106">
        <w:rPr>
          <w:lang w:val="en-GB"/>
        </w:rPr>
        <w:t xml:space="preserve"> that this includes visiting several firms and updating them about the recent cartels and the damages that potentially has affected them. Subsequently, the visited firms are then informed of the possibilities for going to court. As a result, </w:t>
      </w:r>
      <w:r w:rsidRPr="00F54106">
        <w:rPr>
          <w:lang w:val="en-GB"/>
        </w:rPr>
        <w:t xml:space="preserve">lawyer A explains that </w:t>
      </w:r>
      <w:r w:rsidR="003222C4" w:rsidRPr="00F54106">
        <w:rPr>
          <w:lang w:val="en-GB"/>
        </w:rPr>
        <w:t>companies without specific competition law departments are, to a certain extent, kept aware of the developments in competition law. Similarly, lawyer B claim</w:t>
      </w:r>
      <w:r w:rsidRPr="00F54106">
        <w:rPr>
          <w:lang w:val="en-GB"/>
        </w:rPr>
        <w:t>ed</w:t>
      </w:r>
      <w:r w:rsidR="003222C4" w:rsidRPr="00F54106">
        <w:rPr>
          <w:lang w:val="en-GB"/>
        </w:rPr>
        <w:t xml:space="preserve"> to have no experience with ambulance-chasing by companies</w:t>
      </w:r>
      <w:r w:rsidRPr="00F54106">
        <w:rPr>
          <w:lang w:val="en-GB"/>
        </w:rPr>
        <w:t>, while</w:t>
      </w:r>
      <w:r w:rsidR="003222C4" w:rsidRPr="00F54106">
        <w:rPr>
          <w:lang w:val="en-GB"/>
        </w:rPr>
        <w:t xml:space="preserve"> lawyer D and judge X both </w:t>
      </w:r>
      <w:r w:rsidRPr="00F54106">
        <w:rPr>
          <w:lang w:val="en-GB"/>
        </w:rPr>
        <w:t xml:space="preserve">also </w:t>
      </w:r>
      <w:r w:rsidR="003222C4" w:rsidRPr="00F54106">
        <w:rPr>
          <w:lang w:val="en-GB"/>
        </w:rPr>
        <w:t>suspect that ambulance-chasing is not really conducted. However, lawyer D d</w:t>
      </w:r>
      <w:r w:rsidR="00201981" w:rsidRPr="00F54106">
        <w:rPr>
          <w:lang w:val="en-GB"/>
        </w:rPr>
        <w:t>id</w:t>
      </w:r>
      <w:r w:rsidR="003222C4" w:rsidRPr="00F54106">
        <w:rPr>
          <w:lang w:val="en-GB"/>
        </w:rPr>
        <w:t xml:space="preserve"> note that there are efforts by law firms and claim vehicles to mobilise cartel victims </w:t>
      </w:r>
      <w:r w:rsidR="00201981" w:rsidRPr="00F54106">
        <w:rPr>
          <w:lang w:val="en-GB"/>
        </w:rPr>
        <w:t>because the</w:t>
      </w:r>
      <w:r w:rsidR="003222C4" w:rsidRPr="00F54106">
        <w:rPr>
          <w:lang w:val="en-GB"/>
        </w:rPr>
        <w:t xml:space="preserve"> unlawful</w:t>
      </w:r>
      <w:r w:rsidR="00201981" w:rsidRPr="00F54106">
        <w:rPr>
          <w:lang w:val="en-GB"/>
        </w:rPr>
        <w:t>ness of</w:t>
      </w:r>
      <w:r w:rsidR="003222C4" w:rsidRPr="00F54106">
        <w:rPr>
          <w:lang w:val="en-GB"/>
        </w:rPr>
        <w:t xml:space="preserve"> </w:t>
      </w:r>
      <w:r w:rsidR="00201981" w:rsidRPr="00F54106">
        <w:rPr>
          <w:lang w:val="en-GB"/>
        </w:rPr>
        <w:t xml:space="preserve">the </w:t>
      </w:r>
      <w:r w:rsidR="003222C4" w:rsidRPr="00F54106">
        <w:rPr>
          <w:lang w:val="en-GB"/>
        </w:rPr>
        <w:t xml:space="preserve">act </w:t>
      </w:r>
      <w:r w:rsidR="00201981" w:rsidRPr="00F54106">
        <w:rPr>
          <w:lang w:val="en-GB"/>
        </w:rPr>
        <w:t>is already established</w:t>
      </w:r>
      <w:r w:rsidR="003222C4" w:rsidRPr="00F54106">
        <w:rPr>
          <w:lang w:val="en-GB"/>
        </w:rPr>
        <w:t xml:space="preserve"> and cartelists would otherwise be allowed to keep the profits that were made over the backs of their purchasers and those further downstream. </w:t>
      </w:r>
      <w:r w:rsidR="00201981" w:rsidRPr="00F54106">
        <w:rPr>
          <w:lang w:val="en-GB"/>
        </w:rPr>
        <w:t>Lawyer D explained that t</w:t>
      </w:r>
      <w:r w:rsidR="003222C4" w:rsidRPr="00F54106">
        <w:rPr>
          <w:lang w:val="en-GB"/>
        </w:rPr>
        <w:t xml:space="preserve">his is likely adopted more extensively by litigation funders since cartel infringements usually impact the entire internal market. As a result, there is a need to speak multiple languages, a need for awareness of the proceedings and rules in other countries, and the need for sufficient capacity to communicate with and visit claimants, which are resources not often possessed by law firms. Instead, lawyer D </w:t>
      </w:r>
      <w:r w:rsidR="00201981" w:rsidRPr="00F54106">
        <w:rPr>
          <w:lang w:val="en-GB"/>
        </w:rPr>
        <w:t>believed</w:t>
      </w:r>
      <w:r w:rsidR="003222C4" w:rsidRPr="00F54106">
        <w:rPr>
          <w:lang w:val="en-GB"/>
        </w:rPr>
        <w:t xml:space="preserve"> that law firms often look for litigation funders so that they have a financed proceeding, whereas individual claimants may have limited resources to litigate. </w:t>
      </w:r>
      <w:r w:rsidR="003222C4" w:rsidRPr="00F54106">
        <w:rPr>
          <w:rFonts w:cstheme="minorHAnsi"/>
          <w:lang w:val="en-GB"/>
        </w:rPr>
        <w:t>In addition,</w:t>
      </w:r>
      <w:r w:rsidR="003222C4" w:rsidRPr="00F54106">
        <w:rPr>
          <w:rFonts w:cstheme="minorHAnsi"/>
          <w:b/>
          <w:bCs/>
          <w:lang w:val="en-GB"/>
        </w:rPr>
        <w:t xml:space="preserve"> </w:t>
      </w:r>
      <w:r w:rsidR="003222C4" w:rsidRPr="00F54106">
        <w:rPr>
          <w:lang w:val="en-GB"/>
        </w:rPr>
        <w:t xml:space="preserve">lawyer D </w:t>
      </w:r>
      <w:r w:rsidR="00201981" w:rsidRPr="00F54106">
        <w:rPr>
          <w:lang w:val="en-GB"/>
        </w:rPr>
        <w:t>was under the impression</w:t>
      </w:r>
      <w:r w:rsidR="003222C4" w:rsidRPr="00F54106">
        <w:rPr>
          <w:lang w:val="en-GB"/>
        </w:rPr>
        <w:t xml:space="preserve"> that an ample amount of victims are aware of the suffered damage, especially in cases of large infringements as seen in for example the Trucks cartel. Nevertheless, lawyer D </w:t>
      </w:r>
      <w:r w:rsidR="00E62C11" w:rsidRPr="00F54106">
        <w:rPr>
          <w:lang w:val="en-GB"/>
        </w:rPr>
        <w:t>was of the opinion</w:t>
      </w:r>
      <w:r w:rsidR="003222C4" w:rsidRPr="00F54106">
        <w:rPr>
          <w:lang w:val="en-GB"/>
        </w:rPr>
        <w:t xml:space="preserve"> that whether victims are aware of the possibility to file a lawsuit for damages is more important and, if aware, whether they refrain from doing so due to the complexity, expensiveness, risks and time involved or any potential relationships that may be broken as a result of bringing a claim. </w:t>
      </w:r>
      <w:r w:rsidR="00E62C11" w:rsidRPr="00F54106">
        <w:rPr>
          <w:lang w:val="en-GB"/>
        </w:rPr>
        <w:t>Lawyer D further elaborated that l</w:t>
      </w:r>
      <w:r w:rsidR="003222C4" w:rsidRPr="00F54106">
        <w:rPr>
          <w:lang w:val="en-GB"/>
        </w:rPr>
        <w:t xml:space="preserve">itigation funders often raise awareness </w:t>
      </w:r>
      <w:r w:rsidR="00E62C11" w:rsidRPr="00F54106">
        <w:rPr>
          <w:lang w:val="en-GB"/>
        </w:rPr>
        <w:t>on this topic</w:t>
      </w:r>
      <w:r w:rsidR="003222C4" w:rsidRPr="00F54106">
        <w:rPr>
          <w:lang w:val="en-GB"/>
        </w:rPr>
        <w:t xml:space="preserve"> so that claimants can still litigate under a funder with a no cure, no pay, no risk policy, which make</w:t>
      </w:r>
      <w:r w:rsidR="00E62C11" w:rsidRPr="00F54106">
        <w:rPr>
          <w:lang w:val="en-GB"/>
        </w:rPr>
        <w:t xml:space="preserve"> the</w:t>
      </w:r>
      <w:r w:rsidR="003222C4" w:rsidRPr="00F54106">
        <w:rPr>
          <w:lang w:val="en-GB"/>
        </w:rPr>
        <w:t xml:space="preserve"> obstacles to litigating disappear and provides all claimants that want to litigate with access to justice.</w:t>
      </w:r>
    </w:p>
    <w:p w14:paraId="4B1BDA9E" w14:textId="35A38556" w:rsidR="003222C4" w:rsidRDefault="003222C4" w:rsidP="00E62C11">
      <w:pPr>
        <w:spacing w:line="276" w:lineRule="auto"/>
        <w:ind w:firstLine="720"/>
        <w:rPr>
          <w:rFonts w:cstheme="minorHAnsi"/>
          <w:lang w:val="en-GB"/>
        </w:rPr>
      </w:pPr>
      <w:r w:rsidRPr="00F54106">
        <w:rPr>
          <w:rFonts w:cstheme="minorHAnsi"/>
          <w:lang w:val="en-GB"/>
        </w:rPr>
        <w:t>In contrast,</w:t>
      </w:r>
      <w:r w:rsidRPr="00F54106">
        <w:rPr>
          <w:rFonts w:cstheme="minorHAnsi"/>
          <w:b/>
          <w:bCs/>
          <w:lang w:val="en-GB"/>
        </w:rPr>
        <w:t xml:space="preserve"> </w:t>
      </w:r>
      <w:r w:rsidRPr="00F54106">
        <w:rPr>
          <w:lang w:val="en-GB"/>
        </w:rPr>
        <w:t xml:space="preserve">Lawyer C </w:t>
      </w:r>
      <w:r w:rsidR="00E62C11" w:rsidRPr="00F54106">
        <w:rPr>
          <w:lang w:val="en-GB"/>
        </w:rPr>
        <w:t>was</w:t>
      </w:r>
      <w:r w:rsidRPr="00F54106">
        <w:rPr>
          <w:lang w:val="en-GB"/>
        </w:rPr>
        <w:t xml:space="preserve"> under the impression that ambulance-chasing is regularly adopted by claim vehicles because providing collective redress makes up their business model. </w:t>
      </w:r>
      <w:r w:rsidRPr="00F54106">
        <w:rPr>
          <w:rFonts w:cstheme="minorHAnsi"/>
          <w:lang w:val="en-GB"/>
        </w:rPr>
        <w:t>In line with lawyer C, Judge X also fe</w:t>
      </w:r>
      <w:r w:rsidR="00E62C11" w:rsidRPr="00F54106">
        <w:rPr>
          <w:rFonts w:cstheme="minorHAnsi"/>
          <w:lang w:val="en-GB"/>
        </w:rPr>
        <w:t>lt</w:t>
      </w:r>
      <w:r w:rsidRPr="00F54106">
        <w:rPr>
          <w:rFonts w:cstheme="minorHAnsi"/>
          <w:lang w:val="en-GB"/>
        </w:rPr>
        <w:t xml:space="preserve"> that claim vehicles might fit under the definition of ambulance-chasing as they are professionally financed by litigation funders and make it their business model to file and advertise their claims. </w:t>
      </w:r>
      <w:r w:rsidRPr="00F54106">
        <w:rPr>
          <w:lang w:val="en-GB"/>
        </w:rPr>
        <w:t>In addition, Lawyer C believe</w:t>
      </w:r>
      <w:r w:rsidR="00E62C11" w:rsidRPr="00F54106">
        <w:rPr>
          <w:lang w:val="en-GB"/>
        </w:rPr>
        <w:t>d</w:t>
      </w:r>
      <w:r w:rsidRPr="00F54106">
        <w:rPr>
          <w:lang w:val="en-GB"/>
        </w:rPr>
        <w:t xml:space="preserve"> that many victims of cartel damages are often not aware of the harm that has been done to them. </w:t>
      </w:r>
      <w:r w:rsidR="00E62C11" w:rsidRPr="00F54106">
        <w:rPr>
          <w:lang w:val="en-GB"/>
        </w:rPr>
        <w:t>Lawyer C clarified that this</w:t>
      </w:r>
      <w:r w:rsidRPr="00F54106">
        <w:rPr>
          <w:lang w:val="en-GB"/>
        </w:rPr>
        <w:t xml:space="preserve"> is increasingly so for victims that are smaller or find themselves further downstream in the market, while the difficulty to precisely pinpoint where the damages are located makes awareness even less likely. Lawyer C also note</w:t>
      </w:r>
      <w:r w:rsidR="00E62C11" w:rsidRPr="00F54106">
        <w:rPr>
          <w:lang w:val="en-GB"/>
        </w:rPr>
        <w:t>d</w:t>
      </w:r>
      <w:r w:rsidRPr="00F54106">
        <w:rPr>
          <w:lang w:val="en-GB"/>
        </w:rPr>
        <w:t xml:space="preserve"> that there will be a very low amount of final judgements as almost all cases are delayed by the defendants that invoke every possible procedural argument until a settlement is reached. In this sense, a claim vehicle only needs to agree on the monetary value of the compensation for victims</w:t>
      </w:r>
      <w:r w:rsidR="00957C4F" w:rsidRPr="00F54106">
        <w:rPr>
          <w:lang w:val="en-GB"/>
        </w:rPr>
        <w:t xml:space="preserve">, </w:t>
      </w:r>
      <w:r w:rsidRPr="00F54106">
        <w:rPr>
          <w:lang w:val="en-GB"/>
        </w:rPr>
        <w:t>but any emotional damage, as may be claimed in other tort cases, disappears through the bundling of claims</w:t>
      </w:r>
      <w:r w:rsidR="00957C4F" w:rsidRPr="00F54106">
        <w:rPr>
          <w:lang w:val="en-GB"/>
        </w:rPr>
        <w:t xml:space="preserve">. Hence, lawyer C concluded that </w:t>
      </w:r>
      <w:r w:rsidRPr="00F54106">
        <w:rPr>
          <w:lang w:val="en-GB"/>
        </w:rPr>
        <w:t>reaching a settlement easier with a claim vehicle.</w:t>
      </w:r>
      <w:r w:rsidRPr="00F54106">
        <w:rPr>
          <w:rFonts w:cstheme="minorHAnsi"/>
          <w:lang w:val="en-GB"/>
        </w:rPr>
        <w:t xml:space="preserve"> </w:t>
      </w:r>
    </w:p>
    <w:p w14:paraId="5D3F12CD" w14:textId="60DD2632" w:rsidR="00A20C0B" w:rsidRPr="009665F8" w:rsidRDefault="001B0776" w:rsidP="009665F8">
      <w:pPr>
        <w:spacing w:line="276" w:lineRule="auto"/>
        <w:ind w:firstLine="720"/>
        <w:rPr>
          <w:rFonts w:cstheme="minorHAnsi"/>
          <w:lang w:val="en-GB"/>
        </w:rPr>
      </w:pPr>
      <w:r>
        <w:rPr>
          <w:rFonts w:cstheme="minorHAnsi"/>
          <w:lang w:val="en-GB"/>
        </w:rPr>
        <w:lastRenderedPageBreak/>
        <w:t xml:space="preserve">The gathered data </w:t>
      </w:r>
      <w:r w:rsidR="009665F8">
        <w:rPr>
          <w:rFonts w:cstheme="minorHAnsi"/>
          <w:lang w:val="en-GB"/>
        </w:rPr>
        <w:t xml:space="preserve">from the interviews </w:t>
      </w:r>
      <w:r>
        <w:rPr>
          <w:rFonts w:cstheme="minorHAnsi"/>
          <w:lang w:val="en-GB"/>
        </w:rPr>
        <w:t xml:space="preserve">provide </w:t>
      </w:r>
      <w:r w:rsidR="009665F8">
        <w:rPr>
          <w:rFonts w:cstheme="minorHAnsi"/>
          <w:lang w:val="en-GB"/>
        </w:rPr>
        <w:t>some</w:t>
      </w:r>
      <w:r>
        <w:rPr>
          <w:rFonts w:cstheme="minorHAnsi"/>
          <w:lang w:val="en-GB"/>
        </w:rPr>
        <w:t xml:space="preserve"> evidence that ambulance-chasing is regularly conducted. </w:t>
      </w:r>
      <w:r w:rsidR="009665F8">
        <w:rPr>
          <w:rFonts w:cstheme="minorHAnsi"/>
          <w:lang w:val="en-GB"/>
        </w:rPr>
        <w:t>However, there is a discrepancy</w:t>
      </w:r>
      <w:r w:rsidR="005128CA">
        <w:rPr>
          <w:rFonts w:cstheme="minorHAnsi"/>
          <w:lang w:val="en-GB"/>
        </w:rPr>
        <w:t xml:space="preserve"> </w:t>
      </w:r>
      <w:r w:rsidR="00937BE7">
        <w:rPr>
          <w:rFonts w:cstheme="minorHAnsi"/>
          <w:lang w:val="en-GB"/>
        </w:rPr>
        <w:t xml:space="preserve">on this subject </w:t>
      </w:r>
      <w:r w:rsidR="009665F8">
        <w:rPr>
          <w:rFonts w:cstheme="minorHAnsi"/>
          <w:lang w:val="en-GB"/>
        </w:rPr>
        <w:t xml:space="preserve">as most other lawyers and judge X </w:t>
      </w:r>
      <w:r w:rsidR="005128CA">
        <w:rPr>
          <w:rFonts w:cstheme="minorHAnsi"/>
          <w:lang w:val="en-GB"/>
        </w:rPr>
        <w:t xml:space="preserve">feel that this is </w:t>
      </w:r>
      <w:r w:rsidR="000B50CB">
        <w:rPr>
          <w:rFonts w:cstheme="minorHAnsi"/>
          <w:lang w:val="en-GB"/>
        </w:rPr>
        <w:t>likely untrue</w:t>
      </w:r>
      <w:r w:rsidR="005128CA">
        <w:rPr>
          <w:rFonts w:cstheme="minorHAnsi"/>
          <w:lang w:val="en-GB"/>
        </w:rPr>
        <w:t>.</w:t>
      </w:r>
      <w:r w:rsidR="009665F8">
        <w:rPr>
          <w:rFonts w:cstheme="minorHAnsi"/>
          <w:lang w:val="en-GB"/>
        </w:rPr>
        <w:t xml:space="preserve"> Nevertheless</w:t>
      </w:r>
      <w:r>
        <w:rPr>
          <w:rFonts w:cstheme="minorHAnsi"/>
          <w:lang w:val="en-GB"/>
        </w:rPr>
        <w:t xml:space="preserve">, </w:t>
      </w:r>
      <w:r w:rsidR="009665F8">
        <w:rPr>
          <w:rFonts w:cstheme="minorHAnsi"/>
          <w:lang w:val="en-GB"/>
        </w:rPr>
        <w:t>many</w:t>
      </w:r>
      <w:r w:rsidR="005128CA">
        <w:rPr>
          <w:rFonts w:cstheme="minorHAnsi"/>
          <w:lang w:val="en-GB"/>
        </w:rPr>
        <w:t xml:space="preserve"> interviewees</w:t>
      </w:r>
      <w:r w:rsidR="009665F8">
        <w:rPr>
          <w:rFonts w:cstheme="minorHAnsi"/>
          <w:lang w:val="en-GB"/>
        </w:rPr>
        <w:t xml:space="preserve"> have</w:t>
      </w:r>
      <w:r>
        <w:rPr>
          <w:rFonts w:cstheme="minorHAnsi"/>
          <w:lang w:val="en-GB"/>
        </w:rPr>
        <w:t xml:space="preserve"> noted that there </w:t>
      </w:r>
      <w:r w:rsidR="00164E3B">
        <w:rPr>
          <w:rFonts w:cstheme="minorHAnsi"/>
          <w:lang w:val="en-GB"/>
        </w:rPr>
        <w:t>are</w:t>
      </w:r>
      <w:r>
        <w:rPr>
          <w:rFonts w:cstheme="minorHAnsi"/>
          <w:lang w:val="en-GB"/>
        </w:rPr>
        <w:t xml:space="preserve"> efforts</w:t>
      </w:r>
      <w:r w:rsidR="009665F8">
        <w:rPr>
          <w:rFonts w:cstheme="minorHAnsi"/>
          <w:lang w:val="en-GB"/>
        </w:rPr>
        <w:t xml:space="preserve"> by law firms, claim vehicles and litigation funders</w:t>
      </w:r>
      <w:r>
        <w:rPr>
          <w:rFonts w:cstheme="minorHAnsi"/>
          <w:lang w:val="en-GB"/>
        </w:rPr>
        <w:t xml:space="preserve"> to make potential clients more aware of the harm that they have suffered.</w:t>
      </w:r>
      <w:r w:rsidR="009665F8">
        <w:rPr>
          <w:rFonts w:cstheme="minorHAnsi"/>
          <w:lang w:val="en-GB"/>
        </w:rPr>
        <w:t xml:space="preserve"> As a result, </w:t>
      </w:r>
      <w:r w:rsidR="000945E9">
        <w:rPr>
          <w:rFonts w:cstheme="minorHAnsi"/>
          <w:lang w:val="en-GB"/>
        </w:rPr>
        <w:t>th</w:t>
      </w:r>
      <w:r>
        <w:rPr>
          <w:rFonts w:cstheme="minorHAnsi"/>
          <w:lang w:val="en-GB"/>
        </w:rPr>
        <w:t xml:space="preserve">e </w:t>
      </w:r>
      <w:r w:rsidR="005128CA">
        <w:rPr>
          <w:rFonts w:cstheme="minorHAnsi"/>
          <w:lang w:val="en-GB"/>
        </w:rPr>
        <w:t>potential element of</w:t>
      </w:r>
      <w:r>
        <w:rPr>
          <w:rFonts w:cstheme="minorHAnsi"/>
          <w:lang w:val="en-GB"/>
        </w:rPr>
        <w:t xml:space="preserve"> </w:t>
      </w:r>
      <w:r w:rsidR="005128CA">
        <w:rPr>
          <w:rFonts w:cstheme="minorHAnsi"/>
          <w:lang w:val="en-GB"/>
        </w:rPr>
        <w:t>ambulance-chasing</w:t>
      </w:r>
      <w:r w:rsidR="000945E9">
        <w:rPr>
          <w:rFonts w:cstheme="minorHAnsi"/>
          <w:lang w:val="en-GB"/>
        </w:rPr>
        <w:t xml:space="preserve"> </w:t>
      </w:r>
      <w:r w:rsidR="00F67475">
        <w:rPr>
          <w:rFonts w:cstheme="minorHAnsi"/>
          <w:lang w:val="en-GB"/>
        </w:rPr>
        <w:t>cannot be confirmed and is</w:t>
      </w:r>
      <w:r w:rsidR="000945E9">
        <w:rPr>
          <w:rFonts w:cstheme="minorHAnsi"/>
          <w:lang w:val="en-GB"/>
        </w:rPr>
        <w:t xml:space="preserve"> </w:t>
      </w:r>
      <w:r w:rsidR="009665F8">
        <w:rPr>
          <w:rFonts w:cstheme="minorHAnsi"/>
          <w:lang w:val="en-GB"/>
        </w:rPr>
        <w:t xml:space="preserve">to some extent </w:t>
      </w:r>
      <w:r w:rsidR="000945E9">
        <w:rPr>
          <w:rFonts w:cstheme="minorHAnsi"/>
          <w:lang w:val="en-GB"/>
        </w:rPr>
        <w:t>rebutted</w:t>
      </w:r>
      <w:r w:rsidR="00F67475">
        <w:rPr>
          <w:rFonts w:cstheme="minorHAnsi"/>
          <w:lang w:val="en-GB"/>
        </w:rPr>
        <w:t>. However,</w:t>
      </w:r>
      <w:r w:rsidR="009665F8">
        <w:rPr>
          <w:rFonts w:cstheme="minorHAnsi"/>
          <w:lang w:val="en-GB"/>
        </w:rPr>
        <w:t xml:space="preserve"> </w:t>
      </w:r>
      <w:r w:rsidR="001F0DDD">
        <w:rPr>
          <w:rFonts w:cstheme="minorHAnsi"/>
          <w:lang w:val="en-GB"/>
        </w:rPr>
        <w:t xml:space="preserve">raising </w:t>
      </w:r>
      <w:r w:rsidR="005128CA">
        <w:rPr>
          <w:rFonts w:cstheme="minorHAnsi"/>
          <w:lang w:val="en-GB"/>
        </w:rPr>
        <w:t>awareness is certainly an aspect that is capitalized upon</w:t>
      </w:r>
      <w:r w:rsidR="0077395D">
        <w:rPr>
          <w:rFonts w:cstheme="minorHAnsi"/>
          <w:lang w:val="en-GB"/>
        </w:rPr>
        <w:t xml:space="preserve"> by litigation funders and law firms. Hence,</w:t>
      </w:r>
      <w:r w:rsidR="001F0DDD">
        <w:rPr>
          <w:rFonts w:cstheme="minorHAnsi"/>
          <w:lang w:val="en-GB"/>
        </w:rPr>
        <w:t xml:space="preserve"> the qualitative interviews</w:t>
      </w:r>
      <w:r w:rsidR="000B50CB">
        <w:rPr>
          <w:rFonts w:cstheme="minorHAnsi"/>
          <w:lang w:val="en-GB"/>
        </w:rPr>
        <w:t xml:space="preserve"> </w:t>
      </w:r>
      <w:r w:rsidR="0077395D">
        <w:rPr>
          <w:rFonts w:cstheme="minorHAnsi"/>
          <w:lang w:val="en-GB"/>
        </w:rPr>
        <w:t xml:space="preserve">do </w:t>
      </w:r>
      <w:r w:rsidR="001F0DDD">
        <w:rPr>
          <w:rFonts w:cstheme="minorHAnsi"/>
          <w:lang w:val="en-GB"/>
        </w:rPr>
        <w:t>support the literature’s view on this preferred element</w:t>
      </w:r>
      <w:r w:rsidR="0077395D">
        <w:rPr>
          <w:rFonts w:cstheme="minorHAnsi"/>
          <w:lang w:val="en-GB"/>
        </w:rPr>
        <w:t>.</w:t>
      </w:r>
    </w:p>
    <w:p w14:paraId="73E90850" w14:textId="77777777" w:rsidR="003222C4" w:rsidRPr="00F54106" w:rsidRDefault="003222C4" w:rsidP="00177015">
      <w:pPr>
        <w:spacing w:line="276" w:lineRule="auto"/>
        <w:rPr>
          <w:rFonts w:cstheme="minorHAnsi"/>
          <w:lang w:val="en-GB"/>
        </w:rPr>
      </w:pPr>
    </w:p>
    <w:p w14:paraId="7836C0D6" w14:textId="6F26F610" w:rsidR="004108B4" w:rsidRPr="00F54106" w:rsidRDefault="006433E0" w:rsidP="008F0C33">
      <w:pPr>
        <w:pStyle w:val="Heading2"/>
        <w:rPr>
          <w:lang w:val="en-GB"/>
        </w:rPr>
      </w:pPr>
      <w:bookmarkStart w:id="170" w:name="_Toc107610249"/>
      <w:r w:rsidRPr="00F54106">
        <w:rPr>
          <w:lang w:val="en-GB"/>
        </w:rPr>
        <w:t>3</w:t>
      </w:r>
      <w:r w:rsidR="008F0C33" w:rsidRPr="00F54106">
        <w:rPr>
          <w:lang w:val="en-GB"/>
        </w:rPr>
        <w:t>.</w:t>
      </w:r>
      <w:r w:rsidR="003222C4" w:rsidRPr="00F54106">
        <w:rPr>
          <w:lang w:val="en-GB"/>
        </w:rPr>
        <w:t>8</w:t>
      </w:r>
      <w:r w:rsidR="008F0C33" w:rsidRPr="00F54106">
        <w:rPr>
          <w:lang w:val="en-GB"/>
        </w:rPr>
        <w:t xml:space="preserve"> </w:t>
      </w:r>
      <w:r w:rsidR="007D6D58" w:rsidRPr="00F54106">
        <w:rPr>
          <w:lang w:val="en-GB"/>
        </w:rPr>
        <w:t>Other f</w:t>
      </w:r>
      <w:r w:rsidR="008F0C33" w:rsidRPr="00F54106">
        <w:rPr>
          <w:lang w:val="en-GB"/>
        </w:rPr>
        <w:t>actors</w:t>
      </w:r>
      <w:r w:rsidR="004A24AB">
        <w:rPr>
          <w:lang w:val="en-GB"/>
        </w:rPr>
        <w:t xml:space="preserve"> that contribute to the Dutch appeal</w:t>
      </w:r>
      <w:bookmarkEnd w:id="170"/>
    </w:p>
    <w:p w14:paraId="7794FF90" w14:textId="19A92499" w:rsidR="007D6D58" w:rsidRPr="00F54106" w:rsidRDefault="008C1BBD" w:rsidP="00FC31D7">
      <w:pPr>
        <w:spacing w:line="276" w:lineRule="auto"/>
        <w:rPr>
          <w:rFonts w:cstheme="minorHAnsi"/>
          <w:lang w:val="en-GB"/>
        </w:rPr>
      </w:pPr>
      <w:r w:rsidRPr="00F54106">
        <w:rPr>
          <w:lang w:val="en-GB"/>
        </w:rPr>
        <w:t>Additional factors</w:t>
      </w:r>
      <w:r w:rsidR="004218CE" w:rsidRPr="00F54106">
        <w:rPr>
          <w:lang w:val="en-GB"/>
        </w:rPr>
        <w:t xml:space="preserve"> that facilitate claims</w:t>
      </w:r>
      <w:r w:rsidRPr="00F54106">
        <w:rPr>
          <w:lang w:val="en-GB"/>
        </w:rPr>
        <w:t xml:space="preserve"> have also become apparent in the qualitative interviews. According to lawyer A, t</w:t>
      </w:r>
      <w:r w:rsidR="00231CF8" w:rsidRPr="00F54106">
        <w:rPr>
          <w:lang w:val="en-GB"/>
        </w:rPr>
        <w:t xml:space="preserve">he total damages </w:t>
      </w:r>
      <w:r w:rsidR="00F37789" w:rsidRPr="00F54106">
        <w:rPr>
          <w:lang w:val="en-GB"/>
        </w:rPr>
        <w:t xml:space="preserve">that can be claimed under the Dutch jurisdiction </w:t>
      </w:r>
      <w:r w:rsidR="00231CF8" w:rsidRPr="00F54106">
        <w:rPr>
          <w:lang w:val="en-GB"/>
        </w:rPr>
        <w:t>can significantly increase compared to other countries</w:t>
      </w:r>
      <w:r w:rsidR="004F54D3" w:rsidRPr="00F54106">
        <w:rPr>
          <w:lang w:val="en-GB"/>
        </w:rPr>
        <w:t>.</w:t>
      </w:r>
      <w:r w:rsidRPr="00F54106">
        <w:rPr>
          <w:lang w:val="en-GB"/>
        </w:rPr>
        <w:t xml:space="preserve"> </w:t>
      </w:r>
      <w:r w:rsidR="004F54D3" w:rsidRPr="00F54106">
        <w:rPr>
          <w:lang w:val="en-GB"/>
        </w:rPr>
        <w:t>This is</w:t>
      </w:r>
      <w:r w:rsidRPr="00F54106">
        <w:rPr>
          <w:lang w:val="en-GB"/>
        </w:rPr>
        <w:t xml:space="preserve"> a direct</w:t>
      </w:r>
      <w:r w:rsidR="00F37789" w:rsidRPr="00F54106">
        <w:rPr>
          <w:lang w:val="en-GB"/>
        </w:rPr>
        <w:t xml:space="preserve"> result of</w:t>
      </w:r>
      <w:r w:rsidR="005205D2" w:rsidRPr="00F54106">
        <w:rPr>
          <w:lang w:val="en-GB"/>
        </w:rPr>
        <w:t xml:space="preserve"> the</w:t>
      </w:r>
      <w:r w:rsidR="005205D2" w:rsidRPr="00F54106">
        <w:rPr>
          <w:b/>
          <w:bCs/>
          <w:lang w:val="en-GB"/>
        </w:rPr>
        <w:t xml:space="preserve"> </w:t>
      </w:r>
      <w:r w:rsidR="007D6D58" w:rsidRPr="00F54106">
        <w:rPr>
          <w:lang w:val="en-GB"/>
        </w:rPr>
        <w:t>possibility to seek compound statutory interest on the claimed damages</w:t>
      </w:r>
      <w:r w:rsidR="004F54D3" w:rsidRPr="00F54106">
        <w:rPr>
          <w:lang w:val="en-GB"/>
        </w:rPr>
        <w:t>, which</w:t>
      </w:r>
      <w:r w:rsidR="007D6D58" w:rsidRPr="00F54106">
        <w:rPr>
          <w:lang w:val="en-GB"/>
        </w:rPr>
        <w:t xml:space="preserve"> begin</w:t>
      </w:r>
      <w:r w:rsidR="004218CE" w:rsidRPr="00F54106">
        <w:rPr>
          <w:lang w:val="en-GB"/>
        </w:rPr>
        <w:t>s</w:t>
      </w:r>
      <w:r w:rsidR="007D6D58" w:rsidRPr="00F54106">
        <w:rPr>
          <w:lang w:val="en-GB"/>
        </w:rPr>
        <w:t xml:space="preserve"> to run from the day the loss is suffered</w:t>
      </w:r>
      <w:r w:rsidR="004F54D3" w:rsidRPr="00F54106">
        <w:rPr>
          <w:lang w:val="en-GB"/>
        </w:rPr>
        <w:t>. Lawyer A further substantiate</w:t>
      </w:r>
      <w:r w:rsidR="004153FD" w:rsidRPr="00F54106">
        <w:rPr>
          <w:lang w:val="en-GB"/>
        </w:rPr>
        <w:t>d</w:t>
      </w:r>
      <w:r w:rsidR="00F37789" w:rsidRPr="00F54106">
        <w:rPr>
          <w:lang w:val="en-GB"/>
        </w:rPr>
        <w:t xml:space="preserve"> </w:t>
      </w:r>
      <w:r w:rsidR="004F54D3" w:rsidRPr="00F54106">
        <w:rPr>
          <w:lang w:val="en-GB"/>
        </w:rPr>
        <w:t>that</w:t>
      </w:r>
      <w:r w:rsidR="005205D2" w:rsidRPr="00F54106">
        <w:rPr>
          <w:lang w:val="en-GB"/>
        </w:rPr>
        <w:t xml:space="preserve"> c</w:t>
      </w:r>
      <w:r w:rsidR="007D6D58" w:rsidRPr="00F54106">
        <w:rPr>
          <w:lang w:val="en-GB"/>
        </w:rPr>
        <w:t xml:space="preserve">artels often exist for an extensive period of time and, in many cases, have taken place in the distant past. </w:t>
      </w:r>
      <w:r w:rsidR="005205D2" w:rsidRPr="00F54106">
        <w:rPr>
          <w:lang w:val="en-GB"/>
        </w:rPr>
        <w:t>Therefore, p</w:t>
      </w:r>
      <w:r w:rsidR="007D6D58" w:rsidRPr="00F54106">
        <w:rPr>
          <w:lang w:val="en-GB"/>
        </w:rPr>
        <w:t>rovided that the Dutch law is applicable under Rome II, the claim under compound interest may</w:t>
      </w:r>
      <w:r w:rsidR="005205D2" w:rsidRPr="00F54106">
        <w:rPr>
          <w:lang w:val="en-GB"/>
        </w:rPr>
        <w:t xml:space="preserve"> </w:t>
      </w:r>
      <w:r w:rsidR="007D6D58" w:rsidRPr="00F54106">
        <w:rPr>
          <w:lang w:val="en-GB"/>
        </w:rPr>
        <w:t>rise to substantial amounts compared to a claim based on simple interest.</w:t>
      </w:r>
      <w:r w:rsidR="005205D2" w:rsidRPr="00F54106">
        <w:rPr>
          <w:lang w:val="en-GB"/>
        </w:rPr>
        <w:t xml:space="preserve"> </w:t>
      </w:r>
      <w:r w:rsidR="00DA7924" w:rsidRPr="00F54106">
        <w:rPr>
          <w:lang w:val="en-GB"/>
        </w:rPr>
        <w:t>Moreover</w:t>
      </w:r>
      <w:r w:rsidR="005205D2" w:rsidRPr="00F54106">
        <w:rPr>
          <w:lang w:val="en-GB"/>
        </w:rPr>
        <w:t xml:space="preserve">, lawyer A </w:t>
      </w:r>
      <w:r w:rsidR="00801C2B" w:rsidRPr="00F54106">
        <w:rPr>
          <w:rFonts w:cstheme="minorHAnsi"/>
          <w:lang w:val="en-GB"/>
        </w:rPr>
        <w:t>state</w:t>
      </w:r>
      <w:r w:rsidR="00296DC8" w:rsidRPr="00F54106">
        <w:rPr>
          <w:rFonts w:cstheme="minorHAnsi"/>
          <w:lang w:val="en-GB"/>
        </w:rPr>
        <w:t>d</w:t>
      </w:r>
      <w:r w:rsidR="00801C2B" w:rsidRPr="00F54106">
        <w:rPr>
          <w:rFonts w:cstheme="minorHAnsi"/>
          <w:lang w:val="en-GB"/>
        </w:rPr>
        <w:t xml:space="preserve"> that </w:t>
      </w:r>
      <w:r w:rsidR="00DE3DC3" w:rsidRPr="00F54106">
        <w:rPr>
          <w:lang w:val="en-GB"/>
        </w:rPr>
        <w:t>many of the Dutch procedural rules, such as the limitation periods, were already relatively positive for claimants before the implementation of the Damages Directive</w:t>
      </w:r>
      <w:r w:rsidR="00401B38" w:rsidRPr="00F54106">
        <w:rPr>
          <w:lang w:val="en-GB"/>
        </w:rPr>
        <w:t>.</w:t>
      </w:r>
      <w:r w:rsidR="005551E7" w:rsidRPr="00F54106">
        <w:rPr>
          <w:lang w:val="en-GB"/>
        </w:rPr>
        <w:t xml:space="preserve"> </w:t>
      </w:r>
    </w:p>
    <w:p w14:paraId="4E3C1588" w14:textId="442AE178" w:rsidR="00F37789" w:rsidRPr="00F54106" w:rsidRDefault="00231CF8" w:rsidP="00F37789">
      <w:pPr>
        <w:spacing w:line="276" w:lineRule="auto"/>
        <w:ind w:firstLine="720"/>
        <w:rPr>
          <w:rFonts w:cstheme="minorHAnsi"/>
          <w:lang w:val="en-GB"/>
        </w:rPr>
      </w:pPr>
      <w:r w:rsidRPr="00F54106">
        <w:rPr>
          <w:rFonts w:cstheme="minorHAnsi"/>
          <w:lang w:val="en-GB"/>
        </w:rPr>
        <w:t>Lawyer C not</w:t>
      </w:r>
      <w:r w:rsidR="00296DC8" w:rsidRPr="00F54106">
        <w:rPr>
          <w:rFonts w:cstheme="minorHAnsi"/>
          <w:lang w:val="en-GB"/>
        </w:rPr>
        <w:t>ed</w:t>
      </w:r>
      <w:r w:rsidRPr="00F54106">
        <w:rPr>
          <w:rFonts w:cstheme="minorHAnsi"/>
          <w:lang w:val="en-GB"/>
        </w:rPr>
        <w:t xml:space="preserve"> that</w:t>
      </w:r>
      <w:r w:rsidRPr="00F54106">
        <w:rPr>
          <w:rFonts w:cstheme="minorHAnsi"/>
          <w:b/>
          <w:bCs/>
          <w:lang w:val="en-GB"/>
        </w:rPr>
        <w:t xml:space="preserve"> </w:t>
      </w:r>
      <w:r w:rsidRPr="00F54106">
        <w:rPr>
          <w:lang w:val="en-GB"/>
        </w:rPr>
        <w:t>t</w:t>
      </w:r>
      <w:r w:rsidR="00826579" w:rsidRPr="00F54106">
        <w:rPr>
          <w:lang w:val="en-GB"/>
        </w:rPr>
        <w:t xml:space="preserve">here may also be some differences in terms of substantive and procedural laws. For example, the limitation period is set at a bare minimum of 5 years under the Damage Directive, but lawyer C </w:t>
      </w:r>
      <w:r w:rsidR="00296DC8" w:rsidRPr="00F54106">
        <w:rPr>
          <w:lang w:val="en-GB"/>
        </w:rPr>
        <w:t>explained that</w:t>
      </w:r>
      <w:r w:rsidR="00826579" w:rsidRPr="00F54106">
        <w:rPr>
          <w:lang w:val="en-GB"/>
        </w:rPr>
        <w:t xml:space="preserve"> some countries can “put their own twist” on it as well. </w:t>
      </w:r>
      <w:r w:rsidR="00296DC8" w:rsidRPr="00F54106">
        <w:rPr>
          <w:lang w:val="en-GB"/>
        </w:rPr>
        <w:t>Lawyer C believed that this</w:t>
      </w:r>
      <w:r w:rsidR="00826579" w:rsidRPr="00F54106">
        <w:rPr>
          <w:lang w:val="en-GB"/>
        </w:rPr>
        <w:t xml:space="preserve"> </w:t>
      </w:r>
      <w:r w:rsidR="00296DC8" w:rsidRPr="00F54106">
        <w:rPr>
          <w:lang w:val="en-GB"/>
        </w:rPr>
        <w:t xml:space="preserve">alteration </w:t>
      </w:r>
      <w:r w:rsidR="00826579" w:rsidRPr="00F54106">
        <w:rPr>
          <w:lang w:val="en-GB"/>
        </w:rPr>
        <w:t>may be impeding in some countries</w:t>
      </w:r>
      <w:r w:rsidR="00296DC8" w:rsidRPr="00F54106">
        <w:rPr>
          <w:lang w:val="en-GB"/>
        </w:rPr>
        <w:t>,</w:t>
      </w:r>
      <w:r w:rsidR="00826579" w:rsidRPr="00F54106">
        <w:rPr>
          <w:lang w:val="en-GB"/>
        </w:rPr>
        <w:t xml:space="preserve"> but </w:t>
      </w:r>
      <w:r w:rsidR="00296DC8" w:rsidRPr="00F54106">
        <w:rPr>
          <w:lang w:val="en-GB"/>
        </w:rPr>
        <w:t>it does</w:t>
      </w:r>
      <w:r w:rsidR="00826579" w:rsidRPr="00F54106">
        <w:rPr>
          <w:lang w:val="en-GB"/>
        </w:rPr>
        <w:t xml:space="preserve"> not seem to raise any barriers in the Netherlands.</w:t>
      </w:r>
      <w:r w:rsidR="002E50EA" w:rsidRPr="00F54106">
        <w:rPr>
          <w:lang w:val="en-GB"/>
        </w:rPr>
        <w:t xml:space="preserve"> </w:t>
      </w:r>
      <w:r w:rsidR="002E50EA" w:rsidRPr="00F54106">
        <w:rPr>
          <w:rFonts w:cstheme="minorHAnsi"/>
          <w:lang w:val="en-GB"/>
        </w:rPr>
        <w:t>On the notion of substantive law, judge X state</w:t>
      </w:r>
      <w:r w:rsidR="00296DC8" w:rsidRPr="00F54106">
        <w:rPr>
          <w:rFonts w:cstheme="minorHAnsi"/>
          <w:lang w:val="en-GB"/>
        </w:rPr>
        <w:t>d</w:t>
      </w:r>
      <w:r w:rsidR="002E50EA" w:rsidRPr="00F54106">
        <w:rPr>
          <w:rFonts w:cstheme="minorHAnsi"/>
          <w:lang w:val="en-GB"/>
        </w:rPr>
        <w:t xml:space="preserve"> that the Dutch law as a civil law country is likely much clearer for parties compared to the common law system of the United Kingdom.</w:t>
      </w:r>
    </w:p>
    <w:p w14:paraId="539169A5" w14:textId="74696782" w:rsidR="00F37789" w:rsidRPr="00F54106" w:rsidRDefault="00AF2C06" w:rsidP="00F37789">
      <w:pPr>
        <w:spacing w:line="276" w:lineRule="auto"/>
        <w:ind w:firstLine="720"/>
        <w:rPr>
          <w:rFonts w:cstheme="minorHAnsi"/>
          <w:lang w:val="en-GB"/>
        </w:rPr>
      </w:pPr>
      <w:r w:rsidRPr="00F54106">
        <w:rPr>
          <w:lang w:val="en-GB"/>
        </w:rPr>
        <w:t>L</w:t>
      </w:r>
      <w:r w:rsidR="00231CF8" w:rsidRPr="00F54106">
        <w:rPr>
          <w:lang w:val="en-GB"/>
        </w:rPr>
        <w:t xml:space="preserve">awyer C </w:t>
      </w:r>
      <w:r w:rsidR="00296DC8" w:rsidRPr="00F54106">
        <w:rPr>
          <w:lang w:val="en-GB"/>
        </w:rPr>
        <w:t xml:space="preserve">claimed </w:t>
      </w:r>
      <w:r w:rsidR="00231CF8" w:rsidRPr="00F54106">
        <w:rPr>
          <w:lang w:val="en-GB"/>
        </w:rPr>
        <w:t>that</w:t>
      </w:r>
      <w:r w:rsidR="00826579" w:rsidRPr="00F54106">
        <w:rPr>
          <w:lang w:val="en-GB"/>
        </w:rPr>
        <w:t xml:space="preserve"> claimants take account of current proceedings before court, </w:t>
      </w:r>
      <w:r w:rsidR="00231CF8" w:rsidRPr="00F54106">
        <w:rPr>
          <w:lang w:val="en-GB"/>
        </w:rPr>
        <w:t xml:space="preserve">while </w:t>
      </w:r>
      <w:r w:rsidR="00826579" w:rsidRPr="00F54106">
        <w:rPr>
          <w:lang w:val="en-GB"/>
        </w:rPr>
        <w:t xml:space="preserve">indirect purchasers often bring proceedings later than direct purchasers </w:t>
      </w:r>
      <w:r w:rsidR="00231CF8" w:rsidRPr="00F54106">
        <w:rPr>
          <w:lang w:val="en-GB"/>
        </w:rPr>
        <w:t>as</w:t>
      </w:r>
      <w:r w:rsidR="00826579" w:rsidRPr="00F54106">
        <w:rPr>
          <w:lang w:val="en-GB"/>
        </w:rPr>
        <w:t xml:space="preserve"> direct purchasers are likely to be more aware of the harm done to them. In addition, </w:t>
      </w:r>
      <w:r w:rsidR="00296DC8" w:rsidRPr="00F54106">
        <w:rPr>
          <w:lang w:val="en-GB"/>
        </w:rPr>
        <w:t xml:space="preserve">lawyer C stated that </w:t>
      </w:r>
      <w:r w:rsidR="00826579" w:rsidRPr="00F54106">
        <w:rPr>
          <w:lang w:val="en-GB"/>
        </w:rPr>
        <w:t xml:space="preserve">claims vehicles may sometimes very optimistically recruit both types of clients but these claims can be contradicting to each other as it will be difficult for the claim vehicle to act in the interest of both direct and indirect purchasers if a cartelists invokes a passing-on defence. Furthermore, </w:t>
      </w:r>
      <w:r w:rsidR="00296DC8" w:rsidRPr="00F54106">
        <w:rPr>
          <w:lang w:val="en-GB"/>
        </w:rPr>
        <w:t>the provision of information</w:t>
      </w:r>
      <w:r w:rsidR="00826579" w:rsidRPr="00F54106">
        <w:rPr>
          <w:lang w:val="en-GB"/>
        </w:rPr>
        <w:t xml:space="preserve"> by a client to a claim vehicle is often subject to difficulties as </w:t>
      </w:r>
      <w:r w:rsidR="00296DC8" w:rsidRPr="00F54106">
        <w:rPr>
          <w:lang w:val="en-GB"/>
        </w:rPr>
        <w:t xml:space="preserve">all </w:t>
      </w:r>
      <w:r w:rsidR="00826579" w:rsidRPr="00F54106">
        <w:rPr>
          <w:lang w:val="en-GB"/>
        </w:rPr>
        <w:t xml:space="preserve">relevant documents need to be gathered or sometimes the administration from a certain period is missing. </w:t>
      </w:r>
      <w:r w:rsidR="006B65E8" w:rsidRPr="00F54106">
        <w:rPr>
          <w:lang w:val="en-GB"/>
        </w:rPr>
        <w:t>Hence</w:t>
      </w:r>
      <w:r w:rsidR="001A6035" w:rsidRPr="00F54106">
        <w:rPr>
          <w:lang w:val="en-GB"/>
        </w:rPr>
        <w:t>,</w:t>
      </w:r>
      <w:r w:rsidR="00296DC8" w:rsidRPr="00F54106">
        <w:rPr>
          <w:lang w:val="en-GB"/>
        </w:rPr>
        <w:t xml:space="preserve"> lawyer C believed that</w:t>
      </w:r>
      <w:r w:rsidRPr="00F54106">
        <w:rPr>
          <w:lang w:val="en-GB"/>
        </w:rPr>
        <w:t>, before selecting a court,</w:t>
      </w:r>
      <w:r w:rsidR="00826579" w:rsidRPr="00F54106">
        <w:rPr>
          <w:lang w:val="en-GB"/>
        </w:rPr>
        <w:t xml:space="preserve"> a claim vehicle will examine and divide the types of clients based on which batch of clients has the most value, the most amount of complete documents</w:t>
      </w:r>
      <w:r w:rsidRPr="00F54106">
        <w:rPr>
          <w:lang w:val="en-GB"/>
        </w:rPr>
        <w:t xml:space="preserve">, </w:t>
      </w:r>
      <w:r w:rsidR="00826579" w:rsidRPr="00F54106">
        <w:rPr>
          <w:lang w:val="en-GB"/>
        </w:rPr>
        <w:t xml:space="preserve">the best prospects in court, and which forum has favourable precedents to connect a claim. Based on the first summons, the evidence that is allowed by the court is then compared to the evidence of other batches of clients to see if more clients can be added to the claim. </w:t>
      </w:r>
      <w:r w:rsidRPr="00F54106">
        <w:rPr>
          <w:lang w:val="en-GB"/>
        </w:rPr>
        <w:t>Lawyer C mentioned that o</w:t>
      </w:r>
      <w:r w:rsidR="00826579" w:rsidRPr="00F54106">
        <w:rPr>
          <w:lang w:val="en-GB"/>
        </w:rPr>
        <w:t xml:space="preserve">ther practical elements such as previous </w:t>
      </w:r>
      <w:r w:rsidR="00826579" w:rsidRPr="00F54106">
        <w:rPr>
          <w:lang w:val="en-GB"/>
        </w:rPr>
        <w:lastRenderedPageBreak/>
        <w:t xml:space="preserve">experiences with law firms and the forums in which they operate are also aspects on which law firms can establish relationships with claim vehicles and, therefore, make it more likely that claim vehicles end up in the Dutch forum. </w:t>
      </w:r>
      <w:r w:rsidR="00980EF9" w:rsidRPr="00F54106">
        <w:rPr>
          <w:lang w:val="en-GB"/>
        </w:rPr>
        <w:t>Moreover, a</w:t>
      </w:r>
      <w:r w:rsidR="00826579" w:rsidRPr="00F54106">
        <w:rPr>
          <w:lang w:val="en-GB"/>
        </w:rPr>
        <w:t xml:space="preserve">greements on the accumulation of evidence can also be made between claim vehicles and law firms where lawyer’s fees may be substantially reduced when, for example, employing Eastern European labourers to compose the evidence. </w:t>
      </w:r>
      <w:r w:rsidR="00980EF9" w:rsidRPr="00F54106">
        <w:rPr>
          <w:lang w:val="en-GB"/>
        </w:rPr>
        <w:t>Thus</w:t>
      </w:r>
      <w:r w:rsidR="00826579" w:rsidRPr="00F54106">
        <w:rPr>
          <w:lang w:val="en-GB"/>
        </w:rPr>
        <w:t xml:space="preserve">, </w:t>
      </w:r>
      <w:r w:rsidR="005B595F" w:rsidRPr="00F54106">
        <w:rPr>
          <w:lang w:val="en-GB"/>
        </w:rPr>
        <w:t xml:space="preserve">lawyer C believed that, </w:t>
      </w:r>
      <w:r w:rsidR="00826579" w:rsidRPr="00F54106">
        <w:rPr>
          <w:lang w:val="en-GB"/>
        </w:rPr>
        <w:t>provided that an anchor defendant allows litigation in the Netherlands, these elements are key considerations that are kept in mind before selecting a forum</w:t>
      </w:r>
      <w:r w:rsidR="005B595F" w:rsidRPr="00F54106">
        <w:rPr>
          <w:lang w:val="en-GB"/>
        </w:rPr>
        <w:t>.</w:t>
      </w:r>
    </w:p>
    <w:p w14:paraId="005A664A" w14:textId="1FC1AE75" w:rsidR="00F37789" w:rsidRPr="00F54106" w:rsidRDefault="005B595F" w:rsidP="00F37789">
      <w:pPr>
        <w:spacing w:line="276" w:lineRule="auto"/>
        <w:ind w:firstLine="720"/>
        <w:rPr>
          <w:rFonts w:cstheme="minorHAnsi"/>
          <w:lang w:val="en-GB"/>
        </w:rPr>
      </w:pPr>
      <w:r w:rsidRPr="00F54106">
        <w:rPr>
          <w:lang w:val="en-GB"/>
        </w:rPr>
        <w:t>According to lawyer D, l</w:t>
      </w:r>
      <w:r w:rsidR="00E63F13" w:rsidRPr="00F54106">
        <w:rPr>
          <w:lang w:val="en-GB"/>
        </w:rPr>
        <w:t>itigation funders</w:t>
      </w:r>
      <w:r w:rsidR="0095379E" w:rsidRPr="00F54106">
        <w:rPr>
          <w:lang w:val="en-GB"/>
        </w:rPr>
        <w:t xml:space="preserve"> also keep in mind the possibilities for the disclosure of evidence and the differing attitude of judges in mandating disclosure. </w:t>
      </w:r>
      <w:r w:rsidR="002723CE" w:rsidRPr="00F54106">
        <w:rPr>
          <w:lang w:val="en-GB"/>
        </w:rPr>
        <w:t>Furthermore, lawyer D state</w:t>
      </w:r>
      <w:r w:rsidRPr="00F54106">
        <w:rPr>
          <w:lang w:val="en-GB"/>
        </w:rPr>
        <w:t>d</w:t>
      </w:r>
      <w:r w:rsidR="002723CE" w:rsidRPr="00F54106">
        <w:rPr>
          <w:lang w:val="en-GB"/>
        </w:rPr>
        <w:t xml:space="preserve"> that c</w:t>
      </w:r>
      <w:r w:rsidR="0095379E" w:rsidRPr="00F54106">
        <w:rPr>
          <w:lang w:val="en-GB"/>
        </w:rPr>
        <w:t>hoosing a forum may also depend on the relationship between a cartelist and the victim</w:t>
      </w:r>
      <w:r w:rsidR="002723CE" w:rsidRPr="00F54106">
        <w:rPr>
          <w:lang w:val="en-GB"/>
        </w:rPr>
        <w:t>. For example, if the victim is a purchaser of the cartelist, t</w:t>
      </w:r>
      <w:r w:rsidR="0095379E" w:rsidRPr="00F54106">
        <w:rPr>
          <w:lang w:val="en-GB"/>
        </w:rPr>
        <w:t>his psychological aspect may result in the victim trialling in a different country than in which the cartelist and the victim are located</w:t>
      </w:r>
      <w:r w:rsidR="002723CE" w:rsidRPr="00F54106">
        <w:rPr>
          <w:lang w:val="en-GB"/>
        </w:rPr>
        <w:t>.</w:t>
      </w:r>
    </w:p>
    <w:p w14:paraId="7EE646AF" w14:textId="169EBCFF" w:rsidR="00AE3B88" w:rsidRPr="00F54106" w:rsidRDefault="00AE3B88" w:rsidP="00AE3B88">
      <w:pPr>
        <w:spacing w:line="276" w:lineRule="auto"/>
        <w:rPr>
          <w:rFonts w:cstheme="minorHAnsi"/>
          <w:lang w:val="en-GB"/>
        </w:rPr>
      </w:pPr>
    </w:p>
    <w:p w14:paraId="62C547DE" w14:textId="48CC8C40" w:rsidR="003222C4" w:rsidRPr="00F54106" w:rsidRDefault="006433E0" w:rsidP="00883C6B">
      <w:pPr>
        <w:pStyle w:val="Heading2"/>
        <w:rPr>
          <w:lang w:val="en-GB"/>
        </w:rPr>
      </w:pPr>
      <w:bookmarkStart w:id="171" w:name="_Toc107610250"/>
      <w:r w:rsidRPr="00F54106">
        <w:rPr>
          <w:lang w:val="en-GB"/>
        </w:rPr>
        <w:t>3</w:t>
      </w:r>
      <w:r w:rsidR="00883C6B" w:rsidRPr="00F54106">
        <w:rPr>
          <w:lang w:val="en-GB"/>
        </w:rPr>
        <w:t xml:space="preserve">.9 Concluding remarks </w:t>
      </w:r>
      <w:r w:rsidR="00410B33">
        <w:rPr>
          <w:lang w:val="en-GB"/>
        </w:rPr>
        <w:t xml:space="preserve">and </w:t>
      </w:r>
      <w:r w:rsidR="00BC4CAE">
        <w:rPr>
          <w:lang w:val="en-GB"/>
        </w:rPr>
        <w:t>literature review on the Netherlands</w:t>
      </w:r>
      <w:bookmarkEnd w:id="171"/>
    </w:p>
    <w:p w14:paraId="78F23737" w14:textId="20F8276C" w:rsidR="00BC4CAE" w:rsidRDefault="003B0387" w:rsidP="00BC4CAE">
      <w:pPr>
        <w:rPr>
          <w:rFonts w:cstheme="minorHAnsi"/>
          <w:lang w:val="en-GB"/>
        </w:rPr>
      </w:pPr>
      <w:r w:rsidRPr="00F54106">
        <w:rPr>
          <w:rFonts w:cstheme="minorHAnsi"/>
          <w:lang w:val="en-GB"/>
        </w:rPr>
        <w:t xml:space="preserve">All things considered, </w:t>
      </w:r>
      <w:r w:rsidR="00781528">
        <w:rPr>
          <w:rFonts w:cstheme="minorHAnsi"/>
          <w:lang w:val="en-GB"/>
        </w:rPr>
        <w:t xml:space="preserve">the qualitative interviews </w:t>
      </w:r>
      <w:r w:rsidR="001F0DDD">
        <w:rPr>
          <w:rFonts w:cstheme="minorHAnsi"/>
          <w:lang w:val="en-GB"/>
        </w:rPr>
        <w:t xml:space="preserve">support the proposition that the Netherlands is a preferred country for cartel damages actions and </w:t>
      </w:r>
      <w:r w:rsidR="00FB1C55">
        <w:rPr>
          <w:rFonts w:cstheme="minorHAnsi"/>
          <w:lang w:val="en-GB"/>
        </w:rPr>
        <w:t>are mostly in line</w:t>
      </w:r>
      <w:r w:rsidR="00781528">
        <w:rPr>
          <w:rFonts w:cstheme="minorHAnsi"/>
          <w:lang w:val="en-GB"/>
        </w:rPr>
        <w:t xml:space="preserve"> with the preferrable elements </w:t>
      </w:r>
      <w:r w:rsidR="00937BE7">
        <w:rPr>
          <w:rFonts w:cstheme="minorHAnsi"/>
          <w:lang w:val="en-GB"/>
        </w:rPr>
        <w:t>put forth</w:t>
      </w:r>
      <w:r w:rsidR="00D505E3">
        <w:rPr>
          <w:rFonts w:cstheme="minorHAnsi"/>
          <w:lang w:val="en-GB"/>
        </w:rPr>
        <w:t xml:space="preserve"> by the </w:t>
      </w:r>
      <w:r w:rsidR="00781528">
        <w:rPr>
          <w:rFonts w:cstheme="minorHAnsi"/>
          <w:lang w:val="en-GB"/>
        </w:rPr>
        <w:t xml:space="preserve">literature on the Dutch forum. </w:t>
      </w:r>
      <w:r w:rsidR="00937BE7">
        <w:rPr>
          <w:rFonts w:cstheme="minorHAnsi"/>
          <w:lang w:val="en-GB"/>
        </w:rPr>
        <w:t xml:space="preserve">In this sense, </w:t>
      </w:r>
      <w:r w:rsidR="00781528" w:rsidRPr="00F54106">
        <w:rPr>
          <w:rFonts w:cstheme="minorHAnsi"/>
          <w:lang w:val="en-GB"/>
        </w:rPr>
        <w:t>the literature’s view that the efficiency and practical approach of the Dutch courts is an important factor for filing a claim in the Netherlands</w:t>
      </w:r>
      <w:r w:rsidR="00937BE7">
        <w:rPr>
          <w:rFonts w:cstheme="minorHAnsi"/>
          <w:lang w:val="en-GB"/>
        </w:rPr>
        <w:t xml:space="preserve"> is supported</w:t>
      </w:r>
      <w:r w:rsidR="00781528" w:rsidRPr="00F54106">
        <w:rPr>
          <w:rFonts w:cstheme="minorHAnsi"/>
          <w:lang w:val="en-GB"/>
        </w:rPr>
        <w:t xml:space="preserve">. However, some features have come forward </w:t>
      </w:r>
      <w:r w:rsidR="00AB4BB0">
        <w:rPr>
          <w:rFonts w:cstheme="minorHAnsi"/>
          <w:lang w:val="en-GB"/>
        </w:rPr>
        <w:t xml:space="preserve">on </w:t>
      </w:r>
      <w:r w:rsidR="0098727A">
        <w:rPr>
          <w:rFonts w:cstheme="minorHAnsi"/>
          <w:lang w:val="en-GB"/>
        </w:rPr>
        <w:t xml:space="preserve">the topic of Dutch courts </w:t>
      </w:r>
      <w:r w:rsidR="00781528" w:rsidRPr="00F54106">
        <w:rPr>
          <w:rFonts w:cstheme="minorHAnsi"/>
          <w:lang w:val="en-GB"/>
        </w:rPr>
        <w:t>that are not explicitly mentioned by the literature</w:t>
      </w:r>
      <w:r w:rsidR="00D505E3">
        <w:rPr>
          <w:rFonts w:cstheme="minorHAnsi"/>
          <w:lang w:val="en-GB"/>
        </w:rPr>
        <w:t>.</w:t>
      </w:r>
      <w:r w:rsidR="00781528" w:rsidRPr="00F54106">
        <w:rPr>
          <w:rFonts w:cstheme="minorHAnsi"/>
          <w:lang w:val="en-GB"/>
        </w:rPr>
        <w:t xml:space="preserve"> </w:t>
      </w:r>
      <w:r w:rsidR="00D505E3">
        <w:rPr>
          <w:rFonts w:cstheme="minorHAnsi"/>
          <w:lang w:val="en-GB"/>
        </w:rPr>
        <w:t>These consist of</w:t>
      </w:r>
      <w:r w:rsidR="00781528" w:rsidRPr="00F54106">
        <w:rPr>
          <w:rFonts w:cstheme="minorHAnsi"/>
          <w:lang w:val="en-GB"/>
        </w:rPr>
        <w:t xml:space="preserve"> practical and simple elements such as submitting evidence electronically or selecting a court in a claimant’s own language, the improved efficiency of the Dutch courts as a result of court experience and relevant precedents, fewer and shorter hearings, and the separation of components of the proceedings. </w:t>
      </w:r>
    </w:p>
    <w:p w14:paraId="66A4453A" w14:textId="279EF54C" w:rsidR="00FE0AEC" w:rsidRPr="006E3603" w:rsidRDefault="006E3603" w:rsidP="00164335">
      <w:pPr>
        <w:ind w:firstLine="720"/>
        <w:rPr>
          <w:rFonts w:cstheme="minorHAnsi"/>
          <w:lang w:val="en-GB"/>
        </w:rPr>
      </w:pPr>
      <w:r>
        <w:rPr>
          <w:lang w:val="en-GB"/>
        </w:rPr>
        <w:t>Likewise,</w:t>
      </w:r>
      <w:r w:rsidR="00BC4CAE">
        <w:rPr>
          <w:rFonts w:cstheme="minorHAnsi"/>
          <w:lang w:val="en-GB"/>
        </w:rPr>
        <w:t xml:space="preserve"> t</w:t>
      </w:r>
      <w:r w:rsidR="00781528">
        <w:rPr>
          <w:rFonts w:cstheme="minorHAnsi"/>
          <w:lang w:val="en-GB"/>
        </w:rPr>
        <w:t xml:space="preserve">he </w:t>
      </w:r>
      <w:r w:rsidR="00781528" w:rsidRPr="00F54106">
        <w:rPr>
          <w:rFonts w:cstheme="minorHAnsi"/>
          <w:lang w:val="en-GB"/>
        </w:rPr>
        <w:t>idea that is that the threshold for adopting jurisdiction by Dutch courts is low</w:t>
      </w:r>
      <w:r w:rsidR="00BC4CAE">
        <w:rPr>
          <w:rFonts w:cstheme="minorHAnsi"/>
          <w:lang w:val="en-GB"/>
        </w:rPr>
        <w:t xml:space="preserve"> is also supported, while </w:t>
      </w:r>
      <w:r w:rsidR="00781528" w:rsidRPr="00F54106">
        <w:rPr>
          <w:rFonts w:cstheme="minorHAnsi"/>
          <w:lang w:val="en-GB"/>
        </w:rPr>
        <w:t>the</w:t>
      </w:r>
      <w:r w:rsidR="00BC4CAE">
        <w:rPr>
          <w:rFonts w:cstheme="minorHAnsi"/>
          <w:lang w:val="en-GB"/>
        </w:rPr>
        <w:t xml:space="preserve"> role of the</w:t>
      </w:r>
      <w:r w:rsidR="00781528" w:rsidRPr="00F54106">
        <w:rPr>
          <w:rFonts w:cstheme="minorHAnsi"/>
          <w:lang w:val="en-GB"/>
        </w:rPr>
        <w:t xml:space="preserve"> </w:t>
      </w:r>
      <w:proofErr w:type="spellStart"/>
      <w:r w:rsidR="00781528" w:rsidRPr="00BC4CAE">
        <w:rPr>
          <w:rFonts w:cstheme="minorHAnsi"/>
          <w:i/>
          <w:iCs/>
          <w:lang w:val="en-GB"/>
        </w:rPr>
        <w:t>Tennet</w:t>
      </w:r>
      <w:proofErr w:type="spellEnd"/>
      <w:r w:rsidR="00781528" w:rsidRPr="00BC4CAE">
        <w:rPr>
          <w:rFonts w:cstheme="minorHAnsi"/>
          <w:i/>
          <w:iCs/>
          <w:lang w:val="en-GB"/>
        </w:rPr>
        <w:t xml:space="preserve"> v ABB</w:t>
      </w:r>
      <w:r w:rsidR="00781528" w:rsidRPr="00F54106">
        <w:rPr>
          <w:rFonts w:cstheme="minorHAnsi"/>
          <w:lang w:val="en-GB"/>
        </w:rPr>
        <w:t xml:space="preserve"> ruling </w:t>
      </w:r>
      <w:r w:rsidR="00BC4CAE">
        <w:rPr>
          <w:rFonts w:cstheme="minorHAnsi"/>
          <w:lang w:val="en-GB"/>
        </w:rPr>
        <w:t>h</w:t>
      </w:r>
      <w:r w:rsidR="00781528" w:rsidRPr="00F54106">
        <w:rPr>
          <w:rFonts w:cstheme="minorHAnsi"/>
          <w:lang w:val="en-GB"/>
        </w:rPr>
        <w:t xml:space="preserve">as </w:t>
      </w:r>
      <w:r w:rsidR="00BC4CAE">
        <w:rPr>
          <w:rFonts w:cstheme="minorHAnsi"/>
          <w:lang w:val="en-GB"/>
        </w:rPr>
        <w:t>similarly</w:t>
      </w:r>
      <w:r w:rsidR="00781528" w:rsidRPr="00F54106">
        <w:rPr>
          <w:rFonts w:cstheme="minorHAnsi"/>
          <w:lang w:val="en-GB"/>
        </w:rPr>
        <w:t xml:space="preserve"> been confirmed by lawyer A. However, the fact that companies often have several firms that can be anchored to the Dutch forum </w:t>
      </w:r>
      <w:r w:rsidR="00BC4CAE">
        <w:rPr>
          <w:rFonts w:cstheme="minorHAnsi"/>
          <w:lang w:val="en-GB"/>
        </w:rPr>
        <w:t>is not</w:t>
      </w:r>
      <w:r w:rsidR="00781528" w:rsidRPr="00F54106">
        <w:rPr>
          <w:rFonts w:cstheme="minorHAnsi"/>
          <w:lang w:val="en-GB"/>
        </w:rPr>
        <w:t xml:space="preserve"> presented in the literature.</w:t>
      </w:r>
      <w:r w:rsidR="00BC4CAE">
        <w:rPr>
          <w:rFonts w:cstheme="minorHAnsi"/>
          <w:lang w:val="en-GB"/>
        </w:rPr>
        <w:t xml:space="preserve"> </w:t>
      </w:r>
      <w:r w:rsidR="00164335">
        <w:rPr>
          <w:rFonts w:cstheme="minorHAnsi"/>
          <w:lang w:val="en-GB"/>
        </w:rPr>
        <w:t>Instead</w:t>
      </w:r>
      <w:r w:rsidR="00BC4CAE">
        <w:rPr>
          <w:lang w:val="en-GB"/>
        </w:rPr>
        <w:t>,</w:t>
      </w:r>
      <w:r>
        <w:rPr>
          <w:lang w:val="en-GB"/>
        </w:rPr>
        <w:t xml:space="preserve"> it is confirmed that </w:t>
      </w:r>
      <w:r w:rsidR="00781528" w:rsidRPr="00F54106">
        <w:rPr>
          <w:rFonts w:cstheme="minorHAnsi"/>
          <w:lang w:val="en-GB"/>
        </w:rPr>
        <w:t xml:space="preserve">cost elements have </w:t>
      </w:r>
      <w:r w:rsidR="00AB4BB0">
        <w:rPr>
          <w:rFonts w:cstheme="minorHAnsi"/>
          <w:lang w:val="en-GB"/>
        </w:rPr>
        <w:t xml:space="preserve">also </w:t>
      </w:r>
      <w:r w:rsidR="00781528" w:rsidRPr="00F54106">
        <w:rPr>
          <w:rFonts w:cstheme="minorHAnsi"/>
          <w:lang w:val="en-GB"/>
        </w:rPr>
        <w:t xml:space="preserve">attracted claimants to the Netherlands. In particular, the low lawyer’s fees and the limited financial risks </w:t>
      </w:r>
      <w:r w:rsidR="00065805">
        <w:rPr>
          <w:rFonts w:cstheme="minorHAnsi"/>
          <w:lang w:val="en-GB"/>
        </w:rPr>
        <w:t xml:space="preserve">(due to the </w:t>
      </w:r>
      <w:proofErr w:type="spellStart"/>
      <w:r w:rsidR="00065805" w:rsidRPr="00065805">
        <w:rPr>
          <w:rFonts w:cstheme="minorHAnsi"/>
          <w:i/>
          <w:iCs/>
          <w:lang w:val="en-GB"/>
        </w:rPr>
        <w:t>liquidatietarief</w:t>
      </w:r>
      <w:proofErr w:type="spellEnd"/>
      <w:r w:rsidR="00065805">
        <w:rPr>
          <w:rFonts w:cstheme="minorHAnsi"/>
          <w:lang w:val="en-GB"/>
        </w:rPr>
        <w:t xml:space="preserve">) </w:t>
      </w:r>
      <w:r w:rsidR="00781528" w:rsidRPr="00F54106">
        <w:rPr>
          <w:rFonts w:cstheme="minorHAnsi"/>
          <w:lang w:val="en-GB"/>
        </w:rPr>
        <w:t xml:space="preserve">are seen as key factors </w:t>
      </w:r>
      <w:r w:rsidR="00466EF3">
        <w:rPr>
          <w:rFonts w:cstheme="minorHAnsi"/>
          <w:lang w:val="en-GB"/>
        </w:rPr>
        <w:t xml:space="preserve">that facilitate antitrust damages actions </w:t>
      </w:r>
      <w:r w:rsidR="00781528" w:rsidRPr="00F54106">
        <w:rPr>
          <w:rFonts w:cstheme="minorHAnsi"/>
          <w:lang w:val="en-GB"/>
        </w:rPr>
        <w:t>by all interviewees</w:t>
      </w:r>
      <w:r w:rsidR="00AB4BB0">
        <w:rPr>
          <w:rFonts w:cstheme="minorHAnsi"/>
          <w:lang w:val="en-GB"/>
        </w:rPr>
        <w:t xml:space="preserve">, </w:t>
      </w:r>
      <w:r w:rsidR="00065805">
        <w:rPr>
          <w:rFonts w:cstheme="minorHAnsi"/>
          <w:lang w:val="en-GB"/>
        </w:rPr>
        <w:t>and</w:t>
      </w:r>
      <w:r w:rsidR="00466EF3">
        <w:rPr>
          <w:rFonts w:cstheme="minorHAnsi"/>
          <w:lang w:val="en-GB"/>
        </w:rPr>
        <w:t xml:space="preserve"> </w:t>
      </w:r>
      <w:r w:rsidR="00065805">
        <w:rPr>
          <w:rFonts w:cstheme="minorHAnsi"/>
          <w:lang w:val="en-GB"/>
        </w:rPr>
        <w:t>are</w:t>
      </w:r>
      <w:r w:rsidR="00AB4BB0">
        <w:rPr>
          <w:rFonts w:cstheme="minorHAnsi"/>
          <w:lang w:val="en-GB"/>
        </w:rPr>
        <w:t xml:space="preserve"> </w:t>
      </w:r>
      <w:r w:rsidR="00781528" w:rsidRPr="00F54106">
        <w:rPr>
          <w:rFonts w:cstheme="minorHAnsi"/>
          <w:lang w:val="en-GB"/>
        </w:rPr>
        <w:t xml:space="preserve">in line with the literature’s claims. </w:t>
      </w:r>
      <w:r w:rsidR="00164335">
        <w:rPr>
          <w:rFonts w:cstheme="minorHAnsi"/>
          <w:lang w:val="en-GB"/>
        </w:rPr>
        <w:t>Next to this</w:t>
      </w:r>
      <w:r w:rsidR="00781528" w:rsidRPr="00F54106">
        <w:rPr>
          <w:rFonts w:cstheme="minorHAnsi"/>
          <w:lang w:val="en-GB"/>
        </w:rPr>
        <w:t xml:space="preserve">, the argument that the Netherlands adopts an “each party bears its own costs” rule instead of a “loser pays” rule is also </w:t>
      </w:r>
      <w:r>
        <w:rPr>
          <w:rFonts w:cstheme="minorHAnsi"/>
          <w:lang w:val="en-GB"/>
        </w:rPr>
        <w:t>backed</w:t>
      </w:r>
      <w:r w:rsidR="00781528" w:rsidRPr="00F54106">
        <w:rPr>
          <w:rFonts w:cstheme="minorHAnsi"/>
          <w:lang w:val="en-GB"/>
        </w:rPr>
        <w:t xml:space="preserve">. </w:t>
      </w:r>
      <w:r w:rsidR="00164335">
        <w:rPr>
          <w:rFonts w:cstheme="minorHAnsi"/>
          <w:lang w:val="en-GB"/>
        </w:rPr>
        <w:t>In addition</w:t>
      </w:r>
      <w:r w:rsidR="00781528" w:rsidRPr="00F54106">
        <w:rPr>
          <w:rFonts w:cstheme="minorHAnsi"/>
          <w:lang w:val="en-GB"/>
        </w:rPr>
        <w:t xml:space="preserve">, judge X provides another argument </w:t>
      </w:r>
      <w:r w:rsidR="00164335">
        <w:rPr>
          <w:rFonts w:cstheme="minorHAnsi"/>
          <w:lang w:val="en-GB"/>
        </w:rPr>
        <w:t xml:space="preserve">that states that </w:t>
      </w:r>
      <w:r w:rsidR="00781528" w:rsidRPr="00F54106">
        <w:rPr>
          <w:rFonts w:cstheme="minorHAnsi"/>
          <w:lang w:val="en-GB"/>
        </w:rPr>
        <w:t>the efficiency of the Dutch courts may help reduce the corresponding time and costs, which is not explicitly mentioned by the literature.</w:t>
      </w:r>
    </w:p>
    <w:p w14:paraId="4CCEBD03" w14:textId="7F6FC1A5" w:rsidR="006E3603" w:rsidRDefault="008E6B93" w:rsidP="006E3603">
      <w:pPr>
        <w:ind w:firstLine="720"/>
        <w:rPr>
          <w:rFonts w:cstheme="minorHAnsi"/>
          <w:lang w:val="en-GB"/>
        </w:rPr>
      </w:pPr>
      <w:r>
        <w:rPr>
          <w:rFonts w:cstheme="minorHAnsi"/>
          <w:lang w:val="en-GB"/>
        </w:rPr>
        <w:t>Similarly, t</w:t>
      </w:r>
      <w:r w:rsidR="00781528" w:rsidRPr="00F54106">
        <w:rPr>
          <w:rFonts w:cstheme="minorHAnsi"/>
          <w:lang w:val="en-GB"/>
        </w:rPr>
        <w:t xml:space="preserve">he qualitative interviews provide evidence in favour of the literature’s claims that the Dutch collective actions regime expedites antitrust claims in the Netherlands. </w:t>
      </w:r>
      <w:r w:rsidR="006E3603">
        <w:rPr>
          <w:rFonts w:cstheme="minorHAnsi"/>
          <w:lang w:val="en-GB"/>
        </w:rPr>
        <w:t>Particularly, b</w:t>
      </w:r>
      <w:r w:rsidR="00781528" w:rsidRPr="00F54106">
        <w:rPr>
          <w:rFonts w:cstheme="minorHAnsi"/>
          <w:lang w:val="en-GB"/>
        </w:rPr>
        <w:t>oth the WCAM and especially the WAMCA are believed to be significant factors</w:t>
      </w:r>
      <w:r w:rsidR="006E3603">
        <w:rPr>
          <w:rFonts w:cstheme="minorHAnsi"/>
          <w:lang w:val="en-GB"/>
        </w:rPr>
        <w:t xml:space="preserve"> in this regard</w:t>
      </w:r>
      <w:r w:rsidR="00781528" w:rsidRPr="00F54106">
        <w:rPr>
          <w:rFonts w:cstheme="minorHAnsi"/>
          <w:lang w:val="en-GB"/>
        </w:rPr>
        <w:t xml:space="preserve">, while the assignment model is also facilitated by the Dutch jurisprudence. Besides this, judge X affirms the literature’s perspective that claim vehicles help in bringing a large amount of cases before Dutch courts. Indeed, they provide a real and affordable possibility to litigate and often choose the Netherlands because they are accepted under the assignment model and the financial risk is lower. However, no </w:t>
      </w:r>
      <w:r w:rsidR="00781528" w:rsidRPr="00F54106">
        <w:rPr>
          <w:rFonts w:cstheme="minorHAnsi"/>
          <w:lang w:val="en-GB"/>
        </w:rPr>
        <w:lastRenderedPageBreak/>
        <w:t xml:space="preserve">indication was found that specialized lawyers stationed in the Netherlands also make the Dutch forum </w:t>
      </w:r>
      <w:r w:rsidR="006E3603">
        <w:rPr>
          <w:rFonts w:cstheme="minorHAnsi"/>
          <w:lang w:val="en-GB"/>
        </w:rPr>
        <w:t xml:space="preserve">a </w:t>
      </w:r>
      <w:r w:rsidR="00781528" w:rsidRPr="00F54106">
        <w:rPr>
          <w:rFonts w:cstheme="minorHAnsi"/>
          <w:lang w:val="en-GB"/>
        </w:rPr>
        <w:t>more</w:t>
      </w:r>
      <w:r w:rsidR="006E3603">
        <w:rPr>
          <w:rFonts w:cstheme="minorHAnsi"/>
          <w:lang w:val="en-GB"/>
        </w:rPr>
        <w:t xml:space="preserve"> </w:t>
      </w:r>
      <w:r w:rsidR="00781528" w:rsidRPr="00F54106">
        <w:rPr>
          <w:rFonts w:cstheme="minorHAnsi"/>
          <w:lang w:val="en-GB"/>
        </w:rPr>
        <w:t>favoured</w:t>
      </w:r>
      <w:r w:rsidR="006E3603">
        <w:rPr>
          <w:rFonts w:cstheme="minorHAnsi"/>
          <w:lang w:val="en-GB"/>
        </w:rPr>
        <w:t xml:space="preserve"> jurisdiction.</w:t>
      </w:r>
      <w:r w:rsidR="001F0DDD">
        <w:rPr>
          <w:rFonts w:cstheme="minorHAnsi"/>
          <w:lang w:val="en-GB"/>
        </w:rPr>
        <w:t xml:space="preserve"> Conversely, </w:t>
      </w:r>
      <w:r w:rsidR="00937BE7">
        <w:rPr>
          <w:rFonts w:cstheme="minorHAnsi"/>
          <w:lang w:val="en-GB"/>
        </w:rPr>
        <w:t>the obtained data have verified that raising awareness</w:t>
      </w:r>
      <w:r w:rsidR="0077395D">
        <w:rPr>
          <w:rFonts w:cstheme="minorHAnsi"/>
          <w:lang w:val="en-GB"/>
        </w:rPr>
        <w:t xml:space="preserve"> by litigation funders, and also by law firms,</w:t>
      </w:r>
      <w:r w:rsidR="00937BE7">
        <w:rPr>
          <w:rFonts w:cstheme="minorHAnsi"/>
          <w:lang w:val="en-GB"/>
        </w:rPr>
        <w:t xml:space="preserve"> is an important element </w:t>
      </w:r>
      <w:r w:rsidR="000B50CB">
        <w:rPr>
          <w:rFonts w:cstheme="minorHAnsi"/>
          <w:lang w:val="en-GB"/>
        </w:rPr>
        <w:t>that contributes to private enforcement of antitrust infringements in the Netherlands</w:t>
      </w:r>
      <w:r w:rsidR="00937BE7">
        <w:rPr>
          <w:rFonts w:cstheme="minorHAnsi"/>
          <w:lang w:val="en-GB"/>
        </w:rPr>
        <w:t xml:space="preserve">. </w:t>
      </w:r>
    </w:p>
    <w:p w14:paraId="6804DFDB" w14:textId="0B5143F5" w:rsidR="00AB4BB0" w:rsidRDefault="00781528" w:rsidP="005128CA">
      <w:pPr>
        <w:ind w:firstLine="720"/>
        <w:rPr>
          <w:rFonts w:cstheme="minorHAnsi"/>
          <w:lang w:val="en-GB"/>
        </w:rPr>
      </w:pPr>
      <w:r w:rsidRPr="00F54106">
        <w:rPr>
          <w:rFonts w:cstheme="minorHAnsi"/>
          <w:lang w:val="en-GB"/>
        </w:rPr>
        <w:t xml:space="preserve">Intriguingly, most interviewees were of the opinion that the experience, competence and quality of judges encourage parties to select the Dutch forum, which is an aspect that is not put forward by the literature. As a result, this </w:t>
      </w:r>
      <w:r w:rsidR="00CF6CBC">
        <w:rPr>
          <w:rFonts w:cstheme="minorHAnsi"/>
          <w:lang w:val="en-GB"/>
        </w:rPr>
        <w:t>significant</w:t>
      </w:r>
      <w:r w:rsidRPr="00F54106">
        <w:rPr>
          <w:rFonts w:cstheme="minorHAnsi"/>
          <w:lang w:val="en-GB"/>
        </w:rPr>
        <w:t xml:space="preserve"> element does not align with the literature’s view and is a newfound factor that facilitates antitrust claims in the Netherlands.</w:t>
      </w:r>
      <w:r w:rsidR="006E3603">
        <w:rPr>
          <w:rFonts w:cstheme="minorHAnsi"/>
          <w:lang w:val="en-GB"/>
        </w:rPr>
        <w:t xml:space="preserve"> </w:t>
      </w:r>
      <w:r w:rsidRPr="00F54106">
        <w:rPr>
          <w:rFonts w:cstheme="minorHAnsi"/>
          <w:lang w:val="en-GB"/>
        </w:rPr>
        <w:t xml:space="preserve">Several additional elements that facilitate cartel damages claims in the Netherlands have become prominent in the qualitative interviews as well. These regard (1) the ability to claim damages under compound interest, (2) the fact that civil law is clearer and the substantive and procedural law do not raise issues to litigate in the Netherlands, (3) positive experiences with the Dutch forum and existing relationships between law firms and claim vehicles, (4) the possibilities to disclose evidence and the judges’ attitude in mandating disclosure, (5) the relationship between victims and the infringers. </w:t>
      </w:r>
      <w:r w:rsidR="00757375">
        <w:rPr>
          <w:rFonts w:cstheme="minorHAnsi"/>
          <w:lang w:val="en-GB"/>
        </w:rPr>
        <w:t>Truly</w:t>
      </w:r>
      <w:r w:rsidRPr="00F54106">
        <w:rPr>
          <w:rFonts w:cstheme="minorHAnsi"/>
          <w:lang w:val="en-GB"/>
        </w:rPr>
        <w:t xml:space="preserve">, none of these factors were discussed </w:t>
      </w:r>
      <w:r w:rsidR="00757375">
        <w:rPr>
          <w:rFonts w:cstheme="minorHAnsi"/>
          <w:lang w:val="en-GB"/>
        </w:rPr>
        <w:t xml:space="preserve">by the literature. </w:t>
      </w:r>
      <w:r w:rsidR="00CF6CBC">
        <w:rPr>
          <w:rFonts w:cstheme="minorHAnsi"/>
          <w:lang w:val="en-GB"/>
        </w:rPr>
        <w:t>As a result</w:t>
      </w:r>
      <w:r w:rsidR="00757375">
        <w:rPr>
          <w:rFonts w:cstheme="minorHAnsi"/>
          <w:lang w:val="en-GB"/>
        </w:rPr>
        <w:t xml:space="preserve">, </w:t>
      </w:r>
      <w:r w:rsidR="00CF6CBC">
        <w:rPr>
          <w:rFonts w:cstheme="minorHAnsi"/>
          <w:lang w:val="en-GB"/>
        </w:rPr>
        <w:t>these</w:t>
      </w:r>
      <w:r w:rsidRPr="00F54106">
        <w:rPr>
          <w:rFonts w:cstheme="minorHAnsi"/>
          <w:lang w:val="en-GB"/>
        </w:rPr>
        <w:t xml:space="preserve"> </w:t>
      </w:r>
      <w:r w:rsidR="00757375">
        <w:rPr>
          <w:rFonts w:cstheme="minorHAnsi"/>
          <w:lang w:val="en-GB"/>
        </w:rPr>
        <w:t xml:space="preserve">forum shopping inducing elements </w:t>
      </w:r>
      <w:r w:rsidR="00AB4BB0">
        <w:rPr>
          <w:rFonts w:cstheme="minorHAnsi"/>
          <w:lang w:val="en-GB"/>
        </w:rPr>
        <w:t xml:space="preserve">of the Netherlands </w:t>
      </w:r>
      <w:r w:rsidR="00CF6CBC">
        <w:rPr>
          <w:rFonts w:cstheme="minorHAnsi"/>
          <w:lang w:val="en-GB"/>
        </w:rPr>
        <w:t>are newly discovered as well.</w:t>
      </w:r>
      <w:r w:rsidR="005128CA">
        <w:rPr>
          <w:rFonts w:cstheme="minorHAnsi"/>
          <w:lang w:val="en-GB"/>
        </w:rPr>
        <w:t xml:space="preserve"> </w:t>
      </w:r>
    </w:p>
    <w:p w14:paraId="0A3BF56A" w14:textId="02EA79B7" w:rsidR="00AB4BB0" w:rsidRDefault="00AB4BB0" w:rsidP="00CF6CBC">
      <w:pPr>
        <w:ind w:firstLine="720"/>
        <w:rPr>
          <w:rFonts w:cstheme="minorHAnsi"/>
          <w:lang w:val="en-GB"/>
        </w:rPr>
      </w:pPr>
    </w:p>
    <w:p w14:paraId="784C22BD" w14:textId="444709DD" w:rsidR="00AB4BB0" w:rsidRDefault="00AB4BB0" w:rsidP="00CF6CBC">
      <w:pPr>
        <w:ind w:firstLine="720"/>
        <w:rPr>
          <w:rFonts w:cstheme="minorHAnsi"/>
          <w:lang w:val="en-GB"/>
        </w:rPr>
      </w:pPr>
    </w:p>
    <w:p w14:paraId="74522FEF" w14:textId="78780947" w:rsidR="00AB4BB0" w:rsidRDefault="00AB4BB0" w:rsidP="00CF6CBC">
      <w:pPr>
        <w:ind w:firstLine="720"/>
        <w:rPr>
          <w:rFonts w:cstheme="minorHAnsi"/>
          <w:lang w:val="en-GB"/>
        </w:rPr>
      </w:pPr>
    </w:p>
    <w:p w14:paraId="3008D8AA" w14:textId="59D81E44" w:rsidR="00AB4BB0" w:rsidRDefault="00AB4BB0" w:rsidP="00CF6CBC">
      <w:pPr>
        <w:ind w:firstLine="720"/>
        <w:rPr>
          <w:rFonts w:cstheme="minorHAnsi"/>
          <w:lang w:val="en-GB"/>
        </w:rPr>
      </w:pPr>
    </w:p>
    <w:p w14:paraId="530E09A4" w14:textId="70CD7A3D" w:rsidR="00AB4BB0" w:rsidRDefault="00AB4BB0" w:rsidP="00CF6CBC">
      <w:pPr>
        <w:ind w:firstLine="720"/>
        <w:rPr>
          <w:rFonts w:cstheme="minorHAnsi"/>
          <w:lang w:val="en-GB"/>
        </w:rPr>
      </w:pPr>
    </w:p>
    <w:p w14:paraId="15D771CB" w14:textId="15DFEAD5" w:rsidR="00AB4BB0" w:rsidRDefault="00AB4BB0" w:rsidP="00CF6CBC">
      <w:pPr>
        <w:ind w:firstLine="720"/>
        <w:rPr>
          <w:rFonts w:cstheme="minorHAnsi"/>
          <w:lang w:val="en-GB"/>
        </w:rPr>
      </w:pPr>
    </w:p>
    <w:p w14:paraId="4A40AA85" w14:textId="4910E209" w:rsidR="00AB4BB0" w:rsidRDefault="00AB4BB0" w:rsidP="00CF6CBC">
      <w:pPr>
        <w:ind w:firstLine="720"/>
        <w:rPr>
          <w:rFonts w:cstheme="minorHAnsi"/>
          <w:lang w:val="en-GB"/>
        </w:rPr>
      </w:pPr>
    </w:p>
    <w:p w14:paraId="27BC4518" w14:textId="3647179A" w:rsidR="00AB4BB0" w:rsidRDefault="00AB4BB0" w:rsidP="00CF6CBC">
      <w:pPr>
        <w:ind w:firstLine="720"/>
        <w:rPr>
          <w:rFonts w:cstheme="minorHAnsi"/>
          <w:lang w:val="en-GB"/>
        </w:rPr>
      </w:pPr>
    </w:p>
    <w:p w14:paraId="606141D0" w14:textId="6FE28CAB" w:rsidR="00AB4BB0" w:rsidRDefault="00AB4BB0" w:rsidP="00CF6CBC">
      <w:pPr>
        <w:ind w:firstLine="720"/>
        <w:rPr>
          <w:rFonts w:cstheme="minorHAnsi"/>
          <w:lang w:val="en-GB"/>
        </w:rPr>
      </w:pPr>
    </w:p>
    <w:p w14:paraId="613B5C7B" w14:textId="4CFEC60D" w:rsidR="00AB4BB0" w:rsidRDefault="00AB4BB0" w:rsidP="00CF6CBC">
      <w:pPr>
        <w:ind w:firstLine="720"/>
        <w:rPr>
          <w:rFonts w:cstheme="minorHAnsi"/>
          <w:lang w:val="en-GB"/>
        </w:rPr>
      </w:pPr>
    </w:p>
    <w:p w14:paraId="6500CE91" w14:textId="5639068D" w:rsidR="00AB4BB0" w:rsidRDefault="00AB4BB0" w:rsidP="00CF6CBC">
      <w:pPr>
        <w:ind w:firstLine="720"/>
        <w:rPr>
          <w:rFonts w:cstheme="minorHAnsi"/>
          <w:lang w:val="en-GB"/>
        </w:rPr>
      </w:pPr>
    </w:p>
    <w:p w14:paraId="64BD2DC8" w14:textId="7DEB45AF" w:rsidR="00AB4BB0" w:rsidRDefault="00AB4BB0" w:rsidP="00CF6CBC">
      <w:pPr>
        <w:ind w:firstLine="720"/>
        <w:rPr>
          <w:rFonts w:cstheme="minorHAnsi"/>
          <w:lang w:val="en-GB"/>
        </w:rPr>
      </w:pPr>
    </w:p>
    <w:p w14:paraId="45DD4502" w14:textId="6A88DDA7" w:rsidR="00AB4BB0" w:rsidRDefault="00AB4BB0" w:rsidP="00CF6CBC">
      <w:pPr>
        <w:ind w:firstLine="720"/>
        <w:rPr>
          <w:rFonts w:cstheme="minorHAnsi"/>
          <w:lang w:val="en-GB"/>
        </w:rPr>
      </w:pPr>
    </w:p>
    <w:p w14:paraId="1FAC4528" w14:textId="041D35F7" w:rsidR="00AB4BB0" w:rsidRDefault="00AB4BB0" w:rsidP="00CF6CBC">
      <w:pPr>
        <w:ind w:firstLine="720"/>
        <w:rPr>
          <w:rFonts w:cstheme="minorHAnsi"/>
          <w:lang w:val="en-GB"/>
        </w:rPr>
      </w:pPr>
    </w:p>
    <w:p w14:paraId="3E80CCA6" w14:textId="087B7AD8" w:rsidR="00AB4BB0" w:rsidRDefault="00AB4BB0" w:rsidP="004D4688">
      <w:pPr>
        <w:rPr>
          <w:rFonts w:cstheme="minorHAnsi"/>
          <w:lang w:val="en-GB"/>
        </w:rPr>
      </w:pPr>
    </w:p>
    <w:p w14:paraId="042468E5" w14:textId="77777777" w:rsidR="004D4688" w:rsidRDefault="004D4688" w:rsidP="004D4688">
      <w:pPr>
        <w:rPr>
          <w:rFonts w:cstheme="minorHAnsi"/>
          <w:lang w:val="en-GB"/>
        </w:rPr>
      </w:pPr>
    </w:p>
    <w:p w14:paraId="0ADE7668" w14:textId="77777777" w:rsidR="00AB4BB0" w:rsidRPr="00D505E3" w:rsidRDefault="00AB4BB0" w:rsidP="000B50CB">
      <w:pPr>
        <w:rPr>
          <w:rFonts w:cstheme="minorHAnsi"/>
          <w:lang w:val="en-GB"/>
        </w:rPr>
      </w:pPr>
    </w:p>
    <w:p w14:paraId="4DEB5F82" w14:textId="44DFA5EA" w:rsidR="001D4D95" w:rsidRPr="00F54106" w:rsidRDefault="006433E0" w:rsidP="00CA1557">
      <w:pPr>
        <w:pStyle w:val="Heading1"/>
        <w:spacing w:line="276" w:lineRule="auto"/>
        <w:jc w:val="center"/>
        <w:rPr>
          <w:lang w:val="en-GB"/>
        </w:rPr>
      </w:pPr>
      <w:bookmarkStart w:id="172" w:name="_Toc107610251"/>
      <w:r w:rsidRPr="00F54106">
        <w:rPr>
          <w:lang w:val="en-GB"/>
        </w:rPr>
        <w:lastRenderedPageBreak/>
        <w:t>4</w:t>
      </w:r>
      <w:r w:rsidR="001D4D95" w:rsidRPr="00F54106">
        <w:rPr>
          <w:lang w:val="en-GB"/>
        </w:rPr>
        <w:t>. Conclusion</w:t>
      </w:r>
      <w:bookmarkEnd w:id="172"/>
    </w:p>
    <w:p w14:paraId="5437C7B9" w14:textId="27B2B02F" w:rsidR="001D4D95" w:rsidRPr="00F54106" w:rsidRDefault="001D4D95" w:rsidP="00FC31D7">
      <w:pPr>
        <w:spacing w:line="276" w:lineRule="auto"/>
        <w:rPr>
          <w:lang w:val="en-GB"/>
        </w:rPr>
      </w:pPr>
    </w:p>
    <w:p w14:paraId="7083EC34" w14:textId="4610C4CC" w:rsidR="00A57B13" w:rsidRPr="00F54106" w:rsidRDefault="00CD291B" w:rsidP="00D304D3">
      <w:pPr>
        <w:spacing w:line="276" w:lineRule="auto"/>
        <w:rPr>
          <w:rFonts w:cstheme="minorHAnsi"/>
          <w:lang w:val="en-GB"/>
        </w:rPr>
      </w:pPr>
      <w:r w:rsidRPr="00F54106">
        <w:rPr>
          <w:rFonts w:cstheme="minorHAnsi"/>
          <w:lang w:val="en-GB"/>
        </w:rPr>
        <w:t>As claimed in this thesis, p</w:t>
      </w:r>
      <w:r w:rsidR="00A2141B" w:rsidRPr="00F54106">
        <w:rPr>
          <w:rFonts w:cstheme="minorHAnsi"/>
          <w:lang w:val="en-GB"/>
        </w:rPr>
        <w:t xml:space="preserve">rivate enforcement is organized under non-contractual liability (tort) law, which is structured very differently across EU Member States and </w:t>
      </w:r>
      <w:r w:rsidR="0083531B" w:rsidRPr="00F54106">
        <w:rPr>
          <w:rFonts w:cstheme="minorHAnsi"/>
          <w:lang w:val="en-GB"/>
        </w:rPr>
        <w:t>varies</w:t>
      </w:r>
      <w:r w:rsidR="00A2141B" w:rsidRPr="00F54106">
        <w:rPr>
          <w:rFonts w:cstheme="minorHAnsi"/>
          <w:lang w:val="en-GB"/>
        </w:rPr>
        <w:t xml:space="preserve"> substantially on various rules and aspects. Due to the differences in the substantive and procedural law of Member States, and also possibly the institutional structure of their court’s system, some regimes have emerged which allow for a more attractive setting to claim damages as a result of a competition law infringement. Hence, the phenomenon of forum shopping is induced</w:t>
      </w:r>
      <w:r w:rsidR="00737BC3" w:rsidRPr="00F54106">
        <w:rPr>
          <w:rFonts w:cstheme="minorHAnsi"/>
          <w:lang w:val="en-GB"/>
        </w:rPr>
        <w:t>. T</w:t>
      </w:r>
      <w:r w:rsidR="00A2141B" w:rsidRPr="00F54106">
        <w:rPr>
          <w:rFonts w:cstheme="minorHAnsi"/>
          <w:lang w:val="en-GB"/>
        </w:rPr>
        <w:t xml:space="preserve">his </w:t>
      </w:r>
      <w:r w:rsidR="00AD7F0D" w:rsidRPr="00F54106">
        <w:rPr>
          <w:rFonts w:cstheme="minorHAnsi"/>
          <w:lang w:val="en-GB"/>
        </w:rPr>
        <w:t xml:space="preserve">thesis </w:t>
      </w:r>
      <w:r w:rsidR="00A2141B" w:rsidRPr="00F54106">
        <w:rPr>
          <w:rFonts w:cstheme="minorHAnsi"/>
          <w:lang w:val="en-GB"/>
        </w:rPr>
        <w:t>has set out to rigorously explore th</w:t>
      </w:r>
      <w:r w:rsidR="00737BC3" w:rsidRPr="00F54106">
        <w:rPr>
          <w:rFonts w:cstheme="minorHAnsi"/>
          <w:lang w:val="en-GB"/>
        </w:rPr>
        <w:t>is</w:t>
      </w:r>
      <w:r w:rsidR="00A2141B" w:rsidRPr="00F54106">
        <w:rPr>
          <w:rFonts w:cstheme="minorHAnsi"/>
          <w:lang w:val="en-GB"/>
        </w:rPr>
        <w:t xml:space="preserve"> </w:t>
      </w:r>
      <w:r w:rsidR="00737BC3" w:rsidRPr="00F54106">
        <w:rPr>
          <w:rFonts w:cstheme="minorHAnsi"/>
          <w:lang w:val="en-GB"/>
        </w:rPr>
        <w:t xml:space="preserve">phenomenon and has inquired into the elements of the </w:t>
      </w:r>
      <w:r w:rsidR="00A2141B" w:rsidRPr="00F54106">
        <w:rPr>
          <w:rFonts w:cstheme="minorHAnsi"/>
          <w:lang w:val="en-GB"/>
        </w:rPr>
        <w:t xml:space="preserve">Dutch </w:t>
      </w:r>
      <w:r w:rsidR="004831AD" w:rsidRPr="00F54106">
        <w:rPr>
          <w:rFonts w:cstheme="minorHAnsi"/>
          <w:lang w:val="en-GB"/>
        </w:rPr>
        <w:t>legal</w:t>
      </w:r>
      <w:r w:rsidRPr="00F54106">
        <w:rPr>
          <w:rFonts w:cstheme="minorHAnsi"/>
          <w:lang w:val="en-GB"/>
        </w:rPr>
        <w:t xml:space="preserve"> and judicial</w:t>
      </w:r>
      <w:r w:rsidR="004831AD" w:rsidRPr="00F54106">
        <w:rPr>
          <w:rFonts w:cstheme="minorHAnsi"/>
          <w:lang w:val="en-GB"/>
        </w:rPr>
        <w:t xml:space="preserve"> system</w:t>
      </w:r>
      <w:r w:rsidR="00A2141B" w:rsidRPr="00F54106">
        <w:rPr>
          <w:rFonts w:cstheme="minorHAnsi"/>
          <w:lang w:val="en-GB"/>
        </w:rPr>
        <w:t xml:space="preserve"> </w:t>
      </w:r>
      <w:r w:rsidR="00737BC3" w:rsidRPr="00F54106">
        <w:rPr>
          <w:rFonts w:cstheme="minorHAnsi"/>
          <w:lang w:val="en-GB"/>
        </w:rPr>
        <w:t>to</w:t>
      </w:r>
      <w:r w:rsidR="00A2141B" w:rsidRPr="00F54106">
        <w:rPr>
          <w:rFonts w:cstheme="minorHAnsi"/>
          <w:lang w:val="en-GB"/>
        </w:rPr>
        <w:t xml:space="preserve"> examine </w:t>
      </w:r>
      <w:r w:rsidR="00737BC3" w:rsidRPr="00F54106">
        <w:rPr>
          <w:rFonts w:cstheme="minorHAnsi"/>
          <w:lang w:val="en-GB"/>
        </w:rPr>
        <w:t xml:space="preserve">what factors determine the existence of forum shopping and </w:t>
      </w:r>
      <w:r w:rsidR="00A2141B" w:rsidRPr="00F54106">
        <w:rPr>
          <w:rFonts w:cstheme="minorHAnsi"/>
          <w:lang w:val="en-GB"/>
        </w:rPr>
        <w:t xml:space="preserve">on what scale </w:t>
      </w:r>
      <w:r w:rsidR="00737BC3" w:rsidRPr="00F54106">
        <w:rPr>
          <w:rFonts w:cstheme="minorHAnsi"/>
          <w:lang w:val="en-GB"/>
        </w:rPr>
        <w:t>it</w:t>
      </w:r>
      <w:r w:rsidR="00A2141B" w:rsidRPr="00F54106">
        <w:rPr>
          <w:rFonts w:cstheme="minorHAnsi"/>
          <w:lang w:val="en-GB"/>
        </w:rPr>
        <w:t xml:space="preserve"> actually occurs in practice</w:t>
      </w:r>
      <w:r w:rsidR="004831AD" w:rsidRPr="00F54106">
        <w:rPr>
          <w:rFonts w:cstheme="minorHAnsi"/>
          <w:lang w:val="en-GB"/>
        </w:rPr>
        <w:t xml:space="preserve"> in the Netherlands</w:t>
      </w:r>
      <w:r w:rsidR="00737BC3" w:rsidRPr="00F54106">
        <w:rPr>
          <w:rFonts w:cstheme="minorHAnsi"/>
          <w:lang w:val="en-GB"/>
        </w:rPr>
        <w:t>.</w:t>
      </w:r>
      <w:r w:rsidR="009E0039" w:rsidRPr="00F54106">
        <w:rPr>
          <w:rFonts w:cstheme="minorHAnsi"/>
          <w:lang w:val="en-GB"/>
        </w:rPr>
        <w:t xml:space="preserve"> </w:t>
      </w:r>
      <w:r w:rsidRPr="00F54106">
        <w:rPr>
          <w:rFonts w:cstheme="minorHAnsi"/>
          <w:lang w:val="en-GB"/>
        </w:rPr>
        <w:t>The main research question asked in this thesis was as follows:</w:t>
      </w:r>
    </w:p>
    <w:p w14:paraId="52657C08" w14:textId="77777777" w:rsidR="008D43EB" w:rsidRPr="00F54106" w:rsidRDefault="008D43EB" w:rsidP="008D43EB">
      <w:pPr>
        <w:spacing w:line="276" w:lineRule="auto"/>
        <w:rPr>
          <w:rFonts w:cstheme="minorHAnsi"/>
          <w:i/>
          <w:iCs/>
          <w:lang w:val="en-GB"/>
        </w:rPr>
      </w:pPr>
      <w:r w:rsidRPr="00F54106">
        <w:rPr>
          <w:rFonts w:cstheme="minorHAnsi"/>
          <w:i/>
          <w:iCs/>
          <w:lang w:val="en-GB"/>
        </w:rPr>
        <w:t>“To what extent is the Netherlands perceived as a preferred country for private enforcement of cartel damages claims in the EU and what elements of the Dutch legal and judicial system or other factors and incentives may influence and determine this preference?”</w:t>
      </w:r>
    </w:p>
    <w:p w14:paraId="3017B9E8" w14:textId="0F19E750" w:rsidR="00CD291B" w:rsidRPr="00F54106" w:rsidRDefault="008D43EB" w:rsidP="00D304D3">
      <w:pPr>
        <w:spacing w:line="276" w:lineRule="auto"/>
        <w:rPr>
          <w:rFonts w:cstheme="minorHAnsi"/>
          <w:lang w:val="en-GB"/>
        </w:rPr>
      </w:pPr>
      <w:r w:rsidRPr="00F54106">
        <w:rPr>
          <w:rFonts w:cstheme="minorHAnsi"/>
          <w:lang w:val="en-GB"/>
        </w:rPr>
        <w:t>In order to provide an extensive answer to the research question, both a literature review and qualitative interviews with legal professionals were conducted. Below</w:t>
      </w:r>
      <w:r w:rsidR="00430F68" w:rsidRPr="00F54106">
        <w:rPr>
          <w:rFonts w:cstheme="minorHAnsi"/>
          <w:lang w:val="en-GB"/>
        </w:rPr>
        <w:t>, the</w:t>
      </w:r>
      <w:r w:rsidR="00266BEC">
        <w:rPr>
          <w:rFonts w:cstheme="minorHAnsi"/>
          <w:lang w:val="en-GB"/>
        </w:rPr>
        <w:t xml:space="preserve"> </w:t>
      </w:r>
      <w:r w:rsidR="00430F68" w:rsidRPr="00F54106">
        <w:rPr>
          <w:rFonts w:cstheme="minorHAnsi"/>
          <w:lang w:val="en-GB"/>
        </w:rPr>
        <w:t>findings from the interviews and the literature will</w:t>
      </w:r>
      <w:r w:rsidR="00400376" w:rsidRPr="00F54106">
        <w:rPr>
          <w:rFonts w:cstheme="minorHAnsi"/>
          <w:lang w:val="en-GB"/>
        </w:rPr>
        <w:t xml:space="preserve"> be reflected </w:t>
      </w:r>
      <w:r w:rsidR="0052394A">
        <w:rPr>
          <w:rFonts w:cstheme="minorHAnsi"/>
          <w:lang w:val="en-GB"/>
        </w:rPr>
        <w:t>upon</w:t>
      </w:r>
      <w:r w:rsidR="00266BEC">
        <w:rPr>
          <w:rFonts w:cstheme="minorHAnsi"/>
          <w:lang w:val="en-GB"/>
        </w:rPr>
        <w:t xml:space="preserve"> and discussed so that </w:t>
      </w:r>
      <w:r w:rsidR="00BF0882">
        <w:rPr>
          <w:rFonts w:cstheme="minorHAnsi"/>
          <w:lang w:val="en-GB"/>
        </w:rPr>
        <w:t>an</w:t>
      </w:r>
      <w:r w:rsidR="00266BEC">
        <w:rPr>
          <w:rFonts w:cstheme="minorHAnsi"/>
          <w:lang w:val="en-GB"/>
        </w:rPr>
        <w:t xml:space="preserve"> </w:t>
      </w:r>
      <w:r w:rsidR="0052394A">
        <w:rPr>
          <w:rFonts w:cstheme="minorHAnsi"/>
          <w:lang w:val="en-GB"/>
        </w:rPr>
        <w:t xml:space="preserve">answer </w:t>
      </w:r>
      <w:r w:rsidR="00266BEC">
        <w:rPr>
          <w:rFonts w:cstheme="minorHAnsi"/>
          <w:lang w:val="en-GB"/>
        </w:rPr>
        <w:t>to</w:t>
      </w:r>
      <w:r w:rsidR="0052394A">
        <w:rPr>
          <w:rFonts w:cstheme="minorHAnsi"/>
          <w:lang w:val="en-GB"/>
        </w:rPr>
        <w:t xml:space="preserve"> </w:t>
      </w:r>
      <w:r w:rsidR="00654262">
        <w:rPr>
          <w:rFonts w:cstheme="minorHAnsi"/>
          <w:lang w:val="en-GB"/>
        </w:rPr>
        <w:t xml:space="preserve">main </w:t>
      </w:r>
      <w:r w:rsidR="0052394A">
        <w:rPr>
          <w:rFonts w:cstheme="minorHAnsi"/>
          <w:lang w:val="en-GB"/>
        </w:rPr>
        <w:t>research</w:t>
      </w:r>
      <w:r w:rsidR="00266BEC">
        <w:rPr>
          <w:rFonts w:cstheme="minorHAnsi"/>
          <w:lang w:val="en-GB"/>
        </w:rPr>
        <w:t xml:space="preserve"> question can be provided.</w:t>
      </w:r>
    </w:p>
    <w:p w14:paraId="02347B94" w14:textId="3739636F" w:rsidR="00B72239" w:rsidRPr="00F54106" w:rsidRDefault="00B72239" w:rsidP="00266BEC">
      <w:pPr>
        <w:spacing w:line="276" w:lineRule="auto"/>
        <w:ind w:firstLine="720"/>
        <w:rPr>
          <w:rFonts w:cstheme="minorHAnsi"/>
          <w:lang w:val="en-GB"/>
        </w:rPr>
      </w:pPr>
      <w:r w:rsidRPr="00F54106">
        <w:rPr>
          <w:rFonts w:cstheme="minorHAnsi"/>
          <w:lang w:val="en-GB"/>
        </w:rPr>
        <w:t>The analysis has disclosed that the Netherlands, Germany and the United Kingdom have preferred law systems according to the literature</w:t>
      </w:r>
      <w:r w:rsidR="00AD4942" w:rsidRPr="00F54106">
        <w:rPr>
          <w:rFonts w:cstheme="minorHAnsi"/>
          <w:lang w:val="en-GB"/>
        </w:rPr>
        <w:t xml:space="preserve"> for a number of reasons</w:t>
      </w:r>
      <w:r w:rsidRPr="00F54106">
        <w:rPr>
          <w:rFonts w:cstheme="minorHAnsi"/>
          <w:lang w:val="en-GB"/>
        </w:rPr>
        <w:t xml:space="preserve">. In this respect, </w:t>
      </w:r>
      <w:r w:rsidR="00CC57A7">
        <w:rPr>
          <w:rFonts w:cstheme="minorHAnsi"/>
          <w:lang w:val="en-GB"/>
        </w:rPr>
        <w:t xml:space="preserve">several </w:t>
      </w:r>
      <w:r w:rsidRPr="00F54106">
        <w:rPr>
          <w:rFonts w:cstheme="minorHAnsi"/>
          <w:lang w:val="en-GB"/>
        </w:rPr>
        <w:t xml:space="preserve">appealing </w:t>
      </w:r>
      <w:r w:rsidR="00366BA6">
        <w:rPr>
          <w:rFonts w:cstheme="minorHAnsi"/>
          <w:lang w:val="en-GB"/>
        </w:rPr>
        <w:t>features</w:t>
      </w:r>
      <w:r w:rsidR="00CC57A7">
        <w:rPr>
          <w:rFonts w:cstheme="minorHAnsi"/>
          <w:lang w:val="en-GB"/>
        </w:rPr>
        <w:t xml:space="preserve"> of </w:t>
      </w:r>
      <w:r w:rsidRPr="00F54106">
        <w:rPr>
          <w:rFonts w:cstheme="minorHAnsi"/>
          <w:lang w:val="en-GB"/>
        </w:rPr>
        <w:t>these fora have come forward</w:t>
      </w:r>
      <w:r w:rsidR="00366BA6">
        <w:rPr>
          <w:rFonts w:cstheme="minorHAnsi"/>
          <w:lang w:val="en-GB"/>
        </w:rPr>
        <w:t xml:space="preserve"> that make them auspicious</w:t>
      </w:r>
      <w:r w:rsidRPr="00F54106">
        <w:rPr>
          <w:rFonts w:cstheme="minorHAnsi"/>
          <w:lang w:val="en-GB"/>
        </w:rPr>
        <w:t xml:space="preserve">. Both German and </w:t>
      </w:r>
      <w:r w:rsidR="00AD4942" w:rsidRPr="00F54106">
        <w:rPr>
          <w:rFonts w:cstheme="minorHAnsi"/>
          <w:lang w:val="en-GB"/>
        </w:rPr>
        <w:t>English</w:t>
      </w:r>
      <w:r w:rsidRPr="00F54106">
        <w:rPr>
          <w:rFonts w:cstheme="minorHAnsi"/>
          <w:lang w:val="en-GB"/>
        </w:rPr>
        <w:t xml:space="preserve"> courts are named to be specialized</w:t>
      </w:r>
      <w:r w:rsidR="00055E1C" w:rsidRPr="00F54106">
        <w:rPr>
          <w:rFonts w:cstheme="minorHAnsi"/>
          <w:lang w:val="en-GB"/>
        </w:rPr>
        <w:t xml:space="preserve"> and experienced</w:t>
      </w:r>
      <w:r w:rsidRPr="00F54106">
        <w:rPr>
          <w:rFonts w:cstheme="minorHAnsi"/>
          <w:lang w:val="en-GB"/>
        </w:rPr>
        <w:t xml:space="preserve"> in cartel damages actions, although only the UK has a specialized court structure in the form of the CAT</w:t>
      </w:r>
      <w:r w:rsidR="00055E1C" w:rsidRPr="00F54106">
        <w:rPr>
          <w:rFonts w:cstheme="minorHAnsi"/>
          <w:lang w:val="en-GB"/>
        </w:rPr>
        <w:t xml:space="preserve"> and the British courts are said to litigate more efficiently</w:t>
      </w:r>
      <w:r w:rsidRPr="00F54106">
        <w:rPr>
          <w:rFonts w:cstheme="minorHAnsi"/>
          <w:lang w:val="en-GB"/>
        </w:rPr>
        <w:t xml:space="preserve">. In contrast, the Dutch courts are hailed by the literature for their efficient and practical approach as exemplified by the way they have handled the </w:t>
      </w:r>
      <w:proofErr w:type="spellStart"/>
      <w:r w:rsidRPr="00F54106">
        <w:rPr>
          <w:rFonts w:cstheme="minorHAnsi"/>
          <w:lang w:val="en-GB"/>
        </w:rPr>
        <w:t>Masterfoods</w:t>
      </w:r>
      <w:proofErr w:type="spellEnd"/>
      <w:r w:rsidRPr="00F54106">
        <w:rPr>
          <w:rFonts w:cstheme="minorHAnsi"/>
          <w:lang w:val="en-GB"/>
        </w:rPr>
        <w:t xml:space="preserve"> defence. Furthermore, due to the liberal approach of both Dutch and English courts, jurisdiction can be established relatively easy before them under Articles 8(1) and 7(2) of Brussels I. </w:t>
      </w:r>
      <w:r w:rsidR="00055E1C" w:rsidRPr="00F54106">
        <w:rPr>
          <w:rFonts w:cstheme="minorHAnsi"/>
          <w:lang w:val="en-GB"/>
        </w:rPr>
        <w:t>Evidently</w:t>
      </w:r>
      <w:r w:rsidRPr="00F54106">
        <w:rPr>
          <w:rFonts w:cstheme="minorHAnsi"/>
          <w:lang w:val="en-GB"/>
        </w:rPr>
        <w:t xml:space="preserve">, collective redress is a significant factor in both the Netherlands and the UK. In addition to the opt-in group actions, the UK has recently introduced opt-out collective proceedings and settlements, while </w:t>
      </w:r>
      <w:proofErr w:type="spellStart"/>
      <w:r w:rsidRPr="00F54106">
        <w:rPr>
          <w:rFonts w:cstheme="minorHAnsi"/>
          <w:i/>
          <w:iCs/>
          <w:lang w:val="en-GB"/>
        </w:rPr>
        <w:t>Merricks</w:t>
      </w:r>
      <w:proofErr w:type="spellEnd"/>
      <w:r w:rsidRPr="00F54106">
        <w:rPr>
          <w:rFonts w:cstheme="minorHAnsi"/>
          <w:i/>
          <w:iCs/>
          <w:lang w:val="en-GB"/>
        </w:rPr>
        <w:t xml:space="preserve"> v Mastercard</w:t>
      </w:r>
      <w:r w:rsidRPr="00F54106">
        <w:rPr>
          <w:rFonts w:cstheme="minorHAnsi"/>
          <w:lang w:val="en-GB"/>
        </w:rPr>
        <w:t xml:space="preserve"> has made the option to collectively litigate more probable to succeed. </w:t>
      </w:r>
      <w:r w:rsidR="00055E1C" w:rsidRPr="00F54106">
        <w:rPr>
          <w:rFonts w:cstheme="minorHAnsi"/>
          <w:lang w:val="en-GB"/>
        </w:rPr>
        <w:t>In comparison</w:t>
      </w:r>
      <w:r w:rsidRPr="00F54106">
        <w:rPr>
          <w:rFonts w:cstheme="minorHAnsi"/>
          <w:lang w:val="en-GB"/>
        </w:rPr>
        <w:t xml:space="preserve">, the Netherlands provides many possibilities to convert claims into a single proceeding. In particular, the efficient collective settlements under the WCAM and the possibility to collectively claim under the WAMCA are considered facilitating factors. </w:t>
      </w:r>
      <w:r w:rsidR="00845017">
        <w:rPr>
          <w:rFonts w:cstheme="minorHAnsi"/>
          <w:lang w:val="en-GB"/>
        </w:rPr>
        <w:t xml:space="preserve">Furthermore, litigation funders, claim vehicles and law firms also engage in actively raising awareness on the claims they will file. </w:t>
      </w:r>
      <w:r w:rsidRPr="00F54106">
        <w:rPr>
          <w:rFonts w:cstheme="minorHAnsi"/>
          <w:lang w:val="en-GB"/>
        </w:rPr>
        <w:t xml:space="preserve">Conversely, the absence of a collective redress mechanism is regarded as Germany’s greatest flaw. However, claimants have been creative to compensate for the lack of collective redress in Germany through the assignment model or claim vehicles. Next to these factors, claim vehicles and lawyers also contribute to the Dutch forum since lawyers in the Netherlands have become specialized in antitrust claims, while claim vehicles are not regulated and are accepted under </w:t>
      </w:r>
      <w:r w:rsidRPr="00F54106">
        <w:rPr>
          <w:rFonts w:cstheme="minorHAnsi"/>
          <w:lang w:val="en-GB"/>
        </w:rPr>
        <w:lastRenderedPageBreak/>
        <w:t xml:space="preserve">the assignment model. Likewise, specialized US and UK lawyers in London are also mentioned to explain an increasing number of cases before English courts. </w:t>
      </w:r>
    </w:p>
    <w:p w14:paraId="2D7EB824" w14:textId="7DFE999A" w:rsidR="00400376" w:rsidRPr="00704CF9" w:rsidRDefault="00B72239" w:rsidP="00BA07E0">
      <w:pPr>
        <w:spacing w:line="276" w:lineRule="auto"/>
        <w:ind w:firstLine="720"/>
        <w:rPr>
          <w:rFonts w:cstheme="minorHAnsi"/>
          <w:lang w:val="en-GB"/>
        </w:rPr>
      </w:pPr>
      <w:r w:rsidRPr="00F54106">
        <w:rPr>
          <w:rFonts w:cstheme="minorHAnsi"/>
          <w:lang w:val="en-GB"/>
        </w:rPr>
        <w:t>The preference of Germany and the UK depends on the way disclose of evidence can be mandated as well. Especially, the broad obligations to disclose in the UK and the substantive right to request disclosure of evidence in Germany are considered favo</w:t>
      </w:r>
      <w:r w:rsidR="0044795F">
        <w:rPr>
          <w:rFonts w:cstheme="minorHAnsi"/>
          <w:lang w:val="en-GB"/>
        </w:rPr>
        <w:t>u</w:t>
      </w:r>
      <w:r w:rsidRPr="00F54106">
        <w:rPr>
          <w:rFonts w:cstheme="minorHAnsi"/>
          <w:lang w:val="en-GB"/>
        </w:rPr>
        <w:t xml:space="preserve">rable aspects in this regard. Although a single source also mentions disclosure as a possible contributor to the Dutch forum, reasons for this are not further substantiated upon. Instead, low costs of litigation are primarily mentioned to be a relevant </w:t>
      </w:r>
      <w:r w:rsidR="00CC57A7">
        <w:rPr>
          <w:rFonts w:cstheme="minorHAnsi"/>
          <w:lang w:val="en-GB"/>
        </w:rPr>
        <w:t>feature</w:t>
      </w:r>
      <w:r w:rsidRPr="00F54106">
        <w:rPr>
          <w:rFonts w:cstheme="minorHAnsi"/>
          <w:lang w:val="en-GB"/>
        </w:rPr>
        <w:t xml:space="preserve"> in the Netherlands. In contrast, the UK is seen as costly in general which disincentivizes claimants, while the literature contradicts itself on the benefits of the German cost regime. In addition, Germany seems to be the only country that benefits from the implementation of the Damages Directive, whereas the English forum seems to experience mostly harmful effects to its private enforcement regime for antitrust infringements. Meanwhile, The literature is neutral on the impact of the Damages Directive on the preferability of the Netherlands. However, to make matters worse for the UK, there is a strong presumption in the literature that the Brexit will likely harm private enforcement of cartel damages actions in the UK, although this is still uncertain.</w:t>
      </w:r>
      <w:r w:rsidR="00BA07E0">
        <w:rPr>
          <w:rFonts w:cstheme="minorHAnsi"/>
          <w:lang w:val="en-GB"/>
        </w:rPr>
        <w:t xml:space="preserve"> </w:t>
      </w:r>
      <w:r w:rsidRPr="00F54106">
        <w:rPr>
          <w:rFonts w:cstheme="minorHAnsi"/>
          <w:lang w:val="en-GB"/>
        </w:rPr>
        <w:t xml:space="preserve">Lastly, other contributing elements of Germany included several presumptions that lowered the burden of proof for claimants, the binding effect of decisions of competition authorities other than those of the German Federal Cartel Office, the suspension of the limitation periods when a competition authority is still investigating or when an infringement has not yet ceased, and </w:t>
      </w:r>
      <w:r w:rsidR="006E56D0" w:rsidRPr="00F54106">
        <w:rPr>
          <w:rFonts w:cstheme="minorHAnsi"/>
          <w:lang w:val="en-GB"/>
        </w:rPr>
        <w:t xml:space="preserve">the large amount of precedents and </w:t>
      </w:r>
      <w:r w:rsidRPr="00F54106">
        <w:rPr>
          <w:rFonts w:cstheme="minorHAnsi"/>
          <w:lang w:val="en-GB"/>
        </w:rPr>
        <w:t xml:space="preserve">recent claimant-friendly verdicts that have been established in the German case law. </w:t>
      </w:r>
    </w:p>
    <w:p w14:paraId="050996B4" w14:textId="77777777" w:rsidR="00DD12E5" w:rsidRPr="00F54106" w:rsidRDefault="00DD12E5" w:rsidP="00DD12E5">
      <w:pPr>
        <w:spacing w:line="276" w:lineRule="auto"/>
        <w:ind w:firstLine="720"/>
        <w:rPr>
          <w:rFonts w:cstheme="minorHAnsi"/>
          <w:lang w:val="en-GB"/>
        </w:rPr>
      </w:pPr>
      <w:r>
        <w:rPr>
          <w:rFonts w:cstheme="minorHAnsi"/>
          <w:lang w:val="en-GB"/>
        </w:rPr>
        <w:t>Strikingly, n</w:t>
      </w:r>
      <w:r w:rsidRPr="00F54106">
        <w:rPr>
          <w:rFonts w:cstheme="minorHAnsi"/>
          <w:lang w:val="en-GB"/>
        </w:rPr>
        <w:t>either the literature nor the qualitative interviews have revealed any issues with the transposition of the Damages Directive into Dutch private law that contribute to the uneven playing field and induce forum shopping. The literature mentions that the Dutch legislature has applied a minimalistic approach to</w:t>
      </w:r>
      <w:r>
        <w:rPr>
          <w:rFonts w:cstheme="minorHAnsi"/>
          <w:lang w:val="en-GB"/>
        </w:rPr>
        <w:t xml:space="preserve"> the</w:t>
      </w:r>
      <w:r w:rsidRPr="00F54106">
        <w:rPr>
          <w:rFonts w:cstheme="minorHAnsi"/>
          <w:lang w:val="en-GB"/>
        </w:rPr>
        <w:t xml:space="preserve"> implement</w:t>
      </w:r>
      <w:r>
        <w:rPr>
          <w:rFonts w:cstheme="minorHAnsi"/>
          <w:lang w:val="en-GB"/>
        </w:rPr>
        <w:t>ation of</w:t>
      </w:r>
      <w:r w:rsidRPr="00F54106">
        <w:rPr>
          <w:rFonts w:cstheme="minorHAnsi"/>
          <w:lang w:val="en-GB"/>
        </w:rPr>
        <w:t xml:space="preserve"> the Damages Directive, which does not necessarily contribute to forum shopping. Nevertheless, lawyer C mentioned that some countries “put their own twist” on their substantive and procedural rules</w:t>
      </w:r>
      <w:r>
        <w:rPr>
          <w:rFonts w:cstheme="minorHAnsi"/>
          <w:lang w:val="en-GB"/>
        </w:rPr>
        <w:t>, as can, for example, be observed in the provisions of the GWB in Germany. Nevertheless,</w:t>
      </w:r>
      <w:r w:rsidRPr="00F54106">
        <w:rPr>
          <w:rFonts w:cstheme="minorHAnsi"/>
          <w:lang w:val="en-GB"/>
        </w:rPr>
        <w:t xml:space="preserve"> </w:t>
      </w:r>
      <w:r>
        <w:rPr>
          <w:rFonts w:cstheme="minorHAnsi"/>
          <w:lang w:val="en-GB"/>
        </w:rPr>
        <w:t>C substantiated that it</w:t>
      </w:r>
      <w:r w:rsidRPr="00F54106">
        <w:rPr>
          <w:rFonts w:cstheme="minorHAnsi"/>
          <w:lang w:val="en-GB"/>
        </w:rPr>
        <w:t xml:space="preserve"> has not raised any issues in the Netherlands</w:t>
      </w:r>
      <w:r>
        <w:rPr>
          <w:rFonts w:cstheme="minorHAnsi"/>
          <w:lang w:val="en-GB"/>
        </w:rPr>
        <w:t>.</w:t>
      </w:r>
    </w:p>
    <w:p w14:paraId="60278D58" w14:textId="1902CA0C" w:rsidR="004215FD" w:rsidRDefault="004215FD" w:rsidP="004215FD">
      <w:pPr>
        <w:spacing w:line="276" w:lineRule="auto"/>
        <w:ind w:firstLine="720"/>
        <w:rPr>
          <w:lang w:val="en-GB"/>
        </w:rPr>
      </w:pPr>
      <w:r w:rsidRPr="00F54106">
        <w:rPr>
          <w:lang w:val="en-GB"/>
        </w:rPr>
        <w:t xml:space="preserve">Remarkably, several re-occurring elements in </w:t>
      </w:r>
      <w:r w:rsidR="008C4F5F">
        <w:rPr>
          <w:lang w:val="en-GB"/>
        </w:rPr>
        <w:t>the</w:t>
      </w:r>
      <w:r w:rsidRPr="00F54106">
        <w:rPr>
          <w:lang w:val="en-GB"/>
        </w:rPr>
        <w:t xml:space="preserve"> preferred countr</w:t>
      </w:r>
      <w:r>
        <w:rPr>
          <w:lang w:val="en-GB"/>
        </w:rPr>
        <w:t>ies</w:t>
      </w:r>
      <w:r w:rsidRPr="00F54106">
        <w:rPr>
          <w:lang w:val="en-GB"/>
        </w:rPr>
        <w:t xml:space="preserve"> have been put forward by the literature. For the Netherlands</w:t>
      </w:r>
      <w:r>
        <w:rPr>
          <w:lang w:val="en-GB"/>
        </w:rPr>
        <w:t>,</w:t>
      </w:r>
      <w:r w:rsidRPr="00F54106">
        <w:rPr>
          <w:lang w:val="en-GB"/>
        </w:rPr>
        <w:t xml:space="preserve"> most of these contributing factors have been confirmed</w:t>
      </w:r>
      <w:r>
        <w:rPr>
          <w:lang w:val="en-GB"/>
        </w:rPr>
        <w:t xml:space="preserve"> by the qualitative interviews</w:t>
      </w:r>
      <w:r w:rsidRPr="00F54106">
        <w:rPr>
          <w:lang w:val="en-GB"/>
        </w:rPr>
        <w:t>. Most notably, the need for effective collective redress options, the characteristics of courts such as their increased experience with claims for antitrust infringements,</w:t>
      </w:r>
      <w:r>
        <w:rPr>
          <w:lang w:val="en-GB"/>
        </w:rPr>
        <w:t xml:space="preserve"> and the willingness of courts to adopt jurisdiction are </w:t>
      </w:r>
      <w:r w:rsidR="008C4F5F">
        <w:rPr>
          <w:lang w:val="en-GB"/>
        </w:rPr>
        <w:t xml:space="preserve">similar elements that are </w:t>
      </w:r>
      <w:r>
        <w:rPr>
          <w:lang w:val="en-GB"/>
        </w:rPr>
        <w:t xml:space="preserve">confirmed </w:t>
      </w:r>
      <w:r w:rsidR="008C4F5F">
        <w:rPr>
          <w:lang w:val="en-GB"/>
        </w:rPr>
        <w:t>as</w:t>
      </w:r>
      <w:r>
        <w:rPr>
          <w:lang w:val="en-GB"/>
        </w:rPr>
        <w:t xml:space="preserve"> preferred features of the Netherlands. </w:t>
      </w:r>
      <w:r w:rsidRPr="00F54106">
        <w:rPr>
          <w:lang w:val="en-GB"/>
        </w:rPr>
        <w:t xml:space="preserve">As a result, the evidence </w:t>
      </w:r>
      <w:r w:rsidR="007B0A61">
        <w:rPr>
          <w:lang w:val="en-GB"/>
        </w:rPr>
        <w:t>proposes</w:t>
      </w:r>
      <w:r w:rsidRPr="00F54106">
        <w:rPr>
          <w:lang w:val="en-GB"/>
        </w:rPr>
        <w:t xml:space="preserve"> that the</w:t>
      </w:r>
      <w:r w:rsidR="008C4F5F">
        <w:rPr>
          <w:lang w:val="en-GB"/>
        </w:rPr>
        <w:t xml:space="preserve"> corresponding</w:t>
      </w:r>
      <w:r>
        <w:rPr>
          <w:lang w:val="en-GB"/>
        </w:rPr>
        <w:t xml:space="preserve"> </w:t>
      </w:r>
      <w:r w:rsidRPr="00F54106">
        <w:rPr>
          <w:lang w:val="en-GB"/>
        </w:rPr>
        <w:t xml:space="preserve">elements </w:t>
      </w:r>
      <w:r w:rsidR="007B0A61">
        <w:rPr>
          <w:lang w:val="en-GB"/>
        </w:rPr>
        <w:t xml:space="preserve">are </w:t>
      </w:r>
      <w:r w:rsidRPr="00F54106">
        <w:rPr>
          <w:lang w:val="en-GB"/>
        </w:rPr>
        <w:t>likely</w:t>
      </w:r>
      <w:r w:rsidR="007B0A61">
        <w:rPr>
          <w:lang w:val="en-GB"/>
        </w:rPr>
        <w:t xml:space="preserve"> very important in</w:t>
      </w:r>
      <w:r w:rsidRPr="00F54106">
        <w:rPr>
          <w:lang w:val="en-GB"/>
        </w:rPr>
        <w:t xml:space="preserve"> facilitat</w:t>
      </w:r>
      <w:r w:rsidR="007B0A61">
        <w:rPr>
          <w:lang w:val="en-GB"/>
        </w:rPr>
        <w:t>ing</w:t>
      </w:r>
      <w:r w:rsidRPr="00F54106">
        <w:rPr>
          <w:lang w:val="en-GB"/>
        </w:rPr>
        <w:t xml:space="preserve"> damages claims before the</w:t>
      </w:r>
      <w:r>
        <w:rPr>
          <w:lang w:val="en-GB"/>
        </w:rPr>
        <w:t xml:space="preserve"> respective</w:t>
      </w:r>
      <w:r w:rsidRPr="00F54106">
        <w:rPr>
          <w:lang w:val="en-GB"/>
        </w:rPr>
        <w:t xml:space="preserve"> English</w:t>
      </w:r>
      <w:r>
        <w:rPr>
          <w:lang w:val="en-GB"/>
        </w:rPr>
        <w:t>-</w:t>
      </w:r>
      <w:r w:rsidRPr="00F54106">
        <w:rPr>
          <w:lang w:val="en-GB"/>
        </w:rPr>
        <w:t xml:space="preserve"> and German venues as well. However, it is beyond the scope of this thesis to examine</w:t>
      </w:r>
      <w:r>
        <w:rPr>
          <w:lang w:val="en-GB"/>
        </w:rPr>
        <w:t xml:space="preserve"> whether and</w:t>
      </w:r>
      <w:r w:rsidRPr="00F54106">
        <w:rPr>
          <w:lang w:val="en-GB"/>
        </w:rPr>
        <w:t xml:space="preserve"> to what extent these factors actually facilitate antitrust</w:t>
      </w:r>
      <w:r w:rsidR="00266BEC">
        <w:rPr>
          <w:lang w:val="en-GB"/>
        </w:rPr>
        <w:t xml:space="preserve"> damages</w:t>
      </w:r>
      <w:r w:rsidRPr="00F54106">
        <w:rPr>
          <w:lang w:val="en-GB"/>
        </w:rPr>
        <w:t xml:space="preserve"> claims in these preferred countries. Hence, further research is required to examine the</w:t>
      </w:r>
      <w:r>
        <w:rPr>
          <w:lang w:val="en-GB"/>
        </w:rPr>
        <w:t xml:space="preserve"> </w:t>
      </w:r>
      <w:r w:rsidR="00DE7BE5">
        <w:rPr>
          <w:lang w:val="en-GB"/>
        </w:rPr>
        <w:t>favourable</w:t>
      </w:r>
      <w:r>
        <w:rPr>
          <w:lang w:val="en-GB"/>
        </w:rPr>
        <w:t xml:space="preserve"> </w:t>
      </w:r>
      <w:r w:rsidRPr="00F54106">
        <w:rPr>
          <w:lang w:val="en-GB"/>
        </w:rPr>
        <w:t>elements that induce forum shopping</w:t>
      </w:r>
      <w:r w:rsidRPr="00CC57A7">
        <w:rPr>
          <w:lang w:val="en-GB"/>
        </w:rPr>
        <w:t xml:space="preserve"> </w:t>
      </w:r>
      <w:r w:rsidRPr="00F54106">
        <w:rPr>
          <w:lang w:val="en-GB"/>
        </w:rPr>
        <w:t xml:space="preserve">in Germany and the United Kingdom. </w:t>
      </w:r>
      <w:r w:rsidR="003667E3">
        <w:rPr>
          <w:lang w:val="en-GB"/>
        </w:rPr>
        <w:t>Contrastingly</w:t>
      </w:r>
      <w:r w:rsidRPr="00F54106">
        <w:rPr>
          <w:lang w:val="en-GB"/>
        </w:rPr>
        <w:t xml:space="preserve">, </w:t>
      </w:r>
      <w:r w:rsidR="003667E3">
        <w:rPr>
          <w:lang w:val="en-GB"/>
        </w:rPr>
        <w:t>this thesis has refrained from analysing the EU countries that have a very low amount of antitrust damages actions before their courts</w:t>
      </w:r>
      <w:r w:rsidR="00DE7BE5">
        <w:rPr>
          <w:lang w:val="en-GB"/>
        </w:rPr>
        <w:t xml:space="preserve"> and determine why they have so little claims in </w:t>
      </w:r>
      <w:r w:rsidR="00DE7BE5">
        <w:rPr>
          <w:lang w:val="en-GB"/>
        </w:rPr>
        <w:lastRenderedPageBreak/>
        <w:t>their fora.</w:t>
      </w:r>
      <w:r w:rsidRPr="00F54106">
        <w:rPr>
          <w:lang w:val="en-GB"/>
        </w:rPr>
        <w:t xml:space="preserve"> </w:t>
      </w:r>
      <w:r w:rsidR="00DD12E5">
        <w:rPr>
          <w:lang w:val="en-GB"/>
        </w:rPr>
        <w:t>Consequently</w:t>
      </w:r>
      <w:r w:rsidR="006F6447">
        <w:rPr>
          <w:lang w:val="en-GB"/>
        </w:rPr>
        <w:t xml:space="preserve">, </w:t>
      </w:r>
      <w:r w:rsidR="00DD12E5">
        <w:rPr>
          <w:lang w:val="en-GB"/>
        </w:rPr>
        <w:t xml:space="preserve">future research </w:t>
      </w:r>
      <w:r w:rsidR="00DE7BE5">
        <w:rPr>
          <w:lang w:val="en-GB"/>
        </w:rPr>
        <w:t>may further help to identify which elements of their legal and judicial systems disincentivize claiming</w:t>
      </w:r>
      <w:r w:rsidR="006A3F07">
        <w:rPr>
          <w:lang w:val="en-GB"/>
        </w:rPr>
        <w:t xml:space="preserve"> cartel</w:t>
      </w:r>
      <w:r w:rsidR="00DE7BE5">
        <w:rPr>
          <w:lang w:val="en-GB"/>
        </w:rPr>
        <w:t xml:space="preserve"> damages in these countries.</w:t>
      </w:r>
    </w:p>
    <w:p w14:paraId="0C06D01F" w14:textId="4CBF591A" w:rsidR="0052394A" w:rsidRDefault="0099235E" w:rsidP="0052394A">
      <w:pPr>
        <w:spacing w:line="276" w:lineRule="auto"/>
        <w:ind w:firstLine="720"/>
        <w:rPr>
          <w:lang w:val="en-GB"/>
        </w:rPr>
      </w:pPr>
      <w:r>
        <w:rPr>
          <w:lang w:val="en-GB"/>
        </w:rPr>
        <w:t xml:space="preserve">Indeed, the qualitative interviews have mostly revealed a picture of the more general </w:t>
      </w:r>
      <w:r w:rsidR="00D67C9E">
        <w:rPr>
          <w:lang w:val="en-GB"/>
        </w:rPr>
        <w:t>elements of the Dutch legal and judicial system. Although some lawyers went quite in-depth in their interview,</w:t>
      </w:r>
      <w:r>
        <w:rPr>
          <w:lang w:val="en-GB"/>
        </w:rPr>
        <w:t xml:space="preserve"> the literature often goes much</w:t>
      </w:r>
      <w:r w:rsidR="00D67C9E">
        <w:rPr>
          <w:lang w:val="en-GB"/>
        </w:rPr>
        <w:t xml:space="preserve"> further</w:t>
      </w:r>
      <w:r>
        <w:rPr>
          <w:lang w:val="en-GB"/>
        </w:rPr>
        <w:t xml:space="preserve"> into the technical details</w:t>
      </w:r>
      <w:r w:rsidR="00D67C9E">
        <w:rPr>
          <w:lang w:val="en-GB"/>
        </w:rPr>
        <w:t xml:space="preserve"> of the preferred elements </w:t>
      </w:r>
      <w:r w:rsidR="006F6447">
        <w:rPr>
          <w:lang w:val="en-GB"/>
        </w:rPr>
        <w:t>of the Netherlands</w:t>
      </w:r>
      <w:r w:rsidR="00D67C9E">
        <w:rPr>
          <w:lang w:val="en-GB"/>
        </w:rPr>
        <w:t>. As a result, there is a bit of a discrepancy here</w:t>
      </w:r>
      <w:r>
        <w:rPr>
          <w:lang w:val="en-GB"/>
        </w:rPr>
        <w:t xml:space="preserve">. </w:t>
      </w:r>
      <w:r w:rsidR="00881480">
        <w:rPr>
          <w:lang w:val="en-GB"/>
        </w:rPr>
        <w:t>In addition</w:t>
      </w:r>
      <w:r>
        <w:rPr>
          <w:lang w:val="en-GB"/>
        </w:rPr>
        <w:t xml:space="preserve">, the </w:t>
      </w:r>
      <w:r w:rsidR="00881480">
        <w:rPr>
          <w:lang w:val="en-GB"/>
        </w:rPr>
        <w:t xml:space="preserve">qualitative </w:t>
      </w:r>
      <w:r>
        <w:rPr>
          <w:lang w:val="en-GB"/>
        </w:rPr>
        <w:t>interviews</w:t>
      </w:r>
      <w:r w:rsidR="00881480">
        <w:rPr>
          <w:lang w:val="en-GB"/>
        </w:rPr>
        <w:t xml:space="preserve"> were essential for this thesis, but</w:t>
      </w:r>
      <w:r>
        <w:rPr>
          <w:lang w:val="en-GB"/>
        </w:rPr>
        <w:t xml:space="preserve"> have proven to be challenging</w:t>
      </w:r>
      <w:r w:rsidR="00881480">
        <w:rPr>
          <w:lang w:val="en-GB"/>
        </w:rPr>
        <w:t xml:space="preserve"> at times</w:t>
      </w:r>
      <w:r>
        <w:rPr>
          <w:lang w:val="en-GB"/>
        </w:rPr>
        <w:t xml:space="preserve">. </w:t>
      </w:r>
      <w:r w:rsidR="00881480">
        <w:rPr>
          <w:lang w:val="en-GB"/>
        </w:rPr>
        <w:t>Hence</w:t>
      </w:r>
      <w:r>
        <w:rPr>
          <w:lang w:val="en-GB"/>
        </w:rPr>
        <w:t xml:space="preserve">, this thesis is not </w:t>
      </w:r>
      <w:r w:rsidR="00881480">
        <w:rPr>
          <w:lang w:val="en-GB"/>
        </w:rPr>
        <w:t>the regular</w:t>
      </w:r>
      <w:r>
        <w:rPr>
          <w:lang w:val="en-GB"/>
        </w:rPr>
        <w:t xml:space="preserve"> run-off-the-mill research as it also involved talking to legal professionals</w:t>
      </w:r>
      <w:r w:rsidR="006F6447">
        <w:rPr>
          <w:lang w:val="en-GB"/>
        </w:rPr>
        <w:t xml:space="preserve">, while recording the interview was not always an option either. </w:t>
      </w:r>
    </w:p>
    <w:p w14:paraId="342C8614" w14:textId="6BB42289" w:rsidR="003B5EF2" w:rsidRDefault="003B5EF2" w:rsidP="00DD12E5">
      <w:pPr>
        <w:spacing w:line="276" w:lineRule="auto"/>
        <w:ind w:firstLine="720"/>
        <w:rPr>
          <w:lang w:val="en-GB"/>
        </w:rPr>
      </w:pPr>
      <w:r w:rsidRPr="00F54106">
        <w:rPr>
          <w:lang w:val="en-GB"/>
        </w:rPr>
        <w:t>All-in-all, The literature and the findings from the qualitative interviews support that the Netherlands is</w:t>
      </w:r>
      <w:r w:rsidR="00C02D6D">
        <w:rPr>
          <w:lang w:val="en-GB"/>
        </w:rPr>
        <w:t xml:space="preserve"> </w:t>
      </w:r>
      <w:r w:rsidR="007C09C8">
        <w:rPr>
          <w:lang w:val="en-GB"/>
        </w:rPr>
        <w:t xml:space="preserve">perceived as a very </w:t>
      </w:r>
      <w:r w:rsidRPr="00F54106">
        <w:rPr>
          <w:lang w:val="en-GB"/>
        </w:rPr>
        <w:t xml:space="preserve">preferred forum for </w:t>
      </w:r>
      <w:r w:rsidR="007C09C8">
        <w:rPr>
          <w:lang w:val="en-GB"/>
        </w:rPr>
        <w:t xml:space="preserve">private enforcement of </w:t>
      </w:r>
      <w:r w:rsidRPr="00F54106">
        <w:rPr>
          <w:lang w:val="en-GB"/>
        </w:rPr>
        <w:t>cartel damages claims</w:t>
      </w:r>
      <w:r>
        <w:rPr>
          <w:lang w:val="en-GB"/>
        </w:rPr>
        <w:t xml:space="preserve"> </w:t>
      </w:r>
      <w:r w:rsidR="007C09C8">
        <w:rPr>
          <w:lang w:val="en-GB"/>
        </w:rPr>
        <w:t>in the EU</w:t>
      </w:r>
      <w:r w:rsidR="00673FDC">
        <w:rPr>
          <w:lang w:val="en-GB"/>
        </w:rPr>
        <w:t xml:space="preserve">. This has become evident due to the fact that </w:t>
      </w:r>
      <w:r w:rsidRPr="00F54106">
        <w:rPr>
          <w:lang w:val="en-GB"/>
        </w:rPr>
        <w:t>almost all of the literature’s arguments have been confirmed to a certain extent</w:t>
      </w:r>
      <w:r w:rsidR="007C09C8">
        <w:rPr>
          <w:lang w:val="en-GB"/>
        </w:rPr>
        <w:t xml:space="preserve">, while </w:t>
      </w:r>
      <w:r w:rsidR="007875B6">
        <w:rPr>
          <w:lang w:val="en-GB"/>
        </w:rPr>
        <w:t>additional</w:t>
      </w:r>
      <w:r w:rsidR="007C09C8">
        <w:rPr>
          <w:lang w:val="en-GB"/>
        </w:rPr>
        <w:t xml:space="preserve"> arguments</w:t>
      </w:r>
      <w:r w:rsidR="007875B6">
        <w:rPr>
          <w:lang w:val="en-GB"/>
        </w:rPr>
        <w:t xml:space="preserve"> that support the Netherlands’ preferability </w:t>
      </w:r>
      <w:r w:rsidR="007C09C8">
        <w:rPr>
          <w:lang w:val="en-GB"/>
        </w:rPr>
        <w:t>have been provided by the interviewees</w:t>
      </w:r>
      <w:r w:rsidR="007875B6">
        <w:rPr>
          <w:lang w:val="en-GB"/>
        </w:rPr>
        <w:t xml:space="preserve"> as well. </w:t>
      </w:r>
      <w:r w:rsidR="00673FDC">
        <w:rPr>
          <w:lang w:val="en-GB"/>
        </w:rPr>
        <w:t xml:space="preserve">Concludingly, the analysis of this thesis has shown that Netherlands’ preference </w:t>
      </w:r>
      <w:r w:rsidR="00C23C89">
        <w:rPr>
          <w:lang w:val="en-GB"/>
        </w:rPr>
        <w:t>is</w:t>
      </w:r>
      <w:r w:rsidR="00C85BE8">
        <w:rPr>
          <w:lang w:val="en-GB"/>
        </w:rPr>
        <w:t xml:space="preserve"> primarily</w:t>
      </w:r>
      <w:r w:rsidR="00673FDC">
        <w:rPr>
          <w:lang w:val="en-GB"/>
        </w:rPr>
        <w:t xml:space="preserve"> influenced and determined by</w:t>
      </w:r>
      <w:r w:rsidR="006E6F11">
        <w:rPr>
          <w:lang w:val="en-GB"/>
        </w:rPr>
        <w:t xml:space="preserve"> (1)</w:t>
      </w:r>
      <w:r w:rsidR="00673FDC">
        <w:rPr>
          <w:lang w:val="en-GB"/>
        </w:rPr>
        <w:t xml:space="preserve"> </w:t>
      </w:r>
      <w:r w:rsidR="006E6F11">
        <w:rPr>
          <w:lang w:val="en-GB"/>
        </w:rPr>
        <w:t>its</w:t>
      </w:r>
      <w:r w:rsidR="00673FDC">
        <w:rPr>
          <w:lang w:val="en-GB"/>
        </w:rPr>
        <w:t xml:space="preserve"> extensive regime for collective </w:t>
      </w:r>
      <w:r w:rsidR="00C23C89">
        <w:rPr>
          <w:lang w:val="en-GB"/>
        </w:rPr>
        <w:t>redress</w:t>
      </w:r>
      <w:r w:rsidR="00673FDC">
        <w:rPr>
          <w:lang w:val="en-GB"/>
        </w:rPr>
        <w:t>,</w:t>
      </w:r>
      <w:r w:rsidR="006B1E52">
        <w:rPr>
          <w:lang w:val="en-GB"/>
        </w:rPr>
        <w:t xml:space="preserve"> </w:t>
      </w:r>
      <w:r w:rsidR="006E6F11">
        <w:rPr>
          <w:lang w:val="en-GB"/>
        </w:rPr>
        <w:t>(2) its</w:t>
      </w:r>
      <w:r w:rsidR="006B1E52">
        <w:rPr>
          <w:lang w:val="en-GB"/>
        </w:rPr>
        <w:t xml:space="preserve"> low costs </w:t>
      </w:r>
      <w:r w:rsidR="006E6F11">
        <w:rPr>
          <w:lang w:val="en-GB"/>
        </w:rPr>
        <w:t>of litigation</w:t>
      </w:r>
      <w:r w:rsidR="00C85BE8">
        <w:rPr>
          <w:lang w:val="en-GB"/>
        </w:rPr>
        <w:t xml:space="preserve"> and limited financial risk</w:t>
      </w:r>
      <w:r w:rsidR="006B1E52">
        <w:rPr>
          <w:lang w:val="en-GB"/>
        </w:rPr>
        <w:t xml:space="preserve">, </w:t>
      </w:r>
      <w:r w:rsidR="006E6F11">
        <w:rPr>
          <w:lang w:val="en-GB"/>
        </w:rPr>
        <w:t xml:space="preserve">(3) </w:t>
      </w:r>
      <w:r w:rsidR="006B1E52">
        <w:rPr>
          <w:lang w:val="en-GB"/>
        </w:rPr>
        <w:t>the</w:t>
      </w:r>
      <w:r w:rsidR="001C3CD1">
        <w:rPr>
          <w:lang w:val="en-GB"/>
        </w:rPr>
        <w:t xml:space="preserve"> high number of companies in the Netherlands and the</w:t>
      </w:r>
      <w:r w:rsidR="006B1E52">
        <w:rPr>
          <w:lang w:val="en-GB"/>
        </w:rPr>
        <w:t xml:space="preserve"> willingness of Dutch courts </w:t>
      </w:r>
      <w:r w:rsidR="001C3CD1">
        <w:rPr>
          <w:lang w:val="en-GB"/>
        </w:rPr>
        <w:t>to adopt jurisdiction</w:t>
      </w:r>
      <w:r w:rsidR="008055A7">
        <w:rPr>
          <w:lang w:val="en-GB"/>
        </w:rPr>
        <w:t xml:space="preserve">, </w:t>
      </w:r>
      <w:r w:rsidR="006E6F11">
        <w:rPr>
          <w:lang w:val="en-GB"/>
        </w:rPr>
        <w:t xml:space="preserve">(4) the experience, competence and quality of judges, (5) </w:t>
      </w:r>
      <w:r w:rsidR="00C85BE8">
        <w:rPr>
          <w:lang w:val="en-GB"/>
        </w:rPr>
        <w:t xml:space="preserve">the </w:t>
      </w:r>
      <w:r w:rsidR="006E6F11">
        <w:rPr>
          <w:lang w:val="en-GB"/>
        </w:rPr>
        <w:t>role of lawyers, claim vehicles and litigation funders</w:t>
      </w:r>
      <w:r w:rsidR="00673FDC">
        <w:rPr>
          <w:lang w:val="en-GB"/>
        </w:rPr>
        <w:t xml:space="preserve"> </w:t>
      </w:r>
      <w:r w:rsidR="006E6F11">
        <w:rPr>
          <w:lang w:val="en-GB"/>
        </w:rPr>
        <w:t>in bringing cases to Dutch courts, (6)</w:t>
      </w:r>
      <w:r w:rsidR="00C85BE8">
        <w:rPr>
          <w:lang w:val="en-GB"/>
        </w:rPr>
        <w:t xml:space="preserve"> the efficient and practical approach of Dutch courts</w:t>
      </w:r>
      <w:r w:rsidR="001C3CD1">
        <w:rPr>
          <w:lang w:val="en-GB"/>
        </w:rPr>
        <w:t xml:space="preserve">, </w:t>
      </w:r>
      <w:r w:rsidR="00433E87">
        <w:rPr>
          <w:lang w:val="en-GB"/>
        </w:rPr>
        <w:t xml:space="preserve">and </w:t>
      </w:r>
      <w:r w:rsidR="001C3CD1">
        <w:rPr>
          <w:lang w:val="en-GB"/>
        </w:rPr>
        <w:t xml:space="preserve">(7) practical </w:t>
      </w:r>
      <w:r w:rsidR="00433E87">
        <w:rPr>
          <w:lang w:val="en-GB"/>
        </w:rPr>
        <w:t>aspects such as submitting evidence electronically.</w:t>
      </w:r>
    </w:p>
    <w:p w14:paraId="462EBAAF" w14:textId="77777777" w:rsidR="00C02D6D" w:rsidRDefault="00C02D6D" w:rsidP="003B5EF2">
      <w:pPr>
        <w:spacing w:line="276" w:lineRule="auto"/>
        <w:rPr>
          <w:lang w:val="en-GB"/>
        </w:rPr>
      </w:pPr>
    </w:p>
    <w:p w14:paraId="73D60827" w14:textId="2F2CF874" w:rsidR="004215FD" w:rsidRPr="00F54106" w:rsidRDefault="004215FD" w:rsidP="00C85BE8">
      <w:pPr>
        <w:spacing w:line="276" w:lineRule="auto"/>
        <w:rPr>
          <w:lang w:val="en-GB"/>
        </w:rPr>
      </w:pPr>
    </w:p>
    <w:p w14:paraId="3CEB7BBB" w14:textId="77777777" w:rsidR="005944D6" w:rsidRPr="00F54106" w:rsidRDefault="005944D6" w:rsidP="00FC31D7">
      <w:pPr>
        <w:spacing w:line="276" w:lineRule="auto"/>
        <w:rPr>
          <w:lang w:val="en-GB"/>
        </w:rPr>
      </w:pPr>
    </w:p>
    <w:p w14:paraId="25CE70F5" w14:textId="1457F6FD" w:rsidR="00AC3589" w:rsidRDefault="00AC3589" w:rsidP="00FC31D7">
      <w:pPr>
        <w:spacing w:line="276" w:lineRule="auto"/>
        <w:rPr>
          <w:lang w:val="en-GB"/>
        </w:rPr>
      </w:pPr>
    </w:p>
    <w:p w14:paraId="0DAAFD30" w14:textId="73BFD388" w:rsidR="00DD12E5" w:rsidRDefault="00DD12E5" w:rsidP="00FC31D7">
      <w:pPr>
        <w:spacing w:line="276" w:lineRule="auto"/>
        <w:rPr>
          <w:lang w:val="en-GB"/>
        </w:rPr>
      </w:pPr>
    </w:p>
    <w:p w14:paraId="2122F1FC" w14:textId="54AA0179" w:rsidR="00DD12E5" w:rsidRDefault="00DD12E5" w:rsidP="00FC31D7">
      <w:pPr>
        <w:spacing w:line="276" w:lineRule="auto"/>
        <w:rPr>
          <w:lang w:val="en-GB"/>
        </w:rPr>
      </w:pPr>
    </w:p>
    <w:p w14:paraId="19077040" w14:textId="73A85D6F" w:rsidR="00DD12E5" w:rsidRDefault="00DD12E5" w:rsidP="00FC31D7">
      <w:pPr>
        <w:spacing w:line="276" w:lineRule="auto"/>
        <w:rPr>
          <w:lang w:val="en-GB"/>
        </w:rPr>
      </w:pPr>
    </w:p>
    <w:p w14:paraId="1D1563A9" w14:textId="589D1971" w:rsidR="00460102" w:rsidRDefault="00460102" w:rsidP="00FC31D7">
      <w:pPr>
        <w:spacing w:line="276" w:lineRule="auto"/>
        <w:rPr>
          <w:lang w:val="en-GB"/>
        </w:rPr>
      </w:pPr>
    </w:p>
    <w:p w14:paraId="1E31657A" w14:textId="680ECB24" w:rsidR="00460102" w:rsidRDefault="00460102" w:rsidP="00FC31D7">
      <w:pPr>
        <w:spacing w:line="276" w:lineRule="auto"/>
        <w:rPr>
          <w:lang w:val="en-GB"/>
        </w:rPr>
      </w:pPr>
    </w:p>
    <w:p w14:paraId="31356047" w14:textId="64BB3B91" w:rsidR="00045207" w:rsidRDefault="00045207" w:rsidP="00FC31D7">
      <w:pPr>
        <w:spacing w:line="276" w:lineRule="auto"/>
        <w:rPr>
          <w:lang w:val="en-GB"/>
        </w:rPr>
      </w:pPr>
    </w:p>
    <w:p w14:paraId="7DE914AC" w14:textId="77777777" w:rsidR="00152E1A" w:rsidRPr="00F54106" w:rsidRDefault="00152E1A" w:rsidP="00FC31D7">
      <w:pPr>
        <w:spacing w:line="276" w:lineRule="auto"/>
        <w:rPr>
          <w:lang w:val="en-GB"/>
        </w:rPr>
      </w:pPr>
    </w:p>
    <w:p w14:paraId="7D80E07F" w14:textId="77777777" w:rsidR="00045207" w:rsidRPr="00F54106" w:rsidRDefault="00045207" w:rsidP="00FC31D7">
      <w:pPr>
        <w:spacing w:line="276" w:lineRule="auto"/>
        <w:rPr>
          <w:lang w:val="en-GB"/>
        </w:rPr>
      </w:pPr>
    </w:p>
    <w:p w14:paraId="7D87AC2E" w14:textId="0398D0FA" w:rsidR="001D4D95" w:rsidRPr="00F54106" w:rsidRDefault="001D4D95" w:rsidP="002A5F04">
      <w:pPr>
        <w:pStyle w:val="Heading1"/>
        <w:spacing w:line="276" w:lineRule="auto"/>
        <w:jc w:val="center"/>
        <w:rPr>
          <w:lang w:val="en-GB"/>
        </w:rPr>
      </w:pPr>
      <w:bookmarkStart w:id="173" w:name="_Toc107610252"/>
      <w:r w:rsidRPr="00F54106">
        <w:rPr>
          <w:lang w:val="en-GB"/>
        </w:rPr>
        <w:lastRenderedPageBreak/>
        <w:t>Appendix A</w:t>
      </w:r>
      <w:bookmarkEnd w:id="173"/>
    </w:p>
    <w:p w14:paraId="1895A864" w14:textId="4069C631" w:rsidR="001D4D95" w:rsidRPr="00F54106" w:rsidRDefault="001D4D95" w:rsidP="00FC31D7">
      <w:pPr>
        <w:spacing w:line="276" w:lineRule="auto"/>
        <w:rPr>
          <w:lang w:val="en-GB"/>
        </w:rPr>
      </w:pPr>
    </w:p>
    <w:p w14:paraId="54992206" w14:textId="77777777" w:rsidR="00B172D4" w:rsidRPr="00F54106" w:rsidRDefault="00B172D4" w:rsidP="00FC31D7">
      <w:pPr>
        <w:pStyle w:val="ListParagraph"/>
        <w:numPr>
          <w:ilvl w:val="0"/>
          <w:numId w:val="11"/>
        </w:numPr>
        <w:spacing w:line="276" w:lineRule="auto"/>
        <w:rPr>
          <w:lang w:val="en-GB"/>
        </w:rPr>
      </w:pPr>
      <w:r w:rsidRPr="00F54106">
        <w:rPr>
          <w:lang w:val="en-GB"/>
        </w:rPr>
        <w:t>Do you have any experiences with forum shopping in the Netherlands? If so, do they include any particular or extraordinary experiences in that sense?</w:t>
      </w:r>
    </w:p>
    <w:p w14:paraId="11BB1108" w14:textId="77777777" w:rsidR="00B172D4" w:rsidRPr="00F54106" w:rsidRDefault="00B172D4" w:rsidP="00FC31D7">
      <w:pPr>
        <w:pStyle w:val="ListParagraph"/>
        <w:spacing w:line="276" w:lineRule="auto"/>
        <w:rPr>
          <w:lang w:val="en-GB"/>
        </w:rPr>
      </w:pPr>
    </w:p>
    <w:p w14:paraId="50891302" w14:textId="77777777" w:rsidR="00B172D4" w:rsidRPr="00F54106" w:rsidRDefault="00B172D4" w:rsidP="00FC31D7">
      <w:pPr>
        <w:pStyle w:val="ListParagraph"/>
        <w:numPr>
          <w:ilvl w:val="0"/>
          <w:numId w:val="11"/>
        </w:numPr>
        <w:spacing w:line="276" w:lineRule="auto"/>
        <w:rPr>
          <w:lang w:val="en-GB"/>
        </w:rPr>
      </w:pPr>
      <w:r w:rsidRPr="00F54106">
        <w:rPr>
          <w:lang w:val="en-GB"/>
        </w:rPr>
        <w:t>Would you agree that the Netherlands is a preferred country for private enforcement (of cartel damages claims) and why (not)?</w:t>
      </w:r>
    </w:p>
    <w:p w14:paraId="35AB08EC" w14:textId="77777777" w:rsidR="00B172D4" w:rsidRPr="00F54106" w:rsidRDefault="00B172D4" w:rsidP="00FC31D7">
      <w:pPr>
        <w:pStyle w:val="ListParagraph"/>
        <w:spacing w:line="276" w:lineRule="auto"/>
        <w:rPr>
          <w:lang w:val="en-GB"/>
        </w:rPr>
      </w:pPr>
    </w:p>
    <w:p w14:paraId="7D820D5D" w14:textId="77777777" w:rsidR="00B172D4" w:rsidRPr="00F54106" w:rsidRDefault="00B172D4" w:rsidP="00FC31D7">
      <w:pPr>
        <w:pStyle w:val="ListParagraph"/>
        <w:numPr>
          <w:ilvl w:val="0"/>
          <w:numId w:val="11"/>
        </w:numPr>
        <w:spacing w:line="276" w:lineRule="auto"/>
        <w:rPr>
          <w:lang w:val="en-GB"/>
        </w:rPr>
      </w:pPr>
      <w:r w:rsidRPr="00F54106">
        <w:rPr>
          <w:lang w:val="en-GB"/>
        </w:rPr>
        <w:t>Do you think that there are particular elements of the Dutch legislation (substantive or procedural) which makes the Netherlands more attractive or unattractive for private enforcement compared to other countries and, if so, which element(s) and why? (WAMCA)</w:t>
      </w:r>
    </w:p>
    <w:p w14:paraId="01479B81" w14:textId="77777777" w:rsidR="00B172D4" w:rsidRPr="00F54106" w:rsidRDefault="00B172D4" w:rsidP="00FC31D7">
      <w:pPr>
        <w:pStyle w:val="ListParagraph"/>
        <w:spacing w:line="276" w:lineRule="auto"/>
        <w:rPr>
          <w:lang w:val="en-GB"/>
        </w:rPr>
      </w:pPr>
    </w:p>
    <w:p w14:paraId="33255AF0" w14:textId="77777777" w:rsidR="00B172D4" w:rsidRPr="00F54106" w:rsidRDefault="00B172D4" w:rsidP="00FC31D7">
      <w:pPr>
        <w:pStyle w:val="ListParagraph"/>
        <w:numPr>
          <w:ilvl w:val="0"/>
          <w:numId w:val="11"/>
        </w:numPr>
        <w:spacing w:line="276" w:lineRule="auto"/>
        <w:rPr>
          <w:lang w:val="en-GB"/>
        </w:rPr>
      </w:pPr>
      <w:r w:rsidRPr="00F54106">
        <w:rPr>
          <w:lang w:val="en-GB"/>
        </w:rPr>
        <w:t xml:space="preserve">In your opinion, what factors will claimants take into account before selecting a court and why? </w:t>
      </w:r>
      <w:bookmarkStart w:id="174" w:name="_Hlk102440682"/>
      <w:r w:rsidRPr="00F54106">
        <w:rPr>
          <w:lang w:val="en-GB"/>
        </w:rPr>
        <w:t>(length of proceedings)</w:t>
      </w:r>
      <w:bookmarkEnd w:id="174"/>
    </w:p>
    <w:p w14:paraId="3B1E7012" w14:textId="77777777" w:rsidR="00B172D4" w:rsidRPr="00F54106" w:rsidRDefault="00B172D4" w:rsidP="00FC31D7">
      <w:pPr>
        <w:pStyle w:val="ListParagraph"/>
        <w:spacing w:line="276" w:lineRule="auto"/>
        <w:rPr>
          <w:lang w:val="en-GB"/>
        </w:rPr>
      </w:pPr>
    </w:p>
    <w:p w14:paraId="19BE4170" w14:textId="77777777" w:rsidR="00B172D4" w:rsidRPr="00F54106" w:rsidRDefault="00B172D4" w:rsidP="00FC31D7">
      <w:pPr>
        <w:pStyle w:val="ListParagraph"/>
        <w:numPr>
          <w:ilvl w:val="0"/>
          <w:numId w:val="11"/>
        </w:numPr>
        <w:spacing w:line="276" w:lineRule="auto"/>
        <w:rPr>
          <w:lang w:val="en-GB"/>
        </w:rPr>
      </w:pPr>
      <w:r w:rsidRPr="00F54106">
        <w:rPr>
          <w:lang w:val="en-GB"/>
        </w:rPr>
        <w:t xml:space="preserve">Would you agree that the quality of judges in terms of for instance education, professional training or language knowledge plays a role in forum shopping in the Netherlands and why (not)? </w:t>
      </w:r>
      <w:bookmarkStart w:id="175" w:name="_Hlk102440691"/>
      <w:r w:rsidRPr="00F54106">
        <w:rPr>
          <w:lang w:val="en-GB"/>
        </w:rPr>
        <w:t>(language knowledge, objectivity, capability, reputation)</w:t>
      </w:r>
      <w:bookmarkEnd w:id="175"/>
    </w:p>
    <w:p w14:paraId="32E12E38" w14:textId="77777777" w:rsidR="00B172D4" w:rsidRPr="00F54106" w:rsidRDefault="00B172D4" w:rsidP="00FC31D7">
      <w:pPr>
        <w:pStyle w:val="ListParagraph"/>
        <w:spacing w:line="276" w:lineRule="auto"/>
        <w:rPr>
          <w:lang w:val="en-GB"/>
        </w:rPr>
      </w:pPr>
    </w:p>
    <w:p w14:paraId="03B6ED98" w14:textId="77777777" w:rsidR="00B172D4" w:rsidRPr="00F54106" w:rsidRDefault="00B172D4" w:rsidP="00FC31D7">
      <w:pPr>
        <w:pStyle w:val="ListParagraph"/>
        <w:numPr>
          <w:ilvl w:val="0"/>
          <w:numId w:val="11"/>
        </w:numPr>
        <w:spacing w:line="276" w:lineRule="auto"/>
        <w:rPr>
          <w:lang w:val="en-GB"/>
        </w:rPr>
      </w:pPr>
      <w:r w:rsidRPr="00F54106">
        <w:rPr>
          <w:lang w:val="en-GB"/>
        </w:rPr>
        <w:t>In your opinion, do you consider the amount of relevant case-law in the Netherlands as a key element for forum shopping in the Netherlands, for example, due to the legal certainty that it provides, and why (not)?</w:t>
      </w:r>
    </w:p>
    <w:p w14:paraId="1BC58C21" w14:textId="77777777" w:rsidR="00B172D4" w:rsidRPr="00F54106" w:rsidRDefault="00B172D4" w:rsidP="00FC31D7">
      <w:pPr>
        <w:pStyle w:val="ListParagraph"/>
        <w:spacing w:line="276" w:lineRule="auto"/>
        <w:rPr>
          <w:lang w:val="en-GB"/>
        </w:rPr>
      </w:pPr>
    </w:p>
    <w:p w14:paraId="049D9267" w14:textId="77777777" w:rsidR="00B172D4" w:rsidRPr="00F54106" w:rsidRDefault="00B172D4" w:rsidP="00FC31D7">
      <w:pPr>
        <w:pStyle w:val="ListParagraph"/>
        <w:numPr>
          <w:ilvl w:val="0"/>
          <w:numId w:val="11"/>
        </w:numPr>
        <w:spacing w:line="276" w:lineRule="auto"/>
        <w:rPr>
          <w:lang w:val="en-GB"/>
        </w:rPr>
      </w:pPr>
      <w:r w:rsidRPr="00F54106">
        <w:rPr>
          <w:lang w:val="en-GB"/>
        </w:rPr>
        <w:t xml:space="preserve">To what extent are the relatively cheap court fees an important factor for claimants to select Dutch courts in your opinion? </w:t>
      </w:r>
    </w:p>
    <w:p w14:paraId="2C0626AD" w14:textId="77777777" w:rsidR="00B172D4" w:rsidRPr="00F54106" w:rsidRDefault="00B172D4" w:rsidP="00FC31D7">
      <w:pPr>
        <w:pStyle w:val="ListParagraph"/>
        <w:spacing w:line="276" w:lineRule="auto"/>
        <w:rPr>
          <w:lang w:val="en-GB"/>
        </w:rPr>
      </w:pPr>
    </w:p>
    <w:p w14:paraId="0306899A" w14:textId="32BE72B2" w:rsidR="00B172D4" w:rsidRPr="00F54106" w:rsidRDefault="00B172D4" w:rsidP="00FC31D7">
      <w:pPr>
        <w:pStyle w:val="ListParagraph"/>
        <w:numPr>
          <w:ilvl w:val="0"/>
          <w:numId w:val="11"/>
        </w:numPr>
        <w:spacing w:line="276" w:lineRule="auto"/>
        <w:rPr>
          <w:lang w:val="en-GB"/>
        </w:rPr>
      </w:pPr>
      <w:r w:rsidRPr="00F54106">
        <w:rPr>
          <w:lang w:val="en-GB"/>
        </w:rPr>
        <w:t xml:space="preserve">To what degree is </w:t>
      </w:r>
      <w:r w:rsidRPr="00F54106">
        <w:rPr>
          <w:i/>
          <w:iCs/>
          <w:lang w:val="en-GB"/>
        </w:rPr>
        <w:t>ambulance</w:t>
      </w:r>
      <w:r w:rsidR="00FC31D7" w:rsidRPr="00F54106">
        <w:rPr>
          <w:i/>
          <w:iCs/>
          <w:lang w:val="en-GB"/>
        </w:rPr>
        <w:t>-</w:t>
      </w:r>
      <w:r w:rsidRPr="00F54106">
        <w:rPr>
          <w:i/>
          <w:iCs/>
          <w:lang w:val="en-GB"/>
        </w:rPr>
        <w:t>chasing</w:t>
      </w:r>
      <w:r w:rsidR="00FC31D7" w:rsidRPr="00F54106">
        <w:rPr>
          <w:lang w:val="en-GB"/>
        </w:rPr>
        <w:t xml:space="preserve">* </w:t>
      </w:r>
      <w:r w:rsidRPr="00F54106">
        <w:rPr>
          <w:lang w:val="en-GB"/>
        </w:rPr>
        <w:t>regularly adopted by law firms in the Netherlands, and to what extent are injured parties usually aware that they have suffered damages from a cartel infringement?</w:t>
      </w:r>
    </w:p>
    <w:p w14:paraId="2CD988C0" w14:textId="77777777" w:rsidR="00B172D4" w:rsidRPr="00F54106" w:rsidRDefault="00B172D4" w:rsidP="00FC31D7">
      <w:pPr>
        <w:pStyle w:val="ListParagraph"/>
        <w:spacing w:line="276" w:lineRule="auto"/>
        <w:rPr>
          <w:lang w:val="en-GB"/>
        </w:rPr>
      </w:pPr>
    </w:p>
    <w:p w14:paraId="29EFC984" w14:textId="53602715" w:rsidR="00FC31D7" w:rsidRPr="00F54106" w:rsidRDefault="00B172D4" w:rsidP="00FC31D7">
      <w:pPr>
        <w:spacing w:line="276" w:lineRule="auto"/>
        <w:rPr>
          <w:lang w:val="en-GB"/>
        </w:rPr>
      </w:pPr>
      <w:r w:rsidRPr="00F54106">
        <w:rPr>
          <w:lang w:val="en-GB"/>
        </w:rPr>
        <w:t>*</w:t>
      </w:r>
      <w:r w:rsidRPr="00F54106">
        <w:rPr>
          <w:i/>
          <w:iCs/>
          <w:lang w:val="en-GB"/>
        </w:rPr>
        <w:t>Ambulance-chasing</w:t>
      </w:r>
      <w:r w:rsidRPr="00F54106">
        <w:rPr>
          <w:lang w:val="en-GB"/>
        </w:rPr>
        <w:t>:</w:t>
      </w:r>
      <w:r w:rsidR="00FC31D7" w:rsidRPr="00F54106">
        <w:rPr>
          <w:lang w:val="en-GB"/>
        </w:rPr>
        <w:t xml:space="preserve"> an attempt to obtain work by persuading an injured party to claim money from the person or company that is responsible for the suffered damages of the injured party.</w:t>
      </w:r>
    </w:p>
    <w:p w14:paraId="6E695C07" w14:textId="77777777" w:rsidR="00B172D4" w:rsidRPr="00F54106" w:rsidRDefault="00B172D4" w:rsidP="00FC31D7">
      <w:pPr>
        <w:pStyle w:val="ListParagraph"/>
        <w:spacing w:line="276" w:lineRule="auto"/>
        <w:rPr>
          <w:lang w:val="en-GB"/>
        </w:rPr>
      </w:pPr>
    </w:p>
    <w:p w14:paraId="5AFC7812" w14:textId="77777777" w:rsidR="00B172D4" w:rsidRPr="00F54106" w:rsidRDefault="00B172D4" w:rsidP="00FC31D7">
      <w:pPr>
        <w:pStyle w:val="ListParagraph"/>
        <w:numPr>
          <w:ilvl w:val="0"/>
          <w:numId w:val="11"/>
        </w:numPr>
        <w:spacing w:line="276" w:lineRule="auto"/>
        <w:rPr>
          <w:lang w:val="en-GB"/>
        </w:rPr>
      </w:pPr>
      <w:r w:rsidRPr="00F54106">
        <w:rPr>
          <w:lang w:val="en-GB"/>
        </w:rPr>
        <w:t>Would you consider any other contributing factors of importance other than the ones previously discussed and, if so, which and why?</w:t>
      </w:r>
    </w:p>
    <w:p w14:paraId="2AEC94C1" w14:textId="51137905" w:rsidR="001D4D95" w:rsidRPr="00F54106" w:rsidRDefault="001D4D95" w:rsidP="00FC31D7">
      <w:pPr>
        <w:spacing w:line="276" w:lineRule="auto"/>
        <w:rPr>
          <w:lang w:val="en-GB"/>
        </w:rPr>
      </w:pPr>
    </w:p>
    <w:p w14:paraId="674DB81F" w14:textId="548F870A" w:rsidR="00B172D4" w:rsidRPr="00F54106" w:rsidRDefault="00B172D4" w:rsidP="00FC31D7">
      <w:pPr>
        <w:spacing w:line="276" w:lineRule="auto"/>
        <w:rPr>
          <w:lang w:val="en-GB"/>
        </w:rPr>
      </w:pPr>
    </w:p>
    <w:p w14:paraId="213C6419" w14:textId="77777777" w:rsidR="00F736A5" w:rsidRPr="00F54106" w:rsidRDefault="00F736A5" w:rsidP="00FC31D7">
      <w:pPr>
        <w:spacing w:line="276" w:lineRule="auto"/>
        <w:rPr>
          <w:lang w:val="en-GB"/>
        </w:rPr>
      </w:pPr>
    </w:p>
    <w:p w14:paraId="65E7994A" w14:textId="1A56F54A" w:rsidR="001D4D95" w:rsidRPr="00F54106" w:rsidRDefault="001D4D95" w:rsidP="002A5F04">
      <w:pPr>
        <w:pStyle w:val="Heading1"/>
        <w:spacing w:line="276" w:lineRule="auto"/>
        <w:jc w:val="center"/>
        <w:rPr>
          <w:lang w:val="en-GB"/>
        </w:rPr>
      </w:pPr>
      <w:bookmarkStart w:id="176" w:name="_Toc107610253"/>
      <w:r w:rsidRPr="00F54106">
        <w:rPr>
          <w:lang w:val="en-GB"/>
        </w:rPr>
        <w:lastRenderedPageBreak/>
        <w:t>Appendix B</w:t>
      </w:r>
      <w:bookmarkEnd w:id="176"/>
    </w:p>
    <w:p w14:paraId="150CE177" w14:textId="77777777" w:rsidR="00B172D4" w:rsidRPr="00F54106" w:rsidRDefault="00B172D4" w:rsidP="00FC31D7">
      <w:pPr>
        <w:spacing w:line="276" w:lineRule="auto"/>
        <w:rPr>
          <w:lang w:val="en-GB"/>
        </w:rPr>
      </w:pPr>
    </w:p>
    <w:p w14:paraId="3902E060" w14:textId="77777777" w:rsidR="00B172D4" w:rsidRPr="00F54106" w:rsidRDefault="00B172D4" w:rsidP="00FC31D7">
      <w:pPr>
        <w:pStyle w:val="ListParagraph"/>
        <w:numPr>
          <w:ilvl w:val="0"/>
          <w:numId w:val="10"/>
        </w:numPr>
        <w:spacing w:line="276" w:lineRule="auto"/>
        <w:rPr>
          <w:lang w:val="en-GB"/>
        </w:rPr>
      </w:pPr>
      <w:proofErr w:type="spellStart"/>
      <w:r w:rsidRPr="00F54106">
        <w:rPr>
          <w:lang w:val="en-GB"/>
        </w:rPr>
        <w:t>Heeft</w:t>
      </w:r>
      <w:proofErr w:type="spellEnd"/>
      <w:r w:rsidRPr="00F54106">
        <w:rPr>
          <w:lang w:val="en-GB"/>
        </w:rPr>
        <w:t xml:space="preserve"> u </w:t>
      </w:r>
      <w:proofErr w:type="spellStart"/>
      <w:r w:rsidRPr="00F54106">
        <w:rPr>
          <w:lang w:val="en-GB"/>
        </w:rPr>
        <w:t>enige</w:t>
      </w:r>
      <w:proofErr w:type="spellEnd"/>
      <w:r w:rsidRPr="00F54106">
        <w:rPr>
          <w:lang w:val="en-GB"/>
        </w:rPr>
        <w:t xml:space="preserve"> </w:t>
      </w:r>
      <w:proofErr w:type="spellStart"/>
      <w:r w:rsidRPr="00F54106">
        <w:rPr>
          <w:lang w:val="en-GB"/>
        </w:rPr>
        <w:t>ervaringen</w:t>
      </w:r>
      <w:proofErr w:type="spellEnd"/>
      <w:r w:rsidRPr="00F54106">
        <w:rPr>
          <w:lang w:val="en-GB"/>
        </w:rPr>
        <w:t xml:space="preserve"> met forum shopping in Nederland? Zo </w:t>
      </w:r>
      <w:proofErr w:type="spellStart"/>
      <w:r w:rsidRPr="00F54106">
        <w:rPr>
          <w:lang w:val="en-GB"/>
        </w:rPr>
        <w:t>ja</w:t>
      </w:r>
      <w:proofErr w:type="spellEnd"/>
      <w:r w:rsidRPr="00F54106">
        <w:rPr>
          <w:lang w:val="en-GB"/>
        </w:rPr>
        <w:t xml:space="preserve">, </w:t>
      </w:r>
      <w:proofErr w:type="spellStart"/>
      <w:r w:rsidRPr="00F54106">
        <w:rPr>
          <w:lang w:val="en-GB"/>
        </w:rPr>
        <w:t>vallen</w:t>
      </w:r>
      <w:proofErr w:type="spellEnd"/>
      <w:r w:rsidRPr="00F54106">
        <w:rPr>
          <w:lang w:val="en-GB"/>
        </w:rPr>
        <w:t xml:space="preserve"> </w:t>
      </w:r>
      <w:proofErr w:type="spellStart"/>
      <w:r w:rsidRPr="00F54106">
        <w:rPr>
          <w:lang w:val="en-GB"/>
        </w:rPr>
        <w:t>daar</w:t>
      </w:r>
      <w:proofErr w:type="spellEnd"/>
      <w:r w:rsidRPr="00F54106">
        <w:rPr>
          <w:lang w:val="en-GB"/>
        </w:rPr>
        <w:t xml:space="preserve"> </w:t>
      </w:r>
      <w:proofErr w:type="spellStart"/>
      <w:r w:rsidRPr="00F54106">
        <w:rPr>
          <w:lang w:val="en-GB"/>
        </w:rPr>
        <w:t>enige</w:t>
      </w:r>
      <w:proofErr w:type="spellEnd"/>
      <w:r w:rsidRPr="00F54106">
        <w:rPr>
          <w:lang w:val="en-GB"/>
        </w:rPr>
        <w:t xml:space="preserve"> </w:t>
      </w:r>
      <w:proofErr w:type="spellStart"/>
      <w:r w:rsidRPr="00F54106">
        <w:rPr>
          <w:lang w:val="en-GB"/>
        </w:rPr>
        <w:t>specifieke</w:t>
      </w:r>
      <w:proofErr w:type="spellEnd"/>
      <w:r w:rsidRPr="00F54106">
        <w:rPr>
          <w:lang w:val="en-GB"/>
        </w:rPr>
        <w:t xml:space="preserve"> of </w:t>
      </w:r>
      <w:proofErr w:type="spellStart"/>
      <w:r w:rsidRPr="00F54106">
        <w:rPr>
          <w:lang w:val="en-GB"/>
        </w:rPr>
        <w:t>buitengewone</w:t>
      </w:r>
      <w:proofErr w:type="spellEnd"/>
      <w:r w:rsidRPr="00F54106">
        <w:rPr>
          <w:lang w:val="en-GB"/>
        </w:rPr>
        <w:t xml:space="preserve"> </w:t>
      </w:r>
      <w:proofErr w:type="spellStart"/>
      <w:r w:rsidRPr="00F54106">
        <w:rPr>
          <w:lang w:val="en-GB"/>
        </w:rPr>
        <w:t>ervaringen</w:t>
      </w:r>
      <w:proofErr w:type="spellEnd"/>
      <w:r w:rsidRPr="00F54106">
        <w:rPr>
          <w:lang w:val="en-GB"/>
        </w:rPr>
        <w:t xml:space="preserve"> </w:t>
      </w:r>
      <w:proofErr w:type="spellStart"/>
      <w:r w:rsidRPr="00F54106">
        <w:rPr>
          <w:lang w:val="en-GB"/>
        </w:rPr>
        <w:t>onder</w:t>
      </w:r>
      <w:proofErr w:type="spellEnd"/>
      <w:r w:rsidRPr="00F54106">
        <w:rPr>
          <w:lang w:val="en-GB"/>
        </w:rPr>
        <w:t>?</w:t>
      </w:r>
    </w:p>
    <w:p w14:paraId="3E669380" w14:textId="77777777" w:rsidR="00B172D4" w:rsidRPr="00F54106" w:rsidRDefault="00B172D4" w:rsidP="00FC31D7">
      <w:pPr>
        <w:pStyle w:val="ListParagraph"/>
        <w:spacing w:line="276" w:lineRule="auto"/>
        <w:rPr>
          <w:lang w:val="en-GB"/>
        </w:rPr>
      </w:pPr>
    </w:p>
    <w:p w14:paraId="00355A10" w14:textId="77777777" w:rsidR="00B172D4" w:rsidRPr="00F54106" w:rsidRDefault="00B172D4" w:rsidP="00FC31D7">
      <w:pPr>
        <w:pStyle w:val="ListParagraph"/>
        <w:numPr>
          <w:ilvl w:val="0"/>
          <w:numId w:val="10"/>
        </w:numPr>
        <w:spacing w:line="276" w:lineRule="auto"/>
        <w:rPr>
          <w:lang w:val="en-GB"/>
        </w:rPr>
      </w:pPr>
      <w:r w:rsidRPr="00F54106">
        <w:rPr>
          <w:lang w:val="en-GB"/>
        </w:rPr>
        <w:t xml:space="preserve">Bent u het er mee </w:t>
      </w:r>
      <w:proofErr w:type="spellStart"/>
      <w:r w:rsidRPr="00F54106">
        <w:rPr>
          <w:lang w:val="en-GB"/>
        </w:rPr>
        <w:t>eens</w:t>
      </w:r>
      <w:proofErr w:type="spellEnd"/>
      <w:r w:rsidRPr="00F54106">
        <w:rPr>
          <w:lang w:val="en-GB"/>
        </w:rPr>
        <w:t xml:space="preserve"> </w:t>
      </w:r>
      <w:proofErr w:type="spellStart"/>
      <w:r w:rsidRPr="00F54106">
        <w:rPr>
          <w:lang w:val="en-GB"/>
        </w:rPr>
        <w:t>dat</w:t>
      </w:r>
      <w:proofErr w:type="spellEnd"/>
      <w:r w:rsidRPr="00F54106">
        <w:rPr>
          <w:lang w:val="en-GB"/>
        </w:rPr>
        <w:t xml:space="preserve"> Nederland </w:t>
      </w:r>
      <w:proofErr w:type="spellStart"/>
      <w:r w:rsidRPr="00F54106">
        <w:rPr>
          <w:lang w:val="en-GB"/>
        </w:rPr>
        <w:t>een</w:t>
      </w:r>
      <w:proofErr w:type="spellEnd"/>
      <w:r w:rsidRPr="00F54106">
        <w:rPr>
          <w:lang w:val="en-GB"/>
        </w:rPr>
        <w:t xml:space="preserve"> </w:t>
      </w:r>
      <w:proofErr w:type="spellStart"/>
      <w:r w:rsidRPr="00F54106">
        <w:rPr>
          <w:lang w:val="en-GB"/>
        </w:rPr>
        <w:t>geprefereerd</w:t>
      </w:r>
      <w:proofErr w:type="spellEnd"/>
      <w:r w:rsidRPr="00F54106">
        <w:rPr>
          <w:lang w:val="en-GB"/>
        </w:rPr>
        <w:t xml:space="preserve"> land is </w:t>
      </w:r>
      <w:proofErr w:type="spellStart"/>
      <w:r w:rsidRPr="00F54106">
        <w:rPr>
          <w:lang w:val="en-GB"/>
        </w:rPr>
        <w:t>voor</w:t>
      </w:r>
      <w:proofErr w:type="spellEnd"/>
      <w:r w:rsidRPr="00F54106">
        <w:rPr>
          <w:lang w:val="en-GB"/>
        </w:rPr>
        <w:t xml:space="preserve"> </w:t>
      </w:r>
      <w:proofErr w:type="spellStart"/>
      <w:r w:rsidRPr="00F54106">
        <w:rPr>
          <w:lang w:val="en-GB"/>
        </w:rPr>
        <w:t>privaatrechtelijke</w:t>
      </w:r>
      <w:proofErr w:type="spellEnd"/>
      <w:r w:rsidRPr="00F54106">
        <w:rPr>
          <w:lang w:val="en-GB"/>
        </w:rPr>
        <w:t xml:space="preserve"> </w:t>
      </w:r>
      <w:proofErr w:type="spellStart"/>
      <w:r w:rsidRPr="00F54106">
        <w:rPr>
          <w:lang w:val="en-GB"/>
        </w:rPr>
        <w:t>handhaving</w:t>
      </w:r>
      <w:proofErr w:type="spellEnd"/>
      <w:r w:rsidRPr="00F54106">
        <w:rPr>
          <w:lang w:val="en-GB"/>
        </w:rPr>
        <w:t xml:space="preserve"> van </w:t>
      </w:r>
      <w:proofErr w:type="spellStart"/>
      <w:r w:rsidRPr="00F54106">
        <w:rPr>
          <w:lang w:val="en-GB"/>
        </w:rPr>
        <w:t>kartelschadeclaims</w:t>
      </w:r>
      <w:proofErr w:type="spellEnd"/>
      <w:r w:rsidRPr="00F54106">
        <w:rPr>
          <w:lang w:val="en-GB"/>
        </w:rPr>
        <w:t xml:space="preserve">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 xml:space="preserve"> (</w:t>
      </w:r>
      <w:proofErr w:type="spellStart"/>
      <w:r w:rsidRPr="00F54106">
        <w:rPr>
          <w:lang w:val="en-GB"/>
        </w:rPr>
        <w:t>niet</w:t>
      </w:r>
      <w:proofErr w:type="spellEnd"/>
      <w:r w:rsidRPr="00F54106">
        <w:rPr>
          <w:lang w:val="en-GB"/>
        </w:rPr>
        <w:t>)?</w:t>
      </w:r>
    </w:p>
    <w:p w14:paraId="19CCD302" w14:textId="77777777" w:rsidR="00B172D4" w:rsidRPr="00F54106" w:rsidRDefault="00B172D4" w:rsidP="00FC31D7">
      <w:pPr>
        <w:pStyle w:val="ListParagraph"/>
        <w:spacing w:line="276" w:lineRule="auto"/>
        <w:rPr>
          <w:lang w:val="en-GB"/>
        </w:rPr>
      </w:pPr>
    </w:p>
    <w:p w14:paraId="61C7BA3C" w14:textId="77777777" w:rsidR="00B172D4" w:rsidRPr="00F54106" w:rsidRDefault="00B172D4" w:rsidP="00FC31D7">
      <w:pPr>
        <w:pStyle w:val="ListParagraph"/>
        <w:numPr>
          <w:ilvl w:val="0"/>
          <w:numId w:val="10"/>
        </w:numPr>
        <w:spacing w:line="276" w:lineRule="auto"/>
        <w:rPr>
          <w:lang w:val="en-GB"/>
        </w:rPr>
      </w:pPr>
      <w:proofErr w:type="spellStart"/>
      <w:r w:rsidRPr="00F54106">
        <w:rPr>
          <w:lang w:val="en-GB"/>
        </w:rPr>
        <w:t>Denkt</w:t>
      </w:r>
      <w:proofErr w:type="spellEnd"/>
      <w:r w:rsidRPr="00F54106">
        <w:rPr>
          <w:lang w:val="en-GB"/>
        </w:rPr>
        <w:t xml:space="preserve"> u </w:t>
      </w:r>
      <w:proofErr w:type="spellStart"/>
      <w:r w:rsidRPr="00F54106">
        <w:rPr>
          <w:lang w:val="en-GB"/>
        </w:rPr>
        <w:t>dat</w:t>
      </w:r>
      <w:proofErr w:type="spellEnd"/>
      <w:r w:rsidRPr="00F54106">
        <w:rPr>
          <w:lang w:val="en-GB"/>
        </w:rPr>
        <w:t xml:space="preserve"> er </w:t>
      </w:r>
      <w:proofErr w:type="spellStart"/>
      <w:r w:rsidRPr="00F54106">
        <w:rPr>
          <w:lang w:val="en-GB"/>
        </w:rPr>
        <w:t>specifieke</w:t>
      </w:r>
      <w:proofErr w:type="spellEnd"/>
      <w:r w:rsidRPr="00F54106">
        <w:rPr>
          <w:lang w:val="en-GB"/>
        </w:rPr>
        <w:t xml:space="preserve"> </w:t>
      </w:r>
      <w:proofErr w:type="spellStart"/>
      <w:r w:rsidRPr="00F54106">
        <w:rPr>
          <w:lang w:val="en-GB"/>
        </w:rPr>
        <w:t>elementen</w:t>
      </w:r>
      <w:proofErr w:type="spellEnd"/>
      <w:r w:rsidRPr="00F54106">
        <w:rPr>
          <w:lang w:val="en-GB"/>
        </w:rPr>
        <w:t xml:space="preserve"> van de </w:t>
      </w:r>
      <w:proofErr w:type="spellStart"/>
      <w:r w:rsidRPr="00F54106">
        <w:rPr>
          <w:lang w:val="en-GB"/>
        </w:rPr>
        <w:t>Nederlandse</w:t>
      </w:r>
      <w:proofErr w:type="spellEnd"/>
      <w:r w:rsidRPr="00F54106">
        <w:rPr>
          <w:lang w:val="en-GB"/>
        </w:rPr>
        <w:t xml:space="preserve"> </w:t>
      </w:r>
      <w:proofErr w:type="spellStart"/>
      <w:r w:rsidRPr="00F54106">
        <w:rPr>
          <w:lang w:val="en-GB"/>
        </w:rPr>
        <w:t>wetgeving</w:t>
      </w:r>
      <w:proofErr w:type="spellEnd"/>
      <w:r w:rsidRPr="00F54106">
        <w:rPr>
          <w:lang w:val="en-GB"/>
        </w:rPr>
        <w:t xml:space="preserve"> </w:t>
      </w:r>
      <w:proofErr w:type="spellStart"/>
      <w:r w:rsidRPr="00F54106">
        <w:rPr>
          <w:lang w:val="en-GB"/>
        </w:rPr>
        <w:t>zijn</w:t>
      </w:r>
      <w:proofErr w:type="spellEnd"/>
      <w:r w:rsidRPr="00F54106">
        <w:rPr>
          <w:lang w:val="en-GB"/>
        </w:rPr>
        <w:t xml:space="preserve"> (</w:t>
      </w:r>
      <w:proofErr w:type="spellStart"/>
      <w:r w:rsidRPr="00F54106">
        <w:rPr>
          <w:lang w:val="en-GB"/>
        </w:rPr>
        <w:t>zowel</w:t>
      </w:r>
      <w:proofErr w:type="spellEnd"/>
      <w:r w:rsidRPr="00F54106">
        <w:rPr>
          <w:lang w:val="en-GB"/>
        </w:rPr>
        <w:t xml:space="preserve"> </w:t>
      </w:r>
      <w:proofErr w:type="spellStart"/>
      <w:r w:rsidRPr="00F54106">
        <w:rPr>
          <w:lang w:val="en-GB"/>
        </w:rPr>
        <w:t>materieel</w:t>
      </w:r>
      <w:proofErr w:type="spellEnd"/>
      <w:r w:rsidRPr="00F54106">
        <w:rPr>
          <w:lang w:val="en-GB"/>
        </w:rPr>
        <w:t xml:space="preserve"> </w:t>
      </w:r>
      <w:proofErr w:type="spellStart"/>
      <w:r w:rsidRPr="00F54106">
        <w:rPr>
          <w:lang w:val="en-GB"/>
        </w:rPr>
        <w:t>als</w:t>
      </w:r>
      <w:proofErr w:type="spellEnd"/>
      <w:r w:rsidRPr="00F54106">
        <w:rPr>
          <w:lang w:val="en-GB"/>
        </w:rPr>
        <w:t xml:space="preserve"> </w:t>
      </w:r>
      <w:proofErr w:type="spellStart"/>
      <w:r w:rsidRPr="00F54106">
        <w:rPr>
          <w:lang w:val="en-GB"/>
        </w:rPr>
        <w:t>formeel</w:t>
      </w:r>
      <w:proofErr w:type="spellEnd"/>
      <w:r w:rsidRPr="00F54106">
        <w:rPr>
          <w:lang w:val="en-GB"/>
        </w:rPr>
        <w:t xml:space="preserve">) die de </w:t>
      </w:r>
      <w:proofErr w:type="spellStart"/>
      <w:r w:rsidRPr="00F54106">
        <w:rPr>
          <w:lang w:val="en-GB"/>
        </w:rPr>
        <w:t>aantrekkingskracht</w:t>
      </w:r>
      <w:proofErr w:type="spellEnd"/>
      <w:r w:rsidRPr="00F54106">
        <w:rPr>
          <w:lang w:val="en-GB"/>
        </w:rPr>
        <w:t xml:space="preserve"> van Nederland </w:t>
      </w:r>
      <w:proofErr w:type="spellStart"/>
      <w:r w:rsidRPr="00F54106">
        <w:rPr>
          <w:lang w:val="en-GB"/>
        </w:rPr>
        <w:t>als</w:t>
      </w:r>
      <w:proofErr w:type="spellEnd"/>
      <w:r w:rsidRPr="00F54106">
        <w:rPr>
          <w:lang w:val="en-GB"/>
        </w:rPr>
        <w:t xml:space="preserve"> forum </w:t>
      </w:r>
      <w:proofErr w:type="spellStart"/>
      <w:r w:rsidRPr="00F54106">
        <w:rPr>
          <w:lang w:val="en-GB"/>
        </w:rPr>
        <w:t>verhogen</w:t>
      </w:r>
      <w:proofErr w:type="spellEnd"/>
      <w:r w:rsidRPr="00F54106">
        <w:rPr>
          <w:lang w:val="en-GB"/>
        </w:rPr>
        <w:t xml:space="preserve"> of </w:t>
      </w:r>
      <w:proofErr w:type="spellStart"/>
      <w:r w:rsidRPr="00F54106">
        <w:rPr>
          <w:lang w:val="en-GB"/>
        </w:rPr>
        <w:t>verlagen</w:t>
      </w:r>
      <w:proofErr w:type="spellEnd"/>
      <w:r w:rsidRPr="00F54106">
        <w:rPr>
          <w:lang w:val="en-GB"/>
        </w:rPr>
        <w:t xml:space="preserve"> </w:t>
      </w:r>
      <w:proofErr w:type="spellStart"/>
      <w:r w:rsidRPr="00F54106">
        <w:rPr>
          <w:lang w:val="en-GB"/>
        </w:rPr>
        <w:t>vergeleken</w:t>
      </w:r>
      <w:proofErr w:type="spellEnd"/>
      <w:r w:rsidRPr="00F54106">
        <w:rPr>
          <w:lang w:val="en-GB"/>
        </w:rPr>
        <w:t xml:space="preserve"> met </w:t>
      </w:r>
      <w:proofErr w:type="spellStart"/>
      <w:r w:rsidRPr="00F54106">
        <w:rPr>
          <w:lang w:val="en-GB"/>
        </w:rPr>
        <w:t>andere</w:t>
      </w:r>
      <w:proofErr w:type="spellEnd"/>
      <w:r w:rsidRPr="00F54106">
        <w:rPr>
          <w:lang w:val="en-GB"/>
        </w:rPr>
        <w:t xml:space="preserve"> </w:t>
      </w:r>
      <w:proofErr w:type="spellStart"/>
      <w:r w:rsidRPr="00F54106">
        <w:rPr>
          <w:lang w:val="en-GB"/>
        </w:rPr>
        <w:t>landen</w:t>
      </w:r>
      <w:proofErr w:type="spellEnd"/>
      <w:r w:rsidRPr="00F54106">
        <w:rPr>
          <w:lang w:val="en-GB"/>
        </w:rPr>
        <w:t xml:space="preserve"> </w:t>
      </w:r>
      <w:proofErr w:type="spellStart"/>
      <w:r w:rsidRPr="00F54106">
        <w:rPr>
          <w:lang w:val="en-GB"/>
        </w:rPr>
        <w:t>en</w:t>
      </w:r>
      <w:proofErr w:type="spellEnd"/>
      <w:r w:rsidRPr="00F54106">
        <w:rPr>
          <w:lang w:val="en-GB"/>
        </w:rPr>
        <w:t xml:space="preserve">, zo </w:t>
      </w:r>
      <w:proofErr w:type="spellStart"/>
      <w:r w:rsidRPr="00F54106">
        <w:rPr>
          <w:lang w:val="en-GB"/>
        </w:rPr>
        <w:t>ja</w:t>
      </w:r>
      <w:proofErr w:type="spellEnd"/>
      <w:r w:rsidRPr="00F54106">
        <w:rPr>
          <w:lang w:val="en-GB"/>
        </w:rPr>
        <w:t xml:space="preserve">, </w:t>
      </w:r>
      <w:proofErr w:type="spellStart"/>
      <w:r w:rsidRPr="00F54106">
        <w:rPr>
          <w:lang w:val="en-GB"/>
        </w:rPr>
        <w:t>welke</w:t>
      </w:r>
      <w:proofErr w:type="spellEnd"/>
      <w:r w:rsidRPr="00F54106">
        <w:rPr>
          <w:lang w:val="en-GB"/>
        </w:rPr>
        <w:t xml:space="preserve"> </w:t>
      </w:r>
      <w:proofErr w:type="spellStart"/>
      <w:r w:rsidRPr="00F54106">
        <w:rPr>
          <w:lang w:val="en-GB"/>
        </w:rPr>
        <w:t>elementen</w:t>
      </w:r>
      <w:proofErr w:type="spellEnd"/>
      <w:r w:rsidRPr="00F54106">
        <w:rPr>
          <w:lang w:val="en-GB"/>
        </w:rPr>
        <w:t xml:space="preserve">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 (WAMCA)</w:t>
      </w:r>
    </w:p>
    <w:p w14:paraId="46407515" w14:textId="77777777" w:rsidR="00B172D4" w:rsidRPr="00F54106" w:rsidRDefault="00B172D4" w:rsidP="00FC31D7">
      <w:pPr>
        <w:pStyle w:val="ListParagraph"/>
        <w:spacing w:line="276" w:lineRule="auto"/>
        <w:rPr>
          <w:lang w:val="en-GB"/>
        </w:rPr>
      </w:pPr>
    </w:p>
    <w:p w14:paraId="31D87827" w14:textId="77777777" w:rsidR="00B172D4" w:rsidRPr="00F54106" w:rsidRDefault="00B172D4" w:rsidP="00FC31D7">
      <w:pPr>
        <w:pStyle w:val="ListParagraph"/>
        <w:numPr>
          <w:ilvl w:val="0"/>
          <w:numId w:val="10"/>
        </w:numPr>
        <w:spacing w:line="276" w:lineRule="auto"/>
        <w:rPr>
          <w:lang w:val="en-GB"/>
        </w:rPr>
      </w:pPr>
      <w:r w:rsidRPr="00F54106">
        <w:rPr>
          <w:lang w:val="en-GB"/>
        </w:rPr>
        <w:t xml:space="preserve">Met </w:t>
      </w:r>
      <w:proofErr w:type="spellStart"/>
      <w:r w:rsidRPr="00F54106">
        <w:rPr>
          <w:lang w:val="en-GB"/>
        </w:rPr>
        <w:t>welke</w:t>
      </w:r>
      <w:proofErr w:type="spellEnd"/>
      <w:r w:rsidRPr="00F54106">
        <w:rPr>
          <w:lang w:val="en-GB"/>
        </w:rPr>
        <w:t xml:space="preserve"> </w:t>
      </w:r>
      <w:proofErr w:type="spellStart"/>
      <w:r w:rsidRPr="00F54106">
        <w:rPr>
          <w:lang w:val="en-GB"/>
        </w:rPr>
        <w:t>factoren</w:t>
      </w:r>
      <w:proofErr w:type="spellEnd"/>
      <w:r w:rsidRPr="00F54106">
        <w:rPr>
          <w:lang w:val="en-GB"/>
        </w:rPr>
        <w:t xml:space="preserve"> </w:t>
      </w:r>
      <w:proofErr w:type="spellStart"/>
      <w:r w:rsidRPr="00F54106">
        <w:rPr>
          <w:lang w:val="en-GB"/>
        </w:rPr>
        <w:t>zullen</w:t>
      </w:r>
      <w:proofErr w:type="spellEnd"/>
      <w:r w:rsidRPr="00F54106">
        <w:rPr>
          <w:lang w:val="en-GB"/>
        </w:rPr>
        <w:t xml:space="preserve"> </w:t>
      </w:r>
      <w:proofErr w:type="spellStart"/>
      <w:r w:rsidRPr="00F54106">
        <w:rPr>
          <w:lang w:val="en-GB"/>
        </w:rPr>
        <w:t>schuldeisers</w:t>
      </w:r>
      <w:proofErr w:type="spellEnd"/>
      <w:r w:rsidRPr="00F54106">
        <w:rPr>
          <w:lang w:val="en-GB"/>
        </w:rPr>
        <w:t xml:space="preserve"> </w:t>
      </w:r>
      <w:proofErr w:type="spellStart"/>
      <w:r w:rsidRPr="00F54106">
        <w:rPr>
          <w:lang w:val="en-GB"/>
        </w:rPr>
        <w:t>naar</w:t>
      </w:r>
      <w:proofErr w:type="spellEnd"/>
      <w:r w:rsidRPr="00F54106">
        <w:rPr>
          <w:lang w:val="en-GB"/>
        </w:rPr>
        <w:t xml:space="preserve"> </w:t>
      </w:r>
      <w:proofErr w:type="spellStart"/>
      <w:r w:rsidRPr="00F54106">
        <w:rPr>
          <w:lang w:val="en-GB"/>
        </w:rPr>
        <w:t>uw</w:t>
      </w:r>
      <w:proofErr w:type="spellEnd"/>
      <w:r w:rsidRPr="00F54106">
        <w:rPr>
          <w:lang w:val="en-GB"/>
        </w:rPr>
        <w:t xml:space="preserve"> </w:t>
      </w:r>
      <w:proofErr w:type="spellStart"/>
      <w:r w:rsidRPr="00F54106">
        <w:rPr>
          <w:lang w:val="en-GB"/>
        </w:rPr>
        <w:t>mening</w:t>
      </w:r>
      <w:proofErr w:type="spellEnd"/>
      <w:r w:rsidRPr="00F54106">
        <w:rPr>
          <w:lang w:val="en-GB"/>
        </w:rPr>
        <w:t xml:space="preserve"> </w:t>
      </w:r>
      <w:proofErr w:type="spellStart"/>
      <w:r w:rsidRPr="00F54106">
        <w:rPr>
          <w:lang w:val="en-GB"/>
        </w:rPr>
        <w:t>rekening</w:t>
      </w:r>
      <w:proofErr w:type="spellEnd"/>
      <w:r w:rsidRPr="00F54106">
        <w:rPr>
          <w:lang w:val="en-GB"/>
        </w:rPr>
        <w:t xml:space="preserve"> </w:t>
      </w:r>
      <w:proofErr w:type="spellStart"/>
      <w:r w:rsidRPr="00F54106">
        <w:rPr>
          <w:lang w:val="en-GB"/>
        </w:rPr>
        <w:t>houden</w:t>
      </w:r>
      <w:proofErr w:type="spellEnd"/>
      <w:r w:rsidRPr="00F54106">
        <w:rPr>
          <w:lang w:val="en-GB"/>
        </w:rPr>
        <w:t xml:space="preserve"> </w:t>
      </w:r>
      <w:proofErr w:type="spellStart"/>
      <w:r w:rsidRPr="00F54106">
        <w:rPr>
          <w:lang w:val="en-GB"/>
        </w:rPr>
        <w:t>voordat</w:t>
      </w:r>
      <w:proofErr w:type="spellEnd"/>
      <w:r w:rsidRPr="00F54106">
        <w:rPr>
          <w:lang w:val="en-GB"/>
        </w:rPr>
        <w:t xml:space="preserve"> ze </w:t>
      </w:r>
      <w:proofErr w:type="spellStart"/>
      <w:r w:rsidRPr="00F54106">
        <w:rPr>
          <w:lang w:val="en-GB"/>
        </w:rPr>
        <w:t>een</w:t>
      </w:r>
      <w:proofErr w:type="spellEnd"/>
      <w:r w:rsidRPr="00F54106">
        <w:rPr>
          <w:lang w:val="en-GB"/>
        </w:rPr>
        <w:t xml:space="preserve"> </w:t>
      </w:r>
      <w:proofErr w:type="spellStart"/>
      <w:r w:rsidRPr="00F54106">
        <w:rPr>
          <w:lang w:val="en-GB"/>
        </w:rPr>
        <w:t>rechtbank</w:t>
      </w:r>
      <w:proofErr w:type="spellEnd"/>
      <w:r w:rsidRPr="00F54106">
        <w:rPr>
          <w:lang w:val="en-GB"/>
        </w:rPr>
        <w:t xml:space="preserve"> </w:t>
      </w:r>
      <w:proofErr w:type="spellStart"/>
      <w:r w:rsidRPr="00F54106">
        <w:rPr>
          <w:lang w:val="en-GB"/>
        </w:rPr>
        <w:t>kiezen</w:t>
      </w:r>
      <w:proofErr w:type="spellEnd"/>
      <w:r w:rsidRPr="00F54106">
        <w:rPr>
          <w:lang w:val="en-GB"/>
        </w:rPr>
        <w:t xml:space="preserve">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 (length of procedure)</w:t>
      </w:r>
    </w:p>
    <w:p w14:paraId="58863B9F" w14:textId="77777777" w:rsidR="00B172D4" w:rsidRPr="00F54106" w:rsidRDefault="00B172D4" w:rsidP="00FC31D7">
      <w:pPr>
        <w:pStyle w:val="ListParagraph"/>
        <w:spacing w:line="276" w:lineRule="auto"/>
        <w:rPr>
          <w:lang w:val="en-GB"/>
        </w:rPr>
      </w:pPr>
    </w:p>
    <w:p w14:paraId="30AA193B" w14:textId="77777777" w:rsidR="00B172D4" w:rsidRPr="00F54106" w:rsidRDefault="00B172D4" w:rsidP="00FC31D7">
      <w:pPr>
        <w:pStyle w:val="ListParagraph"/>
        <w:numPr>
          <w:ilvl w:val="0"/>
          <w:numId w:val="10"/>
        </w:numPr>
        <w:spacing w:line="276" w:lineRule="auto"/>
        <w:rPr>
          <w:lang w:val="en-GB"/>
        </w:rPr>
      </w:pPr>
      <w:r w:rsidRPr="00F54106">
        <w:rPr>
          <w:lang w:val="en-GB"/>
        </w:rPr>
        <w:t xml:space="preserve">Bent u het </w:t>
      </w:r>
      <w:proofErr w:type="spellStart"/>
      <w:r w:rsidRPr="00F54106">
        <w:rPr>
          <w:lang w:val="en-GB"/>
        </w:rPr>
        <w:t>ermee</w:t>
      </w:r>
      <w:proofErr w:type="spellEnd"/>
      <w:r w:rsidRPr="00F54106">
        <w:rPr>
          <w:lang w:val="en-GB"/>
        </w:rPr>
        <w:t xml:space="preserve"> </w:t>
      </w:r>
      <w:proofErr w:type="spellStart"/>
      <w:r w:rsidRPr="00F54106">
        <w:rPr>
          <w:lang w:val="en-GB"/>
        </w:rPr>
        <w:t>eens</w:t>
      </w:r>
      <w:proofErr w:type="spellEnd"/>
      <w:r w:rsidRPr="00F54106">
        <w:rPr>
          <w:lang w:val="en-GB"/>
        </w:rPr>
        <w:t xml:space="preserve"> </w:t>
      </w:r>
      <w:proofErr w:type="spellStart"/>
      <w:r w:rsidRPr="00F54106">
        <w:rPr>
          <w:lang w:val="en-GB"/>
        </w:rPr>
        <w:t>dat</w:t>
      </w:r>
      <w:proofErr w:type="spellEnd"/>
      <w:r w:rsidRPr="00F54106">
        <w:rPr>
          <w:lang w:val="en-GB"/>
        </w:rPr>
        <w:t xml:space="preserve"> de </w:t>
      </w:r>
      <w:proofErr w:type="spellStart"/>
      <w:r w:rsidRPr="00F54106">
        <w:rPr>
          <w:lang w:val="en-GB"/>
        </w:rPr>
        <w:t>kwaliteit</w:t>
      </w:r>
      <w:proofErr w:type="spellEnd"/>
      <w:r w:rsidRPr="00F54106">
        <w:rPr>
          <w:lang w:val="en-GB"/>
        </w:rPr>
        <w:t xml:space="preserve"> van </w:t>
      </w:r>
      <w:proofErr w:type="spellStart"/>
      <w:r w:rsidRPr="00F54106">
        <w:rPr>
          <w:lang w:val="en-GB"/>
        </w:rPr>
        <w:t>rechters</w:t>
      </w:r>
      <w:proofErr w:type="spellEnd"/>
      <w:r w:rsidRPr="00F54106">
        <w:rPr>
          <w:lang w:val="en-GB"/>
        </w:rPr>
        <w:t xml:space="preserve"> op het </w:t>
      </w:r>
      <w:proofErr w:type="spellStart"/>
      <w:r w:rsidRPr="00F54106">
        <w:rPr>
          <w:lang w:val="en-GB"/>
        </w:rPr>
        <w:t>gebied</w:t>
      </w:r>
      <w:proofErr w:type="spellEnd"/>
      <w:r w:rsidRPr="00F54106">
        <w:rPr>
          <w:lang w:val="en-GB"/>
        </w:rPr>
        <w:t xml:space="preserve"> van </w:t>
      </w:r>
      <w:proofErr w:type="spellStart"/>
      <w:r w:rsidRPr="00F54106">
        <w:rPr>
          <w:lang w:val="en-GB"/>
        </w:rPr>
        <w:t>bijvoorbeeld</w:t>
      </w:r>
      <w:proofErr w:type="spellEnd"/>
      <w:r w:rsidRPr="00F54106">
        <w:rPr>
          <w:lang w:val="en-GB"/>
        </w:rPr>
        <w:t xml:space="preserve"> </w:t>
      </w:r>
      <w:proofErr w:type="spellStart"/>
      <w:r w:rsidRPr="00F54106">
        <w:rPr>
          <w:lang w:val="en-GB"/>
        </w:rPr>
        <w:t>onderwijs</w:t>
      </w:r>
      <w:proofErr w:type="spellEnd"/>
      <w:r w:rsidRPr="00F54106">
        <w:rPr>
          <w:lang w:val="en-GB"/>
        </w:rPr>
        <w:t xml:space="preserve">, </w:t>
      </w:r>
      <w:proofErr w:type="spellStart"/>
      <w:r w:rsidRPr="00F54106">
        <w:rPr>
          <w:lang w:val="en-GB"/>
        </w:rPr>
        <w:t>professionele</w:t>
      </w:r>
      <w:proofErr w:type="spellEnd"/>
      <w:r w:rsidRPr="00F54106">
        <w:rPr>
          <w:lang w:val="en-GB"/>
        </w:rPr>
        <w:t xml:space="preserve"> training of </w:t>
      </w:r>
      <w:proofErr w:type="spellStart"/>
      <w:r w:rsidRPr="00F54106">
        <w:rPr>
          <w:lang w:val="en-GB"/>
        </w:rPr>
        <w:t>talenkennis</w:t>
      </w:r>
      <w:proofErr w:type="spellEnd"/>
      <w:r w:rsidRPr="00F54106">
        <w:rPr>
          <w:lang w:val="en-GB"/>
        </w:rPr>
        <w:t xml:space="preserve"> </w:t>
      </w:r>
      <w:proofErr w:type="spellStart"/>
      <w:r w:rsidRPr="00F54106">
        <w:rPr>
          <w:lang w:val="en-GB"/>
        </w:rPr>
        <w:t>een</w:t>
      </w:r>
      <w:proofErr w:type="spellEnd"/>
      <w:r w:rsidRPr="00F54106">
        <w:rPr>
          <w:lang w:val="en-GB"/>
        </w:rPr>
        <w:t xml:space="preserve"> </w:t>
      </w:r>
      <w:proofErr w:type="spellStart"/>
      <w:r w:rsidRPr="00F54106">
        <w:rPr>
          <w:lang w:val="en-GB"/>
        </w:rPr>
        <w:t>rol</w:t>
      </w:r>
      <w:proofErr w:type="spellEnd"/>
      <w:r w:rsidRPr="00F54106">
        <w:rPr>
          <w:lang w:val="en-GB"/>
        </w:rPr>
        <w:t xml:space="preserve"> </w:t>
      </w:r>
      <w:proofErr w:type="spellStart"/>
      <w:r w:rsidRPr="00F54106">
        <w:rPr>
          <w:lang w:val="en-GB"/>
        </w:rPr>
        <w:t>speelt</w:t>
      </w:r>
      <w:proofErr w:type="spellEnd"/>
      <w:r w:rsidRPr="00F54106">
        <w:rPr>
          <w:lang w:val="en-GB"/>
        </w:rPr>
        <w:t xml:space="preserve"> </w:t>
      </w:r>
      <w:proofErr w:type="spellStart"/>
      <w:r w:rsidRPr="00F54106">
        <w:rPr>
          <w:lang w:val="en-GB"/>
        </w:rPr>
        <w:t>bij</w:t>
      </w:r>
      <w:proofErr w:type="spellEnd"/>
      <w:r w:rsidRPr="00F54106">
        <w:rPr>
          <w:lang w:val="en-GB"/>
        </w:rPr>
        <w:t xml:space="preserve"> het forum </w:t>
      </w:r>
      <w:proofErr w:type="spellStart"/>
      <w:r w:rsidRPr="00F54106">
        <w:rPr>
          <w:lang w:val="en-GB"/>
        </w:rPr>
        <w:t>shoppen</w:t>
      </w:r>
      <w:proofErr w:type="spellEnd"/>
      <w:r w:rsidRPr="00F54106">
        <w:rPr>
          <w:lang w:val="en-GB"/>
        </w:rPr>
        <w:t xml:space="preserve"> in Nederland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 xml:space="preserve"> (</w:t>
      </w:r>
      <w:proofErr w:type="spellStart"/>
      <w:r w:rsidRPr="00F54106">
        <w:rPr>
          <w:lang w:val="en-GB"/>
        </w:rPr>
        <w:t>niet</w:t>
      </w:r>
      <w:proofErr w:type="spellEnd"/>
      <w:r w:rsidRPr="00F54106">
        <w:rPr>
          <w:lang w:val="en-GB"/>
        </w:rPr>
        <w:t>)? (language knowledge, objectivity, capability, reputation)</w:t>
      </w:r>
    </w:p>
    <w:p w14:paraId="0896B771" w14:textId="77777777" w:rsidR="00B172D4" w:rsidRPr="00F54106" w:rsidRDefault="00B172D4" w:rsidP="00FC31D7">
      <w:pPr>
        <w:pStyle w:val="ListParagraph"/>
        <w:spacing w:line="276" w:lineRule="auto"/>
        <w:rPr>
          <w:lang w:val="en-GB"/>
        </w:rPr>
      </w:pPr>
    </w:p>
    <w:p w14:paraId="190816B6" w14:textId="77777777" w:rsidR="00B172D4" w:rsidRPr="00F54106" w:rsidRDefault="00B172D4" w:rsidP="00FC31D7">
      <w:pPr>
        <w:pStyle w:val="ListParagraph"/>
        <w:numPr>
          <w:ilvl w:val="0"/>
          <w:numId w:val="10"/>
        </w:numPr>
        <w:spacing w:line="276" w:lineRule="auto"/>
        <w:rPr>
          <w:lang w:val="en-GB"/>
        </w:rPr>
      </w:pPr>
      <w:proofErr w:type="spellStart"/>
      <w:r w:rsidRPr="00F54106">
        <w:rPr>
          <w:lang w:val="en-GB"/>
        </w:rPr>
        <w:t>Vind</w:t>
      </w:r>
      <w:proofErr w:type="spellEnd"/>
      <w:r w:rsidRPr="00F54106">
        <w:rPr>
          <w:lang w:val="en-GB"/>
        </w:rPr>
        <w:t xml:space="preserve"> u </w:t>
      </w:r>
      <w:proofErr w:type="spellStart"/>
      <w:r w:rsidRPr="00F54106">
        <w:rPr>
          <w:lang w:val="en-GB"/>
        </w:rPr>
        <w:t>dat</w:t>
      </w:r>
      <w:proofErr w:type="spellEnd"/>
      <w:r w:rsidRPr="00F54106">
        <w:rPr>
          <w:lang w:val="en-GB"/>
        </w:rPr>
        <w:t xml:space="preserve"> de </w:t>
      </w:r>
      <w:proofErr w:type="spellStart"/>
      <w:r w:rsidRPr="00F54106">
        <w:rPr>
          <w:lang w:val="en-GB"/>
        </w:rPr>
        <w:t>hoeveelheid</w:t>
      </w:r>
      <w:proofErr w:type="spellEnd"/>
      <w:r w:rsidRPr="00F54106">
        <w:rPr>
          <w:lang w:val="en-GB"/>
        </w:rPr>
        <w:t xml:space="preserve"> </w:t>
      </w:r>
      <w:proofErr w:type="spellStart"/>
      <w:r w:rsidRPr="00F54106">
        <w:rPr>
          <w:lang w:val="en-GB"/>
        </w:rPr>
        <w:t>aan</w:t>
      </w:r>
      <w:proofErr w:type="spellEnd"/>
      <w:r w:rsidRPr="00F54106">
        <w:rPr>
          <w:lang w:val="en-GB"/>
        </w:rPr>
        <w:t xml:space="preserve"> </w:t>
      </w:r>
      <w:proofErr w:type="spellStart"/>
      <w:r w:rsidRPr="00F54106">
        <w:rPr>
          <w:lang w:val="en-GB"/>
        </w:rPr>
        <w:t>relevante</w:t>
      </w:r>
      <w:proofErr w:type="spellEnd"/>
      <w:r w:rsidRPr="00F54106">
        <w:rPr>
          <w:lang w:val="en-GB"/>
        </w:rPr>
        <w:t xml:space="preserve"> </w:t>
      </w:r>
      <w:proofErr w:type="spellStart"/>
      <w:r w:rsidRPr="00F54106">
        <w:rPr>
          <w:lang w:val="en-GB"/>
        </w:rPr>
        <w:t>precedenten</w:t>
      </w:r>
      <w:proofErr w:type="spellEnd"/>
      <w:r w:rsidRPr="00F54106">
        <w:rPr>
          <w:lang w:val="en-GB"/>
        </w:rPr>
        <w:t xml:space="preserve"> in Nederland </w:t>
      </w:r>
      <w:proofErr w:type="spellStart"/>
      <w:r w:rsidRPr="00F54106">
        <w:rPr>
          <w:lang w:val="en-GB"/>
        </w:rPr>
        <w:t>een</w:t>
      </w:r>
      <w:proofErr w:type="spellEnd"/>
      <w:r w:rsidRPr="00F54106">
        <w:rPr>
          <w:lang w:val="en-GB"/>
        </w:rPr>
        <w:t xml:space="preserve"> </w:t>
      </w:r>
      <w:proofErr w:type="spellStart"/>
      <w:r w:rsidRPr="00F54106">
        <w:rPr>
          <w:lang w:val="en-GB"/>
        </w:rPr>
        <w:t>belangrijk</w:t>
      </w:r>
      <w:proofErr w:type="spellEnd"/>
      <w:r w:rsidRPr="00F54106">
        <w:rPr>
          <w:lang w:val="en-GB"/>
        </w:rPr>
        <w:t xml:space="preserve"> element </w:t>
      </w:r>
      <w:proofErr w:type="spellStart"/>
      <w:r w:rsidRPr="00F54106">
        <w:rPr>
          <w:lang w:val="en-GB"/>
        </w:rPr>
        <w:t>vormt</w:t>
      </w:r>
      <w:proofErr w:type="spellEnd"/>
      <w:r w:rsidRPr="00F54106">
        <w:rPr>
          <w:lang w:val="en-GB"/>
        </w:rPr>
        <w:t xml:space="preserve"> </w:t>
      </w:r>
      <w:proofErr w:type="spellStart"/>
      <w:r w:rsidRPr="00F54106">
        <w:rPr>
          <w:lang w:val="en-GB"/>
        </w:rPr>
        <w:t>voor</w:t>
      </w:r>
      <w:proofErr w:type="spellEnd"/>
      <w:r w:rsidRPr="00F54106">
        <w:rPr>
          <w:lang w:val="en-GB"/>
        </w:rPr>
        <w:t xml:space="preserve"> forum </w:t>
      </w:r>
      <w:proofErr w:type="spellStart"/>
      <w:r w:rsidRPr="00F54106">
        <w:rPr>
          <w:lang w:val="en-GB"/>
        </w:rPr>
        <w:t>shoppen</w:t>
      </w:r>
      <w:proofErr w:type="spellEnd"/>
      <w:r w:rsidRPr="00F54106">
        <w:rPr>
          <w:lang w:val="en-GB"/>
        </w:rPr>
        <w:t xml:space="preserve"> in Nederland, </w:t>
      </w:r>
      <w:proofErr w:type="spellStart"/>
      <w:r w:rsidRPr="00F54106">
        <w:rPr>
          <w:lang w:val="en-GB"/>
        </w:rPr>
        <w:t>bijvoorbeeld</w:t>
      </w:r>
      <w:proofErr w:type="spellEnd"/>
      <w:r w:rsidRPr="00F54106">
        <w:rPr>
          <w:lang w:val="en-GB"/>
        </w:rPr>
        <w:t xml:space="preserve">, </w:t>
      </w:r>
      <w:proofErr w:type="spellStart"/>
      <w:r w:rsidRPr="00F54106">
        <w:rPr>
          <w:lang w:val="en-GB"/>
        </w:rPr>
        <w:t>vanwege</w:t>
      </w:r>
      <w:proofErr w:type="spellEnd"/>
      <w:r w:rsidRPr="00F54106">
        <w:rPr>
          <w:lang w:val="en-GB"/>
        </w:rPr>
        <w:t xml:space="preserve"> de </w:t>
      </w:r>
      <w:proofErr w:type="spellStart"/>
      <w:r w:rsidRPr="00F54106">
        <w:rPr>
          <w:lang w:val="en-GB"/>
        </w:rPr>
        <w:t>hogere</w:t>
      </w:r>
      <w:proofErr w:type="spellEnd"/>
      <w:r w:rsidRPr="00F54106">
        <w:rPr>
          <w:lang w:val="en-GB"/>
        </w:rPr>
        <w:t xml:space="preserve"> </w:t>
      </w:r>
      <w:proofErr w:type="spellStart"/>
      <w:r w:rsidRPr="00F54106">
        <w:rPr>
          <w:lang w:val="en-GB"/>
        </w:rPr>
        <w:t>rechtszekerheid</w:t>
      </w:r>
      <w:proofErr w:type="spellEnd"/>
      <w:r w:rsidRPr="00F54106">
        <w:rPr>
          <w:lang w:val="en-GB"/>
        </w:rPr>
        <w:t xml:space="preserve"> die het </w:t>
      </w:r>
      <w:proofErr w:type="spellStart"/>
      <w:r w:rsidRPr="00F54106">
        <w:rPr>
          <w:lang w:val="en-GB"/>
        </w:rPr>
        <w:t>creëert</w:t>
      </w:r>
      <w:proofErr w:type="spellEnd"/>
      <w:r w:rsidRPr="00F54106">
        <w:rPr>
          <w:lang w:val="en-GB"/>
        </w:rPr>
        <w:t xml:space="preserve">,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 xml:space="preserve"> (</w:t>
      </w:r>
      <w:proofErr w:type="spellStart"/>
      <w:r w:rsidRPr="00F54106">
        <w:rPr>
          <w:lang w:val="en-GB"/>
        </w:rPr>
        <w:t>niet</w:t>
      </w:r>
      <w:proofErr w:type="spellEnd"/>
      <w:r w:rsidRPr="00F54106">
        <w:rPr>
          <w:lang w:val="en-GB"/>
        </w:rPr>
        <w:t>)?</w:t>
      </w:r>
    </w:p>
    <w:p w14:paraId="665C017B" w14:textId="77777777" w:rsidR="00B172D4" w:rsidRPr="00F54106" w:rsidRDefault="00B172D4" w:rsidP="00FC31D7">
      <w:pPr>
        <w:pStyle w:val="ListParagraph"/>
        <w:spacing w:line="276" w:lineRule="auto"/>
        <w:rPr>
          <w:lang w:val="en-GB"/>
        </w:rPr>
      </w:pPr>
    </w:p>
    <w:p w14:paraId="72B1C2D1" w14:textId="77777777" w:rsidR="00B172D4" w:rsidRPr="00F54106" w:rsidRDefault="00B172D4" w:rsidP="00FC31D7">
      <w:pPr>
        <w:pStyle w:val="ListParagraph"/>
        <w:numPr>
          <w:ilvl w:val="0"/>
          <w:numId w:val="10"/>
        </w:numPr>
        <w:spacing w:line="276" w:lineRule="auto"/>
        <w:rPr>
          <w:lang w:val="en-GB"/>
        </w:rPr>
      </w:pPr>
      <w:r w:rsidRPr="00F54106">
        <w:rPr>
          <w:lang w:val="en-GB"/>
        </w:rPr>
        <w:t xml:space="preserve">In </w:t>
      </w:r>
      <w:proofErr w:type="spellStart"/>
      <w:r w:rsidRPr="00F54106">
        <w:rPr>
          <w:lang w:val="en-GB"/>
        </w:rPr>
        <w:t>hoeverre</w:t>
      </w:r>
      <w:proofErr w:type="spellEnd"/>
      <w:r w:rsidRPr="00F54106">
        <w:rPr>
          <w:lang w:val="en-GB"/>
        </w:rPr>
        <w:t xml:space="preserve"> </w:t>
      </w:r>
      <w:proofErr w:type="spellStart"/>
      <w:r w:rsidRPr="00F54106">
        <w:rPr>
          <w:lang w:val="en-GB"/>
        </w:rPr>
        <w:t>zijn</w:t>
      </w:r>
      <w:proofErr w:type="spellEnd"/>
      <w:r w:rsidRPr="00F54106">
        <w:rPr>
          <w:lang w:val="en-GB"/>
        </w:rPr>
        <w:t xml:space="preserve"> de </w:t>
      </w:r>
      <w:proofErr w:type="spellStart"/>
      <w:r w:rsidRPr="00F54106">
        <w:rPr>
          <w:lang w:val="en-GB"/>
        </w:rPr>
        <w:t>relatief</w:t>
      </w:r>
      <w:proofErr w:type="spellEnd"/>
      <w:r w:rsidRPr="00F54106">
        <w:rPr>
          <w:lang w:val="en-GB"/>
        </w:rPr>
        <w:t xml:space="preserve"> </w:t>
      </w:r>
      <w:proofErr w:type="spellStart"/>
      <w:r w:rsidRPr="00F54106">
        <w:rPr>
          <w:lang w:val="en-GB"/>
        </w:rPr>
        <w:t>goedkope</w:t>
      </w:r>
      <w:proofErr w:type="spellEnd"/>
      <w:r w:rsidRPr="00F54106">
        <w:rPr>
          <w:lang w:val="en-GB"/>
        </w:rPr>
        <w:t xml:space="preserve"> </w:t>
      </w:r>
      <w:proofErr w:type="spellStart"/>
      <w:r w:rsidRPr="00F54106">
        <w:rPr>
          <w:lang w:val="en-GB"/>
        </w:rPr>
        <w:t>griffierechten</w:t>
      </w:r>
      <w:proofErr w:type="spellEnd"/>
      <w:r w:rsidRPr="00F54106">
        <w:rPr>
          <w:lang w:val="en-GB"/>
        </w:rPr>
        <w:t xml:space="preserve"> </w:t>
      </w:r>
      <w:proofErr w:type="spellStart"/>
      <w:r w:rsidRPr="00F54106">
        <w:rPr>
          <w:lang w:val="en-GB"/>
        </w:rPr>
        <w:t>naar</w:t>
      </w:r>
      <w:proofErr w:type="spellEnd"/>
      <w:r w:rsidRPr="00F54106">
        <w:rPr>
          <w:lang w:val="en-GB"/>
        </w:rPr>
        <w:t xml:space="preserve"> </w:t>
      </w:r>
      <w:proofErr w:type="spellStart"/>
      <w:r w:rsidRPr="00F54106">
        <w:rPr>
          <w:lang w:val="en-GB"/>
        </w:rPr>
        <w:t>uw</w:t>
      </w:r>
      <w:proofErr w:type="spellEnd"/>
      <w:r w:rsidRPr="00F54106">
        <w:rPr>
          <w:lang w:val="en-GB"/>
        </w:rPr>
        <w:t xml:space="preserve"> </w:t>
      </w:r>
      <w:proofErr w:type="spellStart"/>
      <w:r w:rsidRPr="00F54106">
        <w:rPr>
          <w:lang w:val="en-GB"/>
        </w:rPr>
        <w:t>mening</w:t>
      </w:r>
      <w:proofErr w:type="spellEnd"/>
      <w:r w:rsidRPr="00F54106">
        <w:rPr>
          <w:lang w:val="en-GB"/>
        </w:rPr>
        <w:t xml:space="preserve"> </w:t>
      </w:r>
      <w:proofErr w:type="spellStart"/>
      <w:r w:rsidRPr="00F54106">
        <w:rPr>
          <w:lang w:val="en-GB"/>
        </w:rPr>
        <w:t>een</w:t>
      </w:r>
      <w:proofErr w:type="spellEnd"/>
      <w:r w:rsidRPr="00F54106">
        <w:rPr>
          <w:lang w:val="en-GB"/>
        </w:rPr>
        <w:t xml:space="preserve"> </w:t>
      </w:r>
      <w:proofErr w:type="spellStart"/>
      <w:r w:rsidRPr="00F54106">
        <w:rPr>
          <w:lang w:val="en-GB"/>
        </w:rPr>
        <w:t>belangrijke</w:t>
      </w:r>
      <w:proofErr w:type="spellEnd"/>
      <w:r w:rsidRPr="00F54106">
        <w:rPr>
          <w:lang w:val="en-GB"/>
        </w:rPr>
        <w:t xml:space="preserve"> factor </w:t>
      </w:r>
      <w:proofErr w:type="spellStart"/>
      <w:r w:rsidRPr="00F54106">
        <w:rPr>
          <w:lang w:val="en-GB"/>
        </w:rPr>
        <w:t>voor</w:t>
      </w:r>
      <w:proofErr w:type="spellEnd"/>
      <w:r w:rsidRPr="00F54106">
        <w:rPr>
          <w:lang w:val="en-GB"/>
        </w:rPr>
        <w:t xml:space="preserve"> </w:t>
      </w:r>
      <w:proofErr w:type="spellStart"/>
      <w:r w:rsidRPr="00F54106">
        <w:rPr>
          <w:lang w:val="en-GB"/>
        </w:rPr>
        <w:t>schuldeisers</w:t>
      </w:r>
      <w:proofErr w:type="spellEnd"/>
      <w:r w:rsidRPr="00F54106">
        <w:rPr>
          <w:lang w:val="en-GB"/>
        </w:rPr>
        <w:t xml:space="preserve"> om </w:t>
      </w:r>
      <w:proofErr w:type="spellStart"/>
      <w:r w:rsidRPr="00F54106">
        <w:rPr>
          <w:lang w:val="en-GB"/>
        </w:rPr>
        <w:t>voor</w:t>
      </w:r>
      <w:proofErr w:type="spellEnd"/>
      <w:r w:rsidRPr="00F54106">
        <w:rPr>
          <w:lang w:val="en-GB"/>
        </w:rPr>
        <w:t xml:space="preserve"> </w:t>
      </w:r>
      <w:proofErr w:type="spellStart"/>
      <w:r w:rsidRPr="00F54106">
        <w:rPr>
          <w:lang w:val="en-GB"/>
        </w:rPr>
        <w:t>een</w:t>
      </w:r>
      <w:proofErr w:type="spellEnd"/>
      <w:r w:rsidRPr="00F54106">
        <w:rPr>
          <w:lang w:val="en-GB"/>
        </w:rPr>
        <w:t xml:space="preserve"> </w:t>
      </w:r>
      <w:proofErr w:type="spellStart"/>
      <w:r w:rsidRPr="00F54106">
        <w:rPr>
          <w:lang w:val="en-GB"/>
        </w:rPr>
        <w:t>Nederlandse</w:t>
      </w:r>
      <w:proofErr w:type="spellEnd"/>
      <w:r w:rsidRPr="00F54106">
        <w:rPr>
          <w:lang w:val="en-GB"/>
        </w:rPr>
        <w:t xml:space="preserve"> </w:t>
      </w:r>
      <w:proofErr w:type="spellStart"/>
      <w:r w:rsidRPr="00F54106">
        <w:rPr>
          <w:lang w:val="en-GB"/>
        </w:rPr>
        <w:t>rechtbank</w:t>
      </w:r>
      <w:proofErr w:type="spellEnd"/>
      <w:r w:rsidRPr="00F54106">
        <w:rPr>
          <w:lang w:val="en-GB"/>
        </w:rPr>
        <w:t xml:space="preserve"> </w:t>
      </w:r>
      <w:proofErr w:type="spellStart"/>
      <w:r w:rsidRPr="00F54106">
        <w:rPr>
          <w:lang w:val="en-GB"/>
        </w:rPr>
        <w:t>te</w:t>
      </w:r>
      <w:proofErr w:type="spellEnd"/>
      <w:r w:rsidRPr="00F54106">
        <w:rPr>
          <w:lang w:val="en-GB"/>
        </w:rPr>
        <w:t xml:space="preserve"> </w:t>
      </w:r>
      <w:proofErr w:type="spellStart"/>
      <w:r w:rsidRPr="00F54106">
        <w:rPr>
          <w:lang w:val="en-GB"/>
        </w:rPr>
        <w:t>kiezen</w:t>
      </w:r>
      <w:proofErr w:type="spellEnd"/>
      <w:r w:rsidRPr="00F54106">
        <w:rPr>
          <w:lang w:val="en-GB"/>
        </w:rPr>
        <w:t>?</w:t>
      </w:r>
    </w:p>
    <w:p w14:paraId="288BC4C9" w14:textId="77777777" w:rsidR="00B172D4" w:rsidRPr="00F54106" w:rsidRDefault="00B172D4" w:rsidP="00FC31D7">
      <w:pPr>
        <w:pStyle w:val="ListParagraph"/>
        <w:spacing w:line="276" w:lineRule="auto"/>
        <w:rPr>
          <w:lang w:val="en-GB"/>
        </w:rPr>
      </w:pPr>
    </w:p>
    <w:p w14:paraId="15092C69" w14:textId="77777777" w:rsidR="00B172D4" w:rsidRPr="00F54106" w:rsidRDefault="00B172D4" w:rsidP="00FC31D7">
      <w:pPr>
        <w:pStyle w:val="ListParagraph"/>
        <w:numPr>
          <w:ilvl w:val="0"/>
          <w:numId w:val="10"/>
        </w:numPr>
        <w:spacing w:line="276" w:lineRule="auto"/>
        <w:rPr>
          <w:lang w:val="en-GB"/>
        </w:rPr>
      </w:pPr>
      <w:r w:rsidRPr="00F54106">
        <w:rPr>
          <w:lang w:val="en-GB"/>
        </w:rPr>
        <w:t xml:space="preserve">In </w:t>
      </w:r>
      <w:proofErr w:type="spellStart"/>
      <w:r w:rsidRPr="00F54106">
        <w:rPr>
          <w:lang w:val="en-GB"/>
        </w:rPr>
        <w:t>hoeverre</w:t>
      </w:r>
      <w:proofErr w:type="spellEnd"/>
      <w:r w:rsidRPr="00F54106">
        <w:rPr>
          <w:lang w:val="en-GB"/>
        </w:rPr>
        <w:t xml:space="preserve"> </w:t>
      </w:r>
      <w:proofErr w:type="spellStart"/>
      <w:r w:rsidRPr="00F54106">
        <w:rPr>
          <w:lang w:val="en-GB"/>
        </w:rPr>
        <w:t>wordt</w:t>
      </w:r>
      <w:proofErr w:type="spellEnd"/>
      <w:r w:rsidRPr="00F54106">
        <w:rPr>
          <w:lang w:val="en-GB"/>
        </w:rPr>
        <w:t xml:space="preserve"> </w:t>
      </w:r>
      <w:r w:rsidRPr="00F54106">
        <w:rPr>
          <w:i/>
          <w:iCs/>
          <w:lang w:val="en-GB"/>
        </w:rPr>
        <w:t>ambulance-chasing</w:t>
      </w:r>
      <w:r w:rsidRPr="00F54106">
        <w:rPr>
          <w:lang w:val="en-GB"/>
        </w:rPr>
        <w:t xml:space="preserve">* </w:t>
      </w:r>
      <w:proofErr w:type="spellStart"/>
      <w:r w:rsidRPr="00F54106">
        <w:rPr>
          <w:lang w:val="en-GB"/>
        </w:rPr>
        <w:t>regelmatig</w:t>
      </w:r>
      <w:proofErr w:type="spellEnd"/>
      <w:r w:rsidRPr="00F54106">
        <w:rPr>
          <w:lang w:val="en-GB"/>
        </w:rPr>
        <w:t xml:space="preserve"> </w:t>
      </w:r>
      <w:proofErr w:type="spellStart"/>
      <w:r w:rsidRPr="00F54106">
        <w:rPr>
          <w:lang w:val="en-GB"/>
        </w:rPr>
        <w:t>toegepast</w:t>
      </w:r>
      <w:proofErr w:type="spellEnd"/>
      <w:r w:rsidRPr="00F54106">
        <w:rPr>
          <w:lang w:val="en-GB"/>
        </w:rPr>
        <w:t xml:space="preserve"> door </w:t>
      </w:r>
      <w:proofErr w:type="spellStart"/>
      <w:r w:rsidRPr="00F54106">
        <w:rPr>
          <w:lang w:val="en-GB"/>
        </w:rPr>
        <w:t>advocatenkantoren</w:t>
      </w:r>
      <w:proofErr w:type="spellEnd"/>
      <w:r w:rsidRPr="00F54106">
        <w:rPr>
          <w:lang w:val="en-GB"/>
        </w:rPr>
        <w:t xml:space="preserve"> in Nederland, </w:t>
      </w:r>
      <w:proofErr w:type="spellStart"/>
      <w:r w:rsidRPr="00F54106">
        <w:rPr>
          <w:lang w:val="en-GB"/>
        </w:rPr>
        <w:t>en</w:t>
      </w:r>
      <w:proofErr w:type="spellEnd"/>
      <w:r w:rsidRPr="00F54106">
        <w:rPr>
          <w:lang w:val="en-GB"/>
        </w:rPr>
        <w:t xml:space="preserve"> in </w:t>
      </w:r>
      <w:proofErr w:type="spellStart"/>
      <w:r w:rsidRPr="00F54106">
        <w:rPr>
          <w:lang w:val="en-GB"/>
        </w:rPr>
        <w:t>hoeverre</w:t>
      </w:r>
      <w:proofErr w:type="spellEnd"/>
      <w:r w:rsidRPr="00F54106">
        <w:rPr>
          <w:lang w:val="en-GB"/>
        </w:rPr>
        <w:t xml:space="preserve"> </w:t>
      </w:r>
      <w:proofErr w:type="spellStart"/>
      <w:r w:rsidRPr="00F54106">
        <w:rPr>
          <w:lang w:val="en-GB"/>
        </w:rPr>
        <w:t>zijn</w:t>
      </w:r>
      <w:proofErr w:type="spellEnd"/>
      <w:r w:rsidRPr="00F54106">
        <w:rPr>
          <w:lang w:val="en-GB"/>
        </w:rPr>
        <w:t xml:space="preserve"> </w:t>
      </w:r>
      <w:proofErr w:type="spellStart"/>
      <w:r w:rsidRPr="00F54106">
        <w:rPr>
          <w:lang w:val="en-GB"/>
        </w:rPr>
        <w:t>benadeelde</w:t>
      </w:r>
      <w:proofErr w:type="spellEnd"/>
      <w:r w:rsidRPr="00F54106">
        <w:rPr>
          <w:lang w:val="en-GB"/>
        </w:rPr>
        <w:t xml:space="preserve"> </w:t>
      </w:r>
      <w:proofErr w:type="spellStart"/>
      <w:r w:rsidRPr="00F54106">
        <w:rPr>
          <w:lang w:val="en-GB"/>
        </w:rPr>
        <w:t>partijen</w:t>
      </w:r>
      <w:proofErr w:type="spellEnd"/>
      <w:r w:rsidRPr="00F54106">
        <w:rPr>
          <w:lang w:val="en-GB"/>
        </w:rPr>
        <w:t xml:space="preserve"> </w:t>
      </w:r>
      <w:proofErr w:type="spellStart"/>
      <w:r w:rsidRPr="00F54106">
        <w:rPr>
          <w:lang w:val="en-GB"/>
        </w:rPr>
        <w:t>zich</w:t>
      </w:r>
      <w:proofErr w:type="spellEnd"/>
      <w:r w:rsidRPr="00F54106">
        <w:rPr>
          <w:lang w:val="en-GB"/>
        </w:rPr>
        <w:t xml:space="preserve"> er </w:t>
      </w:r>
      <w:proofErr w:type="spellStart"/>
      <w:r w:rsidRPr="00F54106">
        <w:rPr>
          <w:lang w:val="en-GB"/>
        </w:rPr>
        <w:t>doorgaans</w:t>
      </w:r>
      <w:proofErr w:type="spellEnd"/>
      <w:r w:rsidRPr="00F54106">
        <w:rPr>
          <w:lang w:val="en-GB"/>
        </w:rPr>
        <w:t xml:space="preserve"> van </w:t>
      </w:r>
      <w:proofErr w:type="spellStart"/>
      <w:r w:rsidRPr="00F54106">
        <w:rPr>
          <w:lang w:val="en-GB"/>
        </w:rPr>
        <w:t>bewust</w:t>
      </w:r>
      <w:proofErr w:type="spellEnd"/>
      <w:r w:rsidRPr="00F54106">
        <w:rPr>
          <w:lang w:val="en-GB"/>
        </w:rPr>
        <w:t xml:space="preserve"> </w:t>
      </w:r>
      <w:proofErr w:type="spellStart"/>
      <w:r w:rsidRPr="00F54106">
        <w:rPr>
          <w:lang w:val="en-GB"/>
        </w:rPr>
        <w:t>dat</w:t>
      </w:r>
      <w:proofErr w:type="spellEnd"/>
      <w:r w:rsidRPr="00F54106">
        <w:rPr>
          <w:lang w:val="en-GB"/>
        </w:rPr>
        <w:t xml:space="preserve"> </w:t>
      </w:r>
      <w:proofErr w:type="spellStart"/>
      <w:r w:rsidRPr="00F54106">
        <w:rPr>
          <w:lang w:val="en-GB"/>
        </w:rPr>
        <w:t>zij</w:t>
      </w:r>
      <w:proofErr w:type="spellEnd"/>
      <w:r w:rsidRPr="00F54106">
        <w:rPr>
          <w:lang w:val="en-GB"/>
        </w:rPr>
        <w:t xml:space="preserve"> </w:t>
      </w:r>
      <w:proofErr w:type="spellStart"/>
      <w:r w:rsidRPr="00F54106">
        <w:rPr>
          <w:lang w:val="en-GB"/>
        </w:rPr>
        <w:t>schade</w:t>
      </w:r>
      <w:proofErr w:type="spellEnd"/>
      <w:r w:rsidRPr="00F54106">
        <w:rPr>
          <w:lang w:val="en-GB"/>
        </w:rPr>
        <w:t xml:space="preserve"> </w:t>
      </w:r>
      <w:proofErr w:type="spellStart"/>
      <w:r w:rsidRPr="00F54106">
        <w:rPr>
          <w:lang w:val="en-GB"/>
        </w:rPr>
        <w:t>hebben</w:t>
      </w:r>
      <w:proofErr w:type="spellEnd"/>
      <w:r w:rsidRPr="00F54106">
        <w:rPr>
          <w:lang w:val="en-GB"/>
        </w:rPr>
        <w:t xml:space="preserve"> </w:t>
      </w:r>
      <w:proofErr w:type="spellStart"/>
      <w:r w:rsidRPr="00F54106">
        <w:rPr>
          <w:lang w:val="en-GB"/>
        </w:rPr>
        <w:t>geleden</w:t>
      </w:r>
      <w:proofErr w:type="spellEnd"/>
      <w:r w:rsidRPr="00F54106">
        <w:rPr>
          <w:lang w:val="en-GB"/>
        </w:rPr>
        <w:t xml:space="preserve"> door </w:t>
      </w:r>
      <w:proofErr w:type="spellStart"/>
      <w:r w:rsidRPr="00F54106">
        <w:rPr>
          <w:lang w:val="en-GB"/>
        </w:rPr>
        <w:t>een</w:t>
      </w:r>
      <w:proofErr w:type="spellEnd"/>
      <w:r w:rsidRPr="00F54106">
        <w:rPr>
          <w:lang w:val="en-GB"/>
        </w:rPr>
        <w:t xml:space="preserve"> </w:t>
      </w:r>
      <w:proofErr w:type="spellStart"/>
      <w:r w:rsidRPr="00F54106">
        <w:rPr>
          <w:lang w:val="en-GB"/>
        </w:rPr>
        <w:t>kartelinbreuk</w:t>
      </w:r>
      <w:proofErr w:type="spellEnd"/>
      <w:r w:rsidRPr="00F54106">
        <w:rPr>
          <w:lang w:val="en-GB"/>
        </w:rPr>
        <w:t>?</w:t>
      </w:r>
    </w:p>
    <w:p w14:paraId="1BF9865F" w14:textId="77777777" w:rsidR="00B172D4" w:rsidRPr="00F54106" w:rsidRDefault="00B172D4" w:rsidP="00FC31D7">
      <w:pPr>
        <w:pStyle w:val="ListParagraph"/>
        <w:spacing w:line="276" w:lineRule="auto"/>
        <w:rPr>
          <w:lang w:val="en-GB"/>
        </w:rPr>
      </w:pPr>
    </w:p>
    <w:p w14:paraId="4EA4B643" w14:textId="23986F0C" w:rsidR="00B172D4" w:rsidRPr="00F54106" w:rsidRDefault="00B172D4" w:rsidP="00FC31D7">
      <w:pPr>
        <w:spacing w:line="276" w:lineRule="auto"/>
        <w:rPr>
          <w:lang w:val="en-GB"/>
        </w:rPr>
      </w:pPr>
      <w:r w:rsidRPr="00F54106">
        <w:rPr>
          <w:lang w:val="en-GB"/>
        </w:rPr>
        <w:t>*</w:t>
      </w:r>
      <w:r w:rsidRPr="00F54106">
        <w:rPr>
          <w:i/>
          <w:iCs/>
          <w:lang w:val="en-GB"/>
        </w:rPr>
        <w:t>Ambulance-chasing</w:t>
      </w:r>
      <w:r w:rsidRPr="00F54106">
        <w:rPr>
          <w:lang w:val="en-GB"/>
        </w:rPr>
        <w:t xml:space="preserve">: </w:t>
      </w:r>
      <w:proofErr w:type="spellStart"/>
      <w:r w:rsidR="00FC31D7" w:rsidRPr="00F54106">
        <w:rPr>
          <w:lang w:val="en-GB"/>
        </w:rPr>
        <w:t>een</w:t>
      </w:r>
      <w:proofErr w:type="spellEnd"/>
      <w:r w:rsidR="00FC31D7" w:rsidRPr="00F54106">
        <w:rPr>
          <w:lang w:val="en-GB"/>
        </w:rPr>
        <w:t xml:space="preserve"> </w:t>
      </w:r>
      <w:proofErr w:type="spellStart"/>
      <w:r w:rsidR="00FC31D7" w:rsidRPr="00F54106">
        <w:rPr>
          <w:lang w:val="en-GB"/>
        </w:rPr>
        <w:t>poging</w:t>
      </w:r>
      <w:proofErr w:type="spellEnd"/>
      <w:r w:rsidR="00FC31D7" w:rsidRPr="00F54106">
        <w:rPr>
          <w:lang w:val="en-GB"/>
        </w:rPr>
        <w:t xml:space="preserve"> om </w:t>
      </w:r>
      <w:proofErr w:type="spellStart"/>
      <w:r w:rsidR="00FC31D7" w:rsidRPr="00F54106">
        <w:rPr>
          <w:lang w:val="en-GB"/>
        </w:rPr>
        <w:t>werk</w:t>
      </w:r>
      <w:proofErr w:type="spellEnd"/>
      <w:r w:rsidR="00FC31D7" w:rsidRPr="00F54106">
        <w:rPr>
          <w:lang w:val="en-GB"/>
        </w:rPr>
        <w:t xml:space="preserve"> </w:t>
      </w:r>
      <w:proofErr w:type="spellStart"/>
      <w:r w:rsidR="00FC31D7" w:rsidRPr="00F54106">
        <w:rPr>
          <w:lang w:val="en-GB"/>
        </w:rPr>
        <w:t>te</w:t>
      </w:r>
      <w:proofErr w:type="spellEnd"/>
      <w:r w:rsidR="00FC31D7" w:rsidRPr="00F54106">
        <w:rPr>
          <w:lang w:val="en-GB"/>
        </w:rPr>
        <w:t xml:space="preserve"> </w:t>
      </w:r>
      <w:proofErr w:type="spellStart"/>
      <w:r w:rsidR="00FC31D7" w:rsidRPr="00F54106">
        <w:rPr>
          <w:lang w:val="en-GB"/>
        </w:rPr>
        <w:t>krijgen</w:t>
      </w:r>
      <w:proofErr w:type="spellEnd"/>
      <w:r w:rsidR="00FC31D7" w:rsidRPr="00F54106">
        <w:rPr>
          <w:lang w:val="en-GB"/>
        </w:rPr>
        <w:t xml:space="preserve"> door </w:t>
      </w:r>
      <w:proofErr w:type="spellStart"/>
      <w:r w:rsidR="00FC31D7" w:rsidRPr="00F54106">
        <w:rPr>
          <w:lang w:val="en-GB"/>
        </w:rPr>
        <w:t>een</w:t>
      </w:r>
      <w:proofErr w:type="spellEnd"/>
      <w:r w:rsidR="00FC31D7" w:rsidRPr="00F54106">
        <w:rPr>
          <w:lang w:val="en-GB"/>
        </w:rPr>
        <w:t xml:space="preserve"> </w:t>
      </w:r>
      <w:proofErr w:type="spellStart"/>
      <w:r w:rsidR="00FC31D7" w:rsidRPr="00F54106">
        <w:rPr>
          <w:lang w:val="en-GB"/>
        </w:rPr>
        <w:t>benadeelde</w:t>
      </w:r>
      <w:proofErr w:type="spellEnd"/>
      <w:r w:rsidR="00FC31D7" w:rsidRPr="00F54106">
        <w:rPr>
          <w:lang w:val="en-GB"/>
        </w:rPr>
        <w:t xml:space="preserve"> </w:t>
      </w:r>
      <w:proofErr w:type="spellStart"/>
      <w:r w:rsidR="00FC31D7" w:rsidRPr="00F54106">
        <w:rPr>
          <w:lang w:val="en-GB"/>
        </w:rPr>
        <w:t>te</w:t>
      </w:r>
      <w:proofErr w:type="spellEnd"/>
      <w:r w:rsidR="00FC31D7" w:rsidRPr="00F54106">
        <w:rPr>
          <w:lang w:val="en-GB"/>
        </w:rPr>
        <w:t xml:space="preserve"> </w:t>
      </w:r>
      <w:proofErr w:type="spellStart"/>
      <w:r w:rsidR="00FC31D7" w:rsidRPr="00F54106">
        <w:rPr>
          <w:lang w:val="en-GB"/>
        </w:rPr>
        <w:t>overtuigen</w:t>
      </w:r>
      <w:proofErr w:type="spellEnd"/>
      <w:r w:rsidR="00FC31D7" w:rsidRPr="00F54106">
        <w:rPr>
          <w:lang w:val="en-GB"/>
        </w:rPr>
        <w:t xml:space="preserve"> om geld </w:t>
      </w:r>
      <w:proofErr w:type="spellStart"/>
      <w:r w:rsidR="00FC31D7" w:rsidRPr="00F54106">
        <w:rPr>
          <w:lang w:val="en-GB"/>
        </w:rPr>
        <w:t>te</w:t>
      </w:r>
      <w:proofErr w:type="spellEnd"/>
      <w:r w:rsidR="00FC31D7" w:rsidRPr="00F54106">
        <w:rPr>
          <w:lang w:val="en-GB"/>
        </w:rPr>
        <w:t xml:space="preserve"> </w:t>
      </w:r>
      <w:proofErr w:type="spellStart"/>
      <w:r w:rsidR="00FC31D7" w:rsidRPr="00F54106">
        <w:rPr>
          <w:lang w:val="en-GB"/>
        </w:rPr>
        <w:t>vorderen</w:t>
      </w:r>
      <w:proofErr w:type="spellEnd"/>
      <w:r w:rsidR="00FC31D7" w:rsidRPr="00F54106">
        <w:rPr>
          <w:lang w:val="en-GB"/>
        </w:rPr>
        <w:t xml:space="preserve"> van </w:t>
      </w:r>
      <w:proofErr w:type="spellStart"/>
      <w:r w:rsidR="00FC31D7" w:rsidRPr="00F54106">
        <w:rPr>
          <w:lang w:val="en-GB"/>
        </w:rPr>
        <w:t>een</w:t>
      </w:r>
      <w:proofErr w:type="spellEnd"/>
      <w:r w:rsidR="00FC31D7" w:rsidRPr="00F54106">
        <w:rPr>
          <w:lang w:val="en-GB"/>
        </w:rPr>
        <w:t xml:space="preserve"> </w:t>
      </w:r>
      <w:proofErr w:type="spellStart"/>
      <w:r w:rsidR="00FC31D7" w:rsidRPr="00F54106">
        <w:rPr>
          <w:lang w:val="en-GB"/>
        </w:rPr>
        <w:t>persoon</w:t>
      </w:r>
      <w:proofErr w:type="spellEnd"/>
      <w:r w:rsidR="00FC31D7" w:rsidRPr="00F54106">
        <w:rPr>
          <w:lang w:val="en-GB"/>
        </w:rPr>
        <w:t xml:space="preserve"> of </w:t>
      </w:r>
      <w:proofErr w:type="spellStart"/>
      <w:r w:rsidR="00FC31D7" w:rsidRPr="00F54106">
        <w:rPr>
          <w:lang w:val="en-GB"/>
        </w:rPr>
        <w:t>bedrijf</w:t>
      </w:r>
      <w:proofErr w:type="spellEnd"/>
      <w:r w:rsidR="00FC31D7" w:rsidRPr="00F54106">
        <w:rPr>
          <w:lang w:val="en-GB"/>
        </w:rPr>
        <w:t xml:space="preserve"> </w:t>
      </w:r>
      <w:proofErr w:type="spellStart"/>
      <w:r w:rsidR="00FC31D7" w:rsidRPr="00F54106">
        <w:rPr>
          <w:lang w:val="en-GB"/>
        </w:rPr>
        <w:t>dat</w:t>
      </w:r>
      <w:proofErr w:type="spellEnd"/>
      <w:r w:rsidR="00FC31D7" w:rsidRPr="00F54106">
        <w:rPr>
          <w:lang w:val="en-GB"/>
        </w:rPr>
        <w:t xml:space="preserve"> </w:t>
      </w:r>
      <w:proofErr w:type="spellStart"/>
      <w:r w:rsidR="00FC31D7" w:rsidRPr="00F54106">
        <w:rPr>
          <w:lang w:val="en-GB"/>
        </w:rPr>
        <w:t>verantwoordelijk</w:t>
      </w:r>
      <w:proofErr w:type="spellEnd"/>
      <w:r w:rsidR="00FC31D7" w:rsidRPr="00F54106">
        <w:rPr>
          <w:lang w:val="en-GB"/>
        </w:rPr>
        <w:t xml:space="preserve"> is </w:t>
      </w:r>
      <w:proofErr w:type="spellStart"/>
      <w:r w:rsidR="00FC31D7" w:rsidRPr="00F54106">
        <w:rPr>
          <w:lang w:val="en-GB"/>
        </w:rPr>
        <w:t>voor</w:t>
      </w:r>
      <w:proofErr w:type="spellEnd"/>
      <w:r w:rsidR="00FC31D7" w:rsidRPr="00F54106">
        <w:rPr>
          <w:lang w:val="en-GB"/>
        </w:rPr>
        <w:t xml:space="preserve"> de </w:t>
      </w:r>
      <w:proofErr w:type="spellStart"/>
      <w:r w:rsidR="00FC31D7" w:rsidRPr="00F54106">
        <w:rPr>
          <w:lang w:val="en-GB"/>
        </w:rPr>
        <w:t>geleden</w:t>
      </w:r>
      <w:proofErr w:type="spellEnd"/>
      <w:r w:rsidR="00FC31D7" w:rsidRPr="00F54106">
        <w:rPr>
          <w:lang w:val="en-GB"/>
        </w:rPr>
        <w:t xml:space="preserve"> </w:t>
      </w:r>
      <w:proofErr w:type="spellStart"/>
      <w:r w:rsidR="00FC31D7" w:rsidRPr="00F54106">
        <w:rPr>
          <w:lang w:val="en-GB"/>
        </w:rPr>
        <w:t>schade</w:t>
      </w:r>
      <w:proofErr w:type="spellEnd"/>
      <w:r w:rsidR="00FC31D7" w:rsidRPr="00F54106">
        <w:rPr>
          <w:lang w:val="en-GB"/>
        </w:rPr>
        <w:t xml:space="preserve"> van de </w:t>
      </w:r>
      <w:proofErr w:type="spellStart"/>
      <w:r w:rsidR="00FC31D7" w:rsidRPr="00F54106">
        <w:rPr>
          <w:lang w:val="en-GB"/>
        </w:rPr>
        <w:t>benadeelde</w:t>
      </w:r>
      <w:proofErr w:type="spellEnd"/>
      <w:r w:rsidR="00FC31D7" w:rsidRPr="00F54106">
        <w:rPr>
          <w:lang w:val="en-GB"/>
        </w:rPr>
        <w:t>.</w:t>
      </w:r>
    </w:p>
    <w:p w14:paraId="1FF11AAF" w14:textId="77777777" w:rsidR="00B172D4" w:rsidRPr="00F54106" w:rsidRDefault="00B172D4" w:rsidP="00FC31D7">
      <w:pPr>
        <w:pStyle w:val="ListParagraph"/>
        <w:spacing w:line="276" w:lineRule="auto"/>
        <w:rPr>
          <w:lang w:val="en-GB"/>
        </w:rPr>
      </w:pPr>
    </w:p>
    <w:p w14:paraId="7F996617" w14:textId="24D8E847" w:rsidR="00B172D4" w:rsidRPr="00F54106" w:rsidRDefault="00B172D4" w:rsidP="00FC31D7">
      <w:pPr>
        <w:pStyle w:val="ListParagraph"/>
        <w:numPr>
          <w:ilvl w:val="0"/>
          <w:numId w:val="10"/>
        </w:numPr>
        <w:spacing w:line="276" w:lineRule="auto"/>
        <w:rPr>
          <w:lang w:val="en-GB"/>
        </w:rPr>
      </w:pPr>
      <w:proofErr w:type="spellStart"/>
      <w:r w:rsidRPr="00F54106">
        <w:rPr>
          <w:lang w:val="en-GB"/>
        </w:rPr>
        <w:t>Denk</w:t>
      </w:r>
      <w:r w:rsidR="00FC31D7" w:rsidRPr="00F54106">
        <w:rPr>
          <w:lang w:val="en-GB"/>
        </w:rPr>
        <w:t>t</w:t>
      </w:r>
      <w:proofErr w:type="spellEnd"/>
      <w:r w:rsidRPr="00F54106">
        <w:rPr>
          <w:lang w:val="en-GB"/>
        </w:rPr>
        <w:t xml:space="preserve"> u </w:t>
      </w:r>
      <w:proofErr w:type="spellStart"/>
      <w:r w:rsidRPr="00F54106">
        <w:rPr>
          <w:lang w:val="en-GB"/>
        </w:rPr>
        <w:t>dat</w:t>
      </w:r>
      <w:proofErr w:type="spellEnd"/>
      <w:r w:rsidRPr="00F54106">
        <w:rPr>
          <w:lang w:val="en-GB"/>
        </w:rPr>
        <w:t xml:space="preserve"> er, </w:t>
      </w:r>
      <w:proofErr w:type="spellStart"/>
      <w:r w:rsidRPr="00F54106">
        <w:rPr>
          <w:lang w:val="en-GB"/>
        </w:rPr>
        <w:t>naast</w:t>
      </w:r>
      <w:proofErr w:type="spellEnd"/>
      <w:r w:rsidRPr="00F54106">
        <w:rPr>
          <w:lang w:val="en-GB"/>
        </w:rPr>
        <w:t xml:space="preserve"> de reeds </w:t>
      </w:r>
      <w:proofErr w:type="spellStart"/>
      <w:r w:rsidRPr="00F54106">
        <w:rPr>
          <w:lang w:val="en-GB"/>
        </w:rPr>
        <w:t>besproken</w:t>
      </w:r>
      <w:proofErr w:type="spellEnd"/>
      <w:r w:rsidRPr="00F54106">
        <w:rPr>
          <w:lang w:val="en-GB"/>
        </w:rPr>
        <w:t xml:space="preserve"> </w:t>
      </w:r>
      <w:proofErr w:type="spellStart"/>
      <w:r w:rsidRPr="00F54106">
        <w:rPr>
          <w:lang w:val="en-GB"/>
        </w:rPr>
        <w:t>factoren</w:t>
      </w:r>
      <w:proofErr w:type="spellEnd"/>
      <w:r w:rsidRPr="00F54106">
        <w:rPr>
          <w:lang w:val="en-GB"/>
        </w:rPr>
        <w:t xml:space="preserve">, </w:t>
      </w:r>
      <w:proofErr w:type="spellStart"/>
      <w:r w:rsidRPr="00F54106">
        <w:rPr>
          <w:lang w:val="en-GB"/>
        </w:rPr>
        <w:t>nog</w:t>
      </w:r>
      <w:proofErr w:type="spellEnd"/>
      <w:r w:rsidRPr="00F54106">
        <w:rPr>
          <w:lang w:val="en-GB"/>
        </w:rPr>
        <w:t xml:space="preserve"> </w:t>
      </w:r>
      <w:proofErr w:type="spellStart"/>
      <w:r w:rsidRPr="00F54106">
        <w:rPr>
          <w:lang w:val="en-GB"/>
        </w:rPr>
        <w:t>andere</w:t>
      </w:r>
      <w:proofErr w:type="spellEnd"/>
      <w:r w:rsidRPr="00F54106">
        <w:rPr>
          <w:lang w:val="en-GB"/>
        </w:rPr>
        <w:t xml:space="preserve"> </w:t>
      </w:r>
      <w:proofErr w:type="spellStart"/>
      <w:r w:rsidRPr="00F54106">
        <w:rPr>
          <w:lang w:val="en-GB"/>
        </w:rPr>
        <w:t>contribuerende</w:t>
      </w:r>
      <w:proofErr w:type="spellEnd"/>
      <w:r w:rsidRPr="00F54106">
        <w:rPr>
          <w:lang w:val="en-GB"/>
        </w:rPr>
        <w:t xml:space="preserve"> </w:t>
      </w:r>
      <w:proofErr w:type="spellStart"/>
      <w:r w:rsidRPr="00F54106">
        <w:rPr>
          <w:lang w:val="en-GB"/>
        </w:rPr>
        <w:t>factoren</w:t>
      </w:r>
      <w:proofErr w:type="spellEnd"/>
      <w:r w:rsidRPr="00F54106">
        <w:rPr>
          <w:lang w:val="en-GB"/>
        </w:rPr>
        <w:t xml:space="preserve"> van </w:t>
      </w:r>
      <w:proofErr w:type="spellStart"/>
      <w:r w:rsidRPr="00F54106">
        <w:rPr>
          <w:lang w:val="en-GB"/>
        </w:rPr>
        <w:t>belang</w:t>
      </w:r>
      <w:proofErr w:type="spellEnd"/>
      <w:r w:rsidRPr="00F54106">
        <w:rPr>
          <w:lang w:val="en-GB"/>
        </w:rPr>
        <w:t xml:space="preserve"> </w:t>
      </w:r>
      <w:proofErr w:type="spellStart"/>
      <w:r w:rsidRPr="00F54106">
        <w:rPr>
          <w:lang w:val="en-GB"/>
        </w:rPr>
        <w:t>zijn</w:t>
      </w:r>
      <w:proofErr w:type="spellEnd"/>
      <w:r w:rsidRPr="00F54106">
        <w:rPr>
          <w:lang w:val="en-GB"/>
        </w:rPr>
        <w:t xml:space="preserve"> </w:t>
      </w:r>
      <w:proofErr w:type="spellStart"/>
      <w:r w:rsidRPr="00F54106">
        <w:rPr>
          <w:lang w:val="en-GB"/>
        </w:rPr>
        <w:t>en</w:t>
      </w:r>
      <w:proofErr w:type="spellEnd"/>
      <w:r w:rsidRPr="00F54106">
        <w:rPr>
          <w:lang w:val="en-GB"/>
        </w:rPr>
        <w:t xml:space="preserve">, zo </w:t>
      </w:r>
      <w:proofErr w:type="spellStart"/>
      <w:r w:rsidRPr="00F54106">
        <w:rPr>
          <w:lang w:val="en-GB"/>
        </w:rPr>
        <w:t>ja</w:t>
      </w:r>
      <w:proofErr w:type="spellEnd"/>
      <w:r w:rsidRPr="00F54106">
        <w:rPr>
          <w:lang w:val="en-GB"/>
        </w:rPr>
        <w:t xml:space="preserve">, </w:t>
      </w:r>
      <w:proofErr w:type="spellStart"/>
      <w:r w:rsidRPr="00F54106">
        <w:rPr>
          <w:lang w:val="en-GB"/>
        </w:rPr>
        <w:t>welke</w:t>
      </w:r>
      <w:proofErr w:type="spellEnd"/>
      <w:r w:rsidRPr="00F54106">
        <w:rPr>
          <w:lang w:val="en-GB"/>
        </w:rPr>
        <w:t xml:space="preserve"> </w:t>
      </w:r>
      <w:proofErr w:type="spellStart"/>
      <w:r w:rsidRPr="00F54106">
        <w:rPr>
          <w:lang w:val="en-GB"/>
        </w:rPr>
        <w:t>en</w:t>
      </w:r>
      <w:proofErr w:type="spellEnd"/>
      <w:r w:rsidRPr="00F54106">
        <w:rPr>
          <w:lang w:val="en-GB"/>
        </w:rPr>
        <w:t xml:space="preserve"> </w:t>
      </w:r>
      <w:proofErr w:type="spellStart"/>
      <w:r w:rsidRPr="00F54106">
        <w:rPr>
          <w:lang w:val="en-GB"/>
        </w:rPr>
        <w:t>waarom</w:t>
      </w:r>
      <w:proofErr w:type="spellEnd"/>
      <w:r w:rsidRPr="00F54106">
        <w:rPr>
          <w:lang w:val="en-GB"/>
        </w:rPr>
        <w:t>?</w:t>
      </w:r>
    </w:p>
    <w:p w14:paraId="3053B36D" w14:textId="650C8F88" w:rsidR="00F736A5" w:rsidRPr="00F54106" w:rsidRDefault="00F736A5" w:rsidP="00F736A5">
      <w:pPr>
        <w:spacing w:line="276" w:lineRule="auto"/>
        <w:rPr>
          <w:lang w:val="en-GB"/>
        </w:rPr>
      </w:pPr>
    </w:p>
    <w:p w14:paraId="2DEB3D62" w14:textId="240AA3CB" w:rsidR="00F736A5" w:rsidRPr="00F54106" w:rsidRDefault="00F736A5" w:rsidP="00F736A5">
      <w:pPr>
        <w:spacing w:line="276" w:lineRule="auto"/>
        <w:rPr>
          <w:lang w:val="en-GB"/>
        </w:rPr>
      </w:pPr>
    </w:p>
    <w:p w14:paraId="2C2C5535" w14:textId="77777777" w:rsidR="00F736A5" w:rsidRPr="00F54106" w:rsidRDefault="00F736A5" w:rsidP="00F736A5">
      <w:pPr>
        <w:spacing w:line="276" w:lineRule="auto"/>
        <w:rPr>
          <w:lang w:val="en-GB"/>
        </w:rPr>
      </w:pPr>
    </w:p>
    <w:p w14:paraId="6571A9E4" w14:textId="77777777" w:rsidR="00F736A5" w:rsidRPr="00F54106" w:rsidRDefault="00F736A5" w:rsidP="002A5F04">
      <w:pPr>
        <w:pStyle w:val="Heading1"/>
        <w:spacing w:line="276" w:lineRule="auto"/>
        <w:jc w:val="center"/>
        <w:rPr>
          <w:lang w:val="en-GB"/>
        </w:rPr>
      </w:pPr>
      <w:bookmarkStart w:id="177" w:name="_Toc107610254"/>
      <w:r w:rsidRPr="00F54106">
        <w:rPr>
          <w:lang w:val="en-GB"/>
        </w:rPr>
        <w:lastRenderedPageBreak/>
        <w:t>Bibliography</w:t>
      </w:r>
      <w:bookmarkEnd w:id="177"/>
    </w:p>
    <w:p w14:paraId="535E9DBE" w14:textId="6CA5E98B" w:rsidR="00B172D4" w:rsidRPr="00F54106" w:rsidRDefault="00B172D4" w:rsidP="00FC31D7">
      <w:pPr>
        <w:spacing w:line="276" w:lineRule="auto"/>
        <w:rPr>
          <w:lang w:val="en-GB"/>
        </w:rPr>
      </w:pPr>
    </w:p>
    <w:p w14:paraId="74034F8B" w14:textId="3E0F793D" w:rsidR="002A5F04" w:rsidRPr="00F54106" w:rsidRDefault="002A5F04" w:rsidP="002A5F04">
      <w:pPr>
        <w:pStyle w:val="Heading2"/>
        <w:rPr>
          <w:lang w:val="en-GB"/>
        </w:rPr>
      </w:pPr>
      <w:bookmarkStart w:id="178" w:name="_Toc107610255"/>
      <w:r w:rsidRPr="00F54106">
        <w:rPr>
          <w:lang w:val="en-GB"/>
        </w:rPr>
        <w:t>Cases</w:t>
      </w:r>
      <w:bookmarkEnd w:id="178"/>
    </w:p>
    <w:p w14:paraId="3EFD6DB7" w14:textId="77777777" w:rsidR="00F44BB4" w:rsidRPr="00F54106" w:rsidRDefault="00F44BB4" w:rsidP="002A5F04">
      <w:pPr>
        <w:spacing w:line="276" w:lineRule="auto"/>
        <w:rPr>
          <w:rFonts w:cstheme="minorHAnsi"/>
          <w:i/>
          <w:iCs/>
          <w:lang w:val="en-GB"/>
        </w:rPr>
      </w:pPr>
    </w:p>
    <w:p w14:paraId="65CD6997" w14:textId="2B8658B7" w:rsidR="002A5F04" w:rsidRPr="00F54106" w:rsidRDefault="002A5F04" w:rsidP="002A5F04">
      <w:pPr>
        <w:spacing w:line="276" w:lineRule="auto"/>
        <w:rPr>
          <w:rFonts w:cstheme="minorHAnsi"/>
          <w:lang w:val="en-GB"/>
        </w:rPr>
      </w:pPr>
      <w:r w:rsidRPr="00F54106">
        <w:rPr>
          <w:rFonts w:cstheme="minorHAnsi"/>
          <w:i/>
          <w:iCs/>
          <w:lang w:val="en-GB"/>
        </w:rPr>
        <w:t xml:space="preserve">Ardila Investments NV v ENRC NV v </w:t>
      </w:r>
      <w:proofErr w:type="spellStart"/>
      <w:r w:rsidRPr="00F54106">
        <w:rPr>
          <w:rFonts w:cstheme="minorHAnsi"/>
          <w:i/>
          <w:iCs/>
          <w:lang w:val="en-GB"/>
        </w:rPr>
        <w:t>Zamin</w:t>
      </w:r>
      <w:proofErr w:type="spellEnd"/>
      <w:r w:rsidRPr="00F54106">
        <w:rPr>
          <w:rFonts w:cstheme="minorHAnsi"/>
          <w:i/>
          <w:iCs/>
          <w:lang w:val="en-GB"/>
        </w:rPr>
        <w:t xml:space="preserve"> Ferrous Ltd</w:t>
      </w:r>
      <w:r w:rsidRPr="00F54106">
        <w:rPr>
          <w:rFonts w:cstheme="minorHAnsi"/>
          <w:lang w:val="en-GB"/>
        </w:rPr>
        <w:t xml:space="preserve"> [2015] EWHC 3761 (Comm)</w:t>
      </w:r>
      <w:r w:rsidR="00AB0F26" w:rsidRPr="00F54106">
        <w:rPr>
          <w:rFonts w:cstheme="minorHAnsi"/>
          <w:lang w:val="en-GB"/>
        </w:rPr>
        <w:t>.</w:t>
      </w:r>
    </w:p>
    <w:p w14:paraId="2A9C572D" w14:textId="74C00D69" w:rsidR="002A5F04" w:rsidRPr="00F54106" w:rsidRDefault="002A5F04" w:rsidP="002A5F04">
      <w:pPr>
        <w:spacing w:line="276" w:lineRule="auto"/>
        <w:rPr>
          <w:rFonts w:cstheme="minorHAnsi"/>
          <w:lang w:val="en-GB"/>
        </w:rPr>
      </w:pPr>
      <w:r w:rsidRPr="00F54106">
        <w:rPr>
          <w:rFonts w:cstheme="minorHAnsi"/>
          <w:lang w:val="en-GB"/>
        </w:rPr>
        <w:t>BGH, judgement of 13 April 2021, KZR 19/20</w:t>
      </w:r>
      <w:r w:rsidR="00AB0F26" w:rsidRPr="00F54106">
        <w:rPr>
          <w:rFonts w:cstheme="minorHAnsi"/>
          <w:lang w:val="en-GB"/>
        </w:rPr>
        <w:t>.</w:t>
      </w:r>
    </w:p>
    <w:p w14:paraId="4AC931FD" w14:textId="06CF7B45" w:rsidR="002A5F04" w:rsidRPr="00F54106" w:rsidRDefault="002A5F04" w:rsidP="002A5F04">
      <w:pPr>
        <w:spacing w:line="276" w:lineRule="auto"/>
        <w:rPr>
          <w:rFonts w:cstheme="minorHAnsi"/>
          <w:lang w:val="en-GB"/>
        </w:rPr>
      </w:pPr>
      <w:r w:rsidRPr="00F54106">
        <w:rPr>
          <w:rFonts w:cstheme="minorHAnsi"/>
          <w:lang w:val="en-GB"/>
        </w:rPr>
        <w:t>BGH, judgement of 11 December 2018, KZR 26/17</w:t>
      </w:r>
      <w:r w:rsidR="00AB0F26" w:rsidRPr="00F54106">
        <w:rPr>
          <w:rFonts w:cstheme="minorHAnsi"/>
          <w:lang w:val="en-GB"/>
        </w:rPr>
        <w:t>.</w:t>
      </w:r>
    </w:p>
    <w:p w14:paraId="238F8C2E" w14:textId="60B8BEEF" w:rsidR="002A5F04" w:rsidRPr="00F54106" w:rsidRDefault="002A5F04" w:rsidP="002A5F04">
      <w:pPr>
        <w:spacing w:line="276" w:lineRule="auto"/>
        <w:rPr>
          <w:rFonts w:cstheme="minorHAnsi"/>
          <w:lang w:val="en-GB"/>
        </w:rPr>
      </w:pPr>
      <w:r w:rsidRPr="00F54106">
        <w:rPr>
          <w:rFonts w:cstheme="minorHAnsi"/>
          <w:lang w:val="en-GB"/>
        </w:rPr>
        <w:t>BGH, judgement of 28 January 2020, KZR 24/17</w:t>
      </w:r>
      <w:r w:rsidR="00AB0F26" w:rsidRPr="00F54106">
        <w:rPr>
          <w:rFonts w:cstheme="minorHAnsi"/>
          <w:lang w:val="en-GB"/>
        </w:rPr>
        <w:t>.</w:t>
      </w:r>
    </w:p>
    <w:p w14:paraId="55018F4F" w14:textId="2A81D1DC" w:rsidR="002A5F04" w:rsidRPr="00F54106" w:rsidRDefault="002A5F04" w:rsidP="002A5F04">
      <w:pPr>
        <w:spacing w:line="276" w:lineRule="auto"/>
        <w:rPr>
          <w:rFonts w:cstheme="minorHAnsi"/>
          <w:lang w:val="en-GB"/>
        </w:rPr>
      </w:pPr>
      <w:r w:rsidRPr="00F54106">
        <w:rPr>
          <w:rFonts w:cstheme="minorHAnsi"/>
          <w:lang w:val="en-GB"/>
        </w:rPr>
        <w:t>BGH, judgement of 13 July 2021, II ZR 84/20</w:t>
      </w:r>
      <w:r w:rsidR="00AB0F26" w:rsidRPr="00F54106">
        <w:rPr>
          <w:rFonts w:cstheme="minorHAnsi"/>
          <w:lang w:val="en-GB"/>
        </w:rPr>
        <w:t>.</w:t>
      </w:r>
    </w:p>
    <w:p w14:paraId="37E3B84B" w14:textId="54DE9FF3" w:rsidR="002A5F04" w:rsidRPr="00F54106" w:rsidRDefault="002A5F04" w:rsidP="002A5F04">
      <w:pPr>
        <w:spacing w:line="276" w:lineRule="auto"/>
        <w:rPr>
          <w:rFonts w:cstheme="minorHAnsi"/>
          <w:lang w:val="en-GB"/>
        </w:rPr>
      </w:pPr>
      <w:r w:rsidRPr="00F54106">
        <w:rPr>
          <w:rFonts w:cstheme="minorHAnsi"/>
          <w:lang w:val="en-GB"/>
        </w:rPr>
        <w:t>BGH, judgement of 28 June 2011, KZR 75/10</w:t>
      </w:r>
      <w:r w:rsidR="00AB0F26" w:rsidRPr="00F54106">
        <w:rPr>
          <w:rFonts w:cstheme="minorHAnsi"/>
          <w:lang w:val="en-GB"/>
        </w:rPr>
        <w:t>.</w:t>
      </w:r>
    </w:p>
    <w:p w14:paraId="3621F2FB" w14:textId="7BAB21F0" w:rsidR="002A5F04" w:rsidRPr="00F54106" w:rsidRDefault="002A5F04" w:rsidP="002A5F04">
      <w:pPr>
        <w:spacing w:line="276" w:lineRule="auto"/>
        <w:rPr>
          <w:rFonts w:cstheme="minorHAnsi"/>
          <w:lang w:val="en-GB"/>
        </w:rPr>
      </w:pPr>
      <w:proofErr w:type="spellStart"/>
      <w:r w:rsidRPr="00F54106">
        <w:rPr>
          <w:rFonts w:cstheme="minorHAnsi"/>
          <w:i/>
          <w:iCs/>
          <w:lang w:val="en-GB"/>
        </w:rPr>
        <w:t>BritNed</w:t>
      </w:r>
      <w:proofErr w:type="spellEnd"/>
      <w:r w:rsidRPr="00F54106">
        <w:rPr>
          <w:rFonts w:cstheme="minorHAnsi"/>
          <w:i/>
          <w:iCs/>
          <w:lang w:val="en-GB"/>
        </w:rPr>
        <w:t xml:space="preserve"> Development Ltd v ABB AB</w:t>
      </w:r>
      <w:r w:rsidRPr="00F54106">
        <w:rPr>
          <w:rFonts w:cstheme="minorHAnsi"/>
          <w:lang w:val="en-GB"/>
        </w:rPr>
        <w:t xml:space="preserve"> [2019] EWCA </w:t>
      </w:r>
      <w:proofErr w:type="spellStart"/>
      <w:r w:rsidRPr="00F54106">
        <w:rPr>
          <w:rFonts w:cstheme="minorHAnsi"/>
          <w:lang w:val="en-GB"/>
        </w:rPr>
        <w:t>Civ</w:t>
      </w:r>
      <w:proofErr w:type="spellEnd"/>
      <w:r w:rsidRPr="00F54106">
        <w:rPr>
          <w:rFonts w:cstheme="minorHAnsi"/>
          <w:lang w:val="en-GB"/>
        </w:rPr>
        <w:t xml:space="preserve"> 1840</w:t>
      </w:r>
      <w:r w:rsidR="00AB0F26" w:rsidRPr="00F54106">
        <w:rPr>
          <w:rFonts w:cstheme="minorHAnsi"/>
          <w:lang w:val="en-GB"/>
        </w:rPr>
        <w:t>.</w:t>
      </w:r>
    </w:p>
    <w:p w14:paraId="4F7369F0" w14:textId="6F41ED45" w:rsidR="002A5F04" w:rsidRPr="00F54106" w:rsidRDefault="002A5F04" w:rsidP="002A5F04">
      <w:pPr>
        <w:spacing w:line="276" w:lineRule="auto"/>
        <w:rPr>
          <w:rFonts w:cstheme="minorHAnsi"/>
          <w:lang w:val="en-GB"/>
        </w:rPr>
      </w:pPr>
      <w:r w:rsidRPr="00F54106">
        <w:rPr>
          <w:rFonts w:cstheme="minorHAnsi"/>
          <w:lang w:val="en-GB"/>
        </w:rPr>
        <w:t xml:space="preserve">Case C-360/09 </w:t>
      </w:r>
      <w:proofErr w:type="spellStart"/>
      <w:r w:rsidRPr="00F54106">
        <w:rPr>
          <w:rFonts w:cstheme="minorHAnsi"/>
          <w:i/>
          <w:iCs/>
          <w:lang w:val="en-GB"/>
        </w:rPr>
        <w:t>Pfleiderer</w:t>
      </w:r>
      <w:proofErr w:type="spellEnd"/>
      <w:r w:rsidRPr="00F54106">
        <w:rPr>
          <w:rFonts w:cstheme="minorHAnsi"/>
          <w:i/>
          <w:iCs/>
          <w:lang w:val="en-GB"/>
        </w:rPr>
        <w:t xml:space="preserve"> AG v </w:t>
      </w:r>
      <w:proofErr w:type="spellStart"/>
      <w:r w:rsidRPr="00F54106">
        <w:rPr>
          <w:rFonts w:cstheme="minorHAnsi"/>
          <w:i/>
          <w:iCs/>
          <w:lang w:val="en-GB"/>
        </w:rPr>
        <w:t>Bundeskartellamt</w:t>
      </w:r>
      <w:proofErr w:type="spellEnd"/>
      <w:r w:rsidRPr="00F54106">
        <w:rPr>
          <w:rFonts w:cstheme="minorHAnsi"/>
          <w:lang w:val="en-GB"/>
        </w:rPr>
        <w:t xml:space="preserve"> [2011] ECR I-05161</w:t>
      </w:r>
      <w:r w:rsidR="00AB0F26" w:rsidRPr="00F54106">
        <w:rPr>
          <w:rFonts w:cstheme="minorHAnsi"/>
          <w:lang w:val="en-GB"/>
        </w:rPr>
        <w:t>.</w:t>
      </w:r>
    </w:p>
    <w:p w14:paraId="19B40577" w14:textId="4F385E49" w:rsidR="002A5F04" w:rsidRPr="00F54106" w:rsidRDefault="002A5F04" w:rsidP="002A5F04">
      <w:pPr>
        <w:spacing w:line="276" w:lineRule="auto"/>
        <w:rPr>
          <w:rFonts w:cstheme="minorHAnsi"/>
          <w:lang w:val="en-GB"/>
        </w:rPr>
      </w:pPr>
      <w:r w:rsidRPr="00F54106">
        <w:rPr>
          <w:rFonts w:cstheme="minorHAnsi"/>
          <w:lang w:val="en-GB"/>
        </w:rPr>
        <w:t xml:space="preserve">Case C-352/13 </w:t>
      </w:r>
      <w:r w:rsidRPr="00F54106">
        <w:rPr>
          <w:rFonts w:cstheme="minorHAnsi"/>
          <w:i/>
          <w:iCs/>
          <w:lang w:val="en-GB"/>
        </w:rPr>
        <w:t>CDC Hydrogen Peroxide v Evonik Degussa GmbH</w:t>
      </w:r>
      <w:r w:rsidRPr="00F54106">
        <w:rPr>
          <w:rFonts w:cstheme="minorHAnsi"/>
          <w:lang w:val="en-GB"/>
        </w:rPr>
        <w:t xml:space="preserve"> [2015]</w:t>
      </w:r>
      <w:r w:rsidR="00AB0F26" w:rsidRPr="00F54106">
        <w:rPr>
          <w:rFonts w:cstheme="minorHAnsi"/>
          <w:lang w:val="en-GB"/>
        </w:rPr>
        <w:t>.</w:t>
      </w:r>
    </w:p>
    <w:p w14:paraId="2A426193" w14:textId="4085F7DA" w:rsidR="002A5F04" w:rsidRPr="00F54106" w:rsidRDefault="002A5F04" w:rsidP="002A5F04">
      <w:pPr>
        <w:spacing w:line="276" w:lineRule="auto"/>
        <w:rPr>
          <w:rFonts w:cstheme="minorHAnsi"/>
          <w:lang w:val="en-GB"/>
        </w:rPr>
      </w:pPr>
      <w:r w:rsidRPr="00F54106">
        <w:rPr>
          <w:rFonts w:cstheme="minorHAnsi"/>
          <w:i/>
          <w:iCs/>
          <w:lang w:val="en-GB"/>
        </w:rPr>
        <w:t>Cooper Tire &amp; Rubber Company v Dow Deutschland Inc and others</w:t>
      </w:r>
      <w:r w:rsidRPr="00F54106">
        <w:rPr>
          <w:rFonts w:cstheme="minorHAnsi"/>
          <w:lang w:val="en-GB"/>
        </w:rPr>
        <w:t xml:space="preserve"> [2010] EWCA </w:t>
      </w:r>
      <w:proofErr w:type="spellStart"/>
      <w:r w:rsidRPr="00F54106">
        <w:rPr>
          <w:rFonts w:cstheme="minorHAnsi"/>
          <w:lang w:val="en-GB"/>
        </w:rPr>
        <w:t>Civ</w:t>
      </w:r>
      <w:proofErr w:type="spellEnd"/>
      <w:r w:rsidRPr="00F54106">
        <w:rPr>
          <w:rFonts w:cstheme="minorHAnsi"/>
          <w:lang w:val="en-GB"/>
        </w:rPr>
        <w:t xml:space="preserve"> 864</w:t>
      </w:r>
      <w:r w:rsidR="00AB0F26" w:rsidRPr="00F54106">
        <w:rPr>
          <w:rFonts w:cstheme="minorHAnsi"/>
          <w:lang w:val="en-GB"/>
        </w:rPr>
        <w:t>.</w:t>
      </w:r>
    </w:p>
    <w:p w14:paraId="4FA618D9" w14:textId="6E823E29"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4 </w:t>
      </w:r>
      <w:proofErr w:type="spellStart"/>
      <w:r w:rsidRPr="00F54106">
        <w:rPr>
          <w:rFonts w:cstheme="minorHAnsi"/>
          <w:lang w:val="en-GB"/>
        </w:rPr>
        <w:t>Februari</w:t>
      </w:r>
      <w:proofErr w:type="spellEnd"/>
      <w:r w:rsidRPr="00F54106">
        <w:rPr>
          <w:rFonts w:cstheme="minorHAnsi"/>
          <w:lang w:val="en-GB"/>
        </w:rPr>
        <w:t xml:space="preserve"> 2020, ECLI:NL:GHAMS:2020:194 (Kemira v. CDC)</w:t>
      </w:r>
      <w:r w:rsidR="00AB0F26" w:rsidRPr="00F54106">
        <w:rPr>
          <w:rFonts w:cstheme="minorHAnsi"/>
          <w:lang w:val="en-GB"/>
        </w:rPr>
        <w:t>.</w:t>
      </w:r>
    </w:p>
    <w:p w14:paraId="32140B82" w14:textId="15978E2D"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16 </w:t>
      </w:r>
      <w:proofErr w:type="spellStart"/>
      <w:r w:rsidRPr="00F54106">
        <w:rPr>
          <w:rFonts w:cstheme="minorHAnsi"/>
          <w:lang w:val="en-GB"/>
        </w:rPr>
        <w:t>Februari</w:t>
      </w:r>
      <w:proofErr w:type="spellEnd"/>
      <w:r w:rsidRPr="00F54106">
        <w:rPr>
          <w:rFonts w:cstheme="minorHAnsi"/>
          <w:lang w:val="en-GB"/>
        </w:rPr>
        <w:t xml:space="preserve"> 2021, ECLI:NL:GHAMS:2021:509 (MTB v AB and Heineken)</w:t>
      </w:r>
      <w:r w:rsidR="00AB0F26" w:rsidRPr="00F54106">
        <w:rPr>
          <w:rFonts w:cstheme="minorHAnsi"/>
          <w:lang w:val="en-GB"/>
        </w:rPr>
        <w:t>.</w:t>
      </w:r>
    </w:p>
    <w:p w14:paraId="460A496D" w14:textId="723621BF"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17 </w:t>
      </w:r>
      <w:proofErr w:type="spellStart"/>
      <w:r w:rsidRPr="00F54106">
        <w:rPr>
          <w:rFonts w:cstheme="minorHAnsi"/>
          <w:lang w:val="en-GB"/>
        </w:rPr>
        <w:t>Januari</w:t>
      </w:r>
      <w:proofErr w:type="spellEnd"/>
      <w:r w:rsidRPr="00F54106">
        <w:rPr>
          <w:rFonts w:cstheme="minorHAnsi"/>
          <w:lang w:val="en-GB"/>
        </w:rPr>
        <w:t xml:space="preserve"> 2012, ECLI:NL:GHAMS:2012:BV1026 (</w:t>
      </w:r>
      <w:proofErr w:type="spellStart"/>
      <w:r w:rsidRPr="00F54106">
        <w:rPr>
          <w:rFonts w:cstheme="minorHAnsi"/>
          <w:lang w:val="en-GB"/>
        </w:rPr>
        <w:t>Converium</w:t>
      </w:r>
      <w:proofErr w:type="spellEnd"/>
      <w:r w:rsidRPr="00F54106">
        <w:rPr>
          <w:rFonts w:cstheme="minorHAnsi"/>
          <w:lang w:val="en-GB"/>
        </w:rPr>
        <w:t xml:space="preserve"> v </w:t>
      </w:r>
      <w:proofErr w:type="spellStart"/>
      <w:r w:rsidRPr="00F54106">
        <w:rPr>
          <w:rFonts w:cstheme="minorHAnsi"/>
          <w:shd w:val="clear" w:color="auto" w:fill="FFFFFF"/>
          <w:lang w:val="en-GB"/>
        </w:rPr>
        <w:t>Liechtensteinische</w:t>
      </w:r>
      <w:proofErr w:type="spellEnd"/>
      <w:r w:rsidRPr="00F54106">
        <w:rPr>
          <w:rFonts w:cstheme="minorHAnsi"/>
          <w:shd w:val="clear" w:color="auto" w:fill="FFFFFF"/>
          <w:lang w:val="en-GB"/>
        </w:rPr>
        <w:t xml:space="preserve"> </w:t>
      </w:r>
      <w:proofErr w:type="spellStart"/>
      <w:r w:rsidRPr="00F54106">
        <w:rPr>
          <w:rFonts w:cstheme="minorHAnsi"/>
          <w:shd w:val="clear" w:color="auto" w:fill="FFFFFF"/>
          <w:lang w:val="en-GB"/>
        </w:rPr>
        <w:t>Landesbank</w:t>
      </w:r>
      <w:proofErr w:type="spellEnd"/>
      <w:r w:rsidRPr="00F54106">
        <w:rPr>
          <w:rFonts w:cstheme="minorHAnsi"/>
          <w:shd w:val="clear" w:color="auto" w:fill="FFFFFF"/>
          <w:lang w:val="en-GB"/>
        </w:rPr>
        <w:t xml:space="preserve"> AG)</w:t>
      </w:r>
      <w:r w:rsidR="00AB0F26" w:rsidRPr="00F54106">
        <w:rPr>
          <w:rFonts w:cstheme="minorHAnsi"/>
          <w:shd w:val="clear" w:color="auto" w:fill="FFFFFF"/>
          <w:lang w:val="en-GB"/>
        </w:rPr>
        <w:t>.</w:t>
      </w:r>
    </w:p>
    <w:p w14:paraId="13AFB437" w14:textId="21B98E94"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10 </w:t>
      </w:r>
      <w:proofErr w:type="spellStart"/>
      <w:r w:rsidRPr="00F54106">
        <w:rPr>
          <w:rFonts w:cstheme="minorHAnsi"/>
          <w:lang w:val="en-GB"/>
        </w:rPr>
        <w:t>Maart</w:t>
      </w:r>
      <w:proofErr w:type="spellEnd"/>
      <w:r w:rsidRPr="00F54106">
        <w:rPr>
          <w:rFonts w:cstheme="minorHAnsi"/>
          <w:lang w:val="en-GB"/>
        </w:rPr>
        <w:t xml:space="preserve"> 2020, ECLI:NL:GHAMS:2020:714 (</w:t>
      </w:r>
      <w:proofErr w:type="spellStart"/>
      <w:r w:rsidRPr="00F54106">
        <w:rPr>
          <w:rFonts w:cstheme="minorHAnsi"/>
          <w:lang w:val="en-GB"/>
        </w:rPr>
        <w:t>Equilib</w:t>
      </w:r>
      <w:proofErr w:type="spellEnd"/>
      <w:r w:rsidRPr="00F54106">
        <w:rPr>
          <w:rFonts w:cstheme="minorHAnsi"/>
          <w:lang w:val="en-GB"/>
        </w:rPr>
        <w:t xml:space="preserve"> v KLM)</w:t>
      </w:r>
      <w:r w:rsidR="00AB0F26" w:rsidRPr="00F54106">
        <w:rPr>
          <w:rFonts w:cstheme="minorHAnsi"/>
          <w:lang w:val="en-GB"/>
        </w:rPr>
        <w:t>.</w:t>
      </w:r>
    </w:p>
    <w:p w14:paraId="56A15EBF" w14:textId="669F96B6"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29 Mei 2009, ECLI:NL:GHAMS:2009:BI5744 (Shell v </w:t>
      </w:r>
      <w:proofErr w:type="spellStart"/>
      <w:r w:rsidRPr="00F54106">
        <w:rPr>
          <w:rFonts w:cstheme="minorHAnsi"/>
          <w:lang w:val="en-GB"/>
        </w:rPr>
        <w:t>Dexia</w:t>
      </w:r>
      <w:proofErr w:type="spellEnd"/>
      <w:r w:rsidRPr="00F54106">
        <w:rPr>
          <w:rFonts w:cstheme="minorHAnsi"/>
          <w:lang w:val="en-GB"/>
        </w:rPr>
        <w:t>)</w:t>
      </w:r>
      <w:r w:rsidR="00AB0F26" w:rsidRPr="00F54106">
        <w:rPr>
          <w:rFonts w:cstheme="minorHAnsi"/>
          <w:lang w:val="en-GB"/>
        </w:rPr>
        <w:t>.</w:t>
      </w:r>
    </w:p>
    <w:p w14:paraId="07BCAB25" w14:textId="1365A0E2"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Amsterdam 24 September 2013, ECLI:NL:GHAMS:2013:3013 (</w:t>
      </w:r>
      <w:proofErr w:type="spellStart"/>
      <w:r w:rsidRPr="00F54106">
        <w:rPr>
          <w:rFonts w:cstheme="minorHAnsi"/>
          <w:lang w:val="en-GB"/>
        </w:rPr>
        <w:t>Equilib</w:t>
      </w:r>
      <w:proofErr w:type="spellEnd"/>
      <w:r w:rsidRPr="00F54106">
        <w:rPr>
          <w:rFonts w:cstheme="minorHAnsi"/>
          <w:lang w:val="en-GB"/>
        </w:rPr>
        <w:t xml:space="preserve"> v KLM)</w:t>
      </w:r>
      <w:r w:rsidR="00AB0F26" w:rsidRPr="00F54106">
        <w:rPr>
          <w:rFonts w:cstheme="minorHAnsi"/>
          <w:lang w:val="en-GB"/>
        </w:rPr>
        <w:t>.</w:t>
      </w:r>
    </w:p>
    <w:p w14:paraId="6BFE512D" w14:textId="3CD9ACA2" w:rsidR="002A5F04" w:rsidRPr="00F54106" w:rsidRDefault="002A5F04" w:rsidP="002A5F04">
      <w:pPr>
        <w:spacing w:line="276" w:lineRule="auto"/>
        <w:rPr>
          <w:rFonts w:cstheme="minorHAnsi"/>
          <w:lang w:val="en-GB"/>
        </w:rPr>
      </w:pPr>
      <w:proofErr w:type="spellStart"/>
      <w:r w:rsidRPr="00F54106">
        <w:rPr>
          <w:rFonts w:cstheme="minorHAnsi"/>
          <w:lang w:val="en-GB"/>
        </w:rPr>
        <w:t>Gerechtshof</w:t>
      </w:r>
      <w:proofErr w:type="spellEnd"/>
      <w:r w:rsidRPr="00F54106">
        <w:rPr>
          <w:rFonts w:cstheme="minorHAnsi"/>
          <w:lang w:val="en-GB"/>
        </w:rPr>
        <w:t xml:space="preserve"> Arnhem-Leeuwarden 2 September 2014, ECLI:NL:GHARL:2014:6766 (</w:t>
      </w:r>
      <w:proofErr w:type="spellStart"/>
      <w:r w:rsidRPr="00F54106">
        <w:rPr>
          <w:rFonts w:cstheme="minorHAnsi"/>
          <w:lang w:val="en-GB"/>
        </w:rPr>
        <w:t>Tennet</w:t>
      </w:r>
      <w:proofErr w:type="spellEnd"/>
      <w:r w:rsidRPr="00F54106">
        <w:rPr>
          <w:rFonts w:cstheme="minorHAnsi"/>
          <w:lang w:val="en-GB"/>
        </w:rPr>
        <w:t xml:space="preserve"> v ABB)</w:t>
      </w:r>
      <w:r w:rsidR="00AB0F26" w:rsidRPr="00F54106">
        <w:rPr>
          <w:rFonts w:cstheme="minorHAnsi"/>
          <w:lang w:val="en-GB"/>
        </w:rPr>
        <w:t>.</w:t>
      </w:r>
    </w:p>
    <w:p w14:paraId="167D2808" w14:textId="05C094FA" w:rsidR="002A5F04" w:rsidRPr="00F54106" w:rsidRDefault="002A5F04" w:rsidP="002A5F04">
      <w:pPr>
        <w:spacing w:line="276" w:lineRule="auto"/>
        <w:rPr>
          <w:rFonts w:cstheme="minorHAnsi"/>
          <w:lang w:val="en-GB"/>
        </w:rPr>
      </w:pPr>
      <w:r w:rsidRPr="00F54106">
        <w:rPr>
          <w:rFonts w:cstheme="minorHAnsi"/>
          <w:i/>
          <w:iCs/>
          <w:lang w:val="en-GB"/>
        </w:rPr>
        <w:t>Gibson v Pride Mobility Products</w:t>
      </w:r>
      <w:r w:rsidRPr="00F54106">
        <w:rPr>
          <w:rFonts w:cstheme="minorHAnsi"/>
          <w:lang w:val="en-GB"/>
        </w:rPr>
        <w:t xml:space="preserve"> [2017] CAT 9</w:t>
      </w:r>
      <w:r w:rsidR="00AB0F26" w:rsidRPr="00F54106">
        <w:rPr>
          <w:rFonts w:cstheme="minorHAnsi"/>
          <w:lang w:val="en-GB"/>
        </w:rPr>
        <w:t>.</w:t>
      </w:r>
    </w:p>
    <w:p w14:paraId="5A7577F9" w14:textId="481FF14B" w:rsidR="002A5F04" w:rsidRPr="00F54106" w:rsidRDefault="002A5F04" w:rsidP="002A5F04">
      <w:pPr>
        <w:spacing w:line="276" w:lineRule="auto"/>
        <w:rPr>
          <w:rFonts w:cstheme="minorHAnsi"/>
          <w:lang w:val="en-GB"/>
        </w:rPr>
      </w:pPr>
      <w:proofErr w:type="spellStart"/>
      <w:r w:rsidRPr="00F54106">
        <w:rPr>
          <w:rFonts w:cstheme="minorHAnsi"/>
          <w:i/>
          <w:iCs/>
          <w:lang w:val="en-GB"/>
        </w:rPr>
        <w:t>IPCom</w:t>
      </w:r>
      <w:proofErr w:type="spellEnd"/>
      <w:r w:rsidRPr="00F54106">
        <w:rPr>
          <w:rFonts w:cstheme="minorHAnsi"/>
          <w:i/>
          <w:iCs/>
          <w:lang w:val="en-GB"/>
        </w:rPr>
        <w:t xml:space="preserve"> GmbH &amp; Co KG v HTC and Others</w:t>
      </w:r>
      <w:r w:rsidRPr="00F54106">
        <w:rPr>
          <w:rFonts w:cstheme="minorHAnsi"/>
          <w:lang w:val="en-GB"/>
        </w:rPr>
        <w:t xml:space="preserve"> [2013] EWHC 2880 (Ch)</w:t>
      </w:r>
      <w:r w:rsidR="00AB0F26" w:rsidRPr="00F54106">
        <w:rPr>
          <w:rFonts w:cstheme="minorHAnsi"/>
          <w:lang w:val="en-GB"/>
        </w:rPr>
        <w:t>.</w:t>
      </w:r>
    </w:p>
    <w:p w14:paraId="678866B8" w14:textId="0C78A61D" w:rsidR="002A5F04" w:rsidRPr="00F54106" w:rsidRDefault="002A5F04" w:rsidP="002A5F04">
      <w:pPr>
        <w:spacing w:line="276" w:lineRule="auto"/>
        <w:rPr>
          <w:rFonts w:cstheme="minorHAnsi"/>
          <w:lang w:val="en-GB"/>
        </w:rPr>
      </w:pPr>
      <w:r w:rsidRPr="00F54106">
        <w:rPr>
          <w:rFonts w:cstheme="minorHAnsi"/>
          <w:i/>
          <w:iCs/>
          <w:lang w:val="en-GB"/>
        </w:rPr>
        <w:t>Justin Gutmann v London &amp; South Eastern Railway Limited</w:t>
      </w:r>
      <w:r w:rsidRPr="00F54106">
        <w:rPr>
          <w:rFonts w:cstheme="minorHAnsi"/>
          <w:lang w:val="en-GB"/>
        </w:rPr>
        <w:t xml:space="preserve"> [2021] CAT 31</w:t>
      </w:r>
      <w:r w:rsidR="00AB0F26" w:rsidRPr="00F54106">
        <w:rPr>
          <w:rFonts w:cstheme="minorHAnsi"/>
          <w:lang w:val="en-GB"/>
        </w:rPr>
        <w:t>.</w:t>
      </w:r>
    </w:p>
    <w:p w14:paraId="76D983D2" w14:textId="0B894E2D" w:rsidR="002A5F04" w:rsidRPr="00F54106" w:rsidRDefault="002A5F04" w:rsidP="002A5F04">
      <w:pPr>
        <w:spacing w:line="276" w:lineRule="auto"/>
        <w:rPr>
          <w:rFonts w:cstheme="minorHAnsi"/>
          <w:lang w:val="en-GB"/>
        </w:rPr>
      </w:pPr>
      <w:r w:rsidRPr="00F54106">
        <w:rPr>
          <w:rFonts w:cstheme="minorHAnsi"/>
          <w:i/>
          <w:iCs/>
          <w:lang w:val="en-GB"/>
        </w:rPr>
        <w:t xml:space="preserve">Justin Le </w:t>
      </w:r>
      <w:proofErr w:type="spellStart"/>
      <w:r w:rsidRPr="00F54106">
        <w:rPr>
          <w:rFonts w:cstheme="minorHAnsi"/>
          <w:i/>
          <w:iCs/>
          <w:lang w:val="en-GB"/>
        </w:rPr>
        <w:t>Patourel</w:t>
      </w:r>
      <w:proofErr w:type="spellEnd"/>
      <w:r w:rsidRPr="00F54106">
        <w:rPr>
          <w:rFonts w:cstheme="minorHAnsi"/>
          <w:i/>
          <w:iCs/>
          <w:lang w:val="en-GB"/>
        </w:rPr>
        <w:t xml:space="preserve"> v BT Group PLC </w:t>
      </w:r>
      <w:r w:rsidRPr="00F54106">
        <w:rPr>
          <w:rFonts w:cstheme="minorHAnsi"/>
          <w:lang w:val="en-GB"/>
        </w:rPr>
        <w:t>[2021] CAT 30</w:t>
      </w:r>
      <w:r w:rsidR="00AB0F26" w:rsidRPr="00F54106">
        <w:rPr>
          <w:rFonts w:cstheme="minorHAnsi"/>
          <w:lang w:val="en-GB"/>
        </w:rPr>
        <w:t>.</w:t>
      </w:r>
    </w:p>
    <w:p w14:paraId="11A30D79" w14:textId="2D88CB32" w:rsidR="002A5F04" w:rsidRPr="00F54106" w:rsidRDefault="002A5F04" w:rsidP="002A5F04">
      <w:pPr>
        <w:spacing w:line="276" w:lineRule="auto"/>
        <w:rPr>
          <w:rFonts w:cstheme="minorHAnsi"/>
          <w:lang w:val="en-GB"/>
        </w:rPr>
      </w:pPr>
      <w:r w:rsidRPr="00F54106">
        <w:rPr>
          <w:rFonts w:cstheme="minorHAnsi"/>
          <w:i/>
          <w:iCs/>
          <w:lang w:val="en-GB"/>
        </w:rPr>
        <w:t>KME Yorkshire Ltd v Toshiba Carrier UK Ltd</w:t>
      </w:r>
      <w:r w:rsidRPr="00F54106">
        <w:rPr>
          <w:rFonts w:cstheme="minorHAnsi"/>
          <w:lang w:val="en-GB"/>
        </w:rPr>
        <w:t xml:space="preserve"> [2012] EWCA </w:t>
      </w:r>
      <w:proofErr w:type="spellStart"/>
      <w:r w:rsidRPr="00F54106">
        <w:rPr>
          <w:rFonts w:cstheme="minorHAnsi"/>
          <w:lang w:val="en-GB"/>
        </w:rPr>
        <w:t>Civ</w:t>
      </w:r>
      <w:proofErr w:type="spellEnd"/>
      <w:r w:rsidRPr="00F54106">
        <w:rPr>
          <w:rFonts w:cstheme="minorHAnsi"/>
          <w:lang w:val="en-GB"/>
        </w:rPr>
        <w:t xml:space="preserve"> 1190</w:t>
      </w:r>
      <w:r w:rsidR="00AB0F26" w:rsidRPr="00F54106">
        <w:rPr>
          <w:rFonts w:cstheme="minorHAnsi"/>
          <w:lang w:val="en-GB"/>
        </w:rPr>
        <w:t>.</w:t>
      </w:r>
    </w:p>
    <w:p w14:paraId="374889F0" w14:textId="73E81580" w:rsidR="002A5F04" w:rsidRPr="00F54106" w:rsidRDefault="002A5F04" w:rsidP="002A5F04">
      <w:pPr>
        <w:spacing w:line="276" w:lineRule="auto"/>
        <w:rPr>
          <w:rFonts w:cstheme="minorHAnsi"/>
          <w:lang w:val="en-GB"/>
        </w:rPr>
      </w:pPr>
      <w:bookmarkStart w:id="179" w:name="_Hlk107451462"/>
      <w:proofErr w:type="spellStart"/>
      <w:r w:rsidRPr="00F54106">
        <w:rPr>
          <w:rFonts w:cstheme="minorHAnsi"/>
          <w:i/>
          <w:iCs/>
          <w:lang w:val="en-GB"/>
        </w:rPr>
        <w:t>Merricks</w:t>
      </w:r>
      <w:proofErr w:type="spellEnd"/>
      <w:r w:rsidRPr="00F54106">
        <w:rPr>
          <w:rFonts w:cstheme="minorHAnsi"/>
          <w:i/>
          <w:iCs/>
          <w:lang w:val="en-GB"/>
        </w:rPr>
        <w:t xml:space="preserve"> v Mastercard</w:t>
      </w:r>
      <w:bookmarkEnd w:id="179"/>
      <w:r w:rsidRPr="00F54106">
        <w:rPr>
          <w:rFonts w:cstheme="minorHAnsi"/>
          <w:i/>
          <w:iCs/>
          <w:lang w:val="en-GB"/>
        </w:rPr>
        <w:t xml:space="preserve"> </w:t>
      </w:r>
      <w:r w:rsidRPr="00F54106">
        <w:rPr>
          <w:rFonts w:cstheme="minorHAnsi"/>
          <w:lang w:val="en-GB"/>
        </w:rPr>
        <w:t>[2017] CAT 16</w:t>
      </w:r>
      <w:r w:rsidR="00AB0F26" w:rsidRPr="00F54106">
        <w:rPr>
          <w:rFonts w:cstheme="minorHAnsi"/>
          <w:lang w:val="en-GB"/>
        </w:rPr>
        <w:t>.</w:t>
      </w:r>
    </w:p>
    <w:p w14:paraId="74E091C1" w14:textId="298DD5A0" w:rsidR="002A5F04" w:rsidRPr="00F54106" w:rsidRDefault="002A5F04" w:rsidP="002A5F04">
      <w:pPr>
        <w:spacing w:line="276" w:lineRule="auto"/>
        <w:rPr>
          <w:rFonts w:cstheme="minorHAnsi"/>
          <w:lang w:val="en-GB"/>
        </w:rPr>
      </w:pPr>
      <w:r w:rsidRPr="00F54106">
        <w:rPr>
          <w:rFonts w:cstheme="minorHAnsi"/>
          <w:lang w:val="en-GB"/>
        </w:rPr>
        <w:lastRenderedPageBreak/>
        <w:t>Munich I Regional Court, judgement of 7 February 2020, 37 O 18934/17</w:t>
      </w:r>
      <w:r w:rsidR="00AB0F26" w:rsidRPr="00F54106">
        <w:rPr>
          <w:rFonts w:cstheme="minorHAnsi"/>
          <w:lang w:val="en-GB"/>
        </w:rPr>
        <w:t>.</w:t>
      </w:r>
    </w:p>
    <w:p w14:paraId="66448396" w14:textId="414913FF" w:rsidR="002A5F04" w:rsidRPr="00F54106" w:rsidRDefault="002A5F04" w:rsidP="002A5F04">
      <w:pPr>
        <w:spacing w:line="276" w:lineRule="auto"/>
        <w:rPr>
          <w:rFonts w:cstheme="minorHAnsi"/>
          <w:lang w:val="en-GB"/>
        </w:rPr>
      </w:pPr>
      <w:r w:rsidRPr="00F54106">
        <w:rPr>
          <w:rFonts w:cstheme="minorHAnsi"/>
          <w:i/>
          <w:iCs/>
          <w:lang w:val="en-GB"/>
        </w:rPr>
        <w:t>National Grid Electricity Transmission plc v ABB and Others</w:t>
      </w:r>
      <w:r w:rsidRPr="00F54106">
        <w:rPr>
          <w:rFonts w:cstheme="minorHAnsi"/>
          <w:lang w:val="en-GB"/>
        </w:rPr>
        <w:t xml:space="preserve"> [2012] EWHC 869 (Ch)</w:t>
      </w:r>
      <w:r w:rsidR="00AB0F26" w:rsidRPr="00F54106">
        <w:rPr>
          <w:rFonts w:cstheme="minorHAnsi"/>
          <w:lang w:val="en-GB"/>
        </w:rPr>
        <w:t>.</w:t>
      </w:r>
    </w:p>
    <w:p w14:paraId="6D78EFAD" w14:textId="2B90F24F" w:rsidR="002A5F04" w:rsidRPr="00F54106" w:rsidRDefault="002A5F04" w:rsidP="002A5F04">
      <w:pPr>
        <w:spacing w:line="276" w:lineRule="auto"/>
        <w:rPr>
          <w:rFonts w:cstheme="minorHAnsi"/>
          <w:lang w:val="en-GB"/>
        </w:rPr>
      </w:pPr>
      <w:r w:rsidRPr="00F54106">
        <w:rPr>
          <w:rFonts w:cstheme="minorHAnsi"/>
          <w:i/>
          <w:iCs/>
          <w:lang w:val="en-GB"/>
        </w:rPr>
        <w:t>National Grid Electricity Transmission Plc v ABB Ltd and Others</w:t>
      </w:r>
      <w:r w:rsidRPr="00F54106">
        <w:rPr>
          <w:rFonts w:cstheme="minorHAnsi"/>
          <w:lang w:val="en-GB"/>
        </w:rPr>
        <w:t xml:space="preserve"> [2014] EWHC 1555 (Ch)</w:t>
      </w:r>
      <w:r w:rsidR="00AB0F26" w:rsidRPr="00F54106">
        <w:rPr>
          <w:rFonts w:cstheme="minorHAnsi"/>
          <w:lang w:val="en-GB"/>
        </w:rPr>
        <w:t>.</w:t>
      </w:r>
    </w:p>
    <w:p w14:paraId="538FA60D" w14:textId="72AC7DEA" w:rsidR="002A5F04" w:rsidRPr="00F54106" w:rsidRDefault="002A5F04" w:rsidP="002A5F04">
      <w:pPr>
        <w:spacing w:line="276" w:lineRule="auto"/>
        <w:rPr>
          <w:rFonts w:cstheme="minorHAnsi"/>
          <w:lang w:val="en-GB"/>
        </w:rPr>
      </w:pPr>
      <w:r w:rsidRPr="00F54106">
        <w:rPr>
          <w:rFonts w:cstheme="minorHAnsi"/>
          <w:i/>
          <w:iCs/>
          <w:lang w:val="en-GB"/>
        </w:rPr>
        <w:t>Nokia Corporation v AU Optronics Corporation</w:t>
      </w:r>
      <w:r w:rsidRPr="00F54106">
        <w:rPr>
          <w:rFonts w:cstheme="minorHAnsi"/>
          <w:lang w:val="en-GB"/>
        </w:rPr>
        <w:t xml:space="preserve"> [2012] EWHC 731 (Ch)</w:t>
      </w:r>
      <w:r w:rsidR="00AB0F26" w:rsidRPr="00F54106">
        <w:rPr>
          <w:rFonts w:cstheme="minorHAnsi"/>
          <w:lang w:val="en-GB"/>
        </w:rPr>
        <w:t>.</w:t>
      </w:r>
    </w:p>
    <w:p w14:paraId="48E21145" w14:textId="5E676335" w:rsidR="002A5F04" w:rsidRPr="00F54106" w:rsidRDefault="002A5F04" w:rsidP="002A5F04">
      <w:pPr>
        <w:spacing w:line="276" w:lineRule="auto"/>
        <w:rPr>
          <w:rFonts w:cstheme="minorHAnsi"/>
          <w:lang w:val="en-GB"/>
        </w:rPr>
      </w:pPr>
      <w:r w:rsidRPr="00F54106">
        <w:rPr>
          <w:rFonts w:cstheme="minorHAnsi"/>
          <w:i/>
          <w:iCs/>
          <w:lang w:val="en-GB"/>
        </w:rPr>
        <w:t>North Shore Ventures Ltd v Anstead Holdings Inc</w:t>
      </w:r>
      <w:r w:rsidRPr="00F54106">
        <w:rPr>
          <w:rFonts w:cstheme="minorHAnsi"/>
          <w:lang w:val="en-GB"/>
        </w:rPr>
        <w:t xml:space="preserve"> [2012] EWCA </w:t>
      </w:r>
      <w:proofErr w:type="spellStart"/>
      <w:r w:rsidRPr="00F54106">
        <w:rPr>
          <w:rFonts w:cstheme="minorHAnsi"/>
          <w:lang w:val="en-GB"/>
        </w:rPr>
        <w:t>Civ</w:t>
      </w:r>
      <w:proofErr w:type="spellEnd"/>
      <w:r w:rsidRPr="00F54106">
        <w:rPr>
          <w:rFonts w:cstheme="minorHAnsi"/>
          <w:lang w:val="en-GB"/>
        </w:rPr>
        <w:t xml:space="preserve"> 11</w:t>
      </w:r>
      <w:r w:rsidR="00AB0F26" w:rsidRPr="00F54106">
        <w:rPr>
          <w:rFonts w:cstheme="minorHAnsi"/>
          <w:lang w:val="en-GB"/>
        </w:rPr>
        <w:t>.</w:t>
      </w:r>
    </w:p>
    <w:p w14:paraId="23BD6806" w14:textId="3F55C2FE" w:rsidR="002A5F04" w:rsidRPr="00F54106" w:rsidRDefault="002A5F04" w:rsidP="002A5F04">
      <w:pPr>
        <w:spacing w:line="276" w:lineRule="auto"/>
        <w:rPr>
          <w:rFonts w:cstheme="minorHAnsi"/>
          <w:lang w:val="en-GB"/>
        </w:rPr>
      </w:pPr>
      <w:r w:rsidRPr="00F54106">
        <w:rPr>
          <w:rFonts w:cstheme="minorHAnsi"/>
          <w:lang w:val="en-GB"/>
        </w:rPr>
        <w:t>OLG Berlin, judgement of 1 October 2009, 2 U 10/03 Kart</w:t>
      </w:r>
      <w:r w:rsidR="00AB0F26" w:rsidRPr="00F54106">
        <w:rPr>
          <w:rFonts w:cstheme="minorHAnsi"/>
          <w:lang w:val="en-GB"/>
        </w:rPr>
        <w:t>.</w:t>
      </w:r>
    </w:p>
    <w:p w14:paraId="344C6D7F" w14:textId="582662D6" w:rsidR="002A5F04" w:rsidRPr="00F54106" w:rsidRDefault="002A5F04" w:rsidP="002A5F04">
      <w:pPr>
        <w:spacing w:line="276" w:lineRule="auto"/>
        <w:rPr>
          <w:rFonts w:cstheme="minorHAnsi"/>
          <w:lang w:val="en-GB"/>
        </w:rPr>
      </w:pPr>
      <w:r w:rsidRPr="00F54106">
        <w:rPr>
          <w:rFonts w:cstheme="minorHAnsi"/>
          <w:lang w:val="en-GB"/>
        </w:rPr>
        <w:t>OLG Hanover, judgement of 2 May 2017, 18 O 194/15</w:t>
      </w:r>
      <w:r w:rsidR="00AB0F26" w:rsidRPr="00F54106">
        <w:rPr>
          <w:rFonts w:cstheme="minorHAnsi"/>
          <w:lang w:val="en-GB"/>
        </w:rPr>
        <w:t>.</w:t>
      </w:r>
    </w:p>
    <w:p w14:paraId="73116744" w14:textId="53AAA068" w:rsidR="002A5F04" w:rsidRPr="00F54106" w:rsidRDefault="002A5F04" w:rsidP="002A5F04">
      <w:pPr>
        <w:spacing w:line="276" w:lineRule="auto"/>
        <w:rPr>
          <w:rFonts w:cstheme="minorHAnsi"/>
          <w:lang w:val="en-GB"/>
        </w:rPr>
      </w:pPr>
      <w:r w:rsidRPr="00F54106">
        <w:rPr>
          <w:rFonts w:cstheme="minorHAnsi"/>
          <w:lang w:val="en-GB"/>
        </w:rPr>
        <w:t>OLG Karlsruhe, judgement of 31 July 2013, 6 U 51/12 Kart</w:t>
      </w:r>
      <w:r w:rsidR="00AB0F26" w:rsidRPr="00F54106">
        <w:rPr>
          <w:rFonts w:cstheme="minorHAnsi"/>
          <w:lang w:val="en-GB"/>
        </w:rPr>
        <w:t>.</w:t>
      </w:r>
    </w:p>
    <w:p w14:paraId="7DB39C80" w14:textId="53D88880" w:rsidR="002A5F04" w:rsidRPr="00F54106" w:rsidRDefault="002A5F04" w:rsidP="002A5F04">
      <w:pPr>
        <w:spacing w:line="276" w:lineRule="auto"/>
        <w:rPr>
          <w:rFonts w:cstheme="minorHAnsi"/>
          <w:lang w:val="en-GB"/>
        </w:rPr>
      </w:pPr>
      <w:r w:rsidRPr="00F54106">
        <w:rPr>
          <w:rFonts w:cstheme="minorHAnsi"/>
          <w:lang w:val="en-GB"/>
        </w:rPr>
        <w:t>OLG Karlsruhe, judgement of 9 November 2016, 6 U 204/15 Kart (2)</w:t>
      </w:r>
      <w:r w:rsidR="00AB0F26" w:rsidRPr="00F54106">
        <w:rPr>
          <w:rFonts w:cstheme="minorHAnsi"/>
          <w:lang w:val="en-GB"/>
        </w:rPr>
        <w:t>.</w:t>
      </w:r>
    </w:p>
    <w:p w14:paraId="6E87E3FE" w14:textId="34F984B8" w:rsidR="002A5F04" w:rsidRPr="00F54106" w:rsidRDefault="002A5F04" w:rsidP="002A5F04">
      <w:pPr>
        <w:spacing w:line="276" w:lineRule="auto"/>
        <w:rPr>
          <w:rFonts w:cstheme="minorHAnsi"/>
          <w:lang w:val="en-GB"/>
        </w:rPr>
      </w:pPr>
      <w:r w:rsidRPr="00F54106">
        <w:rPr>
          <w:rFonts w:cstheme="minorHAnsi"/>
          <w:lang w:val="en-GB"/>
        </w:rPr>
        <w:t>OLG Munich, judgement of 8 March 2018, U 3497/16 Kart</w:t>
      </w:r>
      <w:r w:rsidR="00AB0F26" w:rsidRPr="00F54106">
        <w:rPr>
          <w:rFonts w:cstheme="minorHAnsi"/>
          <w:lang w:val="en-GB"/>
        </w:rPr>
        <w:t>.</w:t>
      </w:r>
    </w:p>
    <w:p w14:paraId="6E426D19" w14:textId="63656819" w:rsidR="002A5F04" w:rsidRPr="00F54106" w:rsidRDefault="002A5F04" w:rsidP="002A5F04">
      <w:pPr>
        <w:spacing w:line="276" w:lineRule="auto"/>
        <w:rPr>
          <w:rFonts w:cstheme="minorHAnsi"/>
          <w:lang w:val="en-GB"/>
        </w:rPr>
      </w:pPr>
      <w:r w:rsidRPr="00F54106">
        <w:rPr>
          <w:rFonts w:cstheme="minorHAnsi"/>
          <w:i/>
          <w:iCs/>
          <w:shd w:val="clear" w:color="auto" w:fill="FFFFFF"/>
          <w:lang w:val="en-GB"/>
        </w:rPr>
        <w:t>Peugeot S.A. and other v NSK Ltd</w:t>
      </w:r>
      <w:r w:rsidRPr="00F54106">
        <w:rPr>
          <w:rFonts w:cstheme="minorHAnsi"/>
          <w:shd w:val="clear" w:color="auto" w:fill="FFFFFF"/>
          <w:lang w:val="en-GB"/>
        </w:rPr>
        <w:t xml:space="preserve"> </w:t>
      </w:r>
      <w:r w:rsidRPr="00F54106">
        <w:rPr>
          <w:rFonts w:cstheme="minorHAnsi"/>
          <w:lang w:val="en-GB"/>
        </w:rPr>
        <w:t>[2018] CAT 3</w:t>
      </w:r>
      <w:r w:rsidR="00AB0F26" w:rsidRPr="00F54106">
        <w:rPr>
          <w:rFonts w:cstheme="minorHAnsi"/>
          <w:lang w:val="en-GB"/>
        </w:rPr>
        <w:t>.</w:t>
      </w:r>
    </w:p>
    <w:p w14:paraId="05605298" w14:textId="44577E71" w:rsidR="002A5F04" w:rsidRPr="00F54106" w:rsidRDefault="002A5F04" w:rsidP="002A5F04">
      <w:pPr>
        <w:spacing w:line="276" w:lineRule="auto"/>
        <w:rPr>
          <w:rFonts w:cstheme="minorHAnsi"/>
          <w:lang w:val="en-GB"/>
        </w:rPr>
      </w:pPr>
      <w:proofErr w:type="spellStart"/>
      <w:r w:rsidRPr="00F54106">
        <w:rPr>
          <w:rStyle w:val="Emphasis"/>
          <w:rFonts w:cstheme="minorHAnsi"/>
          <w:shd w:val="clear" w:color="auto" w:fill="FFFFFF"/>
          <w:lang w:val="en-GB"/>
        </w:rPr>
        <w:t>Pipia</w:t>
      </w:r>
      <w:proofErr w:type="spellEnd"/>
      <w:r w:rsidRPr="00F54106">
        <w:rPr>
          <w:rStyle w:val="Emphasis"/>
          <w:rFonts w:cstheme="minorHAnsi"/>
          <w:shd w:val="clear" w:color="auto" w:fill="FFFFFF"/>
          <w:lang w:val="en-GB"/>
        </w:rPr>
        <w:t xml:space="preserve"> v BG Group Ltd</w:t>
      </w:r>
      <w:r w:rsidRPr="00F54106">
        <w:rPr>
          <w:rFonts w:cstheme="minorHAnsi"/>
          <w:shd w:val="clear" w:color="auto" w:fill="FFFFFF"/>
          <w:lang w:val="en-GB"/>
        </w:rPr>
        <w:t> [2020] EWHC 402 (Comm)</w:t>
      </w:r>
      <w:r w:rsidR="00AB0F26" w:rsidRPr="00F54106">
        <w:rPr>
          <w:rFonts w:cstheme="minorHAnsi"/>
          <w:shd w:val="clear" w:color="auto" w:fill="FFFFFF"/>
          <w:lang w:val="en-GB"/>
        </w:rPr>
        <w:t>.</w:t>
      </w:r>
    </w:p>
    <w:p w14:paraId="5B4D4418" w14:textId="6B9A9C73" w:rsidR="002A5F04" w:rsidRPr="00F54106" w:rsidRDefault="002A5F04" w:rsidP="002A5F04">
      <w:pPr>
        <w:spacing w:line="276" w:lineRule="auto"/>
        <w:rPr>
          <w:rFonts w:cstheme="minorHAnsi"/>
          <w:lang w:val="en-GB"/>
        </w:rPr>
      </w:pPr>
      <w:r w:rsidRPr="00F54106">
        <w:rPr>
          <w:rFonts w:cstheme="minorHAnsi"/>
          <w:lang w:val="en-GB"/>
        </w:rPr>
        <w:t xml:space="preserve">Rechtbank Amsterdam 7 </w:t>
      </w:r>
      <w:proofErr w:type="spellStart"/>
      <w:r w:rsidRPr="00F54106">
        <w:rPr>
          <w:rFonts w:cstheme="minorHAnsi"/>
          <w:lang w:val="en-GB"/>
        </w:rPr>
        <w:t>Januari</w:t>
      </w:r>
      <w:proofErr w:type="spellEnd"/>
      <w:r w:rsidRPr="00F54106">
        <w:rPr>
          <w:rFonts w:cstheme="minorHAnsi"/>
          <w:lang w:val="en-GB"/>
        </w:rPr>
        <w:t xml:space="preserve"> 2015, ECLI:NL:RBAMS:2015:94</w:t>
      </w:r>
      <w:r w:rsidR="00AB0F26" w:rsidRPr="00F54106">
        <w:rPr>
          <w:rFonts w:cstheme="minorHAnsi"/>
          <w:lang w:val="en-GB"/>
        </w:rPr>
        <w:t>.</w:t>
      </w:r>
    </w:p>
    <w:p w14:paraId="3E3A335F" w14:textId="2570DB18" w:rsidR="002A5F04" w:rsidRPr="00F54106" w:rsidRDefault="002A5F04" w:rsidP="002A5F04">
      <w:pPr>
        <w:spacing w:line="276" w:lineRule="auto"/>
        <w:rPr>
          <w:rFonts w:cstheme="minorHAnsi"/>
          <w:lang w:val="en-GB"/>
        </w:rPr>
      </w:pPr>
      <w:r w:rsidRPr="00F54106">
        <w:rPr>
          <w:rFonts w:cstheme="minorHAnsi"/>
          <w:lang w:val="en-GB"/>
        </w:rPr>
        <w:t>Rechtbank Amsterdam 9 Mei 2018, ECLI:NL:RBAMS:2018:3203 (MTB v AB and Heineken)</w:t>
      </w:r>
      <w:r w:rsidR="00AB0F26" w:rsidRPr="00F54106">
        <w:rPr>
          <w:rFonts w:cstheme="minorHAnsi"/>
          <w:lang w:val="en-GB"/>
        </w:rPr>
        <w:t>.</w:t>
      </w:r>
    </w:p>
    <w:p w14:paraId="59D19781" w14:textId="7591F02C" w:rsidR="002A5F04" w:rsidRPr="00F54106" w:rsidRDefault="002A5F04" w:rsidP="002A5F04">
      <w:pPr>
        <w:spacing w:line="276" w:lineRule="auto"/>
        <w:rPr>
          <w:rFonts w:cstheme="minorHAnsi"/>
          <w:lang w:val="en-GB"/>
        </w:rPr>
      </w:pPr>
      <w:r w:rsidRPr="00F54106">
        <w:rPr>
          <w:rFonts w:cstheme="minorHAnsi"/>
          <w:lang w:val="en-GB"/>
        </w:rPr>
        <w:t>Rechtbank Amsterdam 25 November 2020, ECLI:NL:RBAMS:2020:5882</w:t>
      </w:r>
      <w:r w:rsidR="00AB0F26" w:rsidRPr="00F54106">
        <w:rPr>
          <w:rFonts w:cstheme="minorHAnsi"/>
          <w:lang w:val="en-GB"/>
        </w:rPr>
        <w:t>.</w:t>
      </w:r>
    </w:p>
    <w:p w14:paraId="58AE2174" w14:textId="7AB7BA9F" w:rsidR="002A5F04" w:rsidRPr="00F54106" w:rsidRDefault="002A5F04" w:rsidP="002A5F04">
      <w:pPr>
        <w:spacing w:line="276" w:lineRule="auto"/>
        <w:rPr>
          <w:rFonts w:cstheme="minorHAnsi"/>
          <w:lang w:val="en-GB"/>
        </w:rPr>
      </w:pPr>
      <w:r w:rsidRPr="00F54106">
        <w:rPr>
          <w:rFonts w:cstheme="minorHAnsi"/>
          <w:lang w:val="en-GB"/>
        </w:rPr>
        <w:t>Rechtbank Amsterdam 13 September 2017, ECLI:NL:RBAMS:2017:6607 (</w:t>
      </w:r>
      <w:proofErr w:type="spellStart"/>
      <w:r w:rsidRPr="00F54106">
        <w:rPr>
          <w:rFonts w:cstheme="minorHAnsi"/>
          <w:lang w:val="en-GB"/>
        </w:rPr>
        <w:t>Equilib</w:t>
      </w:r>
      <w:proofErr w:type="spellEnd"/>
      <w:r w:rsidRPr="00F54106">
        <w:rPr>
          <w:rFonts w:cstheme="minorHAnsi"/>
          <w:lang w:val="en-GB"/>
        </w:rPr>
        <w:t xml:space="preserve"> v KLM)</w:t>
      </w:r>
      <w:r w:rsidR="00AB0F26" w:rsidRPr="00F54106">
        <w:rPr>
          <w:rFonts w:cstheme="minorHAnsi"/>
          <w:lang w:val="en-GB"/>
        </w:rPr>
        <w:t>.</w:t>
      </w:r>
    </w:p>
    <w:p w14:paraId="2B464711" w14:textId="757F62AA" w:rsidR="002A5F04" w:rsidRPr="00F54106" w:rsidRDefault="002A5F04" w:rsidP="002A5F04">
      <w:pPr>
        <w:spacing w:line="276" w:lineRule="auto"/>
        <w:rPr>
          <w:rFonts w:cstheme="minorHAnsi"/>
          <w:lang w:val="en-GB"/>
        </w:rPr>
      </w:pPr>
      <w:r w:rsidRPr="00F54106">
        <w:rPr>
          <w:rFonts w:cstheme="minorHAnsi"/>
          <w:lang w:val="en-GB"/>
        </w:rPr>
        <w:t xml:space="preserve">Rechtbank Arnhem 26 </w:t>
      </w:r>
      <w:proofErr w:type="spellStart"/>
      <w:r w:rsidRPr="00F54106">
        <w:rPr>
          <w:rFonts w:cstheme="minorHAnsi"/>
          <w:lang w:val="en-GB"/>
        </w:rPr>
        <w:t>Oktober</w:t>
      </w:r>
      <w:proofErr w:type="spellEnd"/>
      <w:r w:rsidRPr="00F54106">
        <w:rPr>
          <w:rFonts w:cstheme="minorHAnsi"/>
          <w:lang w:val="en-GB"/>
        </w:rPr>
        <w:t xml:space="preserve"> 2011, ECLI:NL:RBARN:2011:BU3546 (</w:t>
      </w:r>
      <w:proofErr w:type="spellStart"/>
      <w:r w:rsidRPr="00F54106">
        <w:rPr>
          <w:rFonts w:cstheme="minorHAnsi"/>
          <w:lang w:val="en-GB"/>
        </w:rPr>
        <w:t>TenneT</w:t>
      </w:r>
      <w:proofErr w:type="spellEnd"/>
      <w:r w:rsidRPr="00F54106">
        <w:rPr>
          <w:rFonts w:cstheme="minorHAnsi"/>
          <w:lang w:val="en-GB"/>
        </w:rPr>
        <w:t xml:space="preserve"> v ABB)</w:t>
      </w:r>
      <w:r w:rsidR="00AB0F26" w:rsidRPr="00F54106">
        <w:rPr>
          <w:rFonts w:cstheme="minorHAnsi"/>
          <w:lang w:val="en-GB"/>
        </w:rPr>
        <w:t>.</w:t>
      </w:r>
    </w:p>
    <w:p w14:paraId="42212E8B" w14:textId="32F90C2B" w:rsidR="002A5F04" w:rsidRPr="00F54106" w:rsidRDefault="002A5F04" w:rsidP="002A5F04">
      <w:pPr>
        <w:spacing w:line="276" w:lineRule="auto"/>
        <w:rPr>
          <w:rFonts w:cstheme="minorHAnsi"/>
          <w:lang w:val="en-GB"/>
        </w:rPr>
      </w:pPr>
      <w:r w:rsidRPr="00F54106">
        <w:rPr>
          <w:rFonts w:cstheme="minorHAnsi"/>
          <w:lang w:val="en-GB"/>
        </w:rPr>
        <w:t xml:space="preserve">Rechtbank Arnhem 26 </w:t>
      </w:r>
      <w:proofErr w:type="spellStart"/>
      <w:r w:rsidRPr="00F54106">
        <w:rPr>
          <w:rFonts w:cstheme="minorHAnsi"/>
          <w:lang w:val="en-GB"/>
        </w:rPr>
        <w:t>Oktober</w:t>
      </w:r>
      <w:proofErr w:type="spellEnd"/>
      <w:r w:rsidRPr="00F54106">
        <w:rPr>
          <w:rFonts w:cstheme="minorHAnsi"/>
          <w:lang w:val="en-GB"/>
        </w:rPr>
        <w:t xml:space="preserve"> 2011, ECLI:NL:RBARN:2011:BU3548 (</w:t>
      </w:r>
      <w:proofErr w:type="spellStart"/>
      <w:r w:rsidRPr="00F54106">
        <w:rPr>
          <w:rFonts w:cstheme="minorHAnsi"/>
          <w:lang w:val="en-GB"/>
        </w:rPr>
        <w:t>TenneT</w:t>
      </w:r>
      <w:proofErr w:type="spellEnd"/>
      <w:r w:rsidRPr="00F54106">
        <w:rPr>
          <w:rFonts w:cstheme="minorHAnsi"/>
          <w:lang w:val="en-GB"/>
        </w:rPr>
        <w:t xml:space="preserve"> v Alstom)</w:t>
      </w:r>
      <w:r w:rsidR="00AB0F26" w:rsidRPr="00F54106">
        <w:rPr>
          <w:rFonts w:cstheme="minorHAnsi"/>
          <w:lang w:val="en-GB"/>
        </w:rPr>
        <w:t>.</w:t>
      </w:r>
    </w:p>
    <w:p w14:paraId="0E035C65" w14:textId="1754A391" w:rsidR="002A5F04" w:rsidRPr="00F54106" w:rsidRDefault="002A5F04" w:rsidP="002A5F04">
      <w:pPr>
        <w:spacing w:line="276" w:lineRule="auto"/>
        <w:rPr>
          <w:rFonts w:cstheme="minorHAnsi"/>
          <w:lang w:val="en-GB"/>
        </w:rPr>
      </w:pPr>
      <w:r w:rsidRPr="00F54106">
        <w:rPr>
          <w:rFonts w:cstheme="minorHAnsi"/>
          <w:lang w:val="en-GB"/>
        </w:rPr>
        <w:t xml:space="preserve">Rechtbank Oost-Brabant 29 </w:t>
      </w:r>
      <w:proofErr w:type="spellStart"/>
      <w:r w:rsidRPr="00F54106">
        <w:rPr>
          <w:rFonts w:cstheme="minorHAnsi"/>
          <w:lang w:val="en-GB"/>
        </w:rPr>
        <w:t>Juni</w:t>
      </w:r>
      <w:proofErr w:type="spellEnd"/>
      <w:r w:rsidRPr="00F54106">
        <w:rPr>
          <w:rFonts w:cstheme="minorHAnsi"/>
          <w:lang w:val="en-GB"/>
        </w:rPr>
        <w:t xml:space="preserve"> 2016, ECLI:NL:RBOBR:2016:3484 (</w:t>
      </w:r>
      <w:proofErr w:type="spellStart"/>
      <w:r w:rsidRPr="00F54106">
        <w:rPr>
          <w:rFonts w:cstheme="minorHAnsi"/>
          <w:lang w:val="en-GB"/>
        </w:rPr>
        <w:t>Vestel</w:t>
      </w:r>
      <w:proofErr w:type="spellEnd"/>
      <w:r w:rsidRPr="00F54106">
        <w:rPr>
          <w:rFonts w:cstheme="minorHAnsi"/>
          <w:lang w:val="en-GB"/>
        </w:rPr>
        <w:t xml:space="preserve"> v Philips </w:t>
      </w:r>
      <w:r w:rsidR="00CF3D8A" w:rsidRPr="00F54106">
        <w:rPr>
          <w:rFonts w:cstheme="minorHAnsi"/>
          <w:lang w:val="en-GB"/>
        </w:rPr>
        <w:t>and others</w:t>
      </w:r>
      <w:r w:rsidRPr="00F54106">
        <w:rPr>
          <w:rFonts w:cstheme="minorHAnsi"/>
          <w:lang w:val="en-GB"/>
        </w:rPr>
        <w:t>)</w:t>
      </w:r>
      <w:r w:rsidR="00AB0F26" w:rsidRPr="00F54106">
        <w:rPr>
          <w:rFonts w:cstheme="minorHAnsi"/>
          <w:lang w:val="en-GB"/>
        </w:rPr>
        <w:t>.</w:t>
      </w:r>
    </w:p>
    <w:p w14:paraId="31FC56A0" w14:textId="2513B244" w:rsidR="002A5F04" w:rsidRPr="00F54106" w:rsidRDefault="002A5F04" w:rsidP="002A5F04">
      <w:pPr>
        <w:spacing w:line="276" w:lineRule="auto"/>
        <w:rPr>
          <w:rFonts w:cstheme="minorHAnsi"/>
          <w:lang w:val="en-GB"/>
        </w:rPr>
      </w:pPr>
      <w:r w:rsidRPr="00F54106">
        <w:rPr>
          <w:rFonts w:cstheme="minorHAnsi"/>
          <w:lang w:val="en-GB"/>
        </w:rPr>
        <w:t xml:space="preserve">Rechtbank Rotterdam 23 </w:t>
      </w:r>
      <w:proofErr w:type="spellStart"/>
      <w:r w:rsidRPr="00F54106">
        <w:rPr>
          <w:rFonts w:cstheme="minorHAnsi"/>
          <w:lang w:val="en-GB"/>
        </w:rPr>
        <w:t>Oktober</w:t>
      </w:r>
      <w:proofErr w:type="spellEnd"/>
      <w:r w:rsidRPr="00F54106">
        <w:rPr>
          <w:rFonts w:cstheme="minorHAnsi"/>
          <w:lang w:val="en-GB"/>
        </w:rPr>
        <w:t xml:space="preserve"> 2019, ECLI:NL:RBROT:2019:8230 (SECC v Kone)</w:t>
      </w:r>
      <w:r w:rsidR="00AB0F26" w:rsidRPr="00F54106">
        <w:rPr>
          <w:rFonts w:cstheme="minorHAnsi"/>
          <w:lang w:val="en-GB"/>
        </w:rPr>
        <w:t>.</w:t>
      </w:r>
    </w:p>
    <w:p w14:paraId="3893F9FD" w14:textId="7FAAA434" w:rsidR="002A5F04" w:rsidRPr="00F54106" w:rsidRDefault="002A5F04" w:rsidP="002A5F04">
      <w:pPr>
        <w:spacing w:line="276" w:lineRule="auto"/>
        <w:rPr>
          <w:rFonts w:cstheme="minorHAnsi"/>
          <w:lang w:val="en-GB"/>
        </w:rPr>
      </w:pPr>
      <w:r w:rsidRPr="00F54106">
        <w:rPr>
          <w:rFonts w:cstheme="minorHAnsi"/>
          <w:i/>
          <w:iCs/>
          <w:lang w:val="en-GB"/>
        </w:rPr>
        <w:t xml:space="preserve">Roche Products Ltd v </w:t>
      </w:r>
      <w:proofErr w:type="spellStart"/>
      <w:r w:rsidRPr="00F54106">
        <w:rPr>
          <w:rFonts w:cstheme="minorHAnsi"/>
          <w:i/>
          <w:iCs/>
          <w:lang w:val="en-GB"/>
        </w:rPr>
        <w:t>Provimi</w:t>
      </w:r>
      <w:proofErr w:type="spellEnd"/>
      <w:r w:rsidRPr="00F54106">
        <w:rPr>
          <w:rFonts w:cstheme="minorHAnsi"/>
          <w:i/>
          <w:iCs/>
          <w:lang w:val="en-GB"/>
        </w:rPr>
        <w:t xml:space="preserve"> Ltd</w:t>
      </w:r>
      <w:r w:rsidRPr="00F54106">
        <w:rPr>
          <w:rFonts w:cstheme="minorHAnsi"/>
          <w:lang w:val="en-GB"/>
        </w:rPr>
        <w:t xml:space="preserve"> [2003] EWHC 961 (Comm)</w:t>
      </w:r>
      <w:r w:rsidR="00AB0F26" w:rsidRPr="00F54106">
        <w:rPr>
          <w:rFonts w:cstheme="minorHAnsi"/>
          <w:lang w:val="en-GB"/>
        </w:rPr>
        <w:t>.</w:t>
      </w:r>
    </w:p>
    <w:p w14:paraId="1FEA2BCA" w14:textId="506A665C" w:rsidR="002A5F04" w:rsidRPr="00F54106" w:rsidRDefault="002A5F04" w:rsidP="002A5F04">
      <w:pPr>
        <w:spacing w:line="276" w:lineRule="auto"/>
        <w:rPr>
          <w:rFonts w:cstheme="minorHAnsi"/>
          <w:lang w:val="en-GB"/>
        </w:rPr>
      </w:pPr>
      <w:r w:rsidRPr="00F54106">
        <w:rPr>
          <w:rFonts w:cstheme="minorHAnsi"/>
          <w:i/>
          <w:iCs/>
          <w:lang w:val="en-GB"/>
        </w:rPr>
        <w:t xml:space="preserve">Schlumberger Holdings Ltd v Electromagnetic </w:t>
      </w:r>
      <w:proofErr w:type="spellStart"/>
      <w:r w:rsidRPr="00F54106">
        <w:rPr>
          <w:rFonts w:cstheme="minorHAnsi"/>
          <w:i/>
          <w:iCs/>
          <w:lang w:val="en-GB"/>
        </w:rPr>
        <w:t>Geoservices</w:t>
      </w:r>
      <w:proofErr w:type="spellEnd"/>
      <w:r w:rsidRPr="00F54106">
        <w:rPr>
          <w:rFonts w:cstheme="minorHAnsi"/>
          <w:lang w:val="en-GB"/>
        </w:rPr>
        <w:t xml:space="preserve"> [2008] EWHC 56 (Pat)</w:t>
      </w:r>
      <w:r w:rsidR="00AB0F26" w:rsidRPr="00F54106">
        <w:rPr>
          <w:rFonts w:cstheme="minorHAnsi"/>
          <w:lang w:val="en-GB"/>
        </w:rPr>
        <w:t>.</w:t>
      </w:r>
    </w:p>
    <w:p w14:paraId="759EA5CB" w14:textId="1CE5C0D9" w:rsidR="002A5F04" w:rsidRPr="00F54106" w:rsidRDefault="002A5F04" w:rsidP="002A5F04">
      <w:pPr>
        <w:spacing w:line="276" w:lineRule="auto"/>
        <w:rPr>
          <w:rFonts w:cstheme="minorHAnsi"/>
          <w:lang w:val="en-GB"/>
        </w:rPr>
      </w:pPr>
      <w:r w:rsidRPr="00F54106">
        <w:rPr>
          <w:rFonts w:cstheme="minorHAnsi"/>
          <w:i/>
          <w:iCs/>
          <w:lang w:val="en-GB"/>
        </w:rPr>
        <w:t>The Civil Aviation Authority v. Jet2.Com Ltd</w:t>
      </w:r>
      <w:r w:rsidRPr="00F54106">
        <w:rPr>
          <w:rFonts w:cstheme="minorHAnsi"/>
          <w:lang w:val="en-GB"/>
        </w:rPr>
        <w:t xml:space="preserve"> [2020] EWCA </w:t>
      </w:r>
      <w:proofErr w:type="spellStart"/>
      <w:r w:rsidRPr="00F54106">
        <w:rPr>
          <w:rFonts w:cstheme="minorHAnsi"/>
          <w:lang w:val="en-GB"/>
        </w:rPr>
        <w:t>Civ</w:t>
      </w:r>
      <w:proofErr w:type="spellEnd"/>
      <w:r w:rsidRPr="00F54106">
        <w:rPr>
          <w:rFonts w:cstheme="minorHAnsi"/>
          <w:lang w:val="en-GB"/>
        </w:rPr>
        <w:t xml:space="preserve"> 35</w:t>
      </w:r>
      <w:r w:rsidR="00AB0F26" w:rsidRPr="00F54106">
        <w:rPr>
          <w:rFonts w:cstheme="minorHAnsi"/>
          <w:lang w:val="en-GB"/>
        </w:rPr>
        <w:t>.</w:t>
      </w:r>
    </w:p>
    <w:p w14:paraId="624B4C8A" w14:textId="1AF2E7EB" w:rsidR="002A5F04" w:rsidRPr="00F54106" w:rsidRDefault="002A5F04" w:rsidP="002A5F04">
      <w:pPr>
        <w:spacing w:line="276" w:lineRule="auto"/>
        <w:rPr>
          <w:rFonts w:cstheme="minorHAnsi"/>
          <w:lang w:val="en-GB"/>
        </w:rPr>
      </w:pPr>
      <w:r w:rsidRPr="00F54106">
        <w:rPr>
          <w:rFonts w:cstheme="minorHAnsi"/>
          <w:i/>
          <w:iCs/>
          <w:lang w:val="en-GB"/>
        </w:rPr>
        <w:t>Three Rivers District Council and Others v. The Governor &amp; Company of the Bank of England</w:t>
      </w:r>
      <w:r w:rsidRPr="00F54106">
        <w:rPr>
          <w:rFonts w:cstheme="minorHAnsi"/>
          <w:lang w:val="en-GB"/>
        </w:rPr>
        <w:t xml:space="preserve"> </w:t>
      </w:r>
      <w:r w:rsidRPr="00F54106">
        <w:rPr>
          <w:rFonts w:cstheme="minorHAnsi"/>
          <w:i/>
          <w:iCs/>
          <w:lang w:val="en-GB"/>
        </w:rPr>
        <w:t>(No. 6)</w:t>
      </w:r>
      <w:r w:rsidRPr="00F54106">
        <w:rPr>
          <w:rFonts w:cstheme="minorHAnsi"/>
          <w:lang w:val="en-GB"/>
        </w:rPr>
        <w:t xml:space="preserve"> [2005] 1 AC 610</w:t>
      </w:r>
      <w:r w:rsidR="00AB0F26" w:rsidRPr="00F54106">
        <w:rPr>
          <w:rFonts w:cstheme="minorHAnsi"/>
          <w:lang w:val="en-GB"/>
        </w:rPr>
        <w:t>.</w:t>
      </w:r>
    </w:p>
    <w:p w14:paraId="7DC42445" w14:textId="73B7E4E8" w:rsidR="002A5F04" w:rsidRPr="00F54106" w:rsidRDefault="002A5F04" w:rsidP="002A5F04">
      <w:pPr>
        <w:spacing w:line="276" w:lineRule="auto"/>
        <w:rPr>
          <w:rFonts w:cstheme="minorHAnsi"/>
          <w:lang w:val="en-GB"/>
        </w:rPr>
      </w:pPr>
      <w:proofErr w:type="spellStart"/>
      <w:r w:rsidRPr="00F54106">
        <w:rPr>
          <w:rFonts w:cstheme="minorHAnsi"/>
          <w:lang w:val="en-GB"/>
        </w:rPr>
        <w:t>Thüringer</w:t>
      </w:r>
      <w:proofErr w:type="spellEnd"/>
      <w:r w:rsidRPr="00F54106">
        <w:rPr>
          <w:rFonts w:cstheme="minorHAnsi"/>
          <w:lang w:val="en-GB"/>
        </w:rPr>
        <w:t xml:space="preserve"> OLG, judgement of 22 February 2017, 2 U 583/15 Kart</w:t>
      </w:r>
      <w:r w:rsidR="00AB0F26" w:rsidRPr="00F54106">
        <w:rPr>
          <w:rFonts w:cstheme="minorHAnsi"/>
          <w:lang w:val="en-GB"/>
        </w:rPr>
        <w:t>.</w:t>
      </w:r>
    </w:p>
    <w:p w14:paraId="6729C7C0" w14:textId="7BCD3338" w:rsidR="003561C0" w:rsidRPr="00F54106" w:rsidRDefault="00B93F8C" w:rsidP="00FC31D7">
      <w:pPr>
        <w:spacing w:line="276" w:lineRule="auto"/>
        <w:rPr>
          <w:lang w:val="en-GB"/>
        </w:rPr>
      </w:pPr>
      <w:r w:rsidRPr="00F54106">
        <w:rPr>
          <w:i/>
          <w:iCs/>
          <w:lang w:val="en-GB"/>
        </w:rPr>
        <w:t xml:space="preserve">Walter Hugh </w:t>
      </w:r>
      <w:proofErr w:type="spellStart"/>
      <w:r w:rsidRPr="00F54106">
        <w:rPr>
          <w:i/>
          <w:iCs/>
          <w:lang w:val="en-GB"/>
        </w:rPr>
        <w:t>Merricks</w:t>
      </w:r>
      <w:proofErr w:type="spellEnd"/>
      <w:r w:rsidRPr="00F54106">
        <w:rPr>
          <w:i/>
          <w:iCs/>
          <w:lang w:val="en-GB"/>
        </w:rPr>
        <w:t xml:space="preserve"> CBE v Mastercard Incorporated and others</w:t>
      </w:r>
      <w:r w:rsidRPr="00F54106">
        <w:rPr>
          <w:lang w:val="en-GB"/>
        </w:rPr>
        <w:t xml:space="preserve"> [2020] UKSC 51</w:t>
      </w:r>
      <w:r w:rsidR="00AB0F26" w:rsidRPr="00F54106">
        <w:rPr>
          <w:lang w:val="en-GB"/>
        </w:rPr>
        <w:t>.</w:t>
      </w:r>
    </w:p>
    <w:p w14:paraId="0A32D479" w14:textId="77777777" w:rsidR="00A42864" w:rsidRPr="00F54106" w:rsidRDefault="00A42864" w:rsidP="00FC31D7">
      <w:pPr>
        <w:spacing w:line="276" w:lineRule="auto"/>
        <w:rPr>
          <w:lang w:val="en-GB"/>
        </w:rPr>
      </w:pPr>
    </w:p>
    <w:p w14:paraId="4A3DA0D7" w14:textId="65DF0F29" w:rsidR="00B93F8C" w:rsidRPr="00F54106" w:rsidRDefault="00B93F8C" w:rsidP="00B93F8C">
      <w:pPr>
        <w:pStyle w:val="Heading2"/>
        <w:rPr>
          <w:lang w:val="en-GB"/>
        </w:rPr>
      </w:pPr>
      <w:bookmarkStart w:id="180" w:name="_Toc107610256"/>
      <w:r w:rsidRPr="00F54106">
        <w:rPr>
          <w:lang w:val="en-GB"/>
        </w:rPr>
        <w:lastRenderedPageBreak/>
        <w:t>Legislation</w:t>
      </w:r>
      <w:bookmarkEnd w:id="180"/>
    </w:p>
    <w:p w14:paraId="0BE738A1" w14:textId="22A9189A" w:rsidR="00F44BB4" w:rsidRPr="00F54106" w:rsidRDefault="00F44BB4" w:rsidP="00F44BB4">
      <w:pPr>
        <w:spacing w:line="276" w:lineRule="auto"/>
        <w:rPr>
          <w:rFonts w:cstheme="minorHAnsi"/>
          <w:b/>
          <w:bCs/>
          <w:lang w:val="en-GB"/>
        </w:rPr>
      </w:pPr>
    </w:p>
    <w:p w14:paraId="1B4EE0D7" w14:textId="493CCD5A" w:rsidR="003561C0" w:rsidRPr="00F54106" w:rsidRDefault="003561C0" w:rsidP="003561C0">
      <w:pPr>
        <w:spacing w:line="276" w:lineRule="auto"/>
        <w:rPr>
          <w:rFonts w:cstheme="minorHAnsi"/>
          <w:lang w:val="en-GB"/>
        </w:rPr>
      </w:pPr>
      <w:r w:rsidRPr="00F54106">
        <w:rPr>
          <w:rFonts w:cstheme="minorHAnsi"/>
          <w:lang w:val="en-GB"/>
        </w:rPr>
        <w:t>Competition Act 1998</w:t>
      </w:r>
      <w:r w:rsidR="00AB0F26" w:rsidRPr="00F54106">
        <w:rPr>
          <w:rFonts w:cstheme="minorHAnsi"/>
          <w:lang w:val="en-GB"/>
        </w:rPr>
        <w:t>.</w:t>
      </w:r>
    </w:p>
    <w:p w14:paraId="72621C43" w14:textId="32A696CA" w:rsidR="003561C0" w:rsidRPr="00F54106" w:rsidRDefault="003561C0" w:rsidP="003561C0">
      <w:pPr>
        <w:spacing w:line="276" w:lineRule="auto"/>
        <w:rPr>
          <w:rFonts w:cstheme="minorHAnsi"/>
          <w:lang w:val="en-GB"/>
        </w:rPr>
      </w:pPr>
      <w:r w:rsidRPr="00F54106">
        <w:rPr>
          <w:rFonts w:cstheme="minorHAnsi"/>
          <w:lang w:val="en-GB"/>
        </w:rPr>
        <w:t>COUNCIL REGULATION (EC) No 44/2001 of 22 December 2000 on jurisdiction and the recognition and enforcement of judgments in civil and commercial matters [2001] OJ L12/1</w:t>
      </w:r>
      <w:r w:rsidR="00AB0F26" w:rsidRPr="00F54106">
        <w:rPr>
          <w:rFonts w:cstheme="minorHAnsi"/>
          <w:lang w:val="en-GB"/>
        </w:rPr>
        <w:t>.</w:t>
      </w:r>
    </w:p>
    <w:p w14:paraId="6FEF7BA0" w14:textId="3BF38D30" w:rsidR="00CC2FF4" w:rsidRPr="00F54106" w:rsidRDefault="00CC2FF4" w:rsidP="00CC2FF4">
      <w:pPr>
        <w:spacing w:line="276" w:lineRule="auto"/>
        <w:rPr>
          <w:rFonts w:cstheme="minorHAnsi"/>
          <w:lang w:val="en-GB"/>
        </w:rPr>
      </w:pPr>
      <w:r w:rsidRPr="00F54106">
        <w:rPr>
          <w:rFonts w:cstheme="minorHAnsi"/>
          <w:lang w:val="en-GB"/>
        </w:rPr>
        <w:t>CPR</w:t>
      </w:r>
      <w:r w:rsidR="00AB0F26" w:rsidRPr="00F54106">
        <w:rPr>
          <w:rFonts w:cstheme="minorHAnsi"/>
          <w:lang w:val="en-GB"/>
        </w:rPr>
        <w:t>.</w:t>
      </w:r>
    </w:p>
    <w:p w14:paraId="38E332A6" w14:textId="097C410F" w:rsidR="003561C0" w:rsidRPr="00F54106" w:rsidRDefault="003561C0" w:rsidP="003561C0">
      <w:pPr>
        <w:spacing w:line="276" w:lineRule="auto"/>
        <w:rPr>
          <w:rFonts w:cstheme="minorHAnsi"/>
          <w:lang w:val="en-GB"/>
        </w:rPr>
      </w:pPr>
      <w:r w:rsidRPr="00F54106">
        <w:rPr>
          <w:rFonts w:cstheme="minorHAnsi"/>
          <w:lang w:val="en-GB"/>
        </w:rPr>
        <w:t>DIRECTIVE 2014/104/EU OF THE EUROPEAN PARLIAMENT AND OF THE COUNCIL of 26 November 2014 on certain rules governing actions for damages under national law for infringements of the competition law provisions of the Member States and of the European Union</w:t>
      </w:r>
      <w:r w:rsidR="00723B1B" w:rsidRPr="00F54106">
        <w:rPr>
          <w:rFonts w:cstheme="minorHAnsi"/>
          <w:lang w:val="en-GB"/>
        </w:rPr>
        <w:t xml:space="preserve"> [2014] OJ L 349</w:t>
      </w:r>
      <w:r w:rsidR="00AB0F26" w:rsidRPr="00F54106">
        <w:rPr>
          <w:rFonts w:cstheme="minorHAnsi"/>
          <w:lang w:val="en-GB"/>
        </w:rPr>
        <w:t>.</w:t>
      </w:r>
    </w:p>
    <w:p w14:paraId="56EFD5B3" w14:textId="6F5B614C" w:rsidR="00ED5A02" w:rsidRPr="00F54106" w:rsidRDefault="00ED5A02" w:rsidP="003561C0">
      <w:pPr>
        <w:spacing w:line="276" w:lineRule="auto"/>
        <w:rPr>
          <w:rFonts w:cstheme="minorHAnsi"/>
          <w:lang w:val="en-GB"/>
        </w:rPr>
      </w:pPr>
      <w:r w:rsidRPr="00F54106">
        <w:rPr>
          <w:rFonts w:cstheme="minorHAnsi"/>
          <w:lang w:val="en-GB"/>
        </w:rPr>
        <w:t>DIRECTIVE (EU) 2020/1828 OF THE EUROPEAN PARLIAMENT AND OF THE COUNCIL of 25 November 2020 on representative actions for the protection of the collective interests of consumers and repealing Directive 2009/22/EC, OJ L409/1</w:t>
      </w:r>
      <w:r w:rsidR="00AB0F26" w:rsidRPr="00F54106">
        <w:rPr>
          <w:rFonts w:cstheme="minorHAnsi"/>
          <w:lang w:val="en-GB"/>
        </w:rPr>
        <w:t>.</w:t>
      </w:r>
    </w:p>
    <w:p w14:paraId="7F1ACAF7" w14:textId="1FB0A3D0" w:rsidR="003561C0" w:rsidRPr="00F54106" w:rsidRDefault="003561C0" w:rsidP="003561C0">
      <w:pPr>
        <w:spacing w:line="276" w:lineRule="auto"/>
        <w:rPr>
          <w:rFonts w:cstheme="minorHAnsi"/>
          <w:lang w:val="en-GB"/>
        </w:rPr>
      </w:pPr>
      <w:r w:rsidRPr="00F54106">
        <w:rPr>
          <w:rFonts w:cstheme="minorHAnsi"/>
          <w:lang w:val="en-GB"/>
        </w:rPr>
        <w:t>Dutch Civil Code (DCC)</w:t>
      </w:r>
      <w:r w:rsidR="00AB0F26" w:rsidRPr="00F54106">
        <w:rPr>
          <w:rFonts w:cstheme="minorHAnsi"/>
          <w:lang w:val="en-GB"/>
        </w:rPr>
        <w:t>.</w:t>
      </w:r>
    </w:p>
    <w:p w14:paraId="41E95C91" w14:textId="56891823" w:rsidR="003561C0" w:rsidRPr="00F54106" w:rsidRDefault="003561C0" w:rsidP="003561C0">
      <w:pPr>
        <w:spacing w:line="276" w:lineRule="auto"/>
        <w:rPr>
          <w:rFonts w:cstheme="minorHAnsi"/>
          <w:lang w:val="en-GB"/>
        </w:rPr>
      </w:pPr>
      <w:r w:rsidRPr="00F54106">
        <w:rPr>
          <w:rFonts w:cstheme="minorHAnsi"/>
          <w:lang w:val="en-GB"/>
        </w:rPr>
        <w:t>Dutch Code of Civil Procedure (DCCP)</w:t>
      </w:r>
      <w:r w:rsidR="00AB0F26" w:rsidRPr="00F54106">
        <w:rPr>
          <w:rFonts w:cstheme="minorHAnsi"/>
          <w:lang w:val="en-GB"/>
        </w:rPr>
        <w:t>.</w:t>
      </w:r>
    </w:p>
    <w:p w14:paraId="464C13EF" w14:textId="2FE5D1AA" w:rsidR="003561C0" w:rsidRPr="00F54106" w:rsidRDefault="003561C0" w:rsidP="003561C0">
      <w:pPr>
        <w:spacing w:line="276" w:lineRule="auto"/>
        <w:rPr>
          <w:rFonts w:cstheme="minorHAnsi"/>
          <w:lang w:val="en-GB"/>
        </w:rPr>
      </w:pPr>
      <w:r w:rsidRPr="00F54106">
        <w:rPr>
          <w:rFonts w:cstheme="minorHAnsi"/>
          <w:lang w:val="en-GB"/>
        </w:rPr>
        <w:t>German Act against Restraints of Competition (</w:t>
      </w:r>
      <w:proofErr w:type="spellStart"/>
      <w:r w:rsidRPr="00F54106">
        <w:rPr>
          <w:rFonts w:cstheme="minorHAnsi"/>
          <w:i/>
          <w:iCs/>
          <w:lang w:val="en-GB"/>
        </w:rPr>
        <w:t>Gesetz</w:t>
      </w:r>
      <w:proofErr w:type="spellEnd"/>
      <w:r w:rsidRPr="00F54106">
        <w:rPr>
          <w:rFonts w:cstheme="minorHAnsi"/>
          <w:i/>
          <w:iCs/>
          <w:lang w:val="en-GB"/>
        </w:rPr>
        <w:t xml:space="preserve"> </w:t>
      </w:r>
      <w:proofErr w:type="spellStart"/>
      <w:r w:rsidRPr="00F54106">
        <w:rPr>
          <w:rFonts w:cstheme="minorHAnsi"/>
          <w:i/>
          <w:iCs/>
          <w:lang w:val="en-GB"/>
        </w:rPr>
        <w:t>gegen</w:t>
      </w:r>
      <w:proofErr w:type="spellEnd"/>
      <w:r w:rsidRPr="00F54106">
        <w:rPr>
          <w:rFonts w:cstheme="minorHAnsi"/>
          <w:i/>
          <w:iCs/>
          <w:lang w:val="en-GB"/>
        </w:rPr>
        <w:t xml:space="preserve"> </w:t>
      </w:r>
      <w:proofErr w:type="spellStart"/>
      <w:r w:rsidRPr="00F54106">
        <w:rPr>
          <w:rFonts w:cstheme="minorHAnsi"/>
          <w:i/>
          <w:iCs/>
          <w:lang w:val="en-GB"/>
        </w:rPr>
        <w:t>Wettbewerbsbeschränkungen</w:t>
      </w:r>
      <w:proofErr w:type="spellEnd"/>
      <w:r w:rsidRPr="00F54106">
        <w:rPr>
          <w:rFonts w:cstheme="minorHAnsi"/>
          <w:lang w:val="en-GB"/>
        </w:rPr>
        <w:t>) (GWB)</w:t>
      </w:r>
      <w:r w:rsidR="00AB0F26" w:rsidRPr="00F54106">
        <w:rPr>
          <w:rFonts w:cstheme="minorHAnsi"/>
          <w:lang w:val="en-GB"/>
        </w:rPr>
        <w:t>.</w:t>
      </w:r>
    </w:p>
    <w:p w14:paraId="6FA59BB3" w14:textId="1EA93F7A" w:rsidR="003561C0" w:rsidRPr="00F54106" w:rsidRDefault="003561C0" w:rsidP="003561C0">
      <w:pPr>
        <w:spacing w:line="276" w:lineRule="auto"/>
        <w:rPr>
          <w:rFonts w:cstheme="minorHAnsi"/>
          <w:lang w:val="en-GB"/>
        </w:rPr>
      </w:pPr>
      <w:r w:rsidRPr="00F54106">
        <w:rPr>
          <w:rFonts w:cstheme="minorHAnsi"/>
          <w:lang w:val="en-GB"/>
        </w:rPr>
        <w:t>German Civil Code (</w:t>
      </w:r>
      <w:proofErr w:type="spellStart"/>
      <w:r w:rsidRPr="00F54106">
        <w:rPr>
          <w:rFonts w:cstheme="minorHAnsi"/>
          <w:i/>
          <w:iCs/>
          <w:lang w:val="en-GB"/>
        </w:rPr>
        <w:t>Bürgerliches</w:t>
      </w:r>
      <w:proofErr w:type="spellEnd"/>
      <w:r w:rsidRPr="00F54106">
        <w:rPr>
          <w:rFonts w:cstheme="minorHAnsi"/>
          <w:i/>
          <w:iCs/>
          <w:lang w:val="en-GB"/>
        </w:rPr>
        <w:t xml:space="preserve"> </w:t>
      </w:r>
      <w:proofErr w:type="spellStart"/>
      <w:r w:rsidRPr="00F54106">
        <w:rPr>
          <w:rFonts w:cstheme="minorHAnsi"/>
          <w:i/>
          <w:iCs/>
          <w:lang w:val="en-GB"/>
        </w:rPr>
        <w:t>Gesetzbuch</w:t>
      </w:r>
      <w:proofErr w:type="spellEnd"/>
      <w:r w:rsidRPr="00F54106">
        <w:rPr>
          <w:rFonts w:cstheme="minorHAnsi"/>
          <w:lang w:val="en-GB"/>
        </w:rPr>
        <w:t>) (BGB)</w:t>
      </w:r>
      <w:r w:rsidR="00AB0F26" w:rsidRPr="00F54106">
        <w:rPr>
          <w:rFonts w:cstheme="minorHAnsi"/>
          <w:lang w:val="en-GB"/>
        </w:rPr>
        <w:t>.</w:t>
      </w:r>
    </w:p>
    <w:p w14:paraId="740FDAB2" w14:textId="167005A5" w:rsidR="003561C0" w:rsidRPr="00F54106" w:rsidRDefault="003561C0" w:rsidP="003561C0">
      <w:pPr>
        <w:spacing w:line="276" w:lineRule="auto"/>
        <w:rPr>
          <w:rFonts w:cstheme="minorHAnsi"/>
          <w:lang w:val="en-GB"/>
        </w:rPr>
      </w:pPr>
      <w:r w:rsidRPr="00F54106">
        <w:rPr>
          <w:rFonts w:cstheme="minorHAnsi"/>
          <w:lang w:val="en-GB"/>
        </w:rPr>
        <w:t>German Code of Civil Procedure (</w:t>
      </w:r>
      <w:proofErr w:type="spellStart"/>
      <w:r w:rsidRPr="00F54106">
        <w:rPr>
          <w:rFonts w:cstheme="minorHAnsi"/>
          <w:i/>
          <w:iCs/>
          <w:lang w:val="en-GB"/>
        </w:rPr>
        <w:t>Zivilprozessordnung</w:t>
      </w:r>
      <w:proofErr w:type="spellEnd"/>
      <w:r w:rsidRPr="00F54106">
        <w:rPr>
          <w:rFonts w:cstheme="minorHAnsi"/>
          <w:lang w:val="en-GB"/>
        </w:rPr>
        <w:t>) (ZPO)</w:t>
      </w:r>
      <w:r w:rsidR="00AB0F26" w:rsidRPr="00F54106">
        <w:rPr>
          <w:rFonts w:cstheme="minorHAnsi"/>
          <w:lang w:val="en-GB"/>
        </w:rPr>
        <w:t>.</w:t>
      </w:r>
    </w:p>
    <w:p w14:paraId="1F45DF18" w14:textId="6295538C" w:rsidR="003561C0" w:rsidRPr="00F54106" w:rsidRDefault="003561C0" w:rsidP="003561C0">
      <w:pPr>
        <w:spacing w:line="276" w:lineRule="auto"/>
        <w:rPr>
          <w:rFonts w:cstheme="minorHAnsi"/>
          <w:lang w:val="en-GB"/>
        </w:rPr>
      </w:pPr>
      <w:proofErr w:type="spellStart"/>
      <w:r w:rsidRPr="00F54106">
        <w:rPr>
          <w:rFonts w:cstheme="minorHAnsi"/>
          <w:lang w:val="en-GB"/>
        </w:rPr>
        <w:t>Implementatiewet</w:t>
      </w:r>
      <w:proofErr w:type="spellEnd"/>
      <w:r w:rsidRPr="00F54106">
        <w:rPr>
          <w:rFonts w:cstheme="minorHAnsi"/>
          <w:lang w:val="en-GB"/>
        </w:rPr>
        <w:t xml:space="preserve"> </w:t>
      </w:r>
      <w:proofErr w:type="spellStart"/>
      <w:r w:rsidRPr="00F54106">
        <w:rPr>
          <w:rFonts w:cstheme="minorHAnsi"/>
          <w:lang w:val="en-GB"/>
        </w:rPr>
        <w:t>richtlijn</w:t>
      </w:r>
      <w:proofErr w:type="spellEnd"/>
      <w:r w:rsidRPr="00F54106">
        <w:rPr>
          <w:rFonts w:cstheme="minorHAnsi"/>
          <w:lang w:val="en-GB"/>
        </w:rPr>
        <w:t xml:space="preserve"> </w:t>
      </w:r>
      <w:proofErr w:type="spellStart"/>
      <w:r w:rsidRPr="00F54106">
        <w:rPr>
          <w:rFonts w:cstheme="minorHAnsi"/>
          <w:lang w:val="en-GB"/>
        </w:rPr>
        <w:t>privaatrechtelijke</w:t>
      </w:r>
      <w:proofErr w:type="spellEnd"/>
      <w:r w:rsidRPr="00F54106">
        <w:rPr>
          <w:rFonts w:cstheme="minorHAnsi"/>
          <w:lang w:val="en-GB"/>
        </w:rPr>
        <w:t xml:space="preserve"> </w:t>
      </w:r>
      <w:proofErr w:type="spellStart"/>
      <w:r w:rsidRPr="00F54106">
        <w:rPr>
          <w:rFonts w:cstheme="minorHAnsi"/>
          <w:lang w:val="en-GB"/>
        </w:rPr>
        <w:t>handhaving</w:t>
      </w:r>
      <w:proofErr w:type="spellEnd"/>
      <w:r w:rsidRPr="00F54106">
        <w:rPr>
          <w:rFonts w:cstheme="minorHAnsi"/>
          <w:lang w:val="en-GB"/>
        </w:rPr>
        <w:t xml:space="preserve"> </w:t>
      </w:r>
      <w:proofErr w:type="spellStart"/>
      <w:r w:rsidRPr="00F54106">
        <w:rPr>
          <w:rFonts w:cstheme="minorHAnsi"/>
          <w:lang w:val="en-GB"/>
        </w:rPr>
        <w:t>mededingingsrecht</w:t>
      </w:r>
      <w:proofErr w:type="spellEnd"/>
      <w:r w:rsidRPr="00F54106">
        <w:rPr>
          <w:rFonts w:cstheme="minorHAnsi"/>
          <w:lang w:val="en-GB"/>
        </w:rPr>
        <w:t xml:space="preserve">, </w:t>
      </w:r>
      <w:proofErr w:type="spellStart"/>
      <w:r w:rsidRPr="00F54106">
        <w:rPr>
          <w:rFonts w:cstheme="minorHAnsi"/>
          <w:lang w:val="en-GB"/>
        </w:rPr>
        <w:t>Staatsblad</w:t>
      </w:r>
      <w:proofErr w:type="spellEnd"/>
      <w:r w:rsidRPr="00F54106">
        <w:rPr>
          <w:rFonts w:cstheme="minorHAnsi"/>
          <w:lang w:val="en-GB"/>
        </w:rPr>
        <w:t xml:space="preserve"> 2017, 28 (Implementing Act)</w:t>
      </w:r>
      <w:r w:rsidR="00AB0F26" w:rsidRPr="00F54106">
        <w:rPr>
          <w:rFonts w:cstheme="minorHAnsi"/>
          <w:lang w:val="en-GB"/>
        </w:rPr>
        <w:t>.</w:t>
      </w:r>
    </w:p>
    <w:p w14:paraId="568C5C15" w14:textId="15B2FC13" w:rsidR="003561C0" w:rsidRPr="00F54106" w:rsidRDefault="003561C0" w:rsidP="003561C0">
      <w:pPr>
        <w:spacing w:line="276" w:lineRule="auto"/>
        <w:rPr>
          <w:rFonts w:cstheme="minorHAnsi"/>
          <w:lang w:val="en-GB"/>
        </w:rPr>
      </w:pPr>
      <w:r w:rsidRPr="00F54106">
        <w:rPr>
          <w:rFonts w:cstheme="minorHAnsi"/>
          <w:lang w:val="en-GB"/>
        </w:rPr>
        <w:t>The Competition Appeal Tribunal Rules 2015, SI 2015/1648</w:t>
      </w:r>
      <w:r w:rsidR="00AB0F26" w:rsidRPr="00F54106">
        <w:rPr>
          <w:rFonts w:cstheme="minorHAnsi"/>
          <w:lang w:val="en-GB"/>
        </w:rPr>
        <w:t>.</w:t>
      </w:r>
    </w:p>
    <w:p w14:paraId="7A45BA73" w14:textId="00568F1D" w:rsidR="003561C0" w:rsidRPr="00F54106" w:rsidRDefault="00441B74" w:rsidP="003561C0">
      <w:pPr>
        <w:spacing w:line="276" w:lineRule="auto"/>
        <w:rPr>
          <w:rFonts w:cstheme="minorHAnsi"/>
          <w:lang w:val="en-GB"/>
        </w:rPr>
      </w:pPr>
      <w:r w:rsidRPr="00F54106">
        <w:rPr>
          <w:rFonts w:cstheme="minorHAnsi"/>
          <w:lang w:val="en-GB"/>
        </w:rPr>
        <w:t>EU Competition law Practice Direction (PD)</w:t>
      </w:r>
      <w:r w:rsidR="00AB0F26" w:rsidRPr="00F54106">
        <w:rPr>
          <w:rFonts w:cstheme="minorHAnsi"/>
          <w:lang w:val="en-GB"/>
        </w:rPr>
        <w:t>.</w:t>
      </w:r>
    </w:p>
    <w:p w14:paraId="600EC7FC" w14:textId="13BD05C2" w:rsidR="003561C0" w:rsidRPr="00F54106" w:rsidRDefault="003561C0" w:rsidP="003561C0">
      <w:pPr>
        <w:spacing w:line="276" w:lineRule="auto"/>
        <w:rPr>
          <w:rFonts w:cstheme="minorHAnsi"/>
          <w:lang w:val="en-GB"/>
        </w:rPr>
      </w:pPr>
      <w:r w:rsidRPr="00F54106">
        <w:rPr>
          <w:rFonts w:cstheme="minorHAnsi"/>
          <w:lang w:val="en-GB"/>
        </w:rPr>
        <w:t>REGULATION (EU) No 1215/2012 OF THE EUROPEAN PARLIAMENT AND OF THE COUNCIL of 12 December 2012 on jurisdiction and the recognition and enforcement of judgments in civil and commercial matters [2012] OJ L351/1</w:t>
      </w:r>
      <w:r w:rsidR="00AB0F26" w:rsidRPr="00F54106">
        <w:rPr>
          <w:rFonts w:cstheme="minorHAnsi"/>
          <w:lang w:val="en-GB"/>
        </w:rPr>
        <w:t>.</w:t>
      </w:r>
    </w:p>
    <w:p w14:paraId="6E913E34" w14:textId="09FCF579" w:rsidR="00F44BB4" w:rsidRPr="00F54106" w:rsidRDefault="00F44BB4" w:rsidP="00B93F8C">
      <w:pPr>
        <w:rPr>
          <w:lang w:val="en-GB"/>
        </w:rPr>
      </w:pPr>
    </w:p>
    <w:p w14:paraId="4861D2B0" w14:textId="6BDC7876" w:rsidR="00271B9B" w:rsidRPr="00F54106" w:rsidRDefault="00271B9B" w:rsidP="00B93F8C">
      <w:pPr>
        <w:rPr>
          <w:lang w:val="en-GB"/>
        </w:rPr>
      </w:pPr>
    </w:p>
    <w:p w14:paraId="04062E7F" w14:textId="7C3279B4" w:rsidR="00271B9B" w:rsidRPr="00F54106" w:rsidRDefault="00271B9B" w:rsidP="00B93F8C">
      <w:pPr>
        <w:rPr>
          <w:lang w:val="en-GB"/>
        </w:rPr>
      </w:pPr>
    </w:p>
    <w:p w14:paraId="3773D7BE" w14:textId="7228567B" w:rsidR="00271B9B" w:rsidRPr="00F54106" w:rsidRDefault="00271B9B" w:rsidP="00B93F8C">
      <w:pPr>
        <w:rPr>
          <w:lang w:val="en-GB"/>
        </w:rPr>
      </w:pPr>
    </w:p>
    <w:p w14:paraId="108AB14F" w14:textId="77777777" w:rsidR="00271B9B" w:rsidRPr="00F54106" w:rsidRDefault="00271B9B" w:rsidP="00B93F8C">
      <w:pPr>
        <w:rPr>
          <w:lang w:val="en-GB"/>
        </w:rPr>
      </w:pPr>
    </w:p>
    <w:p w14:paraId="5000CBF9" w14:textId="31951C72" w:rsidR="00F44BB4" w:rsidRPr="00F54106" w:rsidRDefault="00DF7533" w:rsidP="00DF7533">
      <w:pPr>
        <w:pStyle w:val="Heading2"/>
        <w:rPr>
          <w:lang w:val="en-GB"/>
        </w:rPr>
      </w:pPr>
      <w:bookmarkStart w:id="181" w:name="_Toc107610257"/>
      <w:r w:rsidRPr="00F54106">
        <w:rPr>
          <w:lang w:val="en-GB"/>
        </w:rPr>
        <w:lastRenderedPageBreak/>
        <w:t>Bibliography</w:t>
      </w:r>
      <w:bookmarkEnd w:id="181"/>
    </w:p>
    <w:p w14:paraId="40710E4A" w14:textId="26A2D04B" w:rsidR="00DF7533" w:rsidRPr="00F54106" w:rsidRDefault="00DF7533" w:rsidP="00DF7533">
      <w:pPr>
        <w:rPr>
          <w:lang w:val="en-GB"/>
        </w:rPr>
      </w:pPr>
    </w:p>
    <w:p w14:paraId="3F1DE36C"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Andreangeli</w:t>
      </w:r>
      <w:proofErr w:type="spellEnd"/>
      <w:r w:rsidRPr="00F54106">
        <w:rPr>
          <w:rFonts w:cstheme="minorHAnsi"/>
          <w:lang w:val="en-GB"/>
        </w:rPr>
        <w:t xml:space="preserve"> A, ‘The consequences of Brexit for competition litigation: an end to a "success story"?’ (2017) 38 ECLR 228.</w:t>
      </w:r>
    </w:p>
    <w:p w14:paraId="78AA780E" w14:textId="77777777" w:rsidR="00301D51" w:rsidRPr="00F54106" w:rsidRDefault="00301D51" w:rsidP="00301D51">
      <w:pPr>
        <w:spacing w:line="276" w:lineRule="auto"/>
        <w:rPr>
          <w:rFonts w:cstheme="minorHAnsi"/>
          <w:shd w:val="clear" w:color="auto" w:fill="FFFFFF"/>
          <w:lang w:val="en-GB"/>
        </w:rPr>
      </w:pPr>
      <w:proofErr w:type="spellStart"/>
      <w:r w:rsidRPr="00F54106">
        <w:rPr>
          <w:rFonts w:cstheme="minorHAnsi"/>
          <w:shd w:val="clear" w:color="auto" w:fill="FFFFFF"/>
          <w:lang w:val="en-GB"/>
        </w:rPr>
        <w:t>Balciunas</w:t>
      </w:r>
      <w:proofErr w:type="spellEnd"/>
      <w:r w:rsidRPr="00F54106">
        <w:rPr>
          <w:rFonts w:cstheme="minorHAnsi"/>
          <w:shd w:val="clear" w:color="auto" w:fill="FFFFFF"/>
          <w:lang w:val="en-GB"/>
        </w:rPr>
        <w:t xml:space="preserve"> T and Sluijs JP, ‘The Case for Harmonizing Fault in Private Enforcement of EU Competition Law’ (2020) &lt;https://ssrn.com/abstract=3750240&gt; accessed 26 April 2022.</w:t>
      </w:r>
    </w:p>
    <w:p w14:paraId="3ECC986A" w14:textId="77777777" w:rsidR="00301D51" w:rsidRPr="00F54106" w:rsidRDefault="00301D51" w:rsidP="00301D51">
      <w:pPr>
        <w:spacing w:line="276" w:lineRule="auto"/>
        <w:rPr>
          <w:rFonts w:cstheme="minorHAnsi"/>
          <w:lang w:val="en-GB"/>
        </w:rPr>
      </w:pPr>
      <w:r w:rsidRPr="00F54106">
        <w:rPr>
          <w:rFonts w:cstheme="minorHAnsi"/>
          <w:lang w:val="en-GB"/>
        </w:rPr>
        <w:t>Beeston S and Rutten A, ‘The Dutch torpedo case’ (2015), 14 CLI 14.</w:t>
      </w:r>
    </w:p>
    <w:p w14:paraId="49FFE091"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Bellinghausen</w:t>
      </w:r>
      <w:proofErr w:type="spellEnd"/>
      <w:r w:rsidRPr="00F54106">
        <w:rPr>
          <w:rFonts w:cstheme="minorHAnsi"/>
          <w:lang w:val="en-GB"/>
        </w:rPr>
        <w:t xml:space="preserve"> R and others, ‘The future of cartel damages litigation in the UK, the Netherlands and Germany after the implementation of the Damages Directive’ (2017) 10 GCLR 103.</w:t>
      </w:r>
    </w:p>
    <w:p w14:paraId="7856EE25" w14:textId="77777777" w:rsidR="00301D51" w:rsidRPr="00F54106" w:rsidRDefault="00301D51" w:rsidP="00301D51">
      <w:pPr>
        <w:spacing w:line="276" w:lineRule="auto"/>
        <w:rPr>
          <w:rFonts w:cstheme="minorHAnsi"/>
          <w:lang w:val="en-GB"/>
        </w:rPr>
      </w:pPr>
      <w:r w:rsidRPr="00F54106">
        <w:rPr>
          <w:rFonts w:cstheme="minorHAnsi"/>
          <w:lang w:val="en-GB"/>
        </w:rPr>
        <w:t xml:space="preserve">Berger L &amp; </w:t>
      </w:r>
      <w:proofErr w:type="spellStart"/>
      <w:r w:rsidRPr="00F54106">
        <w:rPr>
          <w:rFonts w:cstheme="minorHAnsi"/>
          <w:lang w:val="en-GB"/>
        </w:rPr>
        <w:t>Bousie</w:t>
      </w:r>
      <w:proofErr w:type="spellEnd"/>
      <w:r w:rsidRPr="00F54106">
        <w:rPr>
          <w:rFonts w:cstheme="minorHAnsi"/>
          <w:lang w:val="en-GB"/>
        </w:rPr>
        <w:t xml:space="preserve"> H, ‘The Netherlands as efficient jurisdiction for cartel damages claim litigation’ (International Bar Association, Legal Practice Division 2017), &lt;https://www.bureaubrandeis.com/wp-content/uploads/2015/10/International-Litigation-May-2017-PDF.pdf&gt; accessed 31 May 2022.</w:t>
      </w:r>
    </w:p>
    <w:p w14:paraId="39FAE89E" w14:textId="77777777" w:rsidR="00301D51" w:rsidRPr="00F54106" w:rsidRDefault="00301D51" w:rsidP="00301D51">
      <w:pPr>
        <w:spacing w:line="276" w:lineRule="auto"/>
        <w:rPr>
          <w:rFonts w:cstheme="minorHAnsi"/>
          <w:lang w:val="en-GB"/>
        </w:rPr>
      </w:pPr>
      <w:r w:rsidRPr="00F54106">
        <w:rPr>
          <w:rFonts w:cstheme="minorHAnsi"/>
          <w:lang w:val="en-GB"/>
        </w:rPr>
        <w:t>Bookman PK, ‘The Unsung Virtues of Global Forum Shopping’ (2017) 92 NDLR 579.</w:t>
      </w:r>
    </w:p>
    <w:p w14:paraId="69BAD3E1" w14:textId="77777777" w:rsidR="00301D51" w:rsidRPr="00F54106" w:rsidRDefault="00301D51" w:rsidP="00301D51">
      <w:pPr>
        <w:spacing w:line="276" w:lineRule="auto"/>
        <w:rPr>
          <w:rFonts w:cstheme="minorHAnsi"/>
          <w:lang w:val="en-GB"/>
        </w:rPr>
      </w:pPr>
      <w:r w:rsidRPr="00F54106">
        <w:rPr>
          <w:rFonts w:cstheme="minorHAnsi"/>
          <w:lang w:val="en-GB"/>
        </w:rPr>
        <w:t xml:space="preserve">van Boom WH, ‘Collective Settlement of Mass Claims in The Netherlands’ (2009), in Matthias Casper, André Janssen, Petra </w:t>
      </w:r>
      <w:proofErr w:type="spellStart"/>
      <w:r w:rsidRPr="00F54106">
        <w:rPr>
          <w:rFonts w:cstheme="minorHAnsi"/>
          <w:lang w:val="en-GB"/>
        </w:rPr>
        <w:t>Pohlmann</w:t>
      </w:r>
      <w:proofErr w:type="spellEnd"/>
      <w:r w:rsidRPr="00F54106">
        <w:rPr>
          <w:rFonts w:cstheme="minorHAnsi"/>
          <w:lang w:val="en-GB"/>
        </w:rPr>
        <w:t xml:space="preserve">, Reiner Schulze (eds.), </w:t>
      </w:r>
      <w:r w:rsidRPr="00F54106">
        <w:rPr>
          <w:rFonts w:cstheme="minorHAnsi"/>
          <w:i/>
          <w:iCs/>
          <w:lang w:val="en-GB"/>
        </w:rPr>
        <w:t xml:space="preserve">Auf </w:t>
      </w:r>
      <w:proofErr w:type="spellStart"/>
      <w:r w:rsidRPr="00F54106">
        <w:rPr>
          <w:rFonts w:cstheme="minorHAnsi"/>
          <w:i/>
          <w:iCs/>
          <w:lang w:val="en-GB"/>
        </w:rPr>
        <w:t>dem</w:t>
      </w:r>
      <w:proofErr w:type="spellEnd"/>
      <w:r w:rsidRPr="00F54106">
        <w:rPr>
          <w:rFonts w:cstheme="minorHAnsi"/>
          <w:i/>
          <w:iCs/>
          <w:lang w:val="en-GB"/>
        </w:rPr>
        <w:t xml:space="preserve"> </w:t>
      </w:r>
      <w:proofErr w:type="spellStart"/>
      <w:r w:rsidRPr="00F54106">
        <w:rPr>
          <w:rFonts w:cstheme="minorHAnsi"/>
          <w:i/>
          <w:iCs/>
          <w:lang w:val="en-GB"/>
        </w:rPr>
        <w:t>Weg</w:t>
      </w:r>
      <w:proofErr w:type="spellEnd"/>
      <w:r w:rsidRPr="00F54106">
        <w:rPr>
          <w:rFonts w:cstheme="minorHAnsi"/>
          <w:i/>
          <w:iCs/>
          <w:lang w:val="en-GB"/>
        </w:rPr>
        <w:t xml:space="preserve"> </w:t>
      </w:r>
      <w:proofErr w:type="spellStart"/>
      <w:r w:rsidRPr="00F54106">
        <w:rPr>
          <w:rFonts w:cstheme="minorHAnsi"/>
          <w:i/>
          <w:iCs/>
          <w:lang w:val="en-GB"/>
        </w:rPr>
        <w:t>zu</w:t>
      </w:r>
      <w:proofErr w:type="spellEnd"/>
      <w:r w:rsidRPr="00F54106">
        <w:rPr>
          <w:rFonts w:cstheme="minorHAnsi"/>
          <w:i/>
          <w:iCs/>
          <w:lang w:val="en-GB"/>
        </w:rPr>
        <w:t xml:space="preserve"> </w:t>
      </w:r>
      <w:proofErr w:type="spellStart"/>
      <w:r w:rsidRPr="00F54106">
        <w:rPr>
          <w:rFonts w:cstheme="minorHAnsi"/>
          <w:i/>
          <w:iCs/>
          <w:lang w:val="en-GB"/>
        </w:rPr>
        <w:t>einer</w:t>
      </w:r>
      <w:proofErr w:type="spellEnd"/>
      <w:r w:rsidRPr="00F54106">
        <w:rPr>
          <w:rFonts w:cstheme="minorHAnsi"/>
          <w:i/>
          <w:iCs/>
          <w:lang w:val="en-GB"/>
        </w:rPr>
        <w:t xml:space="preserve"> </w:t>
      </w:r>
      <w:proofErr w:type="spellStart"/>
      <w:r w:rsidRPr="00F54106">
        <w:rPr>
          <w:rFonts w:cstheme="minorHAnsi"/>
          <w:i/>
          <w:iCs/>
          <w:lang w:val="en-GB"/>
        </w:rPr>
        <w:t>europäischen</w:t>
      </w:r>
      <w:proofErr w:type="spellEnd"/>
      <w:r w:rsidRPr="00F54106">
        <w:rPr>
          <w:rFonts w:cstheme="minorHAnsi"/>
          <w:i/>
          <w:iCs/>
          <w:lang w:val="en-GB"/>
        </w:rPr>
        <w:t xml:space="preserve"> </w:t>
      </w:r>
      <w:proofErr w:type="spellStart"/>
      <w:r w:rsidRPr="00F54106">
        <w:rPr>
          <w:rFonts w:cstheme="minorHAnsi"/>
          <w:i/>
          <w:iCs/>
          <w:lang w:val="en-GB"/>
        </w:rPr>
        <w:t>Sammelklage</w:t>
      </w:r>
      <w:proofErr w:type="spellEnd"/>
      <w:r w:rsidRPr="00F54106">
        <w:rPr>
          <w:rFonts w:cstheme="minorHAnsi"/>
          <w:i/>
          <w:iCs/>
          <w:lang w:val="en-GB"/>
        </w:rPr>
        <w:t>?</w:t>
      </w:r>
      <w:r w:rsidRPr="00F54106">
        <w:rPr>
          <w:rFonts w:cstheme="minorHAnsi"/>
          <w:lang w:val="en-GB"/>
        </w:rPr>
        <w:t xml:space="preserve"> (Munich: Sellier 2009).</w:t>
      </w:r>
    </w:p>
    <w:p w14:paraId="3F5F60D0"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Braat</w:t>
      </w:r>
      <w:proofErr w:type="spellEnd"/>
      <w:r w:rsidRPr="00F54106">
        <w:rPr>
          <w:rFonts w:cstheme="minorHAnsi"/>
          <w:lang w:val="en-GB"/>
        </w:rPr>
        <w:t xml:space="preserve"> B and </w:t>
      </w:r>
      <w:proofErr w:type="spellStart"/>
      <w:r w:rsidRPr="00F54106">
        <w:rPr>
          <w:rFonts w:cstheme="minorHAnsi"/>
          <w:lang w:val="en-GB"/>
        </w:rPr>
        <w:t>Rosenboom</w:t>
      </w:r>
      <w:proofErr w:type="spellEnd"/>
      <w:r w:rsidRPr="00F54106">
        <w:rPr>
          <w:rFonts w:cstheme="minorHAnsi"/>
          <w:lang w:val="en-GB"/>
        </w:rPr>
        <w:t xml:space="preserve"> N, ‘</w:t>
      </w:r>
      <w:proofErr w:type="spellStart"/>
      <w:r w:rsidRPr="00F54106">
        <w:rPr>
          <w:rFonts w:cstheme="minorHAnsi"/>
          <w:lang w:val="en-GB"/>
        </w:rPr>
        <w:t>Privaatrechtelijke</w:t>
      </w:r>
      <w:proofErr w:type="spellEnd"/>
      <w:r w:rsidRPr="00F54106">
        <w:rPr>
          <w:rFonts w:cstheme="minorHAnsi"/>
          <w:lang w:val="en-GB"/>
        </w:rPr>
        <w:t xml:space="preserve"> </w:t>
      </w:r>
      <w:proofErr w:type="spellStart"/>
      <w:r w:rsidRPr="00F54106">
        <w:rPr>
          <w:rFonts w:cstheme="minorHAnsi"/>
          <w:lang w:val="en-GB"/>
        </w:rPr>
        <w:t>handhaving</w:t>
      </w:r>
      <w:proofErr w:type="spellEnd"/>
      <w:r w:rsidRPr="00F54106">
        <w:rPr>
          <w:rFonts w:cstheme="minorHAnsi"/>
          <w:lang w:val="en-GB"/>
        </w:rPr>
        <w:t xml:space="preserve"> van het </w:t>
      </w:r>
      <w:proofErr w:type="spellStart"/>
      <w:r w:rsidRPr="00F54106">
        <w:rPr>
          <w:rFonts w:cstheme="minorHAnsi"/>
          <w:lang w:val="en-GB"/>
        </w:rPr>
        <w:t>mededingingsrecht</w:t>
      </w:r>
      <w:proofErr w:type="spellEnd"/>
      <w:r w:rsidRPr="00F54106">
        <w:rPr>
          <w:rFonts w:cstheme="minorHAnsi"/>
          <w:lang w:val="en-GB"/>
        </w:rPr>
        <w:t xml:space="preserve"> </w:t>
      </w:r>
      <w:proofErr w:type="spellStart"/>
      <w:r w:rsidRPr="00F54106">
        <w:rPr>
          <w:rFonts w:cstheme="minorHAnsi"/>
          <w:lang w:val="en-GB"/>
        </w:rPr>
        <w:t>en</w:t>
      </w:r>
      <w:proofErr w:type="spellEnd"/>
      <w:r w:rsidRPr="00F54106">
        <w:rPr>
          <w:rFonts w:cstheme="minorHAnsi"/>
          <w:lang w:val="en-GB"/>
        </w:rPr>
        <w:t xml:space="preserve"> de </w:t>
      </w:r>
      <w:proofErr w:type="spellStart"/>
      <w:r w:rsidRPr="00F54106">
        <w:rPr>
          <w:rFonts w:cstheme="minorHAnsi"/>
          <w:lang w:val="en-GB"/>
        </w:rPr>
        <w:t>collectieve</w:t>
      </w:r>
      <w:proofErr w:type="spellEnd"/>
      <w:r w:rsidRPr="00F54106">
        <w:rPr>
          <w:rFonts w:cstheme="minorHAnsi"/>
          <w:lang w:val="en-GB"/>
        </w:rPr>
        <w:t xml:space="preserve"> </w:t>
      </w:r>
      <w:proofErr w:type="spellStart"/>
      <w:r w:rsidRPr="00F54106">
        <w:rPr>
          <w:rFonts w:cstheme="minorHAnsi"/>
          <w:lang w:val="en-GB"/>
        </w:rPr>
        <w:t>schadeafwikkeling</w:t>
      </w:r>
      <w:proofErr w:type="spellEnd"/>
      <w:r w:rsidRPr="00F54106">
        <w:rPr>
          <w:rFonts w:cstheme="minorHAnsi"/>
          <w:lang w:val="en-GB"/>
        </w:rPr>
        <w:t xml:space="preserve">’ (2018) 66 </w:t>
      </w:r>
      <w:proofErr w:type="spellStart"/>
      <w:r w:rsidRPr="00F54106">
        <w:rPr>
          <w:rFonts w:cstheme="minorHAnsi"/>
          <w:lang w:val="en-GB"/>
        </w:rPr>
        <w:t>Sociaal-economische</w:t>
      </w:r>
      <w:proofErr w:type="spellEnd"/>
      <w:r w:rsidRPr="00F54106">
        <w:rPr>
          <w:rFonts w:cstheme="minorHAnsi"/>
          <w:lang w:val="en-GB"/>
        </w:rPr>
        <w:t xml:space="preserve"> </w:t>
      </w:r>
      <w:proofErr w:type="spellStart"/>
      <w:r w:rsidRPr="00F54106">
        <w:rPr>
          <w:rFonts w:cstheme="minorHAnsi"/>
          <w:lang w:val="en-GB"/>
        </w:rPr>
        <w:t>Wetgeving</w:t>
      </w:r>
      <w:proofErr w:type="spellEnd"/>
      <w:r w:rsidRPr="00F54106">
        <w:rPr>
          <w:rFonts w:cstheme="minorHAnsi"/>
          <w:lang w:val="en-GB"/>
        </w:rPr>
        <w:t xml:space="preserve">: </w:t>
      </w:r>
      <w:proofErr w:type="spellStart"/>
      <w:r w:rsidRPr="00F54106">
        <w:rPr>
          <w:rFonts w:cstheme="minorHAnsi"/>
          <w:lang w:val="en-GB"/>
        </w:rPr>
        <w:t>Tijdschrift</w:t>
      </w:r>
      <w:proofErr w:type="spellEnd"/>
      <w:r w:rsidRPr="00F54106">
        <w:rPr>
          <w:rFonts w:cstheme="minorHAnsi"/>
          <w:lang w:val="en-GB"/>
        </w:rPr>
        <w:t xml:space="preserve"> </w:t>
      </w:r>
      <w:proofErr w:type="spellStart"/>
      <w:r w:rsidRPr="00F54106">
        <w:rPr>
          <w:rFonts w:cstheme="minorHAnsi"/>
          <w:lang w:val="en-GB"/>
        </w:rPr>
        <w:t>voor</w:t>
      </w:r>
      <w:proofErr w:type="spellEnd"/>
      <w:r w:rsidRPr="00F54106">
        <w:rPr>
          <w:rFonts w:cstheme="minorHAnsi"/>
          <w:lang w:val="en-GB"/>
        </w:rPr>
        <w:t xml:space="preserve"> </w:t>
      </w:r>
      <w:proofErr w:type="spellStart"/>
      <w:r w:rsidRPr="00F54106">
        <w:rPr>
          <w:rFonts w:cstheme="minorHAnsi"/>
          <w:lang w:val="en-GB"/>
        </w:rPr>
        <w:t>Europees</w:t>
      </w:r>
      <w:proofErr w:type="spellEnd"/>
      <w:r w:rsidRPr="00F54106">
        <w:rPr>
          <w:rFonts w:cstheme="minorHAnsi"/>
          <w:lang w:val="en-GB"/>
        </w:rPr>
        <w:t xml:space="preserve"> </w:t>
      </w:r>
      <w:proofErr w:type="spellStart"/>
      <w:r w:rsidRPr="00F54106">
        <w:rPr>
          <w:rFonts w:cstheme="minorHAnsi"/>
          <w:lang w:val="en-GB"/>
        </w:rPr>
        <w:t>en</w:t>
      </w:r>
      <w:proofErr w:type="spellEnd"/>
      <w:r w:rsidRPr="00F54106">
        <w:rPr>
          <w:rFonts w:cstheme="minorHAnsi"/>
          <w:lang w:val="en-GB"/>
        </w:rPr>
        <w:t xml:space="preserve"> </w:t>
      </w:r>
      <w:proofErr w:type="spellStart"/>
      <w:r w:rsidRPr="00F54106">
        <w:rPr>
          <w:rFonts w:cstheme="minorHAnsi"/>
          <w:lang w:val="en-GB"/>
        </w:rPr>
        <w:t>economisch</w:t>
      </w:r>
      <w:proofErr w:type="spellEnd"/>
      <w:r w:rsidRPr="00F54106">
        <w:rPr>
          <w:rFonts w:cstheme="minorHAnsi"/>
          <w:lang w:val="en-GB"/>
        </w:rPr>
        <w:t xml:space="preserve"> </w:t>
      </w:r>
      <w:proofErr w:type="spellStart"/>
      <w:r w:rsidRPr="00F54106">
        <w:rPr>
          <w:rFonts w:cstheme="minorHAnsi"/>
          <w:lang w:val="en-GB"/>
        </w:rPr>
        <w:t>recht</w:t>
      </w:r>
      <w:proofErr w:type="spellEnd"/>
      <w:r w:rsidRPr="00F54106">
        <w:rPr>
          <w:rFonts w:cstheme="minorHAnsi"/>
          <w:lang w:val="en-GB"/>
        </w:rPr>
        <w:t xml:space="preserve"> 10.</w:t>
      </w:r>
    </w:p>
    <w:p w14:paraId="4911F1FD"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Buntscheck</w:t>
      </w:r>
      <w:proofErr w:type="spellEnd"/>
      <w:r w:rsidRPr="00F54106">
        <w:rPr>
          <w:rFonts w:cstheme="minorHAnsi"/>
          <w:lang w:val="en-GB"/>
        </w:rPr>
        <w:t xml:space="preserve"> M and </w:t>
      </w:r>
      <w:proofErr w:type="spellStart"/>
      <w:r w:rsidRPr="00F54106">
        <w:rPr>
          <w:rFonts w:cstheme="minorHAnsi"/>
          <w:lang w:val="en-GB"/>
        </w:rPr>
        <w:t>Stichweh</w:t>
      </w:r>
      <w:proofErr w:type="spellEnd"/>
      <w:r w:rsidRPr="00F54106">
        <w:rPr>
          <w:rFonts w:cstheme="minorHAnsi"/>
          <w:lang w:val="en-GB"/>
        </w:rPr>
        <w:t xml:space="preserve"> H, ‘Germany: Private Antitrust Litigation’ (2015) The European Antitrust Review 154 &lt;https://www.buntscheck.com/sites/default/files/downloads/european-antitrust-review-2015.pdf&gt; accessed 7 May 2022.</w:t>
      </w:r>
    </w:p>
    <w:p w14:paraId="507D5C5D" w14:textId="77777777" w:rsidR="00301D51" w:rsidRPr="00F54106" w:rsidRDefault="00301D51" w:rsidP="00301D51">
      <w:pPr>
        <w:spacing w:line="276" w:lineRule="auto"/>
        <w:rPr>
          <w:rFonts w:cstheme="minorHAnsi"/>
          <w:lang w:val="en-GB"/>
        </w:rPr>
      </w:pPr>
      <w:r w:rsidRPr="00F54106">
        <w:rPr>
          <w:rFonts w:cstheme="minorHAnsi"/>
          <w:lang w:val="en-GB"/>
        </w:rPr>
        <w:t>Bushell C and others, ‘</w:t>
      </w:r>
      <w:proofErr w:type="spellStart"/>
      <w:r w:rsidRPr="00F54106">
        <w:rPr>
          <w:rFonts w:cstheme="minorHAnsi"/>
          <w:lang w:val="en-GB"/>
        </w:rPr>
        <w:t>Merricks</w:t>
      </w:r>
      <w:proofErr w:type="spellEnd"/>
      <w:r w:rsidRPr="00F54106">
        <w:rPr>
          <w:rFonts w:cstheme="minorHAnsi"/>
          <w:lang w:val="en-GB"/>
        </w:rPr>
        <w:t xml:space="preserve"> v Mastercard: the litigation risks for the financial services sector’ (2021) JIBFL 781 &lt;https://sites-herbertsmithfreehills.vuturevx.com/20/24346/landing-pages/merricks-v-mastercard---litigation-risks-for-the-financial-services-sector.pdf&gt; accessed 18 May 2022.</w:t>
      </w:r>
    </w:p>
    <w:p w14:paraId="744D3360"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Caliskan</w:t>
      </w:r>
      <w:proofErr w:type="spellEnd"/>
      <w:r w:rsidRPr="00F54106">
        <w:rPr>
          <w:rFonts w:cstheme="minorHAnsi"/>
          <w:lang w:val="en-GB"/>
        </w:rPr>
        <w:t xml:space="preserve"> S, ‘Private enforcement of UK competition law: enhanced deterrence for whom?’ (2020) 13 GCLR 20.</w:t>
      </w:r>
    </w:p>
    <w:p w14:paraId="50B8D0AD" w14:textId="77777777" w:rsidR="00301D51" w:rsidRPr="00F54106" w:rsidRDefault="00301D51" w:rsidP="00301D51">
      <w:pPr>
        <w:spacing w:line="276" w:lineRule="auto"/>
        <w:rPr>
          <w:rFonts w:cstheme="minorHAnsi"/>
          <w:lang w:val="en-GB"/>
        </w:rPr>
      </w:pPr>
      <w:r w:rsidRPr="00F54106">
        <w:rPr>
          <w:rFonts w:cstheme="minorHAnsi"/>
          <w:lang w:val="en-GB"/>
        </w:rPr>
        <w:t>Collins L, ‘Contractual Obligations: The EEC Preliminary Draft Convention on Private International Law’ (1976) 25 ICLQ 35.</w:t>
      </w:r>
    </w:p>
    <w:p w14:paraId="5D2A5EC7" w14:textId="77777777" w:rsidR="00301D51" w:rsidRPr="00F54106" w:rsidRDefault="00301D51" w:rsidP="00301D51">
      <w:pPr>
        <w:spacing w:line="276" w:lineRule="auto"/>
        <w:rPr>
          <w:rFonts w:cstheme="minorHAnsi"/>
          <w:lang w:val="en-GB"/>
        </w:rPr>
      </w:pPr>
      <w:r w:rsidRPr="00F54106">
        <w:rPr>
          <w:rFonts w:cstheme="minorHAnsi"/>
          <w:lang w:val="en-GB"/>
        </w:rPr>
        <w:t xml:space="preserve">Commission, ‘Communication from the European Commission representing the European Union to the Swiss Federal Council as the Depositary of the 2007 Lugano Convention (concerning the application of the United Kingdom of Great Britain and Northern Ireland to accede the 2007 Lugano Convention)’ (Note Verbale 2021) </w:t>
      </w:r>
      <w:r w:rsidRPr="00F54106">
        <w:rPr>
          <w:rFonts w:cstheme="minorHAnsi"/>
          <w:lang w:val="en-GB"/>
        </w:rPr>
        <w:lastRenderedPageBreak/>
        <w:t>&lt;https://www.eda.admin.ch/dam/eda/fr/documents/aussenpolitik/voelkerrecht/autres-conventions/Lugano2/20210701-LUG-ann-EU.pdf&gt; accessed 20 May 2021.</w:t>
      </w:r>
    </w:p>
    <w:p w14:paraId="3D82E1A5" w14:textId="77777777" w:rsidR="00301D51" w:rsidRPr="00F54106" w:rsidRDefault="00301D51" w:rsidP="00301D51">
      <w:pPr>
        <w:spacing w:line="276" w:lineRule="auto"/>
        <w:rPr>
          <w:rFonts w:cstheme="minorHAnsi"/>
          <w:lang w:val="en-GB"/>
        </w:rPr>
      </w:pPr>
      <w:r w:rsidRPr="00F54106">
        <w:rPr>
          <w:rFonts w:cstheme="minorHAnsi"/>
          <w:lang w:val="en-GB"/>
        </w:rPr>
        <w:t>Commission, ‘COMMISSION STAFF WORKING DOCUMENT IMPACT ASSESSMENT REPORT Damages actions for breach of the EU antitrust rules Accompanying the proposal for a DIRECTIVE OF THE EUROPEAN PARLIAMENT AND OF THE COUNCIL on certain rules governing actions for damages under national law for infringements of the competition law provisions of the Member States and of the European Union’ SWD (2013) 203 final.</w:t>
      </w:r>
    </w:p>
    <w:p w14:paraId="61173940" w14:textId="77777777" w:rsidR="00301D51" w:rsidRPr="00F54106" w:rsidRDefault="00301D51" w:rsidP="00301D51">
      <w:pPr>
        <w:spacing w:line="276" w:lineRule="auto"/>
        <w:rPr>
          <w:rFonts w:cstheme="minorHAnsi"/>
          <w:lang w:val="en-GB"/>
        </w:rPr>
      </w:pPr>
      <w:r w:rsidRPr="00F54106">
        <w:rPr>
          <w:rFonts w:cstheme="minorHAnsi"/>
          <w:lang w:val="en-GB"/>
        </w:rPr>
        <w:t>Commission, ‘Assessment on the application of the United Kingdom of Great Britain and Northern Ireland to accede to the 2007 Lugano Convention’ COM (2021) 222 final.</w:t>
      </w:r>
    </w:p>
    <w:p w14:paraId="52FC42F0" w14:textId="77777777" w:rsidR="00301D51" w:rsidRPr="00F54106" w:rsidRDefault="00301D51" w:rsidP="00301D51">
      <w:pPr>
        <w:spacing w:line="276" w:lineRule="auto"/>
        <w:rPr>
          <w:rFonts w:cstheme="minorHAnsi"/>
          <w:lang w:val="en-GB"/>
        </w:rPr>
      </w:pPr>
      <w:r w:rsidRPr="00F54106">
        <w:rPr>
          <w:rFonts w:cstheme="minorHAnsi"/>
          <w:lang w:val="en-GB"/>
        </w:rPr>
        <w:t xml:space="preserve">Competition Appeal Tribunal, </w:t>
      </w:r>
      <w:r w:rsidRPr="00F54106">
        <w:rPr>
          <w:rFonts w:cstheme="minorHAnsi"/>
          <w:i/>
          <w:iCs/>
          <w:lang w:val="en-GB"/>
        </w:rPr>
        <w:t xml:space="preserve">Annual Report and Accounts </w:t>
      </w:r>
      <w:r w:rsidRPr="00F54106">
        <w:rPr>
          <w:rFonts w:cstheme="minorHAnsi"/>
          <w:lang w:val="en-GB"/>
        </w:rPr>
        <w:t>2016/2017 (27 July 2017) &lt;https://www.catribunal.org.uk/sites/default/files/2021-11/Annual%20Report%20and%20Accounts%202020-21_0.pdf&gt; accessed 17 May 2022.</w:t>
      </w:r>
    </w:p>
    <w:p w14:paraId="32A0C03D" w14:textId="77777777" w:rsidR="00301D51" w:rsidRPr="00F54106" w:rsidRDefault="00301D51" w:rsidP="00301D51">
      <w:pPr>
        <w:spacing w:line="276" w:lineRule="auto"/>
        <w:rPr>
          <w:rFonts w:cstheme="minorHAnsi"/>
          <w:lang w:val="en-GB"/>
        </w:rPr>
      </w:pPr>
      <w:r w:rsidRPr="00F54106">
        <w:rPr>
          <w:rFonts w:cstheme="minorHAnsi"/>
          <w:lang w:val="en-GB"/>
        </w:rPr>
        <w:t xml:space="preserve">Cornelissen R and others, ‘Netherlands’ in Ilene K. Gotts and Kevin S. Schwartz (eds), </w:t>
      </w:r>
      <w:r w:rsidRPr="00F54106">
        <w:rPr>
          <w:rFonts w:cstheme="minorHAnsi"/>
          <w:i/>
          <w:iCs/>
          <w:lang w:val="en-GB"/>
        </w:rPr>
        <w:t>Private Competition Enforcement Review</w:t>
      </w:r>
      <w:r w:rsidRPr="00F54106">
        <w:rPr>
          <w:rFonts w:cstheme="minorHAnsi"/>
          <w:lang w:val="en-GB"/>
        </w:rPr>
        <w:t xml:space="preserve"> (Chapter 15, The </w:t>
      </w:r>
      <w:proofErr w:type="spellStart"/>
      <w:r w:rsidRPr="00F54106">
        <w:rPr>
          <w:rFonts w:cstheme="minorHAnsi"/>
          <w:lang w:val="en-GB"/>
        </w:rPr>
        <w:t>LawReviews</w:t>
      </w:r>
      <w:proofErr w:type="spellEnd"/>
      <w:r w:rsidRPr="00F54106">
        <w:rPr>
          <w:rFonts w:cstheme="minorHAnsi"/>
          <w:lang w:val="en-GB"/>
        </w:rPr>
        <w:t xml:space="preserve"> 2020).</w:t>
      </w:r>
    </w:p>
    <w:p w14:paraId="5BFBAFD6" w14:textId="77777777" w:rsidR="00301D51" w:rsidRPr="00F54106" w:rsidRDefault="00301D51" w:rsidP="00301D51">
      <w:pPr>
        <w:spacing w:line="276" w:lineRule="auto"/>
        <w:rPr>
          <w:rFonts w:cstheme="minorHAnsi"/>
          <w:lang w:val="en-GB"/>
        </w:rPr>
      </w:pPr>
      <w:r w:rsidRPr="00F54106">
        <w:rPr>
          <w:rFonts w:cstheme="minorHAnsi"/>
          <w:lang w:val="en-GB"/>
        </w:rPr>
        <w:t>Davies G and Beck A, ‘Practice makes privileged’ (2016) 65 CLJ.</w:t>
      </w:r>
    </w:p>
    <w:p w14:paraId="6195901D"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Dietzel</w:t>
      </w:r>
      <w:proofErr w:type="spellEnd"/>
      <w:r w:rsidRPr="00F54106">
        <w:rPr>
          <w:rFonts w:cstheme="minorHAnsi"/>
          <w:lang w:val="en-GB"/>
        </w:rPr>
        <w:t xml:space="preserve"> K and </w:t>
      </w:r>
      <w:proofErr w:type="spellStart"/>
      <w:r w:rsidRPr="00F54106">
        <w:rPr>
          <w:rFonts w:cstheme="minorHAnsi"/>
          <w:lang w:val="en-GB"/>
        </w:rPr>
        <w:t>Geeurickx</w:t>
      </w:r>
      <w:proofErr w:type="spellEnd"/>
      <w:r w:rsidRPr="00F54106">
        <w:rPr>
          <w:rFonts w:cstheme="minorHAnsi"/>
          <w:lang w:val="en-GB"/>
        </w:rPr>
        <w:t xml:space="preserve"> K, ‘Action on Damages: A look at the new directive and its impact on England and </w:t>
      </w:r>
      <w:proofErr w:type="spellStart"/>
      <w:r w:rsidRPr="00F54106">
        <w:rPr>
          <w:rFonts w:cstheme="minorHAnsi"/>
          <w:lang w:val="en-GB"/>
        </w:rPr>
        <w:t>Wales’</w:t>
      </w:r>
      <w:proofErr w:type="spellEnd"/>
      <w:r w:rsidRPr="00F54106">
        <w:rPr>
          <w:rFonts w:cstheme="minorHAnsi"/>
          <w:lang w:val="en-GB"/>
        </w:rPr>
        <w:t xml:space="preserve"> (2015) CLI.</w:t>
      </w:r>
    </w:p>
    <w:p w14:paraId="41C68D8A"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Dietzel</w:t>
      </w:r>
      <w:proofErr w:type="spellEnd"/>
      <w:r w:rsidRPr="00F54106">
        <w:rPr>
          <w:rFonts w:cstheme="minorHAnsi"/>
          <w:lang w:val="en-GB"/>
        </w:rPr>
        <w:t xml:space="preserve"> K, </w:t>
      </w:r>
      <w:proofErr w:type="spellStart"/>
      <w:r w:rsidRPr="00F54106">
        <w:rPr>
          <w:rFonts w:cstheme="minorHAnsi"/>
          <w:lang w:val="en-GB"/>
        </w:rPr>
        <w:t>Wisking</w:t>
      </w:r>
      <w:proofErr w:type="spellEnd"/>
      <w:r w:rsidRPr="00F54106">
        <w:rPr>
          <w:rFonts w:cstheme="minorHAnsi"/>
          <w:lang w:val="en-GB"/>
        </w:rPr>
        <w:t xml:space="preserve"> S and Herron M, ‘Nothing to see here? The UK's implementation of the EU Damages Directive’ (2017) 10 GCLR 169.</w:t>
      </w:r>
    </w:p>
    <w:p w14:paraId="7930BB46"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Drijber</w:t>
      </w:r>
      <w:proofErr w:type="spellEnd"/>
      <w:r w:rsidRPr="00F54106">
        <w:rPr>
          <w:rFonts w:cstheme="minorHAnsi"/>
          <w:lang w:val="en-GB"/>
        </w:rPr>
        <w:t xml:space="preserve"> BJ, ‘</w:t>
      </w:r>
      <w:proofErr w:type="spellStart"/>
      <w:r w:rsidRPr="00F54106">
        <w:rPr>
          <w:rFonts w:cstheme="minorHAnsi"/>
          <w:lang w:val="en-GB"/>
        </w:rPr>
        <w:t>Privaatrechtelijke</w:t>
      </w:r>
      <w:proofErr w:type="spellEnd"/>
      <w:r w:rsidRPr="00F54106">
        <w:rPr>
          <w:rFonts w:cstheme="minorHAnsi"/>
          <w:lang w:val="en-GB"/>
        </w:rPr>
        <w:t xml:space="preserve"> </w:t>
      </w:r>
      <w:proofErr w:type="spellStart"/>
      <w:r w:rsidRPr="00F54106">
        <w:rPr>
          <w:rFonts w:cstheme="minorHAnsi"/>
          <w:lang w:val="en-GB"/>
        </w:rPr>
        <w:t>handhaving</w:t>
      </w:r>
      <w:proofErr w:type="spellEnd"/>
      <w:r w:rsidRPr="00F54106">
        <w:rPr>
          <w:rFonts w:cstheme="minorHAnsi"/>
          <w:lang w:val="en-GB"/>
        </w:rPr>
        <w:t xml:space="preserve"> van het </w:t>
      </w:r>
      <w:proofErr w:type="spellStart"/>
      <w:r w:rsidRPr="00F54106">
        <w:rPr>
          <w:rFonts w:cstheme="minorHAnsi"/>
          <w:lang w:val="en-GB"/>
        </w:rPr>
        <w:t>mededingingsrecht</w:t>
      </w:r>
      <w:proofErr w:type="spellEnd"/>
      <w:r w:rsidRPr="00F54106">
        <w:rPr>
          <w:rFonts w:cstheme="minorHAnsi"/>
          <w:lang w:val="en-GB"/>
        </w:rPr>
        <w:t xml:space="preserve">: </w:t>
      </w:r>
      <w:proofErr w:type="spellStart"/>
      <w:r w:rsidRPr="00F54106">
        <w:rPr>
          <w:rFonts w:cstheme="minorHAnsi"/>
          <w:lang w:val="en-GB"/>
        </w:rPr>
        <w:t>nieuwe</w:t>
      </w:r>
      <w:proofErr w:type="spellEnd"/>
      <w:r w:rsidRPr="00F54106">
        <w:rPr>
          <w:rFonts w:cstheme="minorHAnsi"/>
          <w:lang w:val="en-GB"/>
        </w:rPr>
        <w:t xml:space="preserve"> </w:t>
      </w:r>
      <w:proofErr w:type="spellStart"/>
      <w:r w:rsidRPr="00F54106">
        <w:rPr>
          <w:rFonts w:cstheme="minorHAnsi"/>
          <w:lang w:val="en-GB"/>
        </w:rPr>
        <w:t>rechtspraak</w:t>
      </w:r>
      <w:proofErr w:type="spellEnd"/>
      <w:r w:rsidRPr="00F54106">
        <w:rPr>
          <w:rFonts w:cstheme="minorHAnsi"/>
          <w:lang w:val="en-GB"/>
        </w:rPr>
        <w:t xml:space="preserve"> </w:t>
      </w:r>
      <w:proofErr w:type="spellStart"/>
      <w:r w:rsidRPr="00F54106">
        <w:rPr>
          <w:rFonts w:cstheme="minorHAnsi"/>
          <w:lang w:val="en-GB"/>
        </w:rPr>
        <w:t>en</w:t>
      </w:r>
      <w:proofErr w:type="spellEnd"/>
      <w:r w:rsidRPr="00F54106">
        <w:rPr>
          <w:rFonts w:cstheme="minorHAnsi"/>
          <w:lang w:val="en-GB"/>
        </w:rPr>
        <w:t xml:space="preserve"> </w:t>
      </w:r>
      <w:proofErr w:type="spellStart"/>
      <w:r w:rsidRPr="00F54106">
        <w:rPr>
          <w:rFonts w:cstheme="minorHAnsi"/>
          <w:lang w:val="en-GB"/>
        </w:rPr>
        <w:t>nieuwe</w:t>
      </w:r>
      <w:proofErr w:type="spellEnd"/>
      <w:r w:rsidRPr="00F54106">
        <w:rPr>
          <w:rFonts w:cstheme="minorHAnsi"/>
          <w:lang w:val="en-GB"/>
        </w:rPr>
        <w:t xml:space="preserve"> </w:t>
      </w:r>
      <w:proofErr w:type="spellStart"/>
      <w:r w:rsidRPr="00F54106">
        <w:rPr>
          <w:rFonts w:cstheme="minorHAnsi"/>
          <w:lang w:val="en-GB"/>
        </w:rPr>
        <w:t>wetgeving</w:t>
      </w:r>
      <w:proofErr w:type="spellEnd"/>
      <w:r w:rsidRPr="00F54106">
        <w:rPr>
          <w:rFonts w:cstheme="minorHAnsi"/>
          <w:lang w:val="en-GB"/>
        </w:rPr>
        <w:t xml:space="preserve">’ (2016) 124 </w:t>
      </w:r>
      <w:proofErr w:type="spellStart"/>
      <w:r w:rsidRPr="00F54106">
        <w:rPr>
          <w:rFonts w:cstheme="minorHAnsi"/>
          <w:lang w:val="en-GB"/>
        </w:rPr>
        <w:t>Ondernemingsrecht</w:t>
      </w:r>
      <w:proofErr w:type="spellEnd"/>
      <w:r w:rsidRPr="00F54106">
        <w:rPr>
          <w:rFonts w:cstheme="minorHAnsi"/>
          <w:lang w:val="en-GB"/>
        </w:rPr>
        <w:t xml:space="preserve"> 620.</w:t>
      </w:r>
    </w:p>
    <w:p w14:paraId="5D8D6BF5" w14:textId="77777777" w:rsidR="00301D51" w:rsidRPr="00F54106" w:rsidRDefault="00301D51" w:rsidP="00301D51">
      <w:pPr>
        <w:spacing w:line="276" w:lineRule="auto"/>
        <w:rPr>
          <w:rFonts w:cstheme="minorHAnsi"/>
          <w:lang w:val="en-GB"/>
        </w:rPr>
      </w:pPr>
      <w:bookmarkStart w:id="182" w:name="_Hlk107446285"/>
      <w:r w:rsidRPr="00F54106">
        <w:rPr>
          <w:rFonts w:cstheme="minorHAnsi"/>
          <w:lang w:val="en-GB"/>
        </w:rPr>
        <w:t>Editorial, ‘</w:t>
      </w:r>
      <w:proofErr w:type="spellStart"/>
      <w:r w:rsidRPr="00F54106">
        <w:rPr>
          <w:rFonts w:cstheme="minorHAnsi"/>
          <w:lang w:val="en-GB"/>
        </w:rPr>
        <w:t>Massaclaim</w:t>
      </w:r>
      <w:proofErr w:type="spellEnd"/>
      <w:r w:rsidRPr="00F54106">
        <w:rPr>
          <w:rFonts w:cstheme="minorHAnsi"/>
          <w:lang w:val="en-GB"/>
        </w:rPr>
        <w:t xml:space="preserve"> </w:t>
      </w:r>
      <w:proofErr w:type="spellStart"/>
      <w:r w:rsidRPr="00F54106">
        <w:rPr>
          <w:rFonts w:cstheme="minorHAnsi"/>
          <w:lang w:val="en-GB"/>
        </w:rPr>
        <w:t>tegen</w:t>
      </w:r>
      <w:proofErr w:type="spellEnd"/>
      <w:r w:rsidRPr="00F54106">
        <w:rPr>
          <w:rFonts w:cstheme="minorHAnsi"/>
          <w:lang w:val="en-GB"/>
        </w:rPr>
        <w:t xml:space="preserve"> </w:t>
      </w:r>
      <w:proofErr w:type="spellStart"/>
      <w:r w:rsidRPr="00F54106">
        <w:rPr>
          <w:rFonts w:cstheme="minorHAnsi"/>
          <w:lang w:val="en-GB"/>
        </w:rPr>
        <w:t>grote</w:t>
      </w:r>
      <w:proofErr w:type="spellEnd"/>
      <w:r w:rsidRPr="00F54106">
        <w:rPr>
          <w:rFonts w:cstheme="minorHAnsi"/>
          <w:lang w:val="en-GB"/>
        </w:rPr>
        <w:t xml:space="preserve"> </w:t>
      </w:r>
      <w:proofErr w:type="spellStart"/>
      <w:r w:rsidRPr="00F54106">
        <w:rPr>
          <w:rFonts w:cstheme="minorHAnsi"/>
          <w:lang w:val="en-GB"/>
        </w:rPr>
        <w:t>truckfabrikanten</w:t>
      </w:r>
      <w:proofErr w:type="spellEnd"/>
      <w:r w:rsidRPr="00F54106">
        <w:rPr>
          <w:rFonts w:cstheme="minorHAnsi"/>
          <w:lang w:val="en-GB"/>
        </w:rPr>
        <w:t xml:space="preserve">’ </w:t>
      </w:r>
      <w:r w:rsidRPr="00F54106">
        <w:rPr>
          <w:rFonts w:cstheme="minorHAnsi"/>
          <w:i/>
          <w:iCs/>
          <w:lang w:val="en-GB"/>
        </w:rPr>
        <w:t xml:space="preserve">Het </w:t>
      </w:r>
      <w:proofErr w:type="spellStart"/>
      <w:r w:rsidRPr="00F54106">
        <w:rPr>
          <w:rFonts w:cstheme="minorHAnsi"/>
          <w:i/>
          <w:iCs/>
          <w:lang w:val="en-GB"/>
        </w:rPr>
        <w:t>Financieele</w:t>
      </w:r>
      <w:proofErr w:type="spellEnd"/>
      <w:r w:rsidRPr="00F54106">
        <w:rPr>
          <w:rFonts w:cstheme="minorHAnsi"/>
          <w:i/>
          <w:iCs/>
          <w:lang w:val="en-GB"/>
        </w:rPr>
        <w:t xml:space="preserve"> </w:t>
      </w:r>
      <w:proofErr w:type="spellStart"/>
      <w:r w:rsidRPr="00F54106">
        <w:rPr>
          <w:rFonts w:cstheme="minorHAnsi"/>
          <w:i/>
          <w:iCs/>
          <w:lang w:val="en-GB"/>
        </w:rPr>
        <w:t>Dagblad</w:t>
      </w:r>
      <w:proofErr w:type="spellEnd"/>
      <w:r w:rsidRPr="00F54106">
        <w:rPr>
          <w:rFonts w:cstheme="minorHAnsi"/>
          <w:lang w:val="en-GB"/>
        </w:rPr>
        <w:t xml:space="preserve"> (3 June 2016)</w:t>
      </w:r>
      <w:bookmarkEnd w:id="182"/>
      <w:r w:rsidRPr="00F54106">
        <w:rPr>
          <w:rFonts w:cstheme="minorHAnsi"/>
          <w:lang w:val="en-GB"/>
        </w:rPr>
        <w:t>, &lt;https://fd.nl/economie-politiek/1154500/massaclaim-tegen-truckfabrikanten&gt; accessed 31 May 2022.</w:t>
      </w:r>
    </w:p>
    <w:p w14:paraId="157375D7" w14:textId="77777777" w:rsidR="00301D51" w:rsidRPr="00F54106" w:rsidRDefault="00301D51" w:rsidP="00301D51">
      <w:pPr>
        <w:spacing w:line="276" w:lineRule="auto"/>
        <w:rPr>
          <w:rFonts w:cstheme="minorHAnsi"/>
          <w:lang w:val="en-GB"/>
        </w:rPr>
      </w:pPr>
      <w:r w:rsidRPr="00F54106">
        <w:rPr>
          <w:rFonts w:cstheme="minorHAnsi"/>
          <w:lang w:val="en-GB"/>
        </w:rPr>
        <w:t>Federal Department of Foreign Affairs FDFA, ‘Notification to the Parties of the Convention on Jurisdiction and the Recognition and Enforcement of Judgments in Civil and Commercial Matters, concluded at Lugano on 30 October 2007’ (2021) &lt;https://www.eda.admin.ch/dam/eda/fr/documents/aussenpolitik/voelkerrecht/autres-conventions/Lugano2/20210701-LUG_en.pdf&gt; accessed 20 May 2022.</w:t>
      </w:r>
    </w:p>
    <w:p w14:paraId="097C78CC" w14:textId="77777777" w:rsidR="00301D51" w:rsidRPr="00F54106" w:rsidRDefault="00301D51" w:rsidP="00301D51">
      <w:pPr>
        <w:spacing w:line="276" w:lineRule="auto"/>
        <w:rPr>
          <w:rFonts w:cstheme="minorHAnsi"/>
          <w:lang w:val="en-GB"/>
        </w:rPr>
      </w:pPr>
      <w:r w:rsidRPr="00F54106">
        <w:rPr>
          <w:rFonts w:cstheme="minorHAnsi"/>
          <w:lang w:val="en-GB"/>
        </w:rPr>
        <w:t xml:space="preserve">Franck J, Chapter 5: Private Enforcement in Germany’ in Ferdinand </w:t>
      </w:r>
      <w:proofErr w:type="spellStart"/>
      <w:r w:rsidRPr="00F54106">
        <w:rPr>
          <w:rFonts w:cstheme="minorHAnsi"/>
          <w:lang w:val="en-GB"/>
        </w:rPr>
        <w:t>Wollenschläger</w:t>
      </w:r>
      <w:proofErr w:type="spellEnd"/>
      <w:r w:rsidRPr="00F54106">
        <w:rPr>
          <w:rFonts w:cstheme="minorHAnsi"/>
          <w:lang w:val="en-GB"/>
        </w:rPr>
        <w:t xml:space="preserve">, Wolfgang </w:t>
      </w:r>
      <w:proofErr w:type="spellStart"/>
      <w:r w:rsidRPr="00F54106">
        <w:rPr>
          <w:rFonts w:cstheme="minorHAnsi"/>
          <w:lang w:val="en-GB"/>
        </w:rPr>
        <w:t>Wurmnest</w:t>
      </w:r>
      <w:proofErr w:type="spellEnd"/>
      <w:r w:rsidRPr="00F54106">
        <w:rPr>
          <w:rFonts w:cstheme="minorHAnsi"/>
          <w:lang w:val="en-GB"/>
        </w:rPr>
        <w:t xml:space="preserve"> &amp; Thomas M. J. </w:t>
      </w:r>
      <w:proofErr w:type="spellStart"/>
      <w:r w:rsidRPr="00F54106">
        <w:rPr>
          <w:rFonts w:cstheme="minorHAnsi"/>
          <w:lang w:val="en-GB"/>
        </w:rPr>
        <w:t>Möllers</w:t>
      </w:r>
      <w:proofErr w:type="spellEnd"/>
      <w:r w:rsidRPr="00F54106">
        <w:rPr>
          <w:rFonts w:cstheme="minorHAnsi"/>
          <w:lang w:val="en-GB"/>
        </w:rPr>
        <w:t xml:space="preserve"> (eds), </w:t>
      </w:r>
      <w:r w:rsidRPr="00F54106">
        <w:rPr>
          <w:rFonts w:cstheme="minorHAnsi"/>
          <w:i/>
          <w:iCs/>
          <w:lang w:val="en-GB"/>
        </w:rPr>
        <w:t xml:space="preserve">Private Enforcement of European Competition and State Aid Law: Current Challenges and the Way Forward </w:t>
      </w:r>
      <w:r w:rsidRPr="00F54106">
        <w:rPr>
          <w:rFonts w:cstheme="minorHAnsi"/>
          <w:lang w:val="en-GB"/>
        </w:rPr>
        <w:t>(Chapter 5, Kluwer Law International 2020).</w:t>
      </w:r>
    </w:p>
    <w:p w14:paraId="0732ECB9" w14:textId="77777777" w:rsidR="00301D51" w:rsidRPr="00F54106" w:rsidRDefault="00301D51" w:rsidP="00301D51">
      <w:pPr>
        <w:spacing w:line="276" w:lineRule="auto"/>
        <w:rPr>
          <w:rFonts w:cstheme="minorHAnsi"/>
          <w:lang w:val="en-GB"/>
        </w:rPr>
      </w:pPr>
      <w:r w:rsidRPr="00F54106">
        <w:rPr>
          <w:rFonts w:cstheme="minorHAnsi"/>
          <w:lang w:val="en-GB"/>
        </w:rPr>
        <w:t>Furse M, ‘Follow-On Actions in the UK: Litigating Section 47A of the Competition Act 1998’ (2013) 9 ECJ 79.</w:t>
      </w:r>
    </w:p>
    <w:p w14:paraId="47B03B0A"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Geradin</w:t>
      </w:r>
      <w:proofErr w:type="spellEnd"/>
      <w:r w:rsidRPr="00F54106">
        <w:rPr>
          <w:rFonts w:cstheme="minorHAnsi"/>
          <w:lang w:val="en-GB"/>
        </w:rPr>
        <w:t xml:space="preserve"> D and </w:t>
      </w:r>
      <w:proofErr w:type="spellStart"/>
      <w:r w:rsidRPr="00F54106">
        <w:rPr>
          <w:rFonts w:cstheme="minorHAnsi"/>
          <w:lang w:val="en-GB"/>
        </w:rPr>
        <w:t>Grelier</w:t>
      </w:r>
      <w:proofErr w:type="spellEnd"/>
      <w:r w:rsidRPr="00F54106">
        <w:rPr>
          <w:rFonts w:cstheme="minorHAnsi"/>
          <w:lang w:val="en-GB"/>
        </w:rPr>
        <w:t xml:space="preserve"> L, ‘Cartel damages claims in the European Union: Have we only seen the tip of the iceberg?’ (2013) &lt;https://ssrn.com/abstract=2362386&gt; accessed 18 May 2022.</w:t>
      </w:r>
    </w:p>
    <w:p w14:paraId="4ED5D390" w14:textId="77777777" w:rsidR="00301D51" w:rsidRPr="00F54106" w:rsidRDefault="00301D51" w:rsidP="00301D51">
      <w:pPr>
        <w:spacing w:line="276" w:lineRule="auto"/>
        <w:rPr>
          <w:rFonts w:cstheme="minorHAnsi"/>
          <w:lang w:val="en-GB"/>
        </w:rPr>
      </w:pPr>
      <w:r w:rsidRPr="00F54106">
        <w:rPr>
          <w:rFonts w:cstheme="minorHAnsi"/>
          <w:lang w:val="en-GB"/>
        </w:rPr>
        <w:lastRenderedPageBreak/>
        <w:t>Gottlieb C, ‘Germany implements the EU Antitrust Damages Directive’ (Memorandum, 14 March 2017) 3 &lt;https://www.clearygottlieb.com/news-and-insights/publication-listing/germany-implements-the-eu-antitrust-damages-directive&gt; accessed 10 May 2022.</w:t>
      </w:r>
    </w:p>
    <w:p w14:paraId="7C22087C" w14:textId="77777777" w:rsidR="00301D51" w:rsidRPr="00F54106" w:rsidRDefault="00301D51" w:rsidP="00301D51">
      <w:pPr>
        <w:spacing w:line="276" w:lineRule="auto"/>
        <w:rPr>
          <w:rFonts w:cstheme="minorHAnsi"/>
          <w:lang w:val="en-GB"/>
        </w:rPr>
      </w:pPr>
      <w:r w:rsidRPr="00F54106">
        <w:rPr>
          <w:rFonts w:cstheme="minorHAnsi"/>
          <w:lang w:val="en-GB"/>
        </w:rPr>
        <w:t>HCCH, ‘CONVENTION ON THE RECOGNITION AND ENFORCEMENT OF FOREIGN JUDGMENTS IN CIVIL OR COMMERCIAL MATTERS’ (concluded 2 July 2019) &lt;https://assets.hcch.net/docs/806e290e-bbd8-413d-b15e-8e3e1bf1496d.pdf&gt; accessed 20 May 2022.</w:t>
      </w:r>
    </w:p>
    <w:p w14:paraId="40AC80B2" w14:textId="77777777" w:rsidR="00301D51" w:rsidRPr="00F54106" w:rsidRDefault="00301D51" w:rsidP="00301D51">
      <w:pPr>
        <w:spacing w:line="276" w:lineRule="auto"/>
        <w:rPr>
          <w:rFonts w:cstheme="minorHAnsi"/>
          <w:lang w:val="en-GB"/>
        </w:rPr>
      </w:pPr>
      <w:r w:rsidRPr="00F54106">
        <w:rPr>
          <w:rFonts w:cstheme="minorHAnsi"/>
          <w:lang w:val="en-GB"/>
        </w:rPr>
        <w:t xml:space="preserve">Her Majesty’s Government, </w:t>
      </w:r>
      <w:r w:rsidRPr="00F54106">
        <w:rPr>
          <w:rFonts w:cstheme="minorHAnsi"/>
          <w:i/>
          <w:iCs/>
          <w:lang w:val="en-GB"/>
        </w:rPr>
        <w:t>The future relationship between the United Kingdom and the European Union</w:t>
      </w:r>
      <w:r w:rsidRPr="00F54106">
        <w:rPr>
          <w:rFonts w:cstheme="minorHAnsi"/>
          <w:lang w:val="en-GB"/>
        </w:rPr>
        <w:t xml:space="preserve"> (July 2018, Cm 9593) &lt;https://assets.publishing.service.gov.uk/government/uploads/system/uploads/attachment_data/file/786626/The_Future_Relationship_between_the_United_Kingdom_and_the_European_Union_120319.pdf&gt; accessed 17 May 2022.</w:t>
      </w:r>
    </w:p>
    <w:p w14:paraId="34D20C0C" w14:textId="77777777" w:rsidR="00301D51" w:rsidRPr="00F54106" w:rsidRDefault="00301D51" w:rsidP="00301D51">
      <w:pPr>
        <w:spacing w:line="276" w:lineRule="auto"/>
        <w:rPr>
          <w:rFonts w:cstheme="minorHAnsi"/>
          <w:lang w:val="en-GB"/>
        </w:rPr>
      </w:pPr>
      <w:r w:rsidRPr="00F54106">
        <w:rPr>
          <w:rFonts w:cstheme="minorHAnsi"/>
          <w:lang w:val="en-GB"/>
        </w:rPr>
        <w:t xml:space="preserve">Hodges C, </w:t>
      </w:r>
      <w:proofErr w:type="spellStart"/>
      <w:r w:rsidRPr="00F54106">
        <w:rPr>
          <w:rFonts w:cstheme="minorHAnsi"/>
          <w:lang w:val="en-GB"/>
        </w:rPr>
        <w:t>Peysner</w:t>
      </w:r>
      <w:proofErr w:type="spellEnd"/>
      <w:r w:rsidRPr="00F54106">
        <w:rPr>
          <w:rFonts w:cstheme="minorHAnsi"/>
          <w:lang w:val="en-GB"/>
        </w:rPr>
        <w:t xml:space="preserve"> J and Nurse A, ‘Litigation Funding: Status and Issues’ (2012) 55 Oxford Legal Studies Research Paper &lt;https://ssrn.com/abstract=2126506&gt; accessed 18 May 2022.</w:t>
      </w:r>
    </w:p>
    <w:p w14:paraId="79250AF6" w14:textId="77777777" w:rsidR="00301D51" w:rsidRPr="00F54106" w:rsidRDefault="00301D51" w:rsidP="00301D51">
      <w:pPr>
        <w:spacing w:line="276" w:lineRule="auto"/>
        <w:rPr>
          <w:rFonts w:cstheme="minorHAnsi"/>
          <w:lang w:val="en-GB"/>
        </w:rPr>
      </w:pPr>
      <w:r w:rsidRPr="00F54106">
        <w:rPr>
          <w:rFonts w:cstheme="minorHAnsi"/>
          <w:lang w:val="en-GB"/>
        </w:rPr>
        <w:t xml:space="preserve">Hoffmann J and Schneider S, ‘Die </w:t>
      </w:r>
      <w:proofErr w:type="spellStart"/>
      <w:r w:rsidRPr="00F54106">
        <w:rPr>
          <w:rFonts w:cstheme="minorHAnsi"/>
          <w:lang w:val="en-GB"/>
        </w:rPr>
        <w:t>Verjährung</w:t>
      </w:r>
      <w:proofErr w:type="spellEnd"/>
      <w:r w:rsidRPr="00F54106">
        <w:rPr>
          <w:rFonts w:cstheme="minorHAnsi"/>
          <w:lang w:val="en-GB"/>
        </w:rPr>
        <w:t xml:space="preserve"> </w:t>
      </w:r>
      <w:proofErr w:type="spellStart"/>
      <w:r w:rsidRPr="00F54106">
        <w:rPr>
          <w:rFonts w:cstheme="minorHAnsi"/>
          <w:lang w:val="en-GB"/>
        </w:rPr>
        <w:t>unter</w:t>
      </w:r>
      <w:proofErr w:type="spellEnd"/>
      <w:r w:rsidRPr="00F54106">
        <w:rPr>
          <w:rFonts w:cstheme="minorHAnsi"/>
          <w:lang w:val="en-GB"/>
        </w:rPr>
        <w:t xml:space="preserve"> der </w:t>
      </w:r>
      <w:proofErr w:type="spellStart"/>
      <w:r w:rsidRPr="00F54106">
        <w:rPr>
          <w:rFonts w:cstheme="minorHAnsi"/>
          <w:lang w:val="en-GB"/>
        </w:rPr>
        <w:t>Kartellschadensersatzrichtlinie</w:t>
      </w:r>
      <w:proofErr w:type="spellEnd"/>
      <w:r w:rsidRPr="00F54106">
        <w:rPr>
          <w:rFonts w:cstheme="minorHAnsi"/>
          <w:lang w:val="en-GB"/>
        </w:rPr>
        <w:t xml:space="preserve">’ (2016) 3 </w:t>
      </w:r>
      <w:proofErr w:type="spellStart"/>
      <w:r w:rsidRPr="00F54106">
        <w:rPr>
          <w:rFonts w:cstheme="minorHAnsi"/>
          <w:lang w:val="en-GB"/>
        </w:rPr>
        <w:t>WuW</w:t>
      </w:r>
      <w:proofErr w:type="spellEnd"/>
      <w:r w:rsidRPr="00F54106">
        <w:rPr>
          <w:rFonts w:cstheme="minorHAnsi"/>
          <w:lang w:val="en-GB"/>
        </w:rPr>
        <w:t xml:space="preserve"> 102, 104.</w:t>
      </w:r>
    </w:p>
    <w:p w14:paraId="1D228112"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HornKohl</w:t>
      </w:r>
      <w:proofErr w:type="spellEnd"/>
      <w:r w:rsidRPr="00F54106">
        <w:rPr>
          <w:rFonts w:cstheme="minorHAnsi"/>
          <w:lang w:val="en-GB"/>
        </w:rPr>
        <w:t xml:space="preserve"> L, ‘Lump-sum Cartel Damages in Germany: Recent Developments’ (Kluwer Competition Law Blog, 30 April 2021) &lt;http://competitionlawblog.kluwercompetitionlaw.com/2021/04/30/lump-sum-cartel-damages-in-germany-recent-developments/&gt; accessed 10 May 2022.</w:t>
      </w:r>
    </w:p>
    <w:p w14:paraId="4FBE5333" w14:textId="77777777" w:rsidR="00301D51" w:rsidRPr="00F54106" w:rsidRDefault="00301D51" w:rsidP="00301D51">
      <w:pPr>
        <w:spacing w:line="276" w:lineRule="auto"/>
        <w:rPr>
          <w:rFonts w:cstheme="minorHAnsi"/>
          <w:lang w:val="en-GB"/>
        </w:rPr>
      </w:pPr>
      <w:r w:rsidRPr="00F54106">
        <w:rPr>
          <w:rFonts w:cstheme="minorHAnsi"/>
          <w:lang w:val="en-GB"/>
        </w:rPr>
        <w:t xml:space="preserve">Hyde E and </w:t>
      </w:r>
      <w:proofErr w:type="spellStart"/>
      <w:r w:rsidRPr="00F54106">
        <w:rPr>
          <w:rFonts w:cstheme="minorHAnsi"/>
          <w:lang w:val="en-GB"/>
        </w:rPr>
        <w:t>Gaut</w:t>
      </w:r>
      <w:proofErr w:type="spellEnd"/>
      <w:r w:rsidRPr="00F54106">
        <w:rPr>
          <w:rFonts w:cstheme="minorHAnsi"/>
          <w:lang w:val="en-GB"/>
        </w:rPr>
        <w:t xml:space="preserve"> N, ‘Legal professional privilege update: protections and pitfalls’ (2019) 8 C&amp;R 1.</w:t>
      </w:r>
    </w:p>
    <w:p w14:paraId="538AA631" w14:textId="77777777" w:rsidR="00301D51" w:rsidRPr="00F54106" w:rsidRDefault="00301D51" w:rsidP="00301D51">
      <w:pPr>
        <w:spacing w:line="276" w:lineRule="auto"/>
        <w:rPr>
          <w:rFonts w:cstheme="minorHAnsi"/>
          <w:lang w:val="en-GB"/>
        </w:rPr>
      </w:pPr>
      <w:r w:rsidRPr="00F54106">
        <w:rPr>
          <w:rFonts w:cstheme="minorHAnsi"/>
          <w:lang w:val="en-GB"/>
        </w:rPr>
        <w:t xml:space="preserve">Jaremba U and </w:t>
      </w:r>
      <w:proofErr w:type="spellStart"/>
      <w:r w:rsidRPr="00F54106">
        <w:rPr>
          <w:rFonts w:cstheme="minorHAnsi"/>
          <w:lang w:val="en-GB"/>
        </w:rPr>
        <w:t>Lalikova</w:t>
      </w:r>
      <w:proofErr w:type="spellEnd"/>
      <w:r w:rsidRPr="00F54106">
        <w:rPr>
          <w:rFonts w:cstheme="minorHAnsi"/>
          <w:lang w:val="en-GB"/>
        </w:rPr>
        <w:t xml:space="preserve"> L, ‘Effectiveness of Private Enforcement of European Competition Law in Case of Passing-on of Overcharges: Implementation of Antitrust Damages Directive in Germany, France, and Ireland’ (2018) 9 Journal of European Competition Law &amp; Practice 226.</w:t>
      </w:r>
    </w:p>
    <w:p w14:paraId="09167767"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Juenger</w:t>
      </w:r>
      <w:proofErr w:type="spellEnd"/>
      <w:r w:rsidRPr="00F54106">
        <w:rPr>
          <w:rFonts w:cstheme="minorHAnsi"/>
          <w:lang w:val="en-GB"/>
        </w:rPr>
        <w:t xml:space="preserve"> FK, ‘Forum Shopping, Domestic and International’ (1989) 63 TLR 553.</w:t>
      </w:r>
    </w:p>
    <w:p w14:paraId="3DEF567A"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Jungermann</w:t>
      </w:r>
      <w:proofErr w:type="spellEnd"/>
      <w:r w:rsidRPr="00F54106">
        <w:rPr>
          <w:rFonts w:cstheme="minorHAnsi"/>
          <w:lang w:val="en-GB"/>
        </w:rPr>
        <w:t xml:space="preserve"> S and </w:t>
      </w:r>
      <w:proofErr w:type="spellStart"/>
      <w:r w:rsidRPr="00F54106">
        <w:rPr>
          <w:rFonts w:cstheme="minorHAnsi"/>
          <w:lang w:val="en-GB"/>
        </w:rPr>
        <w:t>Dabelstein</w:t>
      </w:r>
      <w:proofErr w:type="spellEnd"/>
      <w:r w:rsidRPr="00F54106">
        <w:rPr>
          <w:rFonts w:cstheme="minorHAnsi"/>
          <w:lang w:val="en-GB"/>
        </w:rPr>
        <w:t xml:space="preserve"> AS, ‘The Private Competition Enforcement Review: Germany’ in Ilene </w:t>
      </w:r>
      <w:proofErr w:type="spellStart"/>
      <w:r w:rsidRPr="00F54106">
        <w:rPr>
          <w:rFonts w:cstheme="minorHAnsi"/>
          <w:lang w:val="en-GB"/>
        </w:rPr>
        <w:t>Knable</w:t>
      </w:r>
      <w:proofErr w:type="spellEnd"/>
      <w:r w:rsidRPr="00F54106">
        <w:rPr>
          <w:rFonts w:cstheme="minorHAnsi"/>
          <w:lang w:val="en-GB"/>
        </w:rPr>
        <w:t xml:space="preserve"> Gotts and Kevin S. Schwartz (eds), </w:t>
      </w:r>
      <w:r w:rsidRPr="00F54106">
        <w:rPr>
          <w:rFonts w:cstheme="minorHAnsi"/>
          <w:i/>
          <w:iCs/>
          <w:lang w:val="en-GB"/>
        </w:rPr>
        <w:t xml:space="preserve">The Private Competition Enforcement Review </w:t>
      </w:r>
      <w:r w:rsidRPr="00F54106">
        <w:rPr>
          <w:rFonts w:cstheme="minorHAnsi"/>
          <w:lang w:val="en-GB"/>
        </w:rPr>
        <w:t>(15</w:t>
      </w:r>
      <w:r w:rsidRPr="00F54106">
        <w:rPr>
          <w:rFonts w:cstheme="minorHAnsi"/>
          <w:vertAlign w:val="superscript"/>
          <w:lang w:val="en-GB"/>
        </w:rPr>
        <w:t>th</w:t>
      </w:r>
      <w:r w:rsidRPr="00F54106">
        <w:rPr>
          <w:rFonts w:cstheme="minorHAnsi"/>
          <w:lang w:val="en-GB"/>
        </w:rPr>
        <w:t xml:space="preserve"> edition, The Law Reviews 2022).</w:t>
      </w:r>
    </w:p>
    <w:p w14:paraId="21D558AB"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Juska</w:t>
      </w:r>
      <w:proofErr w:type="spellEnd"/>
      <w:r w:rsidRPr="00F54106">
        <w:rPr>
          <w:rFonts w:cstheme="minorHAnsi"/>
          <w:lang w:val="en-GB"/>
        </w:rPr>
        <w:t xml:space="preserve"> Z, ‘The effectiveness of antitrust collective litigation in the European Union: a study of the principle of full compensation’ (2018) 49 IIC 63.</w:t>
      </w:r>
    </w:p>
    <w:p w14:paraId="10B76381" w14:textId="77777777" w:rsidR="00301D51" w:rsidRPr="00F54106" w:rsidRDefault="00301D51" w:rsidP="00301D51">
      <w:pPr>
        <w:pStyle w:val="FootnoteText"/>
        <w:spacing w:line="276" w:lineRule="auto"/>
        <w:rPr>
          <w:rFonts w:cstheme="minorHAnsi"/>
          <w:sz w:val="22"/>
          <w:szCs w:val="22"/>
          <w:lang w:val="en-GB"/>
        </w:rPr>
      </w:pPr>
      <w:proofErr w:type="spellStart"/>
      <w:r w:rsidRPr="00F54106">
        <w:rPr>
          <w:rFonts w:cstheme="minorHAnsi"/>
          <w:sz w:val="22"/>
          <w:szCs w:val="22"/>
          <w:lang w:val="en-GB"/>
        </w:rPr>
        <w:t>Kersting</w:t>
      </w:r>
      <w:proofErr w:type="spellEnd"/>
      <w:r w:rsidRPr="00F54106">
        <w:rPr>
          <w:rFonts w:cstheme="minorHAnsi"/>
          <w:sz w:val="22"/>
          <w:szCs w:val="22"/>
          <w:lang w:val="en-GB"/>
        </w:rPr>
        <w:t xml:space="preserve"> C, ‘Germany’ in Barry Rodger, Francisco Marcos and Miguel S. Ferro (eds), </w:t>
      </w:r>
      <w:r w:rsidRPr="00F54106">
        <w:rPr>
          <w:rFonts w:cstheme="minorHAnsi"/>
          <w:i/>
          <w:iCs/>
          <w:sz w:val="22"/>
          <w:szCs w:val="22"/>
          <w:lang w:val="en-GB"/>
        </w:rPr>
        <w:t>The EU Antitrust Damages Directive: Transposition in the Member States</w:t>
      </w:r>
      <w:r w:rsidRPr="00F54106">
        <w:rPr>
          <w:rFonts w:cstheme="minorHAnsi"/>
          <w:sz w:val="22"/>
          <w:szCs w:val="22"/>
          <w:lang w:val="en-GB"/>
        </w:rPr>
        <w:t xml:space="preserve"> (Chapter 6, Oxford University Press 2019).</w:t>
      </w:r>
    </w:p>
    <w:p w14:paraId="6670F4FF"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Kortmann</w:t>
      </w:r>
      <w:proofErr w:type="spellEnd"/>
      <w:r w:rsidRPr="00F54106">
        <w:rPr>
          <w:rFonts w:cstheme="minorHAnsi"/>
          <w:lang w:val="en-GB"/>
        </w:rPr>
        <w:t xml:space="preserve"> J and </w:t>
      </w:r>
      <w:proofErr w:type="spellStart"/>
      <w:r w:rsidRPr="00F54106">
        <w:rPr>
          <w:rFonts w:cstheme="minorHAnsi"/>
          <w:lang w:val="en-GB"/>
        </w:rPr>
        <w:t>Mineur</w:t>
      </w:r>
      <w:proofErr w:type="spellEnd"/>
      <w:r w:rsidRPr="00F54106">
        <w:rPr>
          <w:rFonts w:cstheme="minorHAnsi"/>
          <w:lang w:val="en-GB"/>
        </w:rPr>
        <w:t xml:space="preserve"> S, ‘The Netherlands’ in Barry Rodger, Francisco Marcos and Miguel S. Ferro (eds), </w:t>
      </w:r>
      <w:r w:rsidRPr="00F54106">
        <w:rPr>
          <w:rFonts w:cstheme="minorHAnsi"/>
          <w:i/>
          <w:iCs/>
          <w:lang w:val="en-GB"/>
        </w:rPr>
        <w:t>The EU Antitrust Damages Directive: Transposition in the Member States</w:t>
      </w:r>
      <w:r w:rsidRPr="00F54106">
        <w:rPr>
          <w:rFonts w:cstheme="minorHAnsi"/>
          <w:lang w:val="en-GB"/>
        </w:rPr>
        <w:t xml:space="preserve"> (Chapter 13, Oxford University Press 2019).</w:t>
      </w:r>
    </w:p>
    <w:p w14:paraId="1673D021"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Kreisberger</w:t>
      </w:r>
      <w:proofErr w:type="spellEnd"/>
      <w:r w:rsidRPr="00F54106">
        <w:rPr>
          <w:rFonts w:cstheme="minorHAnsi"/>
          <w:lang w:val="en-GB"/>
        </w:rPr>
        <w:t xml:space="preserve"> R and McCarthy C, ‘Competition damages litigation in the United Kingdom: the impact of Brexit’ (2018) 4 CLPD 48.</w:t>
      </w:r>
    </w:p>
    <w:p w14:paraId="74042E45"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lastRenderedPageBreak/>
        <w:t>Kuijpers</w:t>
      </w:r>
      <w:proofErr w:type="spellEnd"/>
      <w:r w:rsidRPr="00F54106">
        <w:rPr>
          <w:rFonts w:cstheme="minorHAnsi"/>
          <w:lang w:val="en-GB"/>
        </w:rPr>
        <w:t xml:space="preserve"> M and others, ‘Actions for Damages in the Netherlands, the United Kingdom and Germany’ (2018) 9 Journal of European Competition Law &amp; Practice 55.</w:t>
      </w:r>
    </w:p>
    <w:p w14:paraId="5F6FF451" w14:textId="77777777" w:rsidR="00301D51" w:rsidRPr="00F54106" w:rsidRDefault="00301D51" w:rsidP="00301D51">
      <w:pPr>
        <w:spacing w:line="276" w:lineRule="auto"/>
        <w:rPr>
          <w:rFonts w:cstheme="minorHAnsi"/>
          <w:lang w:val="en-GB"/>
        </w:rPr>
      </w:pPr>
      <w:r w:rsidRPr="00F54106">
        <w:rPr>
          <w:rFonts w:cstheme="minorHAnsi"/>
          <w:lang w:val="en-GB"/>
        </w:rPr>
        <w:t>Kwan J, ‘The Damages Directive: End of England’s Eminence?’ (2015) 36 ECLR 455.</w:t>
      </w:r>
    </w:p>
    <w:p w14:paraId="64FCACF4" w14:textId="77777777" w:rsidR="00301D51" w:rsidRPr="00F54106" w:rsidRDefault="00301D51" w:rsidP="00301D51">
      <w:pPr>
        <w:spacing w:line="276" w:lineRule="auto"/>
        <w:rPr>
          <w:rFonts w:cstheme="minorHAnsi"/>
          <w:lang w:val="en-GB"/>
        </w:rPr>
      </w:pPr>
      <w:r w:rsidRPr="00F54106">
        <w:rPr>
          <w:rFonts w:cstheme="minorHAnsi"/>
          <w:lang w:val="en-GB"/>
        </w:rPr>
        <w:t>Laborde J, ‘Cartel damages actions in Europe: How courts have assessed cartel overcharges (2021 ed.)’ (2021) 3 Concurrences 232.</w:t>
      </w:r>
    </w:p>
    <w:p w14:paraId="4C83EB33" w14:textId="77777777" w:rsidR="00301D51" w:rsidRPr="00F54106" w:rsidRDefault="00301D51" w:rsidP="00301D51">
      <w:pPr>
        <w:spacing w:line="276" w:lineRule="auto"/>
        <w:rPr>
          <w:rFonts w:cstheme="minorHAnsi"/>
          <w:lang w:val="en-GB"/>
        </w:rPr>
      </w:pPr>
      <w:r w:rsidRPr="00F54106">
        <w:rPr>
          <w:rFonts w:cstheme="minorHAnsi"/>
          <w:lang w:val="en-GB"/>
        </w:rPr>
        <w:t>Lord Justice Jackson, ‘Controlling the Costs of Disclosure’ (Judiciary of England and Wales 24 November 2011) &lt;https://www.judiciary.uk/wp-content/uploads/JCO/Documents/Speeches/controlling-costs-disclosure.pdf&gt; accessed 18 May 2022.</w:t>
      </w:r>
    </w:p>
    <w:p w14:paraId="7BE2E634"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Malinauskaite</w:t>
      </w:r>
      <w:proofErr w:type="spellEnd"/>
      <w:r w:rsidRPr="00F54106">
        <w:rPr>
          <w:rFonts w:cstheme="minorHAnsi"/>
          <w:lang w:val="en-GB"/>
        </w:rPr>
        <w:t xml:space="preserve"> J and Cauffman C, ‘The Transposition of the Antitrust Damages Directive in the Small Member States of the EU – A Comparative Perspective’ (2018) 9 Journal of European Competition Law &amp; Practice 496.</w:t>
      </w:r>
    </w:p>
    <w:p w14:paraId="4AA6618F" w14:textId="77777777" w:rsidR="00301D51" w:rsidRPr="00F54106" w:rsidRDefault="00301D51" w:rsidP="00301D51">
      <w:pPr>
        <w:spacing w:line="276" w:lineRule="auto"/>
        <w:rPr>
          <w:rFonts w:cstheme="minorHAnsi"/>
          <w:lang w:val="en-GB"/>
        </w:rPr>
      </w:pPr>
      <w:r w:rsidRPr="00F54106">
        <w:rPr>
          <w:rFonts w:cstheme="minorHAnsi"/>
          <w:lang w:val="en-GB"/>
        </w:rPr>
        <w:t xml:space="preserve">Meijer R and </w:t>
      </w:r>
      <w:proofErr w:type="spellStart"/>
      <w:r w:rsidRPr="00F54106">
        <w:rPr>
          <w:rFonts w:cstheme="minorHAnsi"/>
          <w:lang w:val="en-GB"/>
        </w:rPr>
        <w:t>Zippro</w:t>
      </w:r>
      <w:proofErr w:type="spellEnd"/>
      <w:r w:rsidRPr="00F54106">
        <w:rPr>
          <w:rFonts w:cstheme="minorHAnsi"/>
          <w:lang w:val="en-GB"/>
        </w:rPr>
        <w:t xml:space="preserve"> E, Chapter 5: Private Enforcement in the Netherlands’ in Ferdinand </w:t>
      </w:r>
      <w:proofErr w:type="spellStart"/>
      <w:r w:rsidRPr="00F54106">
        <w:rPr>
          <w:rFonts w:cstheme="minorHAnsi"/>
          <w:lang w:val="en-GB"/>
        </w:rPr>
        <w:t>Wollenschläger</w:t>
      </w:r>
      <w:proofErr w:type="spellEnd"/>
      <w:r w:rsidRPr="00F54106">
        <w:rPr>
          <w:rFonts w:cstheme="minorHAnsi"/>
          <w:lang w:val="en-GB"/>
        </w:rPr>
        <w:t xml:space="preserve">, Wolfgang </w:t>
      </w:r>
      <w:proofErr w:type="spellStart"/>
      <w:r w:rsidRPr="00F54106">
        <w:rPr>
          <w:rFonts w:cstheme="minorHAnsi"/>
          <w:lang w:val="en-GB"/>
        </w:rPr>
        <w:t>Wurmnest</w:t>
      </w:r>
      <w:proofErr w:type="spellEnd"/>
      <w:r w:rsidRPr="00F54106">
        <w:rPr>
          <w:rFonts w:cstheme="minorHAnsi"/>
          <w:lang w:val="en-GB"/>
        </w:rPr>
        <w:t xml:space="preserve"> &amp; Thomas M. J. </w:t>
      </w:r>
      <w:proofErr w:type="spellStart"/>
      <w:r w:rsidRPr="00F54106">
        <w:rPr>
          <w:rFonts w:cstheme="minorHAnsi"/>
          <w:lang w:val="en-GB"/>
        </w:rPr>
        <w:t>Möllers</w:t>
      </w:r>
      <w:proofErr w:type="spellEnd"/>
      <w:r w:rsidRPr="00F54106">
        <w:rPr>
          <w:rFonts w:cstheme="minorHAnsi"/>
          <w:lang w:val="en-GB"/>
        </w:rPr>
        <w:t xml:space="preserve"> (eds), </w:t>
      </w:r>
      <w:r w:rsidRPr="00F54106">
        <w:rPr>
          <w:rFonts w:cstheme="minorHAnsi"/>
          <w:i/>
          <w:iCs/>
          <w:lang w:val="en-GB"/>
        </w:rPr>
        <w:t xml:space="preserve">Private Enforcement of European Competition and State Aid Law: Current Challenges and the Way Forward </w:t>
      </w:r>
      <w:r w:rsidRPr="00F54106">
        <w:rPr>
          <w:rFonts w:cstheme="minorHAnsi"/>
          <w:lang w:val="en-GB"/>
        </w:rPr>
        <w:t>(Chapter 5, Kluwer Law International 2020).</w:t>
      </w:r>
    </w:p>
    <w:p w14:paraId="6BF990C6" w14:textId="77777777" w:rsidR="00301D51" w:rsidRPr="00F54106" w:rsidRDefault="00301D51" w:rsidP="00301D51">
      <w:pPr>
        <w:spacing w:line="276" w:lineRule="auto"/>
        <w:rPr>
          <w:rFonts w:cstheme="minorHAnsi"/>
          <w:lang w:val="en-GB"/>
        </w:rPr>
      </w:pPr>
      <w:r w:rsidRPr="00F54106">
        <w:rPr>
          <w:rFonts w:cstheme="minorHAnsi"/>
          <w:lang w:val="en-GB"/>
        </w:rPr>
        <w:t>Norton Rose Fulbright, ‘Implementing the EU Damages Directive – will the UK retain its competitive advantage?’ (2016) Competition World &lt;https://www.nortonrosefulbright.com/-/media/files/nrf/nrfweb/imported/competition-world-q1-2016.pdf&gt; accessed 16 May 2022.</w:t>
      </w:r>
    </w:p>
    <w:p w14:paraId="6033F65C" w14:textId="77777777" w:rsidR="00301D51" w:rsidRPr="00F54106" w:rsidRDefault="00301D51" w:rsidP="00301D51">
      <w:pPr>
        <w:spacing w:line="276" w:lineRule="auto"/>
        <w:rPr>
          <w:rFonts w:cstheme="minorHAnsi"/>
          <w:lang w:val="en-GB"/>
        </w:rPr>
      </w:pPr>
      <w:r w:rsidRPr="00F54106">
        <w:rPr>
          <w:rFonts w:cstheme="minorHAnsi"/>
          <w:lang w:val="en-GB"/>
        </w:rPr>
        <w:t xml:space="preserve">Otto J, Hauser P and </w:t>
      </w:r>
      <w:proofErr w:type="spellStart"/>
      <w:r w:rsidRPr="00F54106">
        <w:rPr>
          <w:rFonts w:cstheme="minorHAnsi"/>
          <w:lang w:val="en-GB"/>
        </w:rPr>
        <w:t>Vande</w:t>
      </w:r>
      <w:proofErr w:type="spellEnd"/>
      <w:r w:rsidRPr="00F54106">
        <w:rPr>
          <w:rFonts w:cstheme="minorHAnsi"/>
          <w:lang w:val="en-GB"/>
        </w:rPr>
        <w:t xml:space="preserve"> </w:t>
      </w:r>
      <w:proofErr w:type="spellStart"/>
      <w:r w:rsidRPr="00F54106">
        <w:rPr>
          <w:rFonts w:cstheme="minorHAnsi"/>
          <w:lang w:val="en-GB"/>
        </w:rPr>
        <w:t>Walle</w:t>
      </w:r>
      <w:proofErr w:type="spellEnd"/>
      <w:r w:rsidRPr="00F54106">
        <w:rPr>
          <w:rFonts w:cstheme="minorHAnsi"/>
          <w:lang w:val="en-GB"/>
        </w:rPr>
        <w:t xml:space="preserve"> S, ‘Private enforcement of competition law in Germany and the Netherlands’ (2022) &lt;https://ssrn.com/abstract=4066102&gt; accessed 2 May 2022.</w:t>
      </w:r>
    </w:p>
    <w:p w14:paraId="447F2022"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Petrasincu</w:t>
      </w:r>
      <w:proofErr w:type="spellEnd"/>
      <w:r w:rsidRPr="00F54106">
        <w:rPr>
          <w:rFonts w:cstheme="minorHAnsi"/>
          <w:lang w:val="en-GB"/>
        </w:rPr>
        <w:t xml:space="preserve"> A, ‘</w:t>
      </w:r>
      <w:proofErr w:type="spellStart"/>
      <w:r w:rsidRPr="00F54106">
        <w:rPr>
          <w:rFonts w:cstheme="minorHAnsi"/>
          <w:lang w:val="en-GB"/>
        </w:rPr>
        <w:t>Kartellschadensersatz</w:t>
      </w:r>
      <w:proofErr w:type="spellEnd"/>
      <w:r w:rsidRPr="00F54106">
        <w:rPr>
          <w:rFonts w:cstheme="minorHAnsi"/>
          <w:lang w:val="en-GB"/>
        </w:rPr>
        <w:t xml:space="preserve"> </w:t>
      </w:r>
      <w:proofErr w:type="spellStart"/>
      <w:r w:rsidRPr="00F54106">
        <w:rPr>
          <w:rFonts w:cstheme="minorHAnsi"/>
          <w:lang w:val="en-GB"/>
        </w:rPr>
        <w:t>nach</w:t>
      </w:r>
      <w:proofErr w:type="spellEnd"/>
      <w:r w:rsidRPr="00F54106">
        <w:rPr>
          <w:rFonts w:cstheme="minorHAnsi"/>
          <w:lang w:val="en-GB"/>
        </w:rPr>
        <w:t xml:space="preserve"> </w:t>
      </w:r>
      <w:proofErr w:type="spellStart"/>
      <w:r w:rsidRPr="00F54106">
        <w:rPr>
          <w:rFonts w:cstheme="minorHAnsi"/>
          <w:lang w:val="en-GB"/>
        </w:rPr>
        <w:t>dem</w:t>
      </w:r>
      <w:proofErr w:type="spellEnd"/>
      <w:r w:rsidRPr="00F54106">
        <w:rPr>
          <w:rFonts w:cstheme="minorHAnsi"/>
          <w:lang w:val="en-GB"/>
        </w:rPr>
        <w:t xml:space="preserve"> </w:t>
      </w:r>
      <w:proofErr w:type="spellStart"/>
      <w:r w:rsidRPr="00F54106">
        <w:rPr>
          <w:rFonts w:cstheme="minorHAnsi"/>
          <w:lang w:val="en-GB"/>
        </w:rPr>
        <w:t>Referentenentwurf</w:t>
      </w:r>
      <w:proofErr w:type="spellEnd"/>
      <w:r w:rsidRPr="00F54106">
        <w:rPr>
          <w:rFonts w:cstheme="minorHAnsi"/>
          <w:lang w:val="en-GB"/>
        </w:rPr>
        <w:t xml:space="preserve"> der 9. GWB-Novelle’ (2016) 66 </w:t>
      </w:r>
      <w:proofErr w:type="spellStart"/>
      <w:r w:rsidRPr="00F54106">
        <w:rPr>
          <w:rFonts w:cstheme="minorHAnsi"/>
          <w:lang w:val="en-GB"/>
        </w:rPr>
        <w:t>WuW</w:t>
      </w:r>
      <w:proofErr w:type="spellEnd"/>
      <w:r w:rsidRPr="00F54106">
        <w:rPr>
          <w:rFonts w:cstheme="minorHAnsi"/>
          <w:lang w:val="en-GB"/>
        </w:rPr>
        <w:t xml:space="preserve"> 330.</w:t>
      </w:r>
    </w:p>
    <w:p w14:paraId="5C0083BA"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Petrasincu</w:t>
      </w:r>
      <w:proofErr w:type="spellEnd"/>
      <w:r w:rsidRPr="00F54106">
        <w:rPr>
          <w:rFonts w:cstheme="minorHAnsi"/>
          <w:lang w:val="en-GB"/>
        </w:rPr>
        <w:t xml:space="preserve"> A, 'Private Antitrust Enforcement in Germany' (2018) 4 CLPD 14.</w:t>
      </w:r>
    </w:p>
    <w:p w14:paraId="1ACA6C6F"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Pertoldi</w:t>
      </w:r>
      <w:proofErr w:type="spellEnd"/>
      <w:r w:rsidRPr="00F54106">
        <w:rPr>
          <w:rFonts w:cstheme="minorHAnsi"/>
          <w:lang w:val="en-GB"/>
        </w:rPr>
        <w:t xml:space="preserve"> A and McIntosh M, ‘High Court finds “control” for the purposes of disclosure includes third party documents that the litigating party can access under a standing consent short of an enforceable right’ (Herbert Smith Freehills, Litigation Notes, 11 March 2020)  &lt;https://hsfnotes.com/litigation/2020/03/11/high-court-finds-control-for-the-purposes-of-disclosure-includes-third-party-documents-that-the-litigating-party-can-access-under-a-standing-consent-short-of-an-enforceable-right/&gt; accessed 18 May 2022.</w:t>
      </w:r>
    </w:p>
    <w:p w14:paraId="62AEAD72" w14:textId="77777777" w:rsidR="00301D51" w:rsidRPr="00F54106" w:rsidRDefault="00301D51" w:rsidP="00301D51">
      <w:pPr>
        <w:spacing w:line="276" w:lineRule="auto"/>
        <w:rPr>
          <w:rFonts w:cstheme="minorHAnsi"/>
          <w:lang w:val="en-GB"/>
        </w:rPr>
      </w:pPr>
      <w:r w:rsidRPr="00F54106">
        <w:rPr>
          <w:rFonts w:cstheme="minorHAnsi"/>
          <w:lang w:val="en-GB"/>
        </w:rPr>
        <w:t xml:space="preserve">Peyer S, ‘Chapter 5: Private antitrust enforcement in England and Wales after the EU Damages Directive: where are we heading?’ in Pier L. </w:t>
      </w:r>
      <w:proofErr w:type="spellStart"/>
      <w:r w:rsidRPr="00F54106">
        <w:rPr>
          <w:rFonts w:cstheme="minorHAnsi"/>
          <w:lang w:val="en-GB"/>
        </w:rPr>
        <w:t>Parcu</w:t>
      </w:r>
      <w:proofErr w:type="spellEnd"/>
      <w:r w:rsidRPr="00F54106">
        <w:rPr>
          <w:rFonts w:cstheme="minorHAnsi"/>
          <w:lang w:val="en-GB"/>
        </w:rPr>
        <w:t xml:space="preserve">, Giorgio Monti &amp; Marco </w:t>
      </w:r>
      <w:proofErr w:type="spellStart"/>
      <w:r w:rsidRPr="00F54106">
        <w:rPr>
          <w:rFonts w:cstheme="minorHAnsi"/>
          <w:lang w:val="en-GB"/>
        </w:rPr>
        <w:t>Botta</w:t>
      </w:r>
      <w:proofErr w:type="spellEnd"/>
      <w:r w:rsidRPr="00F54106">
        <w:rPr>
          <w:rFonts w:cstheme="minorHAnsi"/>
          <w:lang w:val="en-GB"/>
        </w:rPr>
        <w:t xml:space="preserve"> (eds), </w:t>
      </w:r>
      <w:r w:rsidRPr="00F54106">
        <w:rPr>
          <w:rFonts w:cstheme="minorHAnsi"/>
          <w:i/>
          <w:iCs/>
          <w:lang w:val="en-GB"/>
        </w:rPr>
        <w:t>Private Enforcement of EU Competition Law : The Impact of the Damages Directive</w:t>
      </w:r>
      <w:r w:rsidRPr="00F54106">
        <w:rPr>
          <w:rFonts w:cstheme="minorHAnsi"/>
          <w:lang w:val="en-GB"/>
        </w:rPr>
        <w:t xml:space="preserve"> (Chapter 5, Edward Elgar Publishing Limited, 2018).</w:t>
      </w:r>
    </w:p>
    <w:p w14:paraId="6240E76C" w14:textId="77777777" w:rsidR="00301D51" w:rsidRPr="00F54106" w:rsidRDefault="00301D51" w:rsidP="00301D51">
      <w:pPr>
        <w:spacing w:line="276" w:lineRule="auto"/>
        <w:rPr>
          <w:rFonts w:cstheme="minorHAnsi"/>
          <w:lang w:val="en-GB"/>
        </w:rPr>
      </w:pPr>
      <w:bookmarkStart w:id="183" w:name="_Hlk107514916"/>
      <w:proofErr w:type="spellStart"/>
      <w:r w:rsidRPr="00F54106">
        <w:rPr>
          <w:rFonts w:cstheme="minorHAnsi"/>
          <w:lang w:val="en-GB"/>
        </w:rPr>
        <w:t>Rengier</w:t>
      </w:r>
      <w:proofErr w:type="spellEnd"/>
      <w:r w:rsidRPr="00F54106">
        <w:rPr>
          <w:rFonts w:cstheme="minorHAnsi"/>
          <w:lang w:val="en-GB"/>
        </w:rPr>
        <w:t xml:space="preserve"> L, ‘Cartel Damages Actions in German Courts: What the Statistics Tell Us’ (2020) 11 Journal of European Competition Law and Practice 72.</w:t>
      </w:r>
      <w:bookmarkEnd w:id="183"/>
    </w:p>
    <w:p w14:paraId="6EFB017C" w14:textId="77777777" w:rsidR="00301D51" w:rsidRPr="00F54106" w:rsidRDefault="00301D51" w:rsidP="00301D51">
      <w:pPr>
        <w:spacing w:line="276" w:lineRule="auto"/>
        <w:rPr>
          <w:rFonts w:cstheme="minorHAnsi"/>
          <w:lang w:val="en-GB"/>
        </w:rPr>
      </w:pPr>
      <w:r w:rsidRPr="00F54106">
        <w:rPr>
          <w:rFonts w:cstheme="minorHAnsi"/>
          <w:lang w:val="en-GB"/>
        </w:rPr>
        <w:lastRenderedPageBreak/>
        <w:t xml:space="preserve">Rodger B, ‘Private Enforcement in the UK: Effective Redress for Consumers?’ in B. Rodger, P. Whelan and A. MacCulloch (eds), </w:t>
      </w:r>
      <w:r w:rsidRPr="00F54106">
        <w:rPr>
          <w:rFonts w:cstheme="minorHAnsi"/>
          <w:i/>
          <w:iCs/>
          <w:lang w:val="en-GB"/>
        </w:rPr>
        <w:t>The UK Competition Regime: A Twenty-Year Retrospective</w:t>
      </w:r>
      <w:r w:rsidRPr="00F54106">
        <w:rPr>
          <w:rFonts w:cstheme="minorHAnsi"/>
          <w:lang w:val="en-GB"/>
        </w:rPr>
        <w:t xml:space="preserve"> (Chapter 12, Oxford University Press 2021, forthcoming).</w:t>
      </w:r>
    </w:p>
    <w:p w14:paraId="2E74D76D" w14:textId="77777777" w:rsidR="00301D51" w:rsidRPr="00F54106" w:rsidRDefault="00301D51" w:rsidP="00301D51">
      <w:pPr>
        <w:spacing w:line="276" w:lineRule="auto"/>
        <w:rPr>
          <w:rFonts w:cstheme="minorHAnsi"/>
          <w:lang w:val="en-GB"/>
        </w:rPr>
      </w:pPr>
      <w:r w:rsidRPr="00F54106">
        <w:rPr>
          <w:rFonts w:cstheme="minorHAnsi"/>
          <w:lang w:val="en-GB"/>
        </w:rPr>
        <w:t xml:space="preserve">Rodger B, ‘United Kingdom’ in Barry Rodger, Francisco Marcos and Miguel S. Ferro (eds), </w:t>
      </w:r>
      <w:r w:rsidRPr="00F54106">
        <w:rPr>
          <w:rFonts w:cstheme="minorHAnsi"/>
          <w:i/>
          <w:iCs/>
          <w:lang w:val="en-GB"/>
        </w:rPr>
        <w:t>The EU Antitrust Damages Directive: Transposition in the Member States</w:t>
      </w:r>
      <w:r w:rsidRPr="00F54106">
        <w:rPr>
          <w:rFonts w:cstheme="minorHAnsi"/>
          <w:lang w:val="en-GB"/>
        </w:rPr>
        <w:t xml:space="preserve"> (Chapter 18, Oxford University Press 2019).</w:t>
      </w:r>
    </w:p>
    <w:p w14:paraId="5379414B"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Soyez</w:t>
      </w:r>
      <w:proofErr w:type="spellEnd"/>
      <w:r w:rsidRPr="00F54106">
        <w:rPr>
          <w:rFonts w:cstheme="minorHAnsi"/>
          <w:lang w:val="en-GB"/>
        </w:rPr>
        <w:t xml:space="preserve"> V, ‘Germany: German Federal Supreme Court delivers further claimant-friendly verdicts’ (2022) 15 GCLR 3.</w:t>
      </w:r>
    </w:p>
    <w:p w14:paraId="6DCACC22"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Soyez</w:t>
      </w:r>
      <w:proofErr w:type="spellEnd"/>
      <w:r w:rsidRPr="00F54106">
        <w:rPr>
          <w:rFonts w:cstheme="minorHAnsi"/>
          <w:lang w:val="en-GB"/>
        </w:rPr>
        <w:t xml:space="preserve"> V, ‘Germany: implementation of the EU Damages Directive in Germany’ (2017) 10 GCLR 37.</w:t>
      </w:r>
    </w:p>
    <w:p w14:paraId="18063827"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Soyez</w:t>
      </w:r>
      <w:proofErr w:type="spellEnd"/>
      <w:r w:rsidRPr="00F54106">
        <w:rPr>
          <w:rFonts w:cstheme="minorHAnsi"/>
          <w:lang w:val="en-GB"/>
        </w:rPr>
        <w:t xml:space="preserve"> V, ‘Germany: "Rail Cartel II" - German Federal Supreme Court further strengthens private enforcement in Germany’ (2020) 13 GCLR 31.</w:t>
      </w:r>
    </w:p>
    <w:p w14:paraId="41A4F720"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Stait</w:t>
      </w:r>
      <w:proofErr w:type="spellEnd"/>
      <w:r w:rsidRPr="00F54106">
        <w:rPr>
          <w:rFonts w:cstheme="minorHAnsi"/>
          <w:lang w:val="en-GB"/>
        </w:rPr>
        <w:t xml:space="preserve"> J and others, ‘The Private Competition Enforcement Review: United Kingdom’ in Ilene </w:t>
      </w:r>
      <w:proofErr w:type="spellStart"/>
      <w:r w:rsidRPr="00F54106">
        <w:rPr>
          <w:rFonts w:cstheme="minorHAnsi"/>
          <w:lang w:val="en-GB"/>
        </w:rPr>
        <w:t>Knable</w:t>
      </w:r>
      <w:proofErr w:type="spellEnd"/>
      <w:r w:rsidRPr="00F54106">
        <w:rPr>
          <w:rFonts w:cstheme="minorHAnsi"/>
          <w:lang w:val="en-GB"/>
        </w:rPr>
        <w:t xml:space="preserve"> Gotts and Kevin S. Schwartz (eds), </w:t>
      </w:r>
      <w:r w:rsidRPr="00F54106">
        <w:rPr>
          <w:rFonts w:cstheme="minorHAnsi"/>
          <w:i/>
          <w:iCs/>
          <w:lang w:val="en-GB"/>
        </w:rPr>
        <w:t xml:space="preserve">The Private Competition Enforcement Review </w:t>
      </w:r>
      <w:r w:rsidRPr="00F54106">
        <w:rPr>
          <w:rFonts w:cstheme="minorHAnsi"/>
          <w:lang w:val="en-GB"/>
        </w:rPr>
        <w:t>(15</w:t>
      </w:r>
      <w:r w:rsidRPr="00F54106">
        <w:rPr>
          <w:rFonts w:cstheme="minorHAnsi"/>
          <w:vertAlign w:val="superscript"/>
          <w:lang w:val="en-GB"/>
        </w:rPr>
        <w:t>th</w:t>
      </w:r>
      <w:r w:rsidRPr="00F54106">
        <w:rPr>
          <w:rFonts w:cstheme="minorHAnsi"/>
          <w:lang w:val="en-GB"/>
        </w:rPr>
        <w:t xml:space="preserve"> edition, The Law Reviews 2022).</w:t>
      </w:r>
    </w:p>
    <w:p w14:paraId="70A960FC" w14:textId="77777777" w:rsidR="00301D51" w:rsidRPr="00F54106" w:rsidRDefault="00301D51" w:rsidP="00301D51">
      <w:pPr>
        <w:spacing w:line="276" w:lineRule="auto"/>
        <w:rPr>
          <w:rFonts w:cstheme="minorHAnsi"/>
          <w:lang w:val="en-GB"/>
        </w:rPr>
      </w:pPr>
      <w:r w:rsidRPr="00F54106">
        <w:rPr>
          <w:rFonts w:cstheme="minorHAnsi"/>
          <w:lang w:val="en-GB"/>
        </w:rPr>
        <w:t>Stirling G, ‘Company group liability and extra-territorial jurisdiction: the considerable post-Brexit obstacles to the UK as a major forum for competition law damages actions’ (2021) 14 GCLR 27.</w:t>
      </w:r>
    </w:p>
    <w:p w14:paraId="2CFAA600" w14:textId="77777777" w:rsidR="00301D51" w:rsidRPr="00F54106" w:rsidRDefault="00301D51" w:rsidP="00301D51">
      <w:pPr>
        <w:spacing w:line="276" w:lineRule="auto"/>
        <w:rPr>
          <w:rFonts w:cstheme="minorHAnsi"/>
          <w:lang w:val="en-GB"/>
        </w:rPr>
      </w:pPr>
      <w:r w:rsidRPr="00F54106">
        <w:rPr>
          <w:rFonts w:cstheme="minorHAnsi"/>
          <w:lang w:val="en-GB"/>
        </w:rPr>
        <w:t>Telfer RTC, ‘Forum shopping and the private enforcement of EU competition law: is forum shopping a dead letter?’ (PhD thesis, University of Glasgow 2017).</w:t>
      </w:r>
    </w:p>
    <w:p w14:paraId="26BF0A9E"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Tkacikova</w:t>
      </w:r>
      <w:proofErr w:type="spellEnd"/>
      <w:r w:rsidRPr="00F54106">
        <w:rPr>
          <w:rFonts w:cstheme="minorHAnsi"/>
          <w:lang w:val="en-GB"/>
        </w:rPr>
        <w:t xml:space="preserve"> A and </w:t>
      </w:r>
      <w:proofErr w:type="spellStart"/>
      <w:r w:rsidRPr="00F54106">
        <w:rPr>
          <w:rFonts w:cstheme="minorHAnsi"/>
          <w:lang w:val="en-GB"/>
        </w:rPr>
        <w:t>Krauskopf</w:t>
      </w:r>
      <w:proofErr w:type="spellEnd"/>
      <w:r w:rsidRPr="00F54106">
        <w:rPr>
          <w:rFonts w:cstheme="minorHAnsi"/>
          <w:lang w:val="en-GB"/>
        </w:rPr>
        <w:t xml:space="preserve"> PL, Competition Law Violations and Private Enforcement: Forum Shopping Strategies (2011) 4 GCLR 26.</w:t>
      </w:r>
    </w:p>
    <w:p w14:paraId="0A072738"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Vande</w:t>
      </w:r>
      <w:proofErr w:type="spellEnd"/>
      <w:r w:rsidRPr="00F54106">
        <w:rPr>
          <w:rFonts w:cstheme="minorHAnsi"/>
          <w:lang w:val="en-GB"/>
        </w:rPr>
        <w:t xml:space="preserve"> </w:t>
      </w:r>
      <w:proofErr w:type="spellStart"/>
      <w:r w:rsidRPr="00F54106">
        <w:rPr>
          <w:rFonts w:cstheme="minorHAnsi"/>
          <w:lang w:val="en-GB"/>
        </w:rPr>
        <w:t>Walle</w:t>
      </w:r>
      <w:proofErr w:type="spellEnd"/>
      <w:r w:rsidRPr="00F54106">
        <w:rPr>
          <w:rFonts w:cstheme="minorHAnsi"/>
          <w:lang w:val="en-GB"/>
        </w:rPr>
        <w:t xml:space="preserve"> S, ‘Chapter 6: Private antitrust law in Belgium and the Netherlands- is there a race to attract antitrust damages actions?’ in Pier L. </w:t>
      </w:r>
      <w:proofErr w:type="spellStart"/>
      <w:r w:rsidRPr="00F54106">
        <w:rPr>
          <w:rFonts w:cstheme="minorHAnsi"/>
          <w:lang w:val="en-GB"/>
        </w:rPr>
        <w:t>Parcu</w:t>
      </w:r>
      <w:proofErr w:type="spellEnd"/>
      <w:r w:rsidRPr="00F54106">
        <w:rPr>
          <w:rFonts w:cstheme="minorHAnsi"/>
          <w:lang w:val="en-GB"/>
        </w:rPr>
        <w:t xml:space="preserve">, Giorgio Monti &amp; Marco </w:t>
      </w:r>
      <w:proofErr w:type="spellStart"/>
      <w:r w:rsidRPr="00F54106">
        <w:rPr>
          <w:rFonts w:cstheme="minorHAnsi"/>
          <w:lang w:val="en-GB"/>
        </w:rPr>
        <w:t>Botta</w:t>
      </w:r>
      <w:proofErr w:type="spellEnd"/>
      <w:r w:rsidRPr="00F54106">
        <w:rPr>
          <w:rFonts w:cstheme="minorHAnsi"/>
          <w:lang w:val="en-GB"/>
        </w:rPr>
        <w:t xml:space="preserve"> (eds), </w:t>
      </w:r>
      <w:r w:rsidRPr="00F54106">
        <w:rPr>
          <w:rFonts w:cstheme="minorHAnsi"/>
          <w:i/>
          <w:iCs/>
          <w:lang w:val="en-GB"/>
        </w:rPr>
        <w:t>Private Enforcement of EU Competition Law : The Impact of the Damages Directive</w:t>
      </w:r>
      <w:r w:rsidRPr="00F54106">
        <w:rPr>
          <w:rFonts w:cstheme="minorHAnsi"/>
          <w:lang w:val="en-GB"/>
        </w:rPr>
        <w:t xml:space="preserve"> (Chapter 6, Edward Elgar Publishing Limited, 2018).</w:t>
      </w:r>
    </w:p>
    <w:p w14:paraId="4F783E53" w14:textId="77777777" w:rsidR="00301D51" w:rsidRPr="00F54106" w:rsidRDefault="00301D51" w:rsidP="00301D51">
      <w:pPr>
        <w:spacing w:line="276" w:lineRule="auto"/>
        <w:rPr>
          <w:rFonts w:cstheme="minorHAnsi"/>
          <w:lang w:val="en-GB"/>
        </w:rPr>
      </w:pPr>
      <w:r w:rsidRPr="00F54106">
        <w:rPr>
          <w:rFonts w:cstheme="minorHAnsi"/>
          <w:lang w:val="en-GB"/>
        </w:rPr>
        <w:t>Vermeulen S, ‘</w:t>
      </w:r>
      <w:proofErr w:type="spellStart"/>
      <w:r w:rsidRPr="00F54106">
        <w:rPr>
          <w:rFonts w:cstheme="minorHAnsi"/>
          <w:lang w:val="en-GB"/>
        </w:rPr>
        <w:t>Vrees</w:t>
      </w:r>
      <w:proofErr w:type="spellEnd"/>
      <w:r w:rsidRPr="00F54106">
        <w:rPr>
          <w:rFonts w:cstheme="minorHAnsi"/>
          <w:lang w:val="en-GB"/>
        </w:rPr>
        <w:t xml:space="preserve"> </w:t>
      </w:r>
      <w:proofErr w:type="spellStart"/>
      <w:r w:rsidRPr="00F54106">
        <w:rPr>
          <w:rFonts w:cstheme="minorHAnsi"/>
          <w:lang w:val="en-GB"/>
        </w:rPr>
        <w:t>voor</w:t>
      </w:r>
      <w:proofErr w:type="spellEnd"/>
      <w:r w:rsidRPr="00F54106">
        <w:rPr>
          <w:rFonts w:cstheme="minorHAnsi"/>
          <w:lang w:val="en-GB"/>
        </w:rPr>
        <w:t xml:space="preserve"> </w:t>
      </w:r>
      <w:proofErr w:type="spellStart"/>
      <w:r w:rsidRPr="00F54106">
        <w:rPr>
          <w:rFonts w:cstheme="minorHAnsi"/>
          <w:lang w:val="en-GB"/>
        </w:rPr>
        <w:t>overbelasting</w:t>
      </w:r>
      <w:proofErr w:type="spellEnd"/>
      <w:r w:rsidRPr="00F54106">
        <w:rPr>
          <w:rFonts w:cstheme="minorHAnsi"/>
          <w:lang w:val="en-GB"/>
        </w:rPr>
        <w:t xml:space="preserve"> </w:t>
      </w:r>
      <w:proofErr w:type="spellStart"/>
      <w:r w:rsidRPr="00F54106">
        <w:rPr>
          <w:rFonts w:cstheme="minorHAnsi"/>
          <w:lang w:val="en-GB"/>
        </w:rPr>
        <w:t>rechtssysteem</w:t>
      </w:r>
      <w:proofErr w:type="spellEnd"/>
      <w:r w:rsidRPr="00F54106">
        <w:rPr>
          <w:rFonts w:cstheme="minorHAnsi"/>
          <w:lang w:val="en-GB"/>
        </w:rPr>
        <w:t xml:space="preserve"> door </w:t>
      </w:r>
      <w:proofErr w:type="spellStart"/>
      <w:r w:rsidRPr="00F54106">
        <w:rPr>
          <w:rFonts w:cstheme="minorHAnsi"/>
          <w:lang w:val="en-GB"/>
        </w:rPr>
        <w:t>hausse</w:t>
      </w:r>
      <w:proofErr w:type="spellEnd"/>
      <w:r w:rsidRPr="00F54106">
        <w:rPr>
          <w:rFonts w:cstheme="minorHAnsi"/>
          <w:lang w:val="en-GB"/>
        </w:rPr>
        <w:t xml:space="preserve"> </w:t>
      </w:r>
      <w:proofErr w:type="spellStart"/>
      <w:r w:rsidRPr="00F54106">
        <w:rPr>
          <w:rFonts w:cstheme="minorHAnsi"/>
          <w:lang w:val="en-GB"/>
        </w:rPr>
        <w:t>aan</w:t>
      </w:r>
      <w:proofErr w:type="spellEnd"/>
      <w:r w:rsidRPr="00F54106">
        <w:rPr>
          <w:rFonts w:cstheme="minorHAnsi"/>
          <w:lang w:val="en-GB"/>
        </w:rPr>
        <w:t xml:space="preserve"> </w:t>
      </w:r>
      <w:proofErr w:type="spellStart"/>
      <w:r w:rsidRPr="00F54106">
        <w:rPr>
          <w:rFonts w:cstheme="minorHAnsi"/>
          <w:lang w:val="en-GB"/>
        </w:rPr>
        <w:t>massaclaims</w:t>
      </w:r>
      <w:proofErr w:type="spellEnd"/>
      <w:r w:rsidRPr="00F54106">
        <w:rPr>
          <w:rFonts w:cstheme="minorHAnsi"/>
          <w:lang w:val="en-GB"/>
        </w:rPr>
        <w:t xml:space="preserve"> van </w:t>
      </w:r>
      <w:proofErr w:type="spellStart"/>
      <w:r w:rsidRPr="00F54106">
        <w:rPr>
          <w:rFonts w:cstheme="minorHAnsi"/>
          <w:lang w:val="en-GB"/>
        </w:rPr>
        <w:t>buitenlandse</w:t>
      </w:r>
      <w:proofErr w:type="spellEnd"/>
      <w:r w:rsidRPr="00F54106">
        <w:rPr>
          <w:rFonts w:cstheme="minorHAnsi"/>
          <w:lang w:val="en-GB"/>
        </w:rPr>
        <w:t xml:space="preserve"> </w:t>
      </w:r>
      <w:proofErr w:type="spellStart"/>
      <w:r w:rsidRPr="00F54106">
        <w:rPr>
          <w:rFonts w:cstheme="minorHAnsi"/>
          <w:lang w:val="en-GB"/>
        </w:rPr>
        <w:t>investeerders</w:t>
      </w:r>
      <w:proofErr w:type="spellEnd"/>
      <w:r w:rsidRPr="00F54106">
        <w:rPr>
          <w:rFonts w:cstheme="minorHAnsi"/>
          <w:lang w:val="en-GB"/>
        </w:rPr>
        <w:t xml:space="preserve">’ </w:t>
      </w:r>
      <w:r w:rsidRPr="00F54106">
        <w:rPr>
          <w:rFonts w:cstheme="minorHAnsi"/>
          <w:i/>
          <w:iCs/>
          <w:lang w:val="en-GB"/>
        </w:rPr>
        <w:t>NRC</w:t>
      </w:r>
      <w:r w:rsidRPr="00F54106">
        <w:rPr>
          <w:rFonts w:cstheme="minorHAnsi"/>
          <w:lang w:val="en-GB"/>
        </w:rPr>
        <w:t xml:space="preserve"> (16 February 2022) &lt;https://www.nrc.nl/nieuws/2022/02/16/buitenlandse-investeerders-veroorzaken-hausse-aan-massaclaims-vrees-voor-overbelasting-rechtssysteem-2-a4090501&gt; accessed 3 March 2022.</w:t>
      </w:r>
    </w:p>
    <w:p w14:paraId="52FBCBB8" w14:textId="77777777" w:rsidR="00301D51" w:rsidRPr="00F54106" w:rsidRDefault="00301D51" w:rsidP="00301D51">
      <w:pPr>
        <w:spacing w:line="276" w:lineRule="auto"/>
        <w:rPr>
          <w:rFonts w:cstheme="minorHAnsi"/>
          <w:lang w:val="en-GB"/>
        </w:rPr>
      </w:pPr>
      <w:r w:rsidRPr="00F54106">
        <w:rPr>
          <w:rFonts w:cstheme="minorHAnsi"/>
          <w:lang w:val="en-GB"/>
        </w:rPr>
        <w:t xml:space="preserve">Wagner-von Papp F, Chapter 8: Private Enforcement in the United Kingdom’ in Ferdinand </w:t>
      </w:r>
      <w:proofErr w:type="spellStart"/>
      <w:r w:rsidRPr="00F54106">
        <w:rPr>
          <w:rFonts w:cstheme="minorHAnsi"/>
          <w:lang w:val="en-GB"/>
        </w:rPr>
        <w:t>Wollenschläger</w:t>
      </w:r>
      <w:proofErr w:type="spellEnd"/>
      <w:r w:rsidRPr="00F54106">
        <w:rPr>
          <w:rFonts w:cstheme="minorHAnsi"/>
          <w:lang w:val="en-GB"/>
        </w:rPr>
        <w:t xml:space="preserve">, Wolfgang </w:t>
      </w:r>
      <w:proofErr w:type="spellStart"/>
      <w:r w:rsidRPr="00F54106">
        <w:rPr>
          <w:rFonts w:cstheme="minorHAnsi"/>
          <w:lang w:val="en-GB"/>
        </w:rPr>
        <w:t>Wurmnest</w:t>
      </w:r>
      <w:proofErr w:type="spellEnd"/>
      <w:r w:rsidRPr="00F54106">
        <w:rPr>
          <w:rFonts w:cstheme="minorHAnsi"/>
          <w:lang w:val="en-GB"/>
        </w:rPr>
        <w:t xml:space="preserve"> &amp; Thomas M. J. </w:t>
      </w:r>
      <w:proofErr w:type="spellStart"/>
      <w:r w:rsidRPr="00F54106">
        <w:rPr>
          <w:rFonts w:cstheme="minorHAnsi"/>
          <w:lang w:val="en-GB"/>
        </w:rPr>
        <w:t>Möllers</w:t>
      </w:r>
      <w:proofErr w:type="spellEnd"/>
      <w:r w:rsidRPr="00F54106">
        <w:rPr>
          <w:rFonts w:cstheme="minorHAnsi"/>
          <w:lang w:val="en-GB"/>
        </w:rPr>
        <w:t xml:space="preserve"> (eds), </w:t>
      </w:r>
      <w:r w:rsidRPr="00F54106">
        <w:rPr>
          <w:rFonts w:cstheme="minorHAnsi"/>
          <w:i/>
          <w:iCs/>
          <w:lang w:val="en-GB"/>
        </w:rPr>
        <w:t xml:space="preserve">Private Enforcement of European Competition and State Aid Law: Current Challenges and the Way Forward </w:t>
      </w:r>
      <w:r w:rsidRPr="00F54106">
        <w:rPr>
          <w:rFonts w:cstheme="minorHAnsi"/>
          <w:lang w:val="en-GB"/>
        </w:rPr>
        <w:t>(Chapter 8, Kluwer Law International 2020).</w:t>
      </w:r>
    </w:p>
    <w:p w14:paraId="20C33C52"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Weitbrecht</w:t>
      </w:r>
      <w:proofErr w:type="spellEnd"/>
      <w:r w:rsidRPr="00F54106">
        <w:rPr>
          <w:rFonts w:cstheme="minorHAnsi"/>
          <w:lang w:val="en-GB"/>
        </w:rPr>
        <w:t xml:space="preserve"> A, ‘Coming of age: private enforcement in Germany’ (2019) 12 GCLR 51.</w:t>
      </w:r>
    </w:p>
    <w:p w14:paraId="7CEDCD88"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lastRenderedPageBreak/>
        <w:t>Wesseling</w:t>
      </w:r>
      <w:proofErr w:type="spellEnd"/>
      <w:r w:rsidRPr="00F54106">
        <w:rPr>
          <w:rFonts w:cstheme="minorHAnsi"/>
          <w:lang w:val="en-GB"/>
        </w:rPr>
        <w:t xml:space="preserve"> R and </w:t>
      </w:r>
      <w:proofErr w:type="spellStart"/>
      <w:r w:rsidRPr="00F54106">
        <w:rPr>
          <w:rFonts w:cstheme="minorHAnsi"/>
          <w:lang w:val="en-GB"/>
        </w:rPr>
        <w:t>Bredenoord-Spoek</w:t>
      </w:r>
      <w:proofErr w:type="spellEnd"/>
      <w:r w:rsidRPr="00F54106">
        <w:rPr>
          <w:rFonts w:cstheme="minorHAnsi"/>
          <w:lang w:val="en-GB"/>
        </w:rPr>
        <w:t xml:space="preserve"> M, ‘Jurisdiction issues in civil litigation cases in the European union: Dutch courts readily assume jurisdiction on basis of EU framework’ in James Keyte (ed), </w:t>
      </w:r>
      <w:r w:rsidRPr="00F54106">
        <w:rPr>
          <w:rFonts w:cstheme="minorHAnsi"/>
          <w:i/>
          <w:iCs/>
          <w:lang w:val="en-GB"/>
        </w:rPr>
        <w:t>Annual Proceedings of the Fordham Competition Law Institute</w:t>
      </w:r>
      <w:r w:rsidRPr="00F54106">
        <w:rPr>
          <w:rFonts w:cstheme="minorHAnsi"/>
          <w:lang w:val="en-GB"/>
        </w:rPr>
        <w:t xml:space="preserve"> (Chapter 12, Juris Publishing, 2016).</w:t>
      </w:r>
    </w:p>
    <w:p w14:paraId="49F2E001"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Wesseling</w:t>
      </w:r>
      <w:proofErr w:type="spellEnd"/>
      <w:r w:rsidRPr="00F54106">
        <w:rPr>
          <w:rFonts w:cstheme="minorHAnsi"/>
          <w:lang w:val="en-GB"/>
        </w:rPr>
        <w:t xml:space="preserve"> R and </w:t>
      </w:r>
      <w:proofErr w:type="spellStart"/>
      <w:r w:rsidRPr="00F54106">
        <w:rPr>
          <w:rFonts w:cstheme="minorHAnsi"/>
          <w:lang w:val="en-GB"/>
        </w:rPr>
        <w:t>Elemans</w:t>
      </w:r>
      <w:proofErr w:type="spellEnd"/>
      <w:r w:rsidRPr="00F54106">
        <w:rPr>
          <w:rFonts w:cstheme="minorHAnsi"/>
          <w:lang w:val="en-GB"/>
        </w:rPr>
        <w:t xml:space="preserve"> R, ‘Cartel damages cases in the Netherlands’ (2018) 4 CLPD 23.</w:t>
      </w:r>
    </w:p>
    <w:p w14:paraId="05885B1C" w14:textId="77777777" w:rsidR="00301D51" w:rsidRPr="00F54106" w:rsidRDefault="00301D51" w:rsidP="00301D51">
      <w:pPr>
        <w:spacing w:line="276" w:lineRule="auto"/>
        <w:rPr>
          <w:rFonts w:cstheme="minorHAnsi"/>
          <w:lang w:val="en-GB"/>
        </w:rPr>
      </w:pPr>
      <w:proofErr w:type="spellStart"/>
      <w:r w:rsidRPr="00F54106">
        <w:rPr>
          <w:rFonts w:cstheme="minorHAnsi"/>
          <w:lang w:val="en-GB"/>
        </w:rPr>
        <w:t>Wilderspin</w:t>
      </w:r>
      <w:proofErr w:type="spellEnd"/>
      <w:r w:rsidRPr="00F54106">
        <w:rPr>
          <w:rFonts w:cstheme="minorHAnsi"/>
          <w:lang w:val="en-GB"/>
        </w:rPr>
        <w:t xml:space="preserve"> M and </w:t>
      </w:r>
      <w:proofErr w:type="spellStart"/>
      <w:r w:rsidRPr="00F54106">
        <w:rPr>
          <w:rFonts w:cstheme="minorHAnsi"/>
          <w:lang w:val="en-GB"/>
        </w:rPr>
        <w:t>Vysoka</w:t>
      </w:r>
      <w:proofErr w:type="spellEnd"/>
      <w:r w:rsidRPr="00F54106">
        <w:rPr>
          <w:rFonts w:cstheme="minorHAnsi"/>
          <w:lang w:val="en-GB"/>
        </w:rPr>
        <w:t xml:space="preserve"> L, ‘The 2019 Hague Judgments Convention through European lenses’ (2020) 1 NIPR &lt;https://www.nipr-online.eu/pdf/2020-138.pdf&gt; accessed 20 May 2022.</w:t>
      </w:r>
    </w:p>
    <w:p w14:paraId="5B1C055B" w14:textId="77777777" w:rsidR="00301D51" w:rsidRPr="00F54106" w:rsidRDefault="00301D51" w:rsidP="00301D51">
      <w:pPr>
        <w:spacing w:line="276" w:lineRule="auto"/>
        <w:rPr>
          <w:rFonts w:cstheme="minorHAnsi"/>
          <w:lang w:val="en-GB"/>
        </w:rPr>
      </w:pPr>
      <w:r w:rsidRPr="00F54106">
        <w:rPr>
          <w:rFonts w:cstheme="minorHAnsi"/>
          <w:lang w:val="en-GB"/>
        </w:rPr>
        <w:t>Wolski D, ‘Can an Ideal Court Model in Private Antitrust Enforcement Be Established?’ (2018) 11 YARS 115.</w:t>
      </w:r>
    </w:p>
    <w:p w14:paraId="04AB60D4" w14:textId="77777777" w:rsidR="00DF7533" w:rsidRPr="00F54106" w:rsidRDefault="00DF7533" w:rsidP="00DF7533">
      <w:pPr>
        <w:rPr>
          <w:lang w:val="en-GB"/>
        </w:rPr>
      </w:pPr>
    </w:p>
    <w:sectPr w:rsidR="00DF7533" w:rsidRPr="00F54106" w:rsidSect="003F3F4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375B" w14:textId="77777777" w:rsidR="006A1686" w:rsidRDefault="006A1686" w:rsidP="00317A51">
      <w:pPr>
        <w:spacing w:after="0" w:line="240" w:lineRule="auto"/>
      </w:pPr>
      <w:r>
        <w:separator/>
      </w:r>
    </w:p>
  </w:endnote>
  <w:endnote w:type="continuationSeparator" w:id="0">
    <w:p w14:paraId="67FA335B" w14:textId="77777777" w:rsidR="006A1686" w:rsidRDefault="006A1686" w:rsidP="0031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37723"/>
      <w:docPartObj>
        <w:docPartGallery w:val="Page Numbers (Bottom of Page)"/>
        <w:docPartUnique/>
      </w:docPartObj>
    </w:sdtPr>
    <w:sdtEndPr>
      <w:rPr>
        <w:noProof/>
      </w:rPr>
    </w:sdtEndPr>
    <w:sdtContent>
      <w:p w14:paraId="28B233AC" w14:textId="2FE389CB" w:rsidR="003F3F4C" w:rsidRDefault="003F3F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AB900" w14:textId="77777777" w:rsidR="003F3F4C" w:rsidRDefault="003F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20F0" w14:textId="77777777" w:rsidR="006A1686" w:rsidRDefault="006A1686" w:rsidP="00317A51">
      <w:pPr>
        <w:spacing w:after="0" w:line="240" w:lineRule="auto"/>
      </w:pPr>
      <w:r>
        <w:separator/>
      </w:r>
    </w:p>
  </w:footnote>
  <w:footnote w:type="continuationSeparator" w:id="0">
    <w:p w14:paraId="3DFFF7B0" w14:textId="77777777" w:rsidR="006A1686" w:rsidRDefault="006A1686" w:rsidP="00317A51">
      <w:pPr>
        <w:spacing w:after="0" w:line="240" w:lineRule="auto"/>
      </w:pPr>
      <w:r>
        <w:continuationSeparator/>
      </w:r>
    </w:p>
  </w:footnote>
  <w:footnote w:id="1">
    <w:p w14:paraId="26B72ECE" w14:textId="41C10CF2" w:rsidR="00C17EE8" w:rsidRPr="000D5F1C" w:rsidRDefault="00C17EE8" w:rsidP="00C17EE8">
      <w:pPr>
        <w:pStyle w:val="FootnoteText"/>
        <w:rPr>
          <w:rFonts w:cstheme="minorHAnsi"/>
        </w:rPr>
      </w:pPr>
      <w:r w:rsidRPr="000D5F1C">
        <w:rPr>
          <w:rStyle w:val="FootnoteReference"/>
          <w:rFonts w:cstheme="minorHAnsi"/>
        </w:rPr>
        <w:footnoteRef/>
      </w:r>
      <w:r w:rsidRPr="000D5F1C">
        <w:rPr>
          <w:rFonts w:cstheme="minorHAnsi"/>
        </w:rPr>
        <w:t xml:space="preserve"> </w:t>
      </w:r>
      <w:r w:rsidR="004A43FB">
        <w:rPr>
          <w:rFonts w:cstheme="minorHAnsi"/>
        </w:rPr>
        <w:t>Commission, ‘</w:t>
      </w:r>
      <w:r w:rsidRPr="000D5F1C">
        <w:rPr>
          <w:rFonts w:cstheme="minorHAnsi"/>
        </w:rPr>
        <w:t xml:space="preserve">COMMISSION STAFF WORKING DOCUMENT IMPACT ASSESSMENT REPORT Damages actions for breach of the EU antitrust rules Accompanying the proposal for a DIRECTIVE OF THE EUROPEAN PARLIAMENT AND OF THE COUNCIL on certain rules governing actions for damages under national law for infringements of the competition law provisions of the Member States and of the European Union’ SWD </w:t>
      </w:r>
      <w:r w:rsidR="004A43FB">
        <w:rPr>
          <w:rFonts w:cstheme="minorHAnsi"/>
        </w:rPr>
        <w:t>(</w:t>
      </w:r>
      <w:r w:rsidRPr="000D5F1C">
        <w:rPr>
          <w:rFonts w:cstheme="minorHAnsi"/>
        </w:rPr>
        <w:t>2013</w:t>
      </w:r>
      <w:r w:rsidR="004A43FB">
        <w:rPr>
          <w:rFonts w:cstheme="minorHAnsi"/>
        </w:rPr>
        <w:t>)</w:t>
      </w:r>
      <w:r w:rsidRPr="000D5F1C">
        <w:rPr>
          <w:rFonts w:cstheme="minorHAnsi"/>
        </w:rPr>
        <w:t xml:space="preserve"> 203 final, </w:t>
      </w:r>
      <w:r w:rsidR="004A43FB">
        <w:rPr>
          <w:rFonts w:cstheme="minorHAnsi"/>
          <w:shd w:val="clear" w:color="auto" w:fill="FFFFFF"/>
        </w:rPr>
        <w:t xml:space="preserve">para </w:t>
      </w:r>
      <w:r w:rsidRPr="000D5F1C">
        <w:rPr>
          <w:rFonts w:cstheme="minorHAnsi"/>
          <w:shd w:val="clear" w:color="auto" w:fill="FFFFFF"/>
        </w:rPr>
        <w:t>1</w:t>
      </w:r>
      <w:r w:rsidR="00C53602">
        <w:rPr>
          <w:rFonts w:cstheme="minorHAnsi"/>
          <w:shd w:val="clear" w:color="auto" w:fill="FFFFFF"/>
        </w:rPr>
        <w:t>.</w:t>
      </w:r>
    </w:p>
  </w:footnote>
  <w:footnote w:id="2">
    <w:p w14:paraId="5A076008" w14:textId="3E5A7D22" w:rsidR="00C17EE8" w:rsidRPr="000D5F1C" w:rsidRDefault="00C17EE8" w:rsidP="00C17EE8">
      <w:pPr>
        <w:pStyle w:val="FootnoteText"/>
        <w:rPr>
          <w:rFonts w:cstheme="minorHAnsi"/>
        </w:rPr>
      </w:pPr>
      <w:r w:rsidRPr="000D5F1C">
        <w:rPr>
          <w:rStyle w:val="FootnoteReference"/>
          <w:rFonts w:cstheme="minorHAnsi"/>
        </w:rPr>
        <w:footnoteRef/>
      </w:r>
      <w:r w:rsidRPr="000D5F1C">
        <w:rPr>
          <w:rFonts w:cstheme="minorHAnsi"/>
        </w:rPr>
        <w:t xml:space="preserve"> T</w:t>
      </w:r>
      <w:r w:rsidR="00B44F8B">
        <w:rPr>
          <w:rFonts w:cstheme="minorHAnsi"/>
        </w:rPr>
        <w:t>omas</w:t>
      </w:r>
      <w:r w:rsidRPr="000D5F1C">
        <w:rPr>
          <w:rFonts w:cstheme="minorHAnsi"/>
        </w:rPr>
        <w:t xml:space="preserve"> </w:t>
      </w:r>
      <w:proofErr w:type="spellStart"/>
      <w:r w:rsidRPr="000D5F1C">
        <w:rPr>
          <w:rFonts w:cstheme="minorHAnsi"/>
          <w:shd w:val="clear" w:color="auto" w:fill="FFFFFF"/>
        </w:rPr>
        <w:t>Balciunas</w:t>
      </w:r>
      <w:proofErr w:type="spellEnd"/>
      <w:r w:rsidRPr="000D5F1C">
        <w:rPr>
          <w:rFonts w:cstheme="minorHAnsi"/>
          <w:shd w:val="clear" w:color="auto" w:fill="FFFFFF"/>
        </w:rPr>
        <w:t xml:space="preserve"> and J</w:t>
      </w:r>
      <w:r w:rsidR="00B44F8B">
        <w:rPr>
          <w:rFonts w:cstheme="minorHAnsi"/>
          <w:shd w:val="clear" w:color="auto" w:fill="FFFFFF"/>
        </w:rPr>
        <w:t xml:space="preserve">asper </w:t>
      </w:r>
      <w:r w:rsidRPr="000D5F1C">
        <w:rPr>
          <w:rFonts w:cstheme="minorHAnsi"/>
          <w:shd w:val="clear" w:color="auto" w:fill="FFFFFF"/>
        </w:rPr>
        <w:t>P Sluijs, ‘The Case for Harmonizing Fault in Private Enforcement of EU Competition Law’ (2020) &lt;https://ssrn.com/abstract=3750240&gt; accessed 2 February 2022</w:t>
      </w:r>
      <w:r w:rsidR="00C53602">
        <w:rPr>
          <w:rFonts w:cstheme="minorHAnsi"/>
          <w:shd w:val="clear" w:color="auto" w:fill="FFFFFF"/>
        </w:rPr>
        <w:t>.</w:t>
      </w:r>
    </w:p>
  </w:footnote>
  <w:footnote w:id="3">
    <w:p w14:paraId="6A7C8B5B" w14:textId="43A2CEB0" w:rsidR="005F24BF" w:rsidRPr="000D5F1C" w:rsidRDefault="005F24BF" w:rsidP="005F24BF">
      <w:pPr>
        <w:pStyle w:val="FootnoteText"/>
        <w:rPr>
          <w:rFonts w:cstheme="minorHAnsi"/>
          <w:lang w:val="en-GB"/>
        </w:rPr>
      </w:pPr>
      <w:r w:rsidRPr="000D5F1C">
        <w:rPr>
          <w:rStyle w:val="FootnoteReference"/>
          <w:rFonts w:cstheme="minorHAnsi"/>
        </w:rPr>
        <w:footnoteRef/>
      </w:r>
      <w:r w:rsidRPr="000D5F1C">
        <w:rPr>
          <w:rFonts w:cstheme="minorHAnsi"/>
        </w:rPr>
        <w:t xml:space="preserve"> </w:t>
      </w:r>
      <w:r w:rsidR="00B44F8B">
        <w:rPr>
          <w:rFonts w:cstheme="minorHAnsi"/>
        </w:rPr>
        <w:t>ibid.</w:t>
      </w:r>
    </w:p>
  </w:footnote>
  <w:footnote w:id="4">
    <w:p w14:paraId="6E833576" w14:textId="57907814"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bookmarkStart w:id="3" w:name="_Hlk107480610"/>
      <w:r w:rsidR="00AD59BC" w:rsidRPr="00AD59BC">
        <w:rPr>
          <w:rFonts w:cstheme="minorHAnsi"/>
        </w:rPr>
        <w:t>Lawrence Collins, ‘Contractual Obligations: The EEC Preliminary Draft Convention on Private International Law’ (1976) 25 ICLQ 35</w:t>
      </w:r>
      <w:r w:rsidR="00AD59BC">
        <w:rPr>
          <w:rFonts w:cstheme="minorHAnsi"/>
        </w:rPr>
        <w:t xml:space="preserve">, </w:t>
      </w:r>
      <w:r w:rsidRPr="000D5F1C">
        <w:rPr>
          <w:rFonts w:cstheme="minorHAnsi"/>
        </w:rPr>
        <w:t>36</w:t>
      </w:r>
      <w:bookmarkEnd w:id="3"/>
      <w:r w:rsidR="00C53602">
        <w:rPr>
          <w:rFonts w:cstheme="minorHAnsi"/>
        </w:rPr>
        <w:t>.</w:t>
      </w:r>
    </w:p>
  </w:footnote>
  <w:footnote w:id="5">
    <w:p w14:paraId="3AA6E954" w14:textId="7B4AEB62"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Pamela K Bookman, ‘The Unsung Virtues of Global Forum Shopping’ (2017)</w:t>
      </w:r>
      <w:r w:rsidR="00E0287E">
        <w:rPr>
          <w:rFonts w:cstheme="minorHAnsi"/>
        </w:rPr>
        <w:t xml:space="preserve"> 92 NDLR 579, 588</w:t>
      </w:r>
      <w:r w:rsidR="00C53602">
        <w:rPr>
          <w:rFonts w:cstheme="minorHAnsi"/>
        </w:rPr>
        <w:t>.</w:t>
      </w:r>
    </w:p>
  </w:footnote>
  <w:footnote w:id="6">
    <w:p w14:paraId="3051FFED" w14:textId="11AB11D0"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E0287E">
        <w:rPr>
          <w:rFonts w:cstheme="minorHAnsi"/>
        </w:rPr>
        <w:t>ibid.</w:t>
      </w:r>
    </w:p>
  </w:footnote>
  <w:footnote w:id="7">
    <w:p w14:paraId="54D3FAB7" w14:textId="2E071584"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bookmarkStart w:id="4" w:name="_Hlk107480637"/>
      <w:r w:rsidR="00CD65CC" w:rsidRPr="00CD65CC">
        <w:rPr>
          <w:rFonts w:cstheme="minorHAnsi"/>
        </w:rPr>
        <w:t>Robert Thomas Currie Telfer, ‘Forum shopping and the private enforcement of EU competition law: is forum shopping a dead letter?’ (PhD thesis, University of Glasgow 2017).</w:t>
      </w:r>
    </w:p>
    <w:bookmarkEnd w:id="4"/>
  </w:footnote>
  <w:footnote w:id="8">
    <w:p w14:paraId="63463397" w14:textId="5356E1DE"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bookmarkStart w:id="5" w:name="_Hlk107480661"/>
      <w:r w:rsidRPr="000D5F1C">
        <w:rPr>
          <w:rFonts w:cstheme="minorHAnsi"/>
        </w:rPr>
        <w:t xml:space="preserve">Friedrich K </w:t>
      </w:r>
      <w:proofErr w:type="spellStart"/>
      <w:r w:rsidRPr="000D5F1C">
        <w:rPr>
          <w:rFonts w:cstheme="minorHAnsi"/>
        </w:rPr>
        <w:t>Juenger</w:t>
      </w:r>
      <w:proofErr w:type="spellEnd"/>
      <w:r w:rsidRPr="000D5F1C">
        <w:rPr>
          <w:rFonts w:cstheme="minorHAnsi"/>
        </w:rPr>
        <w:t>, ‘Forum Shopping, Domestic and International’ (1989) 63 TL</w:t>
      </w:r>
      <w:r w:rsidR="004F5DD5">
        <w:rPr>
          <w:rFonts w:cstheme="minorHAnsi"/>
        </w:rPr>
        <w:t>R</w:t>
      </w:r>
      <w:r w:rsidRPr="000D5F1C">
        <w:rPr>
          <w:rFonts w:cstheme="minorHAnsi"/>
        </w:rPr>
        <w:t xml:space="preserve"> 553</w:t>
      </w:r>
      <w:bookmarkEnd w:id="5"/>
      <w:r w:rsidR="00C53602">
        <w:rPr>
          <w:rFonts w:cstheme="minorHAnsi"/>
        </w:rPr>
        <w:t>.</w:t>
      </w:r>
    </w:p>
  </w:footnote>
  <w:footnote w:id="9">
    <w:p w14:paraId="17362464" w14:textId="41808A6A"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E0287E" w:rsidRPr="000D5F1C">
        <w:rPr>
          <w:rFonts w:cstheme="minorHAnsi"/>
        </w:rPr>
        <w:t>Pamela K Bookman, ‘The Unsung Virtues of Global Forum Shopping’ (2017)</w:t>
      </w:r>
      <w:r w:rsidR="00E0287E">
        <w:rPr>
          <w:rFonts w:cstheme="minorHAnsi"/>
        </w:rPr>
        <w:t xml:space="preserve"> 92 NDLR 579, 582</w:t>
      </w:r>
      <w:r w:rsidR="00C53602">
        <w:rPr>
          <w:rFonts w:cstheme="minorHAnsi"/>
        </w:rPr>
        <w:t>.</w:t>
      </w:r>
    </w:p>
  </w:footnote>
  <w:footnote w:id="10">
    <w:p w14:paraId="131EBF76" w14:textId="40747F6A"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E0287E">
        <w:rPr>
          <w:rFonts w:cstheme="minorHAnsi"/>
        </w:rPr>
        <w:t>ibid 583.</w:t>
      </w:r>
    </w:p>
  </w:footnote>
  <w:footnote w:id="11">
    <w:p w14:paraId="1DA3CF03" w14:textId="54383F75"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247EDE">
        <w:rPr>
          <w:rFonts w:cstheme="minorHAnsi"/>
        </w:rPr>
        <w:t>ibid 635.</w:t>
      </w:r>
    </w:p>
  </w:footnote>
  <w:footnote w:id="12">
    <w:p w14:paraId="304961F5" w14:textId="6E6F716E"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bookmarkStart w:id="6" w:name="_Hlk107480680"/>
      <w:r w:rsidRPr="000D5F1C">
        <w:rPr>
          <w:rFonts w:cstheme="minorHAnsi"/>
        </w:rPr>
        <w:t xml:space="preserve">Rein </w:t>
      </w:r>
      <w:proofErr w:type="spellStart"/>
      <w:r w:rsidRPr="000D5F1C">
        <w:rPr>
          <w:rFonts w:cstheme="minorHAnsi"/>
        </w:rPr>
        <w:t>Wesseling</w:t>
      </w:r>
      <w:proofErr w:type="spellEnd"/>
      <w:r w:rsidRPr="000D5F1C">
        <w:rPr>
          <w:rFonts w:cstheme="minorHAnsi"/>
        </w:rPr>
        <w:t xml:space="preserve"> and Marieke </w:t>
      </w:r>
      <w:proofErr w:type="spellStart"/>
      <w:r w:rsidRPr="000D5F1C">
        <w:rPr>
          <w:rFonts w:cstheme="minorHAnsi"/>
        </w:rPr>
        <w:t>Bredenoord-Spoek</w:t>
      </w:r>
      <w:proofErr w:type="spellEnd"/>
      <w:r w:rsidRPr="000D5F1C">
        <w:rPr>
          <w:rFonts w:cstheme="minorHAnsi"/>
        </w:rPr>
        <w:t xml:space="preserve">, ‘Jurisdiction issues in civil litigation cases in the European union: Dutch courts readily assume jurisdiction on basis of EU framework’ in James Keyte (ed), </w:t>
      </w:r>
      <w:r w:rsidRPr="000D5F1C">
        <w:rPr>
          <w:rFonts w:cstheme="minorHAnsi"/>
          <w:i/>
          <w:iCs/>
        </w:rPr>
        <w:t>Annual Proceedings of the Fordham Competition Law Institute</w:t>
      </w:r>
      <w:r w:rsidRPr="000D5F1C">
        <w:rPr>
          <w:rFonts w:cstheme="minorHAnsi"/>
        </w:rPr>
        <w:t xml:space="preserve"> (Chapter 12, Juris Publishing, 2016) 169</w:t>
      </w:r>
      <w:bookmarkEnd w:id="6"/>
      <w:r w:rsidR="00C53602">
        <w:rPr>
          <w:rFonts w:cstheme="minorHAnsi"/>
        </w:rPr>
        <w:t>.</w:t>
      </w:r>
    </w:p>
  </w:footnote>
  <w:footnote w:id="13">
    <w:p w14:paraId="0A3FD2DE" w14:textId="7F5A1929"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A556C6">
        <w:rPr>
          <w:rFonts w:cstheme="minorHAnsi"/>
        </w:rPr>
        <w:t>ibid</w:t>
      </w:r>
      <w:r w:rsidR="00C53602">
        <w:rPr>
          <w:rFonts w:cstheme="minorHAnsi"/>
        </w:rPr>
        <w:t>.</w:t>
      </w:r>
    </w:p>
  </w:footnote>
  <w:footnote w:id="14">
    <w:p w14:paraId="4D89407A" w14:textId="5A675B9C"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A556C6">
        <w:rPr>
          <w:rFonts w:cstheme="minorHAnsi"/>
        </w:rPr>
        <w:t>ibid</w:t>
      </w:r>
      <w:r w:rsidR="00C53602">
        <w:rPr>
          <w:rFonts w:cstheme="minorHAnsi"/>
        </w:rPr>
        <w:t>.</w:t>
      </w:r>
    </w:p>
  </w:footnote>
  <w:footnote w:id="15">
    <w:p w14:paraId="07F8D8BF" w14:textId="59CCBD94" w:rsidR="00316B67" w:rsidRPr="000D5F1C" w:rsidRDefault="00316B67" w:rsidP="00316B67">
      <w:pPr>
        <w:pStyle w:val="FootnoteText"/>
        <w:rPr>
          <w:rFonts w:cstheme="minorHAnsi"/>
        </w:rPr>
      </w:pPr>
      <w:r w:rsidRPr="000D5F1C">
        <w:rPr>
          <w:rStyle w:val="FootnoteReference"/>
          <w:rFonts w:cstheme="minorHAnsi"/>
        </w:rPr>
        <w:footnoteRef/>
      </w:r>
      <w:r w:rsidRPr="000D5F1C">
        <w:rPr>
          <w:rFonts w:cstheme="minorHAnsi"/>
        </w:rPr>
        <w:t xml:space="preserve"> </w:t>
      </w:r>
      <w:r w:rsidR="00B44F8B" w:rsidRPr="000D5F1C">
        <w:rPr>
          <w:rFonts w:cstheme="minorHAnsi"/>
        </w:rPr>
        <w:t>T</w:t>
      </w:r>
      <w:r w:rsidR="00B44F8B">
        <w:rPr>
          <w:rFonts w:cstheme="minorHAnsi"/>
        </w:rPr>
        <w:t>omas</w:t>
      </w:r>
      <w:r w:rsidR="00B44F8B" w:rsidRPr="000D5F1C">
        <w:rPr>
          <w:rFonts w:cstheme="minorHAnsi"/>
        </w:rPr>
        <w:t xml:space="preserve"> </w:t>
      </w:r>
      <w:proofErr w:type="spellStart"/>
      <w:r w:rsidR="00B44F8B" w:rsidRPr="000D5F1C">
        <w:rPr>
          <w:rFonts w:cstheme="minorHAnsi"/>
          <w:shd w:val="clear" w:color="auto" w:fill="FFFFFF"/>
        </w:rPr>
        <w:t>Balciunas</w:t>
      </w:r>
      <w:proofErr w:type="spellEnd"/>
      <w:r w:rsidR="00B44F8B" w:rsidRPr="000D5F1C">
        <w:rPr>
          <w:rFonts w:cstheme="minorHAnsi"/>
          <w:shd w:val="clear" w:color="auto" w:fill="FFFFFF"/>
        </w:rPr>
        <w:t xml:space="preserve"> and J</w:t>
      </w:r>
      <w:r w:rsidR="00B44F8B">
        <w:rPr>
          <w:rFonts w:cstheme="minorHAnsi"/>
          <w:shd w:val="clear" w:color="auto" w:fill="FFFFFF"/>
        </w:rPr>
        <w:t xml:space="preserve">asper </w:t>
      </w:r>
      <w:r w:rsidR="00B44F8B" w:rsidRPr="000D5F1C">
        <w:rPr>
          <w:rFonts w:cstheme="minorHAnsi"/>
          <w:shd w:val="clear" w:color="auto" w:fill="FFFFFF"/>
        </w:rPr>
        <w:t>P Sluijs, ‘The Case for Harmonizing Fault in Private Enforcement of EU Competition Law’ (2020) &lt;https://ssrn.com/abstract=3750240&gt; accessed 2 February 2022</w:t>
      </w:r>
      <w:r w:rsidR="00B44F8B">
        <w:rPr>
          <w:rFonts w:cstheme="minorHAnsi"/>
          <w:shd w:val="clear" w:color="auto" w:fill="FFFFFF"/>
        </w:rPr>
        <w:t>.</w:t>
      </w:r>
    </w:p>
  </w:footnote>
  <w:footnote w:id="16">
    <w:p w14:paraId="257B5A25" w14:textId="3F964824"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B44F8B">
        <w:rPr>
          <w:rFonts w:cstheme="minorHAnsi"/>
        </w:rPr>
        <w:t>ibid.</w:t>
      </w:r>
    </w:p>
  </w:footnote>
  <w:footnote w:id="17">
    <w:p w14:paraId="083DFE68" w14:textId="2C15E0DB"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B44F8B">
        <w:rPr>
          <w:rFonts w:cstheme="minorHAnsi"/>
        </w:rPr>
        <w:t>ibid.</w:t>
      </w:r>
    </w:p>
  </w:footnote>
  <w:footnote w:id="18">
    <w:p w14:paraId="4D55A1C4" w14:textId="30E00692"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B44F8B">
        <w:rPr>
          <w:rFonts w:cstheme="minorHAnsi"/>
        </w:rPr>
        <w:t>ibid.</w:t>
      </w:r>
    </w:p>
  </w:footnote>
  <w:footnote w:id="19">
    <w:p w14:paraId="692BA8B4" w14:textId="06008CB1"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r w:rsidR="0031456D" w:rsidRPr="0031456D">
        <w:rPr>
          <w:rFonts w:cstheme="minorHAnsi"/>
        </w:rPr>
        <w:t xml:space="preserve">Andrea </w:t>
      </w:r>
      <w:proofErr w:type="spellStart"/>
      <w:r w:rsidR="0031456D" w:rsidRPr="0031456D">
        <w:rPr>
          <w:rFonts w:cstheme="minorHAnsi"/>
        </w:rPr>
        <w:t>Tkacikova</w:t>
      </w:r>
      <w:proofErr w:type="spellEnd"/>
      <w:r w:rsidR="0031456D" w:rsidRPr="0031456D">
        <w:rPr>
          <w:rFonts w:cstheme="minorHAnsi"/>
        </w:rPr>
        <w:t xml:space="preserve"> and Patrick L </w:t>
      </w:r>
      <w:proofErr w:type="spellStart"/>
      <w:r w:rsidR="0031456D" w:rsidRPr="0031456D">
        <w:rPr>
          <w:rFonts w:cstheme="minorHAnsi"/>
        </w:rPr>
        <w:t>Krauskopf</w:t>
      </w:r>
      <w:proofErr w:type="spellEnd"/>
      <w:r w:rsidR="0031456D" w:rsidRPr="0031456D">
        <w:rPr>
          <w:rFonts w:cstheme="minorHAnsi"/>
        </w:rPr>
        <w:t>, Competition Law Violations and Private Enforcement: Forum Shopping Strategies (2011) 4 GCLR 26</w:t>
      </w:r>
      <w:r w:rsidR="00C53602">
        <w:rPr>
          <w:rFonts w:cstheme="minorHAnsi"/>
        </w:rPr>
        <w:t>.</w:t>
      </w:r>
    </w:p>
  </w:footnote>
  <w:footnote w:id="20">
    <w:p w14:paraId="4AF3ECB0" w14:textId="7C1C20EC" w:rsidR="00DE71E3" w:rsidRPr="000D5F1C" w:rsidRDefault="00DE71E3" w:rsidP="00DE71E3">
      <w:pPr>
        <w:pStyle w:val="FootnoteText"/>
        <w:rPr>
          <w:rFonts w:cstheme="minorHAnsi"/>
        </w:rPr>
      </w:pPr>
      <w:r w:rsidRPr="000D5F1C">
        <w:rPr>
          <w:rStyle w:val="FootnoteReference"/>
          <w:rFonts w:cstheme="minorHAnsi"/>
        </w:rPr>
        <w:footnoteRef/>
      </w:r>
      <w:r w:rsidRPr="000D5F1C">
        <w:rPr>
          <w:rFonts w:cstheme="minorHAnsi"/>
        </w:rPr>
        <w:t xml:space="preserve"> </w:t>
      </w:r>
      <w:bookmarkStart w:id="7" w:name="_Hlk107443576"/>
      <w:r w:rsidRPr="000D5F1C">
        <w:rPr>
          <w:rFonts w:cstheme="minorHAnsi"/>
        </w:rPr>
        <w:t>Commission, ‘COMMISSION STAFF WORKING DOCUMENT IMPACT ASSESSMENT REPORT Damages actions for breach of the EU antitrust rules Accompanying the proposal for a DIRECTIVE OF THE EUROPEAN PARLIAMENT AND OF THE COUNCIL on certain rules governing actions for damages under national law for infringements of the competition law provisions of the Member States and of the European Union’ SWD (2013) 203 final</w:t>
      </w:r>
      <w:bookmarkEnd w:id="7"/>
      <w:r w:rsidRPr="000D5F1C">
        <w:rPr>
          <w:rFonts w:cstheme="minorHAnsi"/>
        </w:rPr>
        <w:t xml:space="preserve">, </w:t>
      </w:r>
      <w:r w:rsidR="004A43FB">
        <w:rPr>
          <w:rFonts w:cstheme="minorHAnsi"/>
          <w:shd w:val="clear" w:color="auto" w:fill="FFFFFF"/>
        </w:rPr>
        <w:t xml:space="preserve">para </w:t>
      </w:r>
      <w:r w:rsidRPr="000D5F1C">
        <w:rPr>
          <w:rFonts w:cstheme="minorHAnsi"/>
          <w:shd w:val="clear" w:color="auto" w:fill="FFFFFF"/>
        </w:rPr>
        <w:t>52</w:t>
      </w:r>
      <w:r w:rsidR="00C53602">
        <w:rPr>
          <w:rFonts w:cstheme="minorHAnsi"/>
          <w:shd w:val="clear" w:color="auto" w:fill="FFFFFF"/>
        </w:rPr>
        <w:t>.</w:t>
      </w:r>
    </w:p>
  </w:footnote>
  <w:footnote w:id="21">
    <w:p w14:paraId="07AECC61" w14:textId="77777777" w:rsidR="00D1350B" w:rsidRPr="000D5F1C" w:rsidRDefault="00D1350B" w:rsidP="00D1350B">
      <w:pPr>
        <w:pStyle w:val="FootnoteText"/>
        <w:rPr>
          <w:rFonts w:cstheme="minorHAnsi"/>
        </w:rPr>
      </w:pPr>
      <w:r w:rsidRPr="000D5F1C">
        <w:rPr>
          <w:rStyle w:val="FootnoteReference"/>
          <w:rFonts w:cstheme="minorHAnsi"/>
        </w:rPr>
        <w:footnoteRef/>
      </w:r>
      <w:r w:rsidRPr="000D5F1C">
        <w:rPr>
          <w:rFonts w:cstheme="minorHAnsi"/>
        </w:rPr>
        <w:t xml:space="preserve"> </w:t>
      </w:r>
      <w:bookmarkStart w:id="8" w:name="_Hlk107480718"/>
      <w:r w:rsidRPr="000D5F1C">
        <w:rPr>
          <w:rFonts w:cstheme="minorHAnsi"/>
        </w:rPr>
        <w:t>R</w:t>
      </w:r>
      <w:r>
        <w:rPr>
          <w:rFonts w:cstheme="minorHAnsi"/>
        </w:rPr>
        <w:t>ick</w:t>
      </w:r>
      <w:r w:rsidRPr="000D5F1C">
        <w:rPr>
          <w:rFonts w:cstheme="minorHAnsi"/>
        </w:rPr>
        <w:t xml:space="preserve"> Cornelissen </w:t>
      </w:r>
      <w:r>
        <w:rPr>
          <w:rFonts w:cstheme="minorHAnsi"/>
        </w:rPr>
        <w:t>and others</w:t>
      </w:r>
      <w:r w:rsidRPr="000D5F1C">
        <w:rPr>
          <w:rFonts w:cstheme="minorHAnsi"/>
        </w:rPr>
        <w:t xml:space="preserve">, ‘Netherlands’ in Ilene K. Gotts and Kevin S. Schwartz (eds), </w:t>
      </w:r>
      <w:r w:rsidRPr="000D5F1C">
        <w:rPr>
          <w:rFonts w:cstheme="minorHAnsi"/>
          <w:i/>
          <w:iCs/>
        </w:rPr>
        <w:t>Private Competition Enforcement Review</w:t>
      </w:r>
      <w:r w:rsidRPr="000D5F1C">
        <w:rPr>
          <w:rFonts w:cstheme="minorHAnsi"/>
        </w:rPr>
        <w:t xml:space="preserve"> (Chapter 15, The </w:t>
      </w:r>
      <w:proofErr w:type="spellStart"/>
      <w:r w:rsidRPr="000D5F1C">
        <w:rPr>
          <w:rFonts w:cstheme="minorHAnsi"/>
        </w:rPr>
        <w:t>LawReviews</w:t>
      </w:r>
      <w:proofErr w:type="spellEnd"/>
      <w:r w:rsidRPr="000D5F1C">
        <w:rPr>
          <w:rFonts w:cstheme="minorHAnsi"/>
        </w:rPr>
        <w:t xml:space="preserve"> 2020)</w:t>
      </w:r>
      <w:bookmarkEnd w:id="8"/>
      <w:r w:rsidRPr="000D5F1C">
        <w:rPr>
          <w:rFonts w:cstheme="minorHAnsi"/>
        </w:rPr>
        <w:t xml:space="preserve">; </w:t>
      </w:r>
      <w:bookmarkStart w:id="9" w:name="_Hlk107480734"/>
      <w:r w:rsidRPr="000D5F1C">
        <w:rPr>
          <w:rFonts w:cstheme="minorHAnsi"/>
        </w:rPr>
        <w:t xml:space="preserve">Jeroen </w:t>
      </w:r>
      <w:proofErr w:type="spellStart"/>
      <w:r w:rsidRPr="000D5F1C">
        <w:rPr>
          <w:rFonts w:cstheme="minorHAnsi"/>
        </w:rPr>
        <w:t>Kortmann</w:t>
      </w:r>
      <w:proofErr w:type="spellEnd"/>
      <w:r w:rsidRPr="000D5F1C">
        <w:rPr>
          <w:rFonts w:cstheme="minorHAnsi"/>
        </w:rPr>
        <w:t xml:space="preserve"> </w:t>
      </w:r>
      <w:r>
        <w:rPr>
          <w:rFonts w:cstheme="minorHAnsi"/>
        </w:rPr>
        <w:t>and</w:t>
      </w:r>
      <w:r w:rsidRPr="000D5F1C">
        <w:rPr>
          <w:rFonts w:cstheme="minorHAnsi"/>
        </w:rPr>
        <w:t xml:space="preserve"> Simon </w:t>
      </w:r>
      <w:proofErr w:type="spellStart"/>
      <w:r w:rsidRPr="000D5F1C">
        <w:rPr>
          <w:rFonts w:cstheme="minorHAnsi"/>
        </w:rPr>
        <w:t>Mineur</w:t>
      </w:r>
      <w:proofErr w:type="spellEnd"/>
      <w:r w:rsidRPr="000D5F1C">
        <w:rPr>
          <w:rFonts w:cstheme="minorHAnsi"/>
        </w:rPr>
        <w:t xml:space="preserve">, ‘The Netherlands’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13, Oxford University Press 2019)</w:t>
      </w:r>
      <w:bookmarkEnd w:id="9"/>
      <w:r w:rsidRPr="000D5F1C">
        <w:rPr>
          <w:rFonts w:cstheme="minorHAnsi"/>
        </w:rPr>
        <w:t xml:space="preserve">; </w:t>
      </w:r>
      <w:r>
        <w:t xml:space="preserve">Alex Petrasincu, 'Private Antitrust Enforcement in Germany' (2018) 4 CLPD 14; </w:t>
      </w:r>
      <w:r w:rsidRPr="000D5F1C">
        <w:rPr>
          <w:rFonts w:cstheme="minorHAnsi"/>
        </w:rPr>
        <w:t xml:space="preserve">Commission, ‘COMMISSION STAFF WORKING DOCUMENT IMPACT ASSESSMENT REPORT Damages actions for breach of the EU antitrust rules Accompanying the proposal for a DIRECTIVE OF THE EUROPEAN PARLIAMENT AND OF THE COUNCIL on certain rules governing actions for damages under national law for infringements of the competition law provisions of the Member States and of the European Union’ SWD (2013) 203 final, </w:t>
      </w:r>
      <w:r>
        <w:rPr>
          <w:rFonts w:cstheme="minorHAnsi"/>
          <w:shd w:val="clear" w:color="auto" w:fill="FFFFFF"/>
        </w:rPr>
        <w:t xml:space="preserve">para </w:t>
      </w:r>
      <w:r w:rsidRPr="000D5F1C">
        <w:rPr>
          <w:rFonts w:cstheme="minorHAnsi"/>
          <w:shd w:val="clear" w:color="auto" w:fill="FFFFFF"/>
        </w:rPr>
        <w:t>52</w:t>
      </w:r>
      <w:r>
        <w:rPr>
          <w:rFonts w:cstheme="minorHAnsi"/>
          <w:shd w:val="clear" w:color="auto" w:fill="FFFFFF"/>
        </w:rPr>
        <w:t>.</w:t>
      </w:r>
    </w:p>
  </w:footnote>
  <w:footnote w:id="22">
    <w:p w14:paraId="233A845C" w14:textId="5E27ED9A" w:rsidR="001B6FBC" w:rsidRDefault="001B6FBC">
      <w:pPr>
        <w:pStyle w:val="FootnoteText"/>
      </w:pPr>
      <w:r>
        <w:rPr>
          <w:rStyle w:val="FootnoteReference"/>
        </w:rPr>
        <w:footnoteRef/>
      </w:r>
      <w:r>
        <w:t xml:space="preserve"> </w:t>
      </w:r>
      <w:bookmarkStart w:id="10" w:name="_Hlk107443584"/>
      <w:r w:rsidRPr="000D5F1C">
        <w:rPr>
          <w:rFonts w:cstheme="minorHAnsi"/>
          <w:lang w:val="en-GB"/>
        </w:rPr>
        <w:t>Stefan Vermeulen, ‘</w:t>
      </w:r>
      <w:r w:rsidRPr="000D5F1C">
        <w:rPr>
          <w:rFonts w:cstheme="minorHAnsi"/>
          <w:lang w:val="nl-NL"/>
        </w:rPr>
        <w:t xml:space="preserve">Vrees voor overbelasting rechtssysteem door hausse aan massaclaims van buitenlandse investeerders’ </w:t>
      </w:r>
      <w:r w:rsidRPr="000D5F1C">
        <w:rPr>
          <w:rFonts w:cstheme="minorHAnsi"/>
          <w:i/>
          <w:iCs/>
          <w:lang w:val="en-GB"/>
        </w:rPr>
        <w:t>NRC</w:t>
      </w:r>
      <w:r w:rsidRPr="000D5F1C">
        <w:rPr>
          <w:rFonts w:cstheme="minorHAnsi"/>
          <w:lang w:val="en-GB"/>
        </w:rPr>
        <w:t xml:space="preserve"> (16 February 2022) &lt;https://www.nrc.nl/nieuws/2022/02/16/buitenlandse-investeerders-veroorzaken-hausse-aan-massaclaims-vrees-voor-overbelasting-rechtssysteem-2-a4090501&gt; </w:t>
      </w:r>
      <w:proofErr w:type="spellStart"/>
      <w:r w:rsidRPr="000D5F1C">
        <w:rPr>
          <w:rFonts w:cstheme="minorHAnsi"/>
          <w:lang w:val="nl-NL"/>
        </w:rPr>
        <w:t>accessed</w:t>
      </w:r>
      <w:proofErr w:type="spellEnd"/>
      <w:r w:rsidRPr="000D5F1C">
        <w:rPr>
          <w:rFonts w:cstheme="minorHAnsi"/>
          <w:lang w:val="nl-NL"/>
        </w:rPr>
        <w:t xml:space="preserve"> 3 </w:t>
      </w:r>
      <w:proofErr w:type="spellStart"/>
      <w:r w:rsidRPr="000D5F1C">
        <w:rPr>
          <w:rFonts w:cstheme="minorHAnsi"/>
          <w:lang w:val="nl-NL"/>
        </w:rPr>
        <w:t>March</w:t>
      </w:r>
      <w:proofErr w:type="spellEnd"/>
      <w:r w:rsidRPr="000D5F1C">
        <w:rPr>
          <w:rFonts w:cstheme="minorHAnsi"/>
          <w:lang w:val="nl-NL"/>
        </w:rPr>
        <w:t xml:space="preserve"> 2022</w:t>
      </w:r>
      <w:r w:rsidR="00C53602">
        <w:rPr>
          <w:rFonts w:cstheme="minorHAnsi"/>
          <w:lang w:val="nl-NL"/>
        </w:rPr>
        <w:t>.</w:t>
      </w:r>
    </w:p>
    <w:bookmarkEnd w:id="10"/>
  </w:footnote>
  <w:footnote w:id="23">
    <w:p w14:paraId="2A6964E2" w14:textId="49E0B523" w:rsidR="00177015" w:rsidRDefault="00177015">
      <w:pPr>
        <w:pStyle w:val="FootnoteText"/>
      </w:pPr>
      <w:r>
        <w:rPr>
          <w:rStyle w:val="FootnoteReference"/>
        </w:rPr>
        <w:footnoteRef/>
      </w:r>
      <w:r>
        <w:t xml:space="preserve"> </w:t>
      </w:r>
      <w:r w:rsidRPr="00FC31D7">
        <w:rPr>
          <w:lang w:val="en-GB"/>
        </w:rPr>
        <w:t xml:space="preserve"> </w:t>
      </w:r>
      <w:r>
        <w:rPr>
          <w:lang w:val="en-GB"/>
        </w:rPr>
        <w:t>In this context, ambulance-chasing is defined as a</w:t>
      </w:r>
      <w:r w:rsidRPr="00FC31D7">
        <w:rPr>
          <w:lang w:val="en-GB"/>
        </w:rPr>
        <w:t>n attempt to obtain work by persuading an injured party to claim money from the person or company that is responsible for the suffered damages of the injured party.</w:t>
      </w:r>
    </w:p>
  </w:footnote>
  <w:footnote w:id="24">
    <w:p w14:paraId="5D3E84A1" w14:textId="321397BC" w:rsidR="00194375" w:rsidRPr="000D5F1C" w:rsidRDefault="00194375" w:rsidP="00194375">
      <w:pPr>
        <w:pStyle w:val="FootnoteText"/>
        <w:rPr>
          <w:rFonts w:cstheme="minorHAnsi"/>
        </w:rPr>
      </w:pPr>
      <w:r w:rsidRPr="000D5F1C">
        <w:rPr>
          <w:rStyle w:val="FootnoteReference"/>
          <w:rFonts w:cstheme="minorHAnsi"/>
        </w:rPr>
        <w:footnoteRef/>
      </w:r>
      <w:r w:rsidRPr="000D5F1C">
        <w:rPr>
          <w:rFonts w:cstheme="minorHAnsi"/>
        </w:rPr>
        <w:t xml:space="preserve"> </w:t>
      </w:r>
      <w:r w:rsidR="00DB3C6E" w:rsidRPr="00DB3C6E">
        <w:rPr>
          <w:rFonts w:cstheme="minorHAnsi"/>
        </w:rPr>
        <w:t>Jean-François Laborde, ‘Cartel damages actions in Europe: How courts have assessed cartel overcharges (2021 ed.)’ (2021) 3 Concurrences 232</w:t>
      </w:r>
      <w:r w:rsidR="00DB3C6E">
        <w:rPr>
          <w:rFonts w:cstheme="minorHAnsi"/>
        </w:rPr>
        <w:t>, 235.</w:t>
      </w:r>
    </w:p>
  </w:footnote>
  <w:footnote w:id="25">
    <w:p w14:paraId="4272F0A6" w14:textId="04E22C4E" w:rsidR="00194375" w:rsidRPr="000D5F1C" w:rsidRDefault="00194375" w:rsidP="00194375">
      <w:pPr>
        <w:pStyle w:val="FootnoteText"/>
        <w:rPr>
          <w:rFonts w:cstheme="minorHAnsi"/>
        </w:rPr>
      </w:pPr>
      <w:r w:rsidRPr="000D5F1C">
        <w:rPr>
          <w:rStyle w:val="FootnoteReference"/>
          <w:rFonts w:cstheme="minorHAnsi"/>
        </w:rPr>
        <w:footnoteRef/>
      </w:r>
      <w:r w:rsidRPr="000D5F1C">
        <w:rPr>
          <w:rFonts w:cstheme="minorHAnsi"/>
        </w:rPr>
        <w:t xml:space="preserve"> </w:t>
      </w:r>
      <w:r w:rsidR="0077574C">
        <w:rPr>
          <w:rFonts w:cstheme="minorHAnsi"/>
        </w:rPr>
        <w:t>ibid 234</w:t>
      </w:r>
      <w:r w:rsidR="00C53602">
        <w:rPr>
          <w:rFonts w:cstheme="minorHAnsi"/>
        </w:rPr>
        <w:t>.</w:t>
      </w:r>
    </w:p>
  </w:footnote>
  <w:footnote w:id="26">
    <w:p w14:paraId="3576C1BF" w14:textId="1772CEFA" w:rsidR="00125AD5" w:rsidRPr="000D5F1C" w:rsidRDefault="00125AD5">
      <w:pPr>
        <w:pStyle w:val="FootnoteText"/>
        <w:rPr>
          <w:rFonts w:cstheme="minorHAnsi"/>
        </w:rPr>
      </w:pPr>
      <w:r w:rsidRPr="000D5F1C">
        <w:rPr>
          <w:rStyle w:val="FootnoteReference"/>
          <w:rFonts w:cstheme="minorHAnsi"/>
        </w:rPr>
        <w:footnoteRef/>
      </w:r>
      <w:r w:rsidRPr="000D5F1C">
        <w:rPr>
          <w:rFonts w:cstheme="minorHAnsi"/>
        </w:rPr>
        <w:t xml:space="preserve"> Commission, ‘COMMISSION STAFF WORKING DOCUMENT IMPACT ASSESSMENT REPORT Damages actions for breach of the EU antitrust rules Accompanying the proposal for a DIRECTIVE OF THE EUROPEAN PARLIAMENT AND OF THE COUNCIL on certain rules governing actions for damages under national law for infringements of the competition law provisions of the Member States and of the European Union’ SWD (2013) 203 final, </w:t>
      </w:r>
      <w:r w:rsidR="004A43FB">
        <w:rPr>
          <w:rFonts w:cstheme="minorHAnsi"/>
          <w:shd w:val="clear" w:color="auto" w:fill="FFFFFF"/>
        </w:rPr>
        <w:t xml:space="preserve">para </w:t>
      </w:r>
      <w:r w:rsidRPr="000D5F1C">
        <w:rPr>
          <w:rFonts w:cstheme="minorHAnsi"/>
          <w:shd w:val="clear" w:color="auto" w:fill="FFFFFF"/>
        </w:rPr>
        <w:t>52</w:t>
      </w:r>
      <w:r w:rsidR="00C53602">
        <w:rPr>
          <w:rFonts w:cstheme="minorHAnsi"/>
          <w:shd w:val="clear" w:color="auto" w:fill="FFFFFF"/>
        </w:rPr>
        <w:t>.</w:t>
      </w:r>
    </w:p>
  </w:footnote>
  <w:footnote w:id="27">
    <w:p w14:paraId="3D6B9164" w14:textId="582B2D20" w:rsidR="00DE10E8" w:rsidRPr="000D5F1C" w:rsidRDefault="00DE10E8" w:rsidP="00DE10E8">
      <w:pPr>
        <w:pStyle w:val="FootnoteText"/>
        <w:rPr>
          <w:rFonts w:cstheme="minorHAnsi"/>
        </w:rPr>
      </w:pPr>
      <w:r w:rsidRPr="000D5F1C">
        <w:rPr>
          <w:rStyle w:val="FootnoteReference"/>
          <w:rFonts w:cstheme="minorHAnsi"/>
        </w:rPr>
        <w:footnoteRef/>
      </w:r>
      <w:r w:rsidRPr="000D5F1C">
        <w:rPr>
          <w:rFonts w:cstheme="minorHAnsi"/>
        </w:rPr>
        <w:t xml:space="preserve"> </w:t>
      </w:r>
      <w:r w:rsidR="00A7405F" w:rsidRPr="00A7405F">
        <w:rPr>
          <w:rFonts w:cstheme="minorHAnsi"/>
        </w:rPr>
        <w:t xml:space="preserve">Lukas </w:t>
      </w:r>
      <w:proofErr w:type="spellStart"/>
      <w:r w:rsidR="00A7405F" w:rsidRPr="00A7405F">
        <w:rPr>
          <w:rFonts w:cstheme="minorHAnsi"/>
        </w:rPr>
        <w:t>Rengier</w:t>
      </w:r>
      <w:proofErr w:type="spellEnd"/>
      <w:r w:rsidR="00A7405F" w:rsidRPr="00A7405F">
        <w:rPr>
          <w:rFonts w:cstheme="minorHAnsi"/>
        </w:rPr>
        <w:t>, ‘Cartel Damages Actions in German Courts: What the Statistics Tell Us’ (2020) 11 Journal of European Competition Law and Practice 72.</w:t>
      </w:r>
    </w:p>
  </w:footnote>
  <w:footnote w:id="28">
    <w:p w14:paraId="3F8953EC" w14:textId="0F7F3C49" w:rsidR="00DE10E8" w:rsidRPr="000D5F1C" w:rsidRDefault="00DE10E8">
      <w:pPr>
        <w:pStyle w:val="FootnoteText"/>
        <w:rPr>
          <w:rFonts w:cstheme="minorHAnsi"/>
        </w:rPr>
      </w:pPr>
      <w:r w:rsidRPr="000D5F1C">
        <w:rPr>
          <w:rStyle w:val="FootnoteReference"/>
          <w:rFonts w:cstheme="minorHAnsi"/>
        </w:rPr>
        <w:footnoteRef/>
      </w:r>
      <w:r w:rsidRPr="000D5F1C">
        <w:rPr>
          <w:rFonts w:cstheme="minorHAnsi"/>
        </w:rPr>
        <w:t xml:space="preserve"> </w:t>
      </w:r>
      <w:r w:rsidR="00716706" w:rsidRPr="00716706">
        <w:rPr>
          <w:rFonts w:cstheme="minorHAnsi"/>
        </w:rPr>
        <w:t>Jean-François Laborde, ‘Cartel damages actions in Europe: How courts have assessed cartel overcharges (2021 ed.)’ (2021) 3 Concurrences 232</w:t>
      </w:r>
      <w:r w:rsidR="00716706">
        <w:rPr>
          <w:rFonts w:cstheme="minorHAnsi"/>
        </w:rPr>
        <w:t>,</w:t>
      </w:r>
      <w:r w:rsidRPr="000D5F1C">
        <w:rPr>
          <w:rFonts w:cstheme="minorHAnsi"/>
        </w:rPr>
        <w:t xml:space="preserve"> 235</w:t>
      </w:r>
      <w:r w:rsidR="00C53602">
        <w:rPr>
          <w:rFonts w:cstheme="minorHAnsi"/>
        </w:rPr>
        <w:t>.</w:t>
      </w:r>
    </w:p>
  </w:footnote>
  <w:footnote w:id="29">
    <w:p w14:paraId="31AD94C4" w14:textId="59D5CE7E" w:rsidR="00EE2E7A" w:rsidRPr="000D5F1C" w:rsidRDefault="00EE2E7A">
      <w:pPr>
        <w:pStyle w:val="FootnoteText"/>
        <w:rPr>
          <w:rFonts w:cstheme="minorHAnsi"/>
        </w:rPr>
      </w:pPr>
      <w:r w:rsidRPr="000D5F1C">
        <w:rPr>
          <w:rStyle w:val="FootnoteReference"/>
          <w:rFonts w:cstheme="minorHAnsi"/>
        </w:rPr>
        <w:footnoteRef/>
      </w:r>
      <w:r w:rsidRPr="000D5F1C">
        <w:rPr>
          <w:rFonts w:cstheme="minorHAnsi"/>
        </w:rPr>
        <w:t xml:space="preserve"> </w:t>
      </w:r>
      <w:r w:rsidR="00716706">
        <w:rPr>
          <w:rFonts w:cstheme="minorHAnsi"/>
        </w:rPr>
        <w:t>ibid</w:t>
      </w:r>
      <w:r w:rsidR="00C53602">
        <w:rPr>
          <w:rFonts w:cstheme="minorHAnsi"/>
        </w:rPr>
        <w:t>.</w:t>
      </w:r>
    </w:p>
  </w:footnote>
  <w:footnote w:id="30">
    <w:p w14:paraId="56F5F533" w14:textId="142E4B8A" w:rsidR="00FC0E1C" w:rsidRPr="000D5F1C" w:rsidRDefault="00FC0E1C">
      <w:pPr>
        <w:pStyle w:val="FootnoteText"/>
        <w:rPr>
          <w:rFonts w:cstheme="minorHAnsi"/>
        </w:rPr>
      </w:pPr>
      <w:r w:rsidRPr="000D5F1C">
        <w:rPr>
          <w:rStyle w:val="FootnoteReference"/>
          <w:rFonts w:cstheme="minorHAnsi"/>
        </w:rPr>
        <w:footnoteRef/>
      </w:r>
      <w:r w:rsidRPr="000D5F1C">
        <w:rPr>
          <w:rFonts w:cstheme="minorHAnsi"/>
        </w:rPr>
        <w:t xml:space="preserve"> </w:t>
      </w:r>
      <w:r w:rsidR="00A7405F" w:rsidRPr="00A7405F">
        <w:rPr>
          <w:rFonts w:cstheme="minorHAnsi"/>
        </w:rPr>
        <w:t xml:space="preserve">Lukas </w:t>
      </w:r>
      <w:proofErr w:type="spellStart"/>
      <w:r w:rsidR="00A7405F" w:rsidRPr="00A7405F">
        <w:rPr>
          <w:rFonts w:cstheme="minorHAnsi"/>
        </w:rPr>
        <w:t>Rengier</w:t>
      </w:r>
      <w:proofErr w:type="spellEnd"/>
      <w:r w:rsidR="00A7405F" w:rsidRPr="00A7405F">
        <w:rPr>
          <w:rFonts w:cstheme="minorHAnsi"/>
        </w:rPr>
        <w:t>, ‘Cartel Damages Actions in German Courts: What the Statistics Tell Us’ (2020) 11 Journal of European Competition Law and Practice 72.</w:t>
      </w:r>
    </w:p>
  </w:footnote>
  <w:footnote w:id="31">
    <w:p w14:paraId="30626B82" w14:textId="181A50A8" w:rsidR="001B73FD" w:rsidRPr="000D5F1C" w:rsidRDefault="001B73FD">
      <w:pPr>
        <w:pStyle w:val="FootnoteText"/>
        <w:rPr>
          <w:rFonts w:cstheme="minorHAnsi"/>
        </w:rPr>
      </w:pPr>
      <w:r w:rsidRPr="000D5F1C">
        <w:rPr>
          <w:rStyle w:val="FootnoteReference"/>
          <w:rFonts w:cstheme="minorHAnsi"/>
        </w:rPr>
        <w:footnoteRef/>
      </w:r>
      <w:r w:rsidRPr="000D5F1C">
        <w:rPr>
          <w:rFonts w:cstheme="minorHAnsi"/>
        </w:rPr>
        <w:t xml:space="preserve"> </w:t>
      </w:r>
      <w:r w:rsidR="00A7405F">
        <w:rPr>
          <w:rFonts w:cstheme="minorHAnsi"/>
        </w:rPr>
        <w:t>ibid.</w:t>
      </w:r>
    </w:p>
  </w:footnote>
  <w:footnote w:id="32">
    <w:p w14:paraId="67B9946F" w14:textId="7093B49D" w:rsidR="001B73FD" w:rsidRPr="000D5F1C" w:rsidRDefault="001B73FD">
      <w:pPr>
        <w:pStyle w:val="FootnoteText"/>
        <w:rPr>
          <w:rFonts w:cstheme="minorHAnsi"/>
        </w:rPr>
      </w:pPr>
      <w:r w:rsidRPr="000D5F1C">
        <w:rPr>
          <w:rStyle w:val="FootnoteReference"/>
          <w:rFonts w:cstheme="minorHAnsi"/>
        </w:rPr>
        <w:footnoteRef/>
      </w:r>
      <w:r w:rsidRPr="000D5F1C">
        <w:rPr>
          <w:rFonts w:cstheme="minorHAnsi"/>
        </w:rPr>
        <w:t xml:space="preserve"> </w:t>
      </w:r>
      <w:r w:rsidR="00A7405F">
        <w:rPr>
          <w:rFonts w:cstheme="minorHAnsi"/>
        </w:rPr>
        <w:t>ibid.</w:t>
      </w:r>
    </w:p>
  </w:footnote>
  <w:footnote w:id="33">
    <w:p w14:paraId="3E9E615B" w14:textId="3E2969E2" w:rsidR="00FA3E06" w:rsidRPr="000D5F1C" w:rsidRDefault="00FA3E06">
      <w:pPr>
        <w:pStyle w:val="FootnoteText"/>
        <w:rPr>
          <w:rFonts w:cstheme="minorHAnsi"/>
        </w:rPr>
      </w:pPr>
      <w:r w:rsidRPr="000D5F1C">
        <w:rPr>
          <w:rStyle w:val="FootnoteReference"/>
          <w:rFonts w:cstheme="minorHAnsi"/>
        </w:rPr>
        <w:footnoteRef/>
      </w:r>
      <w:r w:rsidRPr="000D5F1C">
        <w:rPr>
          <w:rFonts w:cstheme="minorHAnsi"/>
        </w:rPr>
        <w:t xml:space="preserve"> </w:t>
      </w:r>
      <w:bookmarkStart w:id="19" w:name="_Hlk107443643"/>
      <w:r w:rsidR="00B20A60" w:rsidRPr="00B20A60">
        <w:rPr>
          <w:rFonts w:cstheme="minorHAnsi"/>
        </w:rPr>
        <w:t>Sarah Beeston and Anouk Rutten, ‘The Dutch torpedo case’ (2015), 14 CLI 14</w:t>
      </w:r>
      <w:r w:rsidR="00B20A60">
        <w:rPr>
          <w:rFonts w:cstheme="minorHAnsi"/>
        </w:rPr>
        <w:t xml:space="preserve">, </w:t>
      </w:r>
      <w:r w:rsidRPr="000D5F1C">
        <w:rPr>
          <w:rFonts w:cstheme="minorHAnsi"/>
        </w:rPr>
        <w:t>14-15</w:t>
      </w:r>
      <w:bookmarkEnd w:id="19"/>
      <w:r w:rsidR="00A0068C" w:rsidRPr="000D5F1C">
        <w:rPr>
          <w:rFonts w:cstheme="minorHAnsi"/>
        </w:rPr>
        <w:t xml:space="preserve">; </w:t>
      </w:r>
      <w:bookmarkStart w:id="20" w:name="_Hlk107444331"/>
      <w:r w:rsidR="00A0068C" w:rsidRPr="000D5F1C">
        <w:rPr>
          <w:rFonts w:cstheme="minorHAnsi"/>
        </w:rPr>
        <w:t>COUNCIL REGULATION (EC) No 44/2001 of 22 December 2000 on jurisdiction and the recognition and enforcement of judgments in civil and commercial matters [2001] OJ L12/1</w:t>
      </w:r>
      <w:bookmarkEnd w:id="20"/>
      <w:r w:rsidR="00C53602">
        <w:rPr>
          <w:rFonts w:cstheme="minorHAnsi"/>
        </w:rPr>
        <w:t>.</w:t>
      </w:r>
    </w:p>
  </w:footnote>
  <w:footnote w:id="34">
    <w:p w14:paraId="07A06D55" w14:textId="74BB03D0" w:rsidR="00971452" w:rsidRPr="000D5F1C" w:rsidRDefault="00971452">
      <w:pPr>
        <w:pStyle w:val="FootnoteText"/>
        <w:rPr>
          <w:rFonts w:cstheme="minorHAnsi"/>
        </w:rPr>
      </w:pPr>
      <w:r w:rsidRPr="000D5F1C">
        <w:rPr>
          <w:rStyle w:val="FootnoteReference"/>
          <w:rFonts w:cstheme="minorHAnsi"/>
        </w:rPr>
        <w:footnoteRef/>
      </w:r>
      <w:r w:rsidRPr="000D5F1C">
        <w:rPr>
          <w:rFonts w:cstheme="minorHAnsi"/>
        </w:rPr>
        <w:t xml:space="preserve"> </w:t>
      </w:r>
      <w:bookmarkStart w:id="21" w:name="_Hlk107443655"/>
      <w:r w:rsidRPr="000D5F1C">
        <w:rPr>
          <w:rFonts w:cstheme="minorHAnsi"/>
        </w:rPr>
        <w:t xml:space="preserve">Andreas </w:t>
      </w:r>
      <w:proofErr w:type="spellStart"/>
      <w:r w:rsidRPr="000D5F1C">
        <w:rPr>
          <w:rFonts w:cstheme="minorHAnsi"/>
        </w:rPr>
        <w:t>Weitbrecht</w:t>
      </w:r>
      <w:proofErr w:type="spellEnd"/>
      <w:r w:rsidRPr="000D5F1C">
        <w:rPr>
          <w:rFonts w:cstheme="minorHAnsi"/>
        </w:rPr>
        <w:t xml:space="preserve">, </w:t>
      </w:r>
      <w:r w:rsidR="00AB0F26">
        <w:rPr>
          <w:rFonts w:cstheme="minorHAnsi"/>
        </w:rPr>
        <w:t>‘</w:t>
      </w:r>
      <w:r w:rsidRPr="000D5F1C">
        <w:rPr>
          <w:rFonts w:cstheme="minorHAnsi"/>
        </w:rPr>
        <w:t>Coming of age: private enforcement in Germany</w:t>
      </w:r>
      <w:r w:rsidR="00AB0F26">
        <w:rPr>
          <w:rFonts w:cstheme="minorHAnsi"/>
        </w:rPr>
        <w:t>’</w:t>
      </w:r>
      <w:r w:rsidRPr="000D5F1C">
        <w:rPr>
          <w:rFonts w:cstheme="minorHAnsi"/>
        </w:rPr>
        <w:t xml:space="preserve"> (2019)</w:t>
      </w:r>
      <w:bookmarkEnd w:id="21"/>
      <w:r w:rsidR="00AB0F26">
        <w:rPr>
          <w:rFonts w:cstheme="minorHAnsi"/>
        </w:rPr>
        <w:t xml:space="preserve"> 12 GCLR 51</w:t>
      </w:r>
      <w:r w:rsidR="00C53602">
        <w:rPr>
          <w:rFonts w:cstheme="minorHAnsi"/>
        </w:rPr>
        <w:t>.</w:t>
      </w:r>
    </w:p>
  </w:footnote>
  <w:footnote w:id="35">
    <w:p w14:paraId="61CE0D90" w14:textId="0A256359" w:rsidR="00726479" w:rsidRPr="000D5F1C" w:rsidRDefault="00726479" w:rsidP="00726479">
      <w:pPr>
        <w:pStyle w:val="FootnoteText"/>
        <w:rPr>
          <w:rFonts w:cstheme="minorHAnsi"/>
        </w:rPr>
      </w:pPr>
      <w:r w:rsidRPr="000D5F1C">
        <w:rPr>
          <w:rStyle w:val="FootnoteReference"/>
          <w:rFonts w:cstheme="minorHAnsi"/>
        </w:rPr>
        <w:footnoteRef/>
      </w:r>
      <w:r w:rsidRPr="000D5F1C">
        <w:rPr>
          <w:rFonts w:cstheme="minorHAnsi"/>
        </w:rPr>
        <w:t xml:space="preserve"> </w:t>
      </w:r>
      <w:r w:rsidR="00A556C6">
        <w:t>Alex Petrasincu, 'Private Antitrust Enforcement in Germany' (2018) 4 CLPD 14</w:t>
      </w:r>
      <w:r w:rsidR="00C53602">
        <w:rPr>
          <w:rFonts w:cstheme="minorHAnsi"/>
        </w:rPr>
        <w:t>.</w:t>
      </w:r>
    </w:p>
  </w:footnote>
  <w:footnote w:id="36">
    <w:p w14:paraId="15EFC19C" w14:textId="5569A890" w:rsidR="00C312C3" w:rsidRPr="000D5F1C" w:rsidRDefault="00C312C3">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C53602">
        <w:rPr>
          <w:rFonts w:cstheme="minorHAnsi"/>
        </w:rPr>
        <w:t>bid.</w:t>
      </w:r>
    </w:p>
  </w:footnote>
  <w:footnote w:id="37">
    <w:p w14:paraId="7EB94B68" w14:textId="2725ECFC" w:rsidR="00224DD3" w:rsidRPr="000D5F1C" w:rsidRDefault="00224DD3">
      <w:pPr>
        <w:pStyle w:val="FootnoteText"/>
        <w:rPr>
          <w:rFonts w:cstheme="minorHAnsi"/>
        </w:rPr>
      </w:pPr>
      <w:r w:rsidRPr="000D5F1C">
        <w:rPr>
          <w:rStyle w:val="FootnoteReference"/>
          <w:rFonts w:cstheme="minorHAnsi"/>
        </w:rPr>
        <w:footnoteRef/>
      </w:r>
      <w:r w:rsidRPr="000D5F1C">
        <w:rPr>
          <w:rFonts w:cstheme="minorHAnsi"/>
        </w:rPr>
        <w:t xml:space="preserve"> </w:t>
      </w:r>
      <w:bookmarkStart w:id="22" w:name="_Hlk107443674"/>
      <w:r w:rsidRPr="000D5F1C">
        <w:rPr>
          <w:rFonts w:cstheme="minorHAnsi"/>
        </w:rPr>
        <w:t xml:space="preserve">Volker </w:t>
      </w:r>
      <w:proofErr w:type="spellStart"/>
      <w:r w:rsidRPr="000D5F1C">
        <w:rPr>
          <w:rFonts w:cstheme="minorHAnsi"/>
        </w:rPr>
        <w:t>Soyez</w:t>
      </w:r>
      <w:proofErr w:type="spellEnd"/>
      <w:r w:rsidRPr="000D5F1C">
        <w:rPr>
          <w:rFonts w:cstheme="minorHAnsi"/>
        </w:rPr>
        <w:t xml:space="preserve">, ‘Germany: implementation of the EU Damages Directive in Germany’ (2017) </w:t>
      </w:r>
      <w:r w:rsidR="00E86743">
        <w:rPr>
          <w:rFonts w:cstheme="minorHAnsi"/>
        </w:rPr>
        <w:t xml:space="preserve">10 </w:t>
      </w:r>
      <w:r w:rsidRPr="000D5F1C">
        <w:rPr>
          <w:rFonts w:cstheme="minorHAnsi"/>
        </w:rPr>
        <w:t>GCLR</w:t>
      </w:r>
      <w:bookmarkEnd w:id="22"/>
      <w:r w:rsidRPr="000D5F1C">
        <w:rPr>
          <w:rFonts w:cstheme="minorHAnsi"/>
        </w:rPr>
        <w:t xml:space="preserve"> 37</w:t>
      </w:r>
      <w:r w:rsidR="00F512A6" w:rsidRPr="000D5F1C">
        <w:rPr>
          <w:rFonts w:cstheme="minorHAnsi"/>
        </w:rPr>
        <w:t xml:space="preserve">; </w:t>
      </w:r>
      <w:bookmarkStart w:id="23" w:name="_Hlk107443695"/>
      <w:r w:rsidR="00F512A6" w:rsidRPr="000D5F1C">
        <w:rPr>
          <w:rFonts w:cstheme="minorHAnsi"/>
        </w:rPr>
        <w:t xml:space="preserve">Sebastian </w:t>
      </w:r>
      <w:proofErr w:type="spellStart"/>
      <w:r w:rsidR="00F512A6" w:rsidRPr="000D5F1C">
        <w:rPr>
          <w:rFonts w:cstheme="minorHAnsi"/>
        </w:rPr>
        <w:t>Jungermann</w:t>
      </w:r>
      <w:proofErr w:type="spellEnd"/>
      <w:r w:rsidR="00F512A6" w:rsidRPr="000D5F1C">
        <w:rPr>
          <w:rFonts w:cstheme="minorHAnsi"/>
        </w:rPr>
        <w:t xml:space="preserve"> </w:t>
      </w:r>
      <w:r w:rsidR="007F3DAA">
        <w:rPr>
          <w:rFonts w:cstheme="minorHAnsi"/>
        </w:rPr>
        <w:t>and</w:t>
      </w:r>
      <w:r w:rsidR="00F512A6" w:rsidRPr="000D5F1C">
        <w:rPr>
          <w:rFonts w:cstheme="minorHAnsi"/>
        </w:rPr>
        <w:t xml:space="preserve"> </w:t>
      </w:r>
      <w:proofErr w:type="spellStart"/>
      <w:r w:rsidR="00F512A6" w:rsidRPr="000D5F1C">
        <w:rPr>
          <w:rFonts w:cstheme="minorHAnsi"/>
        </w:rPr>
        <w:t>Arnecke</w:t>
      </w:r>
      <w:proofErr w:type="spellEnd"/>
      <w:r w:rsidR="00F512A6" w:rsidRPr="000D5F1C">
        <w:rPr>
          <w:rFonts w:cstheme="minorHAnsi"/>
        </w:rPr>
        <w:t xml:space="preserve"> </w:t>
      </w:r>
      <w:proofErr w:type="spellStart"/>
      <w:r w:rsidR="00F512A6" w:rsidRPr="000D5F1C">
        <w:rPr>
          <w:rFonts w:cstheme="minorHAnsi"/>
        </w:rPr>
        <w:t>Sibeth</w:t>
      </w:r>
      <w:proofErr w:type="spellEnd"/>
      <w:r w:rsidR="00F512A6" w:rsidRPr="000D5F1C">
        <w:rPr>
          <w:rFonts w:cstheme="minorHAnsi"/>
        </w:rPr>
        <w:t xml:space="preserve"> </w:t>
      </w:r>
      <w:proofErr w:type="spellStart"/>
      <w:r w:rsidR="00F512A6" w:rsidRPr="000D5F1C">
        <w:rPr>
          <w:rFonts w:cstheme="minorHAnsi"/>
        </w:rPr>
        <w:t>Dabelstein</w:t>
      </w:r>
      <w:proofErr w:type="spellEnd"/>
      <w:r w:rsidR="00F512A6" w:rsidRPr="000D5F1C">
        <w:rPr>
          <w:rFonts w:cstheme="minorHAnsi"/>
        </w:rPr>
        <w:t xml:space="preserve">, ‘The Private Competition Enforcement Review: Germany’ in Ilene </w:t>
      </w:r>
      <w:proofErr w:type="spellStart"/>
      <w:r w:rsidR="00F512A6" w:rsidRPr="000D5F1C">
        <w:rPr>
          <w:rFonts w:cstheme="minorHAnsi"/>
        </w:rPr>
        <w:t>Knable</w:t>
      </w:r>
      <w:proofErr w:type="spellEnd"/>
      <w:r w:rsidR="00F512A6" w:rsidRPr="000D5F1C">
        <w:rPr>
          <w:rFonts w:cstheme="minorHAnsi"/>
        </w:rPr>
        <w:t xml:space="preserve"> Gotts and Kevin S. Schwartz (eds), </w:t>
      </w:r>
      <w:r w:rsidR="00F512A6" w:rsidRPr="000D5F1C">
        <w:rPr>
          <w:rFonts w:cstheme="minorHAnsi"/>
          <w:i/>
          <w:iCs/>
        </w:rPr>
        <w:t xml:space="preserve">The Private Competition Enforcement Review </w:t>
      </w:r>
      <w:r w:rsidR="00F512A6" w:rsidRPr="000D5F1C">
        <w:rPr>
          <w:rFonts w:cstheme="minorHAnsi"/>
        </w:rPr>
        <w:t>(15</w:t>
      </w:r>
      <w:r w:rsidR="00F512A6" w:rsidRPr="000D5F1C">
        <w:rPr>
          <w:rFonts w:cstheme="minorHAnsi"/>
          <w:vertAlign w:val="superscript"/>
        </w:rPr>
        <w:t>th</w:t>
      </w:r>
      <w:r w:rsidR="00F512A6" w:rsidRPr="000D5F1C">
        <w:rPr>
          <w:rFonts w:cstheme="minorHAnsi"/>
        </w:rPr>
        <w:t xml:space="preserve"> edition, The Law Reviews 2022)</w:t>
      </w:r>
      <w:bookmarkEnd w:id="23"/>
      <w:r w:rsidR="00F512A6" w:rsidRPr="000D5F1C">
        <w:rPr>
          <w:rFonts w:cstheme="minorHAnsi"/>
        </w:rPr>
        <w:t xml:space="preserve">; </w:t>
      </w:r>
      <w:r w:rsidR="00A556C6">
        <w:t>Alex Petrasincu, 'Private Antitrust Enforcement in Germany' (2018) 4 CLPD 14</w:t>
      </w:r>
      <w:r w:rsidR="00C53602">
        <w:rPr>
          <w:rFonts w:cstheme="minorHAnsi"/>
        </w:rPr>
        <w:t>.</w:t>
      </w:r>
    </w:p>
  </w:footnote>
  <w:footnote w:id="38">
    <w:p w14:paraId="5D634C84" w14:textId="29CBD0F0" w:rsidR="00F512A6" w:rsidRPr="000D5F1C" w:rsidRDefault="00F512A6">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C53602">
        <w:rPr>
          <w:rFonts w:cstheme="minorHAnsi"/>
        </w:rPr>
        <w:t>.</w:t>
      </w:r>
    </w:p>
  </w:footnote>
  <w:footnote w:id="39">
    <w:p w14:paraId="31D14D83" w14:textId="702F7AEC" w:rsidR="00A82125" w:rsidRPr="000D5F1C" w:rsidRDefault="00A82125">
      <w:pPr>
        <w:pStyle w:val="FootnoteText"/>
        <w:rPr>
          <w:rFonts w:cstheme="minorHAnsi"/>
        </w:rPr>
      </w:pPr>
      <w:r w:rsidRPr="000D5F1C">
        <w:rPr>
          <w:rStyle w:val="FootnoteReference"/>
          <w:rFonts w:cstheme="minorHAnsi"/>
        </w:rPr>
        <w:footnoteRef/>
      </w:r>
      <w:r w:rsidRPr="000D5F1C">
        <w:rPr>
          <w:rFonts w:cstheme="minorHAnsi"/>
        </w:rPr>
        <w:t xml:space="preserve"> </w:t>
      </w:r>
      <w:r w:rsidR="00A556C6">
        <w:t>Alex Petrasincu, 'Private Antitrust Enforcement in Germany' (2018) 4 CLPD 14</w:t>
      </w:r>
      <w:r w:rsidR="00C53602">
        <w:rPr>
          <w:rFonts w:cstheme="minorHAnsi"/>
        </w:rPr>
        <w:t>.</w:t>
      </w:r>
    </w:p>
  </w:footnote>
  <w:footnote w:id="40">
    <w:p w14:paraId="12DFE758" w14:textId="68137438" w:rsidR="00923EFF" w:rsidRPr="000D5F1C" w:rsidRDefault="00923EFF">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C53602">
        <w:rPr>
          <w:rFonts w:cstheme="minorHAnsi"/>
        </w:rPr>
        <w:t>.</w:t>
      </w:r>
    </w:p>
  </w:footnote>
  <w:footnote w:id="41">
    <w:p w14:paraId="3BFF6414" w14:textId="4FF53270" w:rsidR="009B6F58" w:rsidRPr="000D5F1C" w:rsidRDefault="009B6F58">
      <w:pPr>
        <w:pStyle w:val="FootnoteText"/>
        <w:rPr>
          <w:rFonts w:cstheme="minorHAnsi"/>
        </w:rPr>
      </w:pPr>
      <w:r w:rsidRPr="000D5F1C">
        <w:rPr>
          <w:rStyle w:val="FootnoteReference"/>
          <w:rFonts w:cstheme="minorHAnsi"/>
        </w:rPr>
        <w:footnoteRef/>
      </w:r>
      <w:r w:rsidRPr="000D5F1C">
        <w:rPr>
          <w:rFonts w:cstheme="minorHAnsi"/>
        </w:rPr>
        <w:t xml:space="preserve"> </w:t>
      </w:r>
      <w:r w:rsidR="00A556C6">
        <w:t>Alex Petrasincu, 'Private Antitrust Enforcement in Germany' (2018) 4 CLPD 14</w:t>
      </w:r>
      <w:r w:rsidR="00A82125" w:rsidRPr="000D5F1C">
        <w:rPr>
          <w:rFonts w:cstheme="minorHAnsi"/>
        </w:rPr>
        <w:t>, 15</w:t>
      </w:r>
      <w:r w:rsidR="00C53602">
        <w:rPr>
          <w:rFonts w:cstheme="minorHAnsi"/>
        </w:rPr>
        <w:t>.</w:t>
      </w:r>
    </w:p>
  </w:footnote>
  <w:footnote w:id="42">
    <w:p w14:paraId="03E70FEE" w14:textId="6B06E0CD" w:rsidR="00224DD3" w:rsidRPr="000D5F1C" w:rsidRDefault="00224DD3">
      <w:pPr>
        <w:pStyle w:val="FootnoteText"/>
        <w:rPr>
          <w:rFonts w:cstheme="minorHAnsi"/>
        </w:rPr>
      </w:pPr>
      <w:r w:rsidRPr="000D5F1C">
        <w:rPr>
          <w:rStyle w:val="FootnoteReference"/>
          <w:rFonts w:cstheme="minorHAnsi"/>
        </w:rPr>
        <w:footnoteRef/>
      </w:r>
      <w:r w:rsidRPr="000D5F1C">
        <w:rPr>
          <w:rFonts w:cstheme="minorHAnsi"/>
        </w:rPr>
        <w:t xml:space="preserve"> </w:t>
      </w:r>
      <w:r w:rsidR="00E86743" w:rsidRPr="000D5F1C">
        <w:rPr>
          <w:rFonts w:cstheme="minorHAnsi"/>
        </w:rPr>
        <w:t xml:space="preserve">Volker </w:t>
      </w:r>
      <w:proofErr w:type="spellStart"/>
      <w:r w:rsidR="00E86743" w:rsidRPr="000D5F1C">
        <w:rPr>
          <w:rFonts w:cstheme="minorHAnsi"/>
        </w:rPr>
        <w:t>Soyez</w:t>
      </w:r>
      <w:proofErr w:type="spellEnd"/>
      <w:r w:rsidR="00E86743" w:rsidRPr="000D5F1C">
        <w:rPr>
          <w:rFonts w:cstheme="minorHAnsi"/>
        </w:rPr>
        <w:t xml:space="preserve">, ‘Germany: implementation of the EU Damages Directive in Germany’ (2017) </w:t>
      </w:r>
      <w:r w:rsidR="00E86743">
        <w:rPr>
          <w:rFonts w:cstheme="minorHAnsi"/>
        </w:rPr>
        <w:t xml:space="preserve">10 </w:t>
      </w:r>
      <w:r w:rsidR="00E86743" w:rsidRPr="000D5F1C">
        <w:rPr>
          <w:rFonts w:cstheme="minorHAnsi"/>
        </w:rPr>
        <w:t>GCLR 37</w:t>
      </w:r>
      <w:r w:rsidR="00C53602">
        <w:rPr>
          <w:rFonts w:cstheme="minorHAnsi"/>
        </w:rPr>
        <w:t>.</w:t>
      </w:r>
    </w:p>
  </w:footnote>
  <w:footnote w:id="43">
    <w:p w14:paraId="0FC6645F" w14:textId="67C458E5" w:rsidR="008C43C2" w:rsidRPr="000D5F1C" w:rsidRDefault="008C43C2">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C53602">
        <w:rPr>
          <w:rFonts w:cstheme="minorHAnsi"/>
        </w:rPr>
        <w:t>.</w:t>
      </w:r>
    </w:p>
  </w:footnote>
  <w:footnote w:id="44">
    <w:p w14:paraId="47A35F6C" w14:textId="2397D093" w:rsidR="006A5A5B" w:rsidRPr="000D5F1C" w:rsidRDefault="006A5A5B">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C53602">
        <w:rPr>
          <w:rFonts w:cstheme="minorHAnsi"/>
        </w:rPr>
        <w:t>bid.</w:t>
      </w:r>
    </w:p>
  </w:footnote>
  <w:footnote w:id="45">
    <w:p w14:paraId="67F594E9" w14:textId="1A10ADA3" w:rsidR="006A5A5B" w:rsidRPr="000D5F1C" w:rsidRDefault="006A5A5B" w:rsidP="006A5A5B">
      <w:pPr>
        <w:pStyle w:val="FootnoteText"/>
        <w:rPr>
          <w:rFonts w:cstheme="minorHAnsi"/>
        </w:rPr>
      </w:pPr>
      <w:r w:rsidRPr="000D5F1C">
        <w:rPr>
          <w:rStyle w:val="FootnoteReference"/>
          <w:rFonts w:cstheme="minorHAnsi"/>
        </w:rPr>
        <w:footnoteRef/>
      </w:r>
      <w:r w:rsidRPr="000D5F1C">
        <w:rPr>
          <w:rFonts w:cstheme="minorHAnsi"/>
        </w:rPr>
        <w:t xml:space="preserve"> </w:t>
      </w:r>
      <w:bookmarkStart w:id="26" w:name="_Hlk107443709"/>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w:t>
      </w:r>
      <w:bookmarkEnd w:id="26"/>
      <w:r w:rsidR="00B5635B">
        <w:rPr>
          <w:rFonts w:cstheme="minorHAnsi"/>
        </w:rPr>
        <w:t xml:space="preserve"> </w:t>
      </w:r>
      <w:r w:rsidR="00842443">
        <w:rPr>
          <w:rFonts w:cstheme="minorHAnsi"/>
        </w:rPr>
        <w:t xml:space="preserve">26 </w:t>
      </w:r>
      <w:r w:rsidR="00B5635B">
        <w:rPr>
          <w:rFonts w:cstheme="minorHAnsi"/>
        </w:rPr>
        <w:t>&lt;</w:t>
      </w:r>
      <w:r w:rsidR="00B5635B" w:rsidRPr="00B5635B">
        <w:rPr>
          <w:rFonts w:cstheme="minorHAnsi"/>
        </w:rPr>
        <w:t>https://ssrn.com/abstract=4066102</w:t>
      </w:r>
      <w:r w:rsidR="00842443">
        <w:rPr>
          <w:rFonts w:cstheme="minorHAnsi"/>
        </w:rPr>
        <w:t>&gt; accessed 2 May 2022</w:t>
      </w:r>
      <w:r w:rsidR="00C53602">
        <w:rPr>
          <w:rFonts w:cstheme="minorHAnsi"/>
        </w:rPr>
        <w:t>.</w:t>
      </w:r>
    </w:p>
  </w:footnote>
  <w:footnote w:id="46">
    <w:p w14:paraId="79B27125" w14:textId="1150D982" w:rsidR="00177015" w:rsidRPr="000D5F1C" w:rsidRDefault="00177015" w:rsidP="00177015">
      <w:pPr>
        <w:pStyle w:val="FootnoteText"/>
        <w:rPr>
          <w:rFonts w:cstheme="minorHAnsi"/>
        </w:rPr>
      </w:pPr>
      <w:r w:rsidRPr="000D5F1C">
        <w:rPr>
          <w:rStyle w:val="FootnoteReference"/>
          <w:rFonts w:cstheme="minorHAnsi"/>
        </w:rPr>
        <w:footnoteRef/>
      </w:r>
      <w:r w:rsidRPr="000D5F1C">
        <w:rPr>
          <w:rFonts w:cstheme="minorHAnsi"/>
        </w:rPr>
        <w:t xml:space="preserve"> </w:t>
      </w:r>
      <w:bookmarkStart w:id="29" w:name="_Hlk107443728"/>
      <w:r w:rsidRPr="000D5F1C">
        <w:rPr>
          <w:rFonts w:cstheme="minorHAnsi"/>
        </w:rPr>
        <w:t>GWB</w:t>
      </w:r>
      <w:r w:rsidR="003A1958">
        <w:rPr>
          <w:rFonts w:cstheme="minorHAnsi"/>
        </w:rPr>
        <w:t>,</w:t>
      </w:r>
      <w:r w:rsidRPr="000D5F1C">
        <w:rPr>
          <w:rFonts w:cstheme="minorHAnsi"/>
        </w:rPr>
        <w:t xml:space="preserve"> Section 89(1)</w:t>
      </w:r>
      <w:bookmarkEnd w:id="29"/>
      <w:r w:rsidR="00C53602">
        <w:rPr>
          <w:rFonts w:cstheme="minorHAnsi"/>
        </w:rPr>
        <w:t>.</w:t>
      </w:r>
    </w:p>
  </w:footnote>
  <w:footnote w:id="47">
    <w:p w14:paraId="4DAB8084" w14:textId="493B48F9" w:rsidR="00177015" w:rsidRPr="000D5F1C" w:rsidRDefault="00177015" w:rsidP="00177015">
      <w:pPr>
        <w:pStyle w:val="FootnoteText"/>
        <w:rPr>
          <w:rFonts w:cstheme="minorHAnsi"/>
        </w:rPr>
      </w:pPr>
      <w:r w:rsidRPr="000D5F1C">
        <w:rPr>
          <w:rStyle w:val="FootnoteReference"/>
          <w:rFonts w:cstheme="minorHAnsi"/>
        </w:rPr>
        <w:footnoteRef/>
      </w:r>
      <w:r w:rsidRPr="000D5F1C">
        <w:rPr>
          <w:rFonts w:cstheme="minorHAnsi"/>
        </w:rPr>
        <w:t xml:space="preserve"> </w:t>
      </w:r>
      <w:r w:rsidR="000A0A03" w:rsidRPr="000A0A03">
        <w:rPr>
          <w:rFonts w:cstheme="minorHAnsi"/>
        </w:rPr>
        <w:t xml:space="preserve">Martin </w:t>
      </w:r>
      <w:proofErr w:type="spellStart"/>
      <w:r w:rsidR="000A0A03" w:rsidRPr="000A0A03">
        <w:rPr>
          <w:rFonts w:cstheme="minorHAnsi"/>
        </w:rPr>
        <w:t>Buntscheck</w:t>
      </w:r>
      <w:proofErr w:type="spellEnd"/>
      <w:r w:rsidR="000A0A03" w:rsidRPr="000A0A03">
        <w:rPr>
          <w:rFonts w:cstheme="minorHAnsi"/>
        </w:rPr>
        <w:t xml:space="preserve"> and Hanna </w:t>
      </w:r>
      <w:proofErr w:type="spellStart"/>
      <w:r w:rsidR="000A0A03" w:rsidRPr="000A0A03">
        <w:rPr>
          <w:rFonts w:cstheme="minorHAnsi"/>
        </w:rPr>
        <w:t>Stichweh</w:t>
      </w:r>
      <w:proofErr w:type="spellEnd"/>
      <w:r w:rsidR="000A0A03" w:rsidRPr="000A0A03">
        <w:rPr>
          <w:rFonts w:cstheme="minorHAnsi"/>
        </w:rPr>
        <w:t>, ‘Germany: Private Antitrust Litigation’ (2015) The European Antitrust Review 154 &lt;https://www.buntscheck.com/sites/default/files/downloads/european-antitrust-review-2015.pdf&gt; accessed 7 May 2022</w:t>
      </w:r>
    </w:p>
  </w:footnote>
  <w:footnote w:id="48">
    <w:p w14:paraId="476E2D55" w14:textId="1549DD3C" w:rsidR="00177015" w:rsidRPr="000D5F1C" w:rsidRDefault="00177015" w:rsidP="00177015">
      <w:pPr>
        <w:pStyle w:val="FootnoteText"/>
        <w:rPr>
          <w:rFonts w:cstheme="minorHAnsi"/>
        </w:rPr>
      </w:pPr>
      <w:r w:rsidRPr="000D5F1C">
        <w:rPr>
          <w:rStyle w:val="FootnoteReference"/>
          <w:rFonts w:cstheme="minorHAnsi"/>
        </w:rPr>
        <w:footnoteRef/>
      </w:r>
      <w:r w:rsidRPr="000D5F1C">
        <w:rPr>
          <w:rFonts w:cstheme="minorHAnsi"/>
        </w:rPr>
        <w:t xml:space="preserve"> </w:t>
      </w:r>
      <w:bookmarkStart w:id="30" w:name="_Hlk107480824"/>
      <w:r w:rsidRPr="000D5F1C">
        <w:rPr>
          <w:rFonts w:cstheme="minorHAnsi"/>
        </w:rPr>
        <w:t>Dominik Wolski, ‘Can an Ideal Court Model in Private Antitrust Enforcement Be Established?’ (2018</w:t>
      </w:r>
      <w:r w:rsidR="007A7005">
        <w:rPr>
          <w:rFonts w:cstheme="minorHAnsi"/>
        </w:rPr>
        <w:t>) 11</w:t>
      </w:r>
      <w:bookmarkEnd w:id="30"/>
      <w:r w:rsidR="007A7005">
        <w:rPr>
          <w:rFonts w:cstheme="minorHAnsi"/>
        </w:rPr>
        <w:t xml:space="preserve"> YARS 115</w:t>
      </w:r>
      <w:r w:rsidRPr="000D5F1C">
        <w:rPr>
          <w:rFonts w:cstheme="minorHAnsi"/>
        </w:rPr>
        <w:t>, 127</w:t>
      </w:r>
      <w:r w:rsidR="00C53602">
        <w:rPr>
          <w:rFonts w:cstheme="minorHAnsi"/>
        </w:rPr>
        <w:t>.</w:t>
      </w:r>
    </w:p>
  </w:footnote>
  <w:footnote w:id="49">
    <w:p w14:paraId="68CDE680" w14:textId="6557548E" w:rsidR="00177015" w:rsidRPr="000D5F1C" w:rsidRDefault="00177015" w:rsidP="00177015">
      <w:pPr>
        <w:pStyle w:val="FootnoteText"/>
        <w:rPr>
          <w:rFonts w:cstheme="minorHAnsi"/>
        </w:rPr>
      </w:pPr>
      <w:r w:rsidRPr="000D5F1C">
        <w:rPr>
          <w:rStyle w:val="FootnoteReference"/>
          <w:rFonts w:cstheme="minorHAnsi"/>
        </w:rPr>
        <w:footnoteRef/>
      </w:r>
      <w:r w:rsidRPr="000D5F1C">
        <w:rPr>
          <w:rFonts w:cstheme="minorHAnsi"/>
        </w:rPr>
        <w:t xml:space="preserve"> </w:t>
      </w:r>
      <w:r w:rsidR="007510A7">
        <w:rPr>
          <w:rFonts w:cstheme="minorHAnsi"/>
        </w:rPr>
        <w:t>ibid</w:t>
      </w:r>
      <w:r w:rsidRPr="000D5F1C">
        <w:rPr>
          <w:rFonts w:cstheme="minorHAnsi"/>
        </w:rPr>
        <w:t xml:space="preserve"> 127-128</w:t>
      </w:r>
      <w:r w:rsidR="00C53602">
        <w:rPr>
          <w:rFonts w:cstheme="minorHAnsi"/>
        </w:rPr>
        <w:t>.</w:t>
      </w:r>
    </w:p>
  </w:footnote>
  <w:footnote w:id="50">
    <w:p w14:paraId="094D4532" w14:textId="6253BE86"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32" w:name="_Hlk107443765"/>
      <w:bookmarkStart w:id="33" w:name="_Hlk107444270"/>
      <w:r w:rsidR="00AB0E8C" w:rsidRPr="00E2681D">
        <w:rPr>
          <w:rFonts w:cstheme="minorHAnsi"/>
          <w:lang w:val="en-GB"/>
        </w:rPr>
        <w:t>German Code of Civil Procedure (</w:t>
      </w:r>
      <w:r w:rsidRPr="000D5F1C">
        <w:rPr>
          <w:rFonts w:cstheme="minorHAnsi"/>
        </w:rPr>
        <w:t>ZPO</w:t>
      </w:r>
      <w:r w:rsidR="00AB0E8C">
        <w:rPr>
          <w:rFonts w:cstheme="minorHAnsi"/>
        </w:rPr>
        <w:t>)</w:t>
      </w:r>
      <w:r w:rsidR="003A1958">
        <w:rPr>
          <w:rFonts w:cstheme="minorHAnsi"/>
        </w:rPr>
        <w:t>,</w:t>
      </w:r>
      <w:r w:rsidRPr="000D5F1C">
        <w:rPr>
          <w:rFonts w:cstheme="minorHAnsi"/>
        </w:rPr>
        <w:t xml:space="preserve"> </w:t>
      </w:r>
      <w:r w:rsidR="00AB0E8C">
        <w:rPr>
          <w:rFonts w:cstheme="minorHAnsi"/>
        </w:rPr>
        <w:t>S</w:t>
      </w:r>
      <w:r w:rsidRPr="000D5F1C">
        <w:rPr>
          <w:rFonts w:cstheme="minorHAnsi"/>
        </w:rPr>
        <w:t>ection 91(1</w:t>
      </w:r>
      <w:bookmarkEnd w:id="32"/>
      <w:bookmarkEnd w:id="33"/>
      <w:r w:rsidR="00C25BB6">
        <w:rPr>
          <w:rFonts w:cstheme="minorHAnsi"/>
        </w:rPr>
        <w:t>)</w:t>
      </w:r>
      <w:r w:rsidR="00C53602">
        <w:rPr>
          <w:rFonts w:cstheme="minorHAnsi"/>
        </w:rPr>
        <w:t>.</w:t>
      </w:r>
    </w:p>
  </w:footnote>
  <w:footnote w:id="51">
    <w:p w14:paraId="746452BF" w14:textId="56041CD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5-6</w:t>
      </w:r>
      <w:r w:rsidR="00B66124">
        <w:rPr>
          <w:rFonts w:cstheme="minorHAnsi"/>
        </w:rPr>
        <w:t>.</w:t>
      </w:r>
    </w:p>
  </w:footnote>
  <w:footnote w:id="52">
    <w:p w14:paraId="47C76372" w14:textId="73503B0D"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34" w:name="_Hlk107443781"/>
      <w:r w:rsidRPr="000D5F1C">
        <w:rPr>
          <w:rFonts w:cstheme="minorHAnsi"/>
        </w:rPr>
        <w:t xml:space="preserve">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w:t>
      </w:r>
      <w:bookmarkEnd w:id="34"/>
      <w:r w:rsidRPr="000D5F1C">
        <w:rPr>
          <w:rFonts w:cstheme="minorHAnsi"/>
        </w:rPr>
        <w:t>, 97</w:t>
      </w:r>
      <w:r w:rsidR="00B66124">
        <w:rPr>
          <w:rFonts w:cstheme="minorHAnsi"/>
        </w:rPr>
        <w:t>.</w:t>
      </w:r>
    </w:p>
  </w:footnote>
  <w:footnote w:id="53">
    <w:p w14:paraId="473EE235" w14:textId="6F322A22"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5</w:t>
      </w:r>
      <w:r w:rsidR="00B66124">
        <w:rPr>
          <w:rFonts w:cstheme="minorHAnsi"/>
        </w:rPr>
        <w:t>.</w:t>
      </w:r>
    </w:p>
  </w:footnote>
  <w:footnote w:id="54">
    <w:p w14:paraId="5278E445" w14:textId="2D892FF7"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0D77E8">
        <w:rPr>
          <w:rFonts w:cstheme="minorHAnsi"/>
        </w:rPr>
        <w:t>bid</w:t>
      </w:r>
      <w:r w:rsidR="00B66124">
        <w:rPr>
          <w:rFonts w:cstheme="minorHAnsi"/>
        </w:rPr>
        <w:t xml:space="preserve"> </w:t>
      </w:r>
      <w:r w:rsidRPr="000D5F1C">
        <w:rPr>
          <w:rFonts w:cstheme="minorHAnsi"/>
        </w:rPr>
        <w:t>6</w:t>
      </w:r>
      <w:r w:rsidR="00B66124">
        <w:rPr>
          <w:rFonts w:cstheme="minorHAnsi"/>
        </w:rPr>
        <w:t>.</w:t>
      </w:r>
    </w:p>
  </w:footnote>
  <w:footnote w:id="55">
    <w:p w14:paraId="02D9FCD1" w14:textId="5DCF30D0"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0A0A03" w:rsidRPr="000A0A03">
        <w:rPr>
          <w:rFonts w:cstheme="minorHAnsi"/>
        </w:rPr>
        <w:t xml:space="preserve">Martin </w:t>
      </w:r>
      <w:proofErr w:type="spellStart"/>
      <w:r w:rsidR="000A0A03" w:rsidRPr="000A0A03">
        <w:rPr>
          <w:rFonts w:cstheme="minorHAnsi"/>
        </w:rPr>
        <w:t>Buntscheck</w:t>
      </w:r>
      <w:proofErr w:type="spellEnd"/>
      <w:r w:rsidR="000A0A03" w:rsidRPr="000A0A03">
        <w:rPr>
          <w:rFonts w:cstheme="minorHAnsi"/>
        </w:rPr>
        <w:t xml:space="preserve"> and Hanna </w:t>
      </w:r>
      <w:proofErr w:type="spellStart"/>
      <w:r w:rsidR="000A0A03" w:rsidRPr="000A0A03">
        <w:rPr>
          <w:rFonts w:cstheme="minorHAnsi"/>
        </w:rPr>
        <w:t>Stichweh</w:t>
      </w:r>
      <w:proofErr w:type="spellEnd"/>
      <w:r w:rsidR="000A0A03" w:rsidRPr="000A0A03">
        <w:rPr>
          <w:rFonts w:cstheme="minorHAnsi"/>
        </w:rPr>
        <w:t>, ‘Germany: Private Antitrust Litigation’ (2015) The European Antitrust Review 154</w:t>
      </w:r>
      <w:r w:rsidRPr="000D5F1C">
        <w:rPr>
          <w:rFonts w:cstheme="minorHAnsi"/>
        </w:rPr>
        <w:t>, 157</w:t>
      </w:r>
      <w:r w:rsidR="00B66124">
        <w:rPr>
          <w:rFonts w:cstheme="minorHAnsi"/>
        </w:rPr>
        <w:t>.</w:t>
      </w:r>
    </w:p>
  </w:footnote>
  <w:footnote w:id="56">
    <w:p w14:paraId="7FC497EB" w14:textId="3D285DC0"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6</w:t>
      </w:r>
      <w:r w:rsidR="00842443">
        <w:rPr>
          <w:rFonts w:cstheme="minorHAnsi"/>
        </w:rPr>
        <w:t>.</w:t>
      </w:r>
    </w:p>
  </w:footnote>
  <w:footnote w:id="57">
    <w:p w14:paraId="340502D8" w14:textId="77C278E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0D77E8">
        <w:rPr>
          <w:rFonts w:cstheme="minorHAnsi"/>
        </w:rPr>
        <w:t>bid</w:t>
      </w:r>
      <w:r w:rsidR="00B66124">
        <w:rPr>
          <w:rFonts w:cstheme="minorHAnsi"/>
        </w:rPr>
        <w:t>.</w:t>
      </w:r>
    </w:p>
  </w:footnote>
  <w:footnote w:id="58">
    <w:p w14:paraId="3F4AD53C" w14:textId="6F09E8F3"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0A0A03" w:rsidRPr="000A0A03">
        <w:rPr>
          <w:rFonts w:cstheme="minorHAnsi"/>
        </w:rPr>
        <w:t xml:space="preserve">Martin </w:t>
      </w:r>
      <w:proofErr w:type="spellStart"/>
      <w:r w:rsidR="000A0A03" w:rsidRPr="000A0A03">
        <w:rPr>
          <w:rFonts w:cstheme="minorHAnsi"/>
        </w:rPr>
        <w:t>Buntscheck</w:t>
      </w:r>
      <w:proofErr w:type="spellEnd"/>
      <w:r w:rsidR="000A0A03" w:rsidRPr="000A0A03">
        <w:rPr>
          <w:rFonts w:cstheme="minorHAnsi"/>
        </w:rPr>
        <w:t xml:space="preserve"> and Hanna </w:t>
      </w:r>
      <w:proofErr w:type="spellStart"/>
      <w:r w:rsidR="000A0A03" w:rsidRPr="000A0A03">
        <w:rPr>
          <w:rFonts w:cstheme="minorHAnsi"/>
        </w:rPr>
        <w:t>Stichweh</w:t>
      </w:r>
      <w:proofErr w:type="spellEnd"/>
      <w:r w:rsidR="000A0A03" w:rsidRPr="000A0A03">
        <w:rPr>
          <w:rFonts w:cstheme="minorHAnsi"/>
        </w:rPr>
        <w:t>, ‘Germany: Private Antitrust Litigation’ (2015) The European Antitrust Review 154</w:t>
      </w:r>
      <w:r w:rsidR="00B66124">
        <w:rPr>
          <w:rFonts w:cstheme="minorHAnsi"/>
        </w:rPr>
        <w:t>.</w:t>
      </w:r>
    </w:p>
  </w:footnote>
  <w:footnote w:id="59">
    <w:p w14:paraId="34E3448D" w14:textId="3C93396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B66124">
        <w:rPr>
          <w:rFonts w:cstheme="minorHAnsi"/>
        </w:rPr>
        <w:t>.</w:t>
      </w:r>
    </w:p>
  </w:footnote>
  <w:footnote w:id="60">
    <w:p w14:paraId="0DC9A254" w14:textId="25ACE68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89a(1)</w:t>
      </w:r>
      <w:r w:rsidR="00B66124">
        <w:rPr>
          <w:rFonts w:cstheme="minorHAnsi"/>
        </w:rPr>
        <w:t>.</w:t>
      </w:r>
    </w:p>
  </w:footnote>
  <w:footnote w:id="61">
    <w:p w14:paraId="0B652079" w14:textId="75143CE7"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100</w:t>
      </w:r>
      <w:r w:rsidR="00B66124">
        <w:rPr>
          <w:rFonts w:cstheme="minorHAnsi"/>
        </w:rPr>
        <w:t>.</w:t>
      </w:r>
    </w:p>
  </w:footnote>
  <w:footnote w:id="62">
    <w:p w14:paraId="419B7F06" w14:textId="3F4B4353"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0D77E8">
        <w:rPr>
          <w:rFonts w:cstheme="minorHAnsi"/>
        </w:rPr>
        <w:t xml:space="preserve">bid </w:t>
      </w:r>
      <w:r w:rsidRPr="000D5F1C">
        <w:rPr>
          <w:rFonts w:cstheme="minorHAnsi"/>
        </w:rPr>
        <w:t>97</w:t>
      </w:r>
      <w:r w:rsidR="00B66124">
        <w:rPr>
          <w:rFonts w:cstheme="minorHAnsi"/>
        </w:rPr>
        <w:t>.</w:t>
      </w:r>
    </w:p>
  </w:footnote>
  <w:footnote w:id="63">
    <w:p w14:paraId="0564E472" w14:textId="247159CA"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ZPO</w:t>
      </w:r>
      <w:r w:rsidR="003A1958">
        <w:rPr>
          <w:rFonts w:cstheme="minorHAnsi"/>
        </w:rPr>
        <w:t>,</w:t>
      </w:r>
      <w:r w:rsidRPr="000D5F1C">
        <w:rPr>
          <w:rFonts w:cstheme="minorHAnsi"/>
        </w:rPr>
        <w:t xml:space="preserve"> Section 101(1) in conjunction with 91 et seq</w:t>
      </w:r>
      <w:r w:rsidR="00B66124">
        <w:rPr>
          <w:rFonts w:cstheme="minorHAnsi"/>
        </w:rPr>
        <w:t>.</w:t>
      </w:r>
    </w:p>
  </w:footnote>
  <w:footnote w:id="64">
    <w:p w14:paraId="0A9CA609" w14:textId="2B8E5534"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97</w:t>
      </w:r>
      <w:r w:rsidR="00B66124">
        <w:rPr>
          <w:rFonts w:cstheme="minorHAnsi"/>
        </w:rPr>
        <w:t>.</w:t>
      </w:r>
    </w:p>
  </w:footnote>
  <w:footnote w:id="65">
    <w:p w14:paraId="369A58B9" w14:textId="0E6775EC"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89a(3)</w:t>
      </w:r>
      <w:r w:rsidR="00B66124">
        <w:rPr>
          <w:rFonts w:cstheme="minorHAnsi"/>
        </w:rPr>
        <w:t>.</w:t>
      </w:r>
    </w:p>
  </w:footnote>
  <w:footnote w:id="66">
    <w:p w14:paraId="5A4A868D" w14:textId="1C5354C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97</w:t>
      </w:r>
      <w:r w:rsidR="00B66124">
        <w:rPr>
          <w:rFonts w:cstheme="minorHAnsi"/>
        </w:rPr>
        <w:t>.</w:t>
      </w:r>
    </w:p>
  </w:footnote>
  <w:footnote w:id="67">
    <w:p w14:paraId="7818A4CA" w14:textId="33CBAA36"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0D77E8">
        <w:rPr>
          <w:rFonts w:cstheme="minorHAnsi"/>
        </w:rPr>
        <w:t>ibid</w:t>
      </w:r>
      <w:r w:rsidRPr="000D5F1C">
        <w:rPr>
          <w:rFonts w:cstheme="minorHAnsi"/>
        </w:rPr>
        <w:t xml:space="preserve"> 100</w:t>
      </w:r>
      <w:r w:rsidR="00B66124">
        <w:rPr>
          <w:rFonts w:cstheme="minorHAnsi"/>
        </w:rPr>
        <w:t>.</w:t>
      </w:r>
    </w:p>
  </w:footnote>
  <w:footnote w:id="68">
    <w:p w14:paraId="0B5D52BB" w14:textId="41D2C506" w:rsidR="00CB2A14" w:rsidRPr="000D5F1C" w:rsidRDefault="00CB2A14" w:rsidP="00CB2A14">
      <w:pPr>
        <w:pStyle w:val="FootnoteText"/>
        <w:rPr>
          <w:rFonts w:cstheme="minorHAnsi"/>
        </w:rPr>
      </w:pPr>
      <w:r w:rsidRPr="000D5F1C">
        <w:rPr>
          <w:rStyle w:val="FootnoteReference"/>
          <w:rFonts w:cstheme="minorHAnsi"/>
        </w:rPr>
        <w:footnoteRef/>
      </w:r>
      <w:r w:rsidRPr="000D5F1C">
        <w:rPr>
          <w:rFonts w:cstheme="minorHAnsi"/>
        </w:rPr>
        <w:t xml:space="preserve"> </w:t>
      </w:r>
      <w:bookmarkStart w:id="35" w:name="_Hlk107443818"/>
      <w:r w:rsidR="004C6C91">
        <w:rPr>
          <w:rFonts w:cstheme="minorHAnsi"/>
        </w:rPr>
        <w:t xml:space="preserve">Alex </w:t>
      </w:r>
      <w:proofErr w:type="spellStart"/>
      <w:r w:rsidRPr="00CB2A14">
        <w:rPr>
          <w:rFonts w:cstheme="minorHAnsi"/>
        </w:rPr>
        <w:t>Petrasincu</w:t>
      </w:r>
      <w:proofErr w:type="spellEnd"/>
      <w:r w:rsidRPr="00CB2A14">
        <w:rPr>
          <w:rFonts w:cstheme="minorHAnsi"/>
        </w:rPr>
        <w:t>, ‘</w:t>
      </w:r>
      <w:proofErr w:type="spellStart"/>
      <w:r w:rsidRPr="00CB2A14">
        <w:rPr>
          <w:rFonts w:cstheme="minorHAnsi"/>
        </w:rPr>
        <w:t>Kartellschadensersatz</w:t>
      </w:r>
      <w:proofErr w:type="spellEnd"/>
      <w:r w:rsidRPr="00CB2A14">
        <w:rPr>
          <w:rFonts w:cstheme="minorHAnsi"/>
        </w:rPr>
        <w:t xml:space="preserve"> </w:t>
      </w:r>
      <w:proofErr w:type="spellStart"/>
      <w:r w:rsidRPr="00CB2A14">
        <w:rPr>
          <w:rFonts w:cstheme="minorHAnsi"/>
        </w:rPr>
        <w:t>nach</w:t>
      </w:r>
      <w:proofErr w:type="spellEnd"/>
      <w:r w:rsidRPr="00CB2A14">
        <w:rPr>
          <w:rFonts w:cstheme="minorHAnsi"/>
        </w:rPr>
        <w:t xml:space="preserve"> dem </w:t>
      </w:r>
      <w:proofErr w:type="spellStart"/>
      <w:r w:rsidRPr="00CB2A14">
        <w:rPr>
          <w:rFonts w:cstheme="minorHAnsi"/>
        </w:rPr>
        <w:t>Referentenentwurf</w:t>
      </w:r>
      <w:proofErr w:type="spellEnd"/>
      <w:r w:rsidRPr="00CB2A14">
        <w:rPr>
          <w:rFonts w:cstheme="minorHAnsi"/>
        </w:rPr>
        <w:t xml:space="preserve"> der 9. GWB-Novelle’</w:t>
      </w:r>
      <w:r w:rsidR="00FA0603">
        <w:rPr>
          <w:rFonts w:cstheme="minorHAnsi"/>
        </w:rPr>
        <w:t xml:space="preserve"> 66 (</w:t>
      </w:r>
      <w:r w:rsidRPr="00CB2A14">
        <w:rPr>
          <w:rFonts w:cstheme="minorHAnsi"/>
        </w:rPr>
        <w:t>2016</w:t>
      </w:r>
      <w:bookmarkEnd w:id="35"/>
      <w:r w:rsidR="00FA0603">
        <w:rPr>
          <w:rFonts w:cstheme="minorHAnsi"/>
        </w:rPr>
        <w:t>)</w:t>
      </w:r>
      <w:r w:rsidRPr="00CB2A14">
        <w:rPr>
          <w:rFonts w:cstheme="minorHAnsi"/>
        </w:rPr>
        <w:t xml:space="preserve"> </w:t>
      </w:r>
      <w:proofErr w:type="spellStart"/>
      <w:r w:rsidR="00FA0603">
        <w:rPr>
          <w:rFonts w:cstheme="minorHAnsi"/>
        </w:rPr>
        <w:t>WuW</w:t>
      </w:r>
      <w:proofErr w:type="spellEnd"/>
      <w:r w:rsidR="00FA0603">
        <w:rPr>
          <w:rFonts w:cstheme="minorHAnsi"/>
        </w:rPr>
        <w:t xml:space="preserve"> </w:t>
      </w:r>
      <w:r w:rsidRPr="00CB2A14">
        <w:rPr>
          <w:rFonts w:cstheme="minorHAnsi"/>
        </w:rPr>
        <w:t>330</w:t>
      </w:r>
      <w:r w:rsidR="007510A7">
        <w:rPr>
          <w:rFonts w:cstheme="minorHAnsi"/>
        </w:rPr>
        <w:t>,</w:t>
      </w:r>
      <w:r w:rsidRPr="00CB2A14">
        <w:rPr>
          <w:rFonts w:cstheme="minorHAnsi"/>
        </w:rPr>
        <w:t xml:space="preserve"> 335.</w:t>
      </w:r>
    </w:p>
  </w:footnote>
  <w:footnote w:id="69">
    <w:p w14:paraId="405C203B" w14:textId="43E7D578"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98</w:t>
      </w:r>
      <w:r w:rsidR="00B66124">
        <w:rPr>
          <w:rFonts w:cstheme="minorHAnsi"/>
        </w:rPr>
        <w:t>.</w:t>
      </w:r>
    </w:p>
  </w:footnote>
  <w:footnote w:id="70">
    <w:p w14:paraId="294D4FA0" w14:textId="2FF53682"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7510A7">
        <w:rPr>
          <w:rFonts w:cstheme="minorHAnsi"/>
        </w:rPr>
        <w:t>ibid</w:t>
      </w:r>
      <w:r w:rsidR="00B66124">
        <w:rPr>
          <w:rFonts w:cstheme="minorHAnsi"/>
        </w:rPr>
        <w:t>.</w:t>
      </w:r>
    </w:p>
  </w:footnote>
  <w:footnote w:id="71">
    <w:p w14:paraId="15F47EF3" w14:textId="6C0134A1" w:rsidR="00BC63AF" w:rsidRPr="000D5F1C" w:rsidRDefault="00BC63AF" w:rsidP="00BC63AF">
      <w:pPr>
        <w:pStyle w:val="FootnoteText"/>
        <w:rPr>
          <w:rFonts w:cstheme="minorHAnsi"/>
        </w:rPr>
      </w:pPr>
      <w:r w:rsidRPr="000D5F1C">
        <w:rPr>
          <w:rStyle w:val="FootnoteReference"/>
          <w:rFonts w:cstheme="minorHAnsi"/>
        </w:rPr>
        <w:footnoteRef/>
      </w:r>
      <w:r w:rsidR="007510A7">
        <w:rPr>
          <w:rFonts w:cstheme="minorHAnsi"/>
        </w:rPr>
        <w:t xml:space="preserve"> </w:t>
      </w:r>
      <w:r w:rsidR="00384D8F">
        <w:rPr>
          <w:rFonts w:cstheme="minorHAnsi"/>
        </w:rPr>
        <w:t>i</w:t>
      </w:r>
      <w:r w:rsidR="007510A7">
        <w:rPr>
          <w:rFonts w:cstheme="minorHAnsi"/>
        </w:rPr>
        <w:t>bid</w:t>
      </w:r>
      <w:r w:rsidR="00B66124">
        <w:rPr>
          <w:rFonts w:cstheme="minorHAnsi"/>
        </w:rPr>
        <w:t>.</w:t>
      </w:r>
    </w:p>
  </w:footnote>
  <w:footnote w:id="72">
    <w:p w14:paraId="3E1450BB" w14:textId="7367549A" w:rsidR="00BC63AF" w:rsidRPr="000D5F1C" w:rsidRDefault="00BC63AF" w:rsidP="00BC63AF">
      <w:pPr>
        <w:pStyle w:val="FootnoteText"/>
        <w:rPr>
          <w:rFonts w:cstheme="minorHAnsi"/>
        </w:rPr>
      </w:pPr>
      <w:bookmarkStart w:id="37" w:name="_Hlk107443839"/>
      <w:r w:rsidRPr="000D5F1C">
        <w:rPr>
          <w:rStyle w:val="FootnoteReference"/>
          <w:rFonts w:cstheme="minorHAnsi"/>
        </w:rPr>
        <w:footnoteRef/>
      </w:r>
      <w:r w:rsidRPr="000D5F1C">
        <w:rPr>
          <w:rFonts w:cstheme="minorHAnsi"/>
        </w:rPr>
        <w:t xml:space="preserve"> Rupert </w:t>
      </w:r>
      <w:proofErr w:type="spellStart"/>
      <w:r w:rsidRPr="000D5F1C">
        <w:rPr>
          <w:rFonts w:cstheme="minorHAnsi"/>
        </w:rPr>
        <w:t>Bellinghausen</w:t>
      </w:r>
      <w:proofErr w:type="spellEnd"/>
      <w:r w:rsidRPr="000D5F1C">
        <w:rPr>
          <w:rFonts w:cstheme="minorHAnsi"/>
        </w:rPr>
        <w:t xml:space="preserve"> </w:t>
      </w:r>
      <w:r w:rsidR="005539F2">
        <w:rPr>
          <w:rFonts w:cstheme="minorHAnsi"/>
        </w:rPr>
        <w:t>and others</w:t>
      </w:r>
      <w:r w:rsidRPr="000D5F1C">
        <w:rPr>
          <w:rFonts w:cstheme="minorHAnsi"/>
        </w:rPr>
        <w:t>, ‘The future of cartel damages litigation in the UK, the Netherlands and Germany after the implementation of the Damages Directive’ (2017)</w:t>
      </w:r>
      <w:r w:rsidR="005539F2">
        <w:rPr>
          <w:rFonts w:cstheme="minorHAnsi"/>
        </w:rPr>
        <w:t xml:space="preserve"> 10</w:t>
      </w:r>
      <w:r w:rsidRPr="000D5F1C">
        <w:rPr>
          <w:rFonts w:cstheme="minorHAnsi"/>
        </w:rPr>
        <w:t xml:space="preserve"> GCLR </w:t>
      </w:r>
      <w:bookmarkEnd w:id="37"/>
      <w:r w:rsidR="005539F2">
        <w:rPr>
          <w:rFonts w:cstheme="minorHAnsi"/>
        </w:rPr>
        <w:t>103</w:t>
      </w:r>
      <w:r w:rsidRPr="000D5F1C">
        <w:rPr>
          <w:rFonts w:cstheme="minorHAnsi"/>
        </w:rPr>
        <w:t>, 113</w:t>
      </w:r>
      <w:r w:rsidR="00B66124">
        <w:rPr>
          <w:rFonts w:cstheme="minorHAnsi"/>
        </w:rPr>
        <w:t>.</w:t>
      </w:r>
    </w:p>
  </w:footnote>
  <w:footnote w:id="73">
    <w:p w14:paraId="2C69DADF" w14:textId="2ABDF49B"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115-116</w:t>
      </w:r>
      <w:r w:rsidR="00B66124">
        <w:rPr>
          <w:rFonts w:cstheme="minorHAnsi"/>
        </w:rPr>
        <w:t>.</w:t>
      </w:r>
    </w:p>
  </w:footnote>
  <w:footnote w:id="74">
    <w:p w14:paraId="73FE54AE" w14:textId="24BE4E39"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7510A7">
        <w:rPr>
          <w:rFonts w:cstheme="minorHAnsi"/>
        </w:rPr>
        <w:t>ibid</w:t>
      </w:r>
      <w:r w:rsidRPr="000D5F1C">
        <w:rPr>
          <w:rFonts w:cstheme="minorHAnsi"/>
        </w:rPr>
        <w:t xml:space="preserve"> 116</w:t>
      </w:r>
      <w:r w:rsidR="00B66124">
        <w:rPr>
          <w:rFonts w:cstheme="minorHAnsi"/>
        </w:rPr>
        <w:t>.</w:t>
      </w:r>
    </w:p>
  </w:footnote>
  <w:footnote w:id="75">
    <w:p w14:paraId="02A8E9A1" w14:textId="3977CC66" w:rsidR="002E1277" w:rsidRPr="000D5F1C" w:rsidRDefault="002E1277" w:rsidP="002E1277">
      <w:pPr>
        <w:pStyle w:val="FootnoteText"/>
        <w:rPr>
          <w:rFonts w:cstheme="minorHAnsi"/>
        </w:rPr>
      </w:pPr>
      <w:r w:rsidRPr="000D5F1C">
        <w:rPr>
          <w:rStyle w:val="FootnoteReference"/>
          <w:rFonts w:cstheme="minorHAnsi"/>
        </w:rPr>
        <w:footnoteRef/>
      </w:r>
      <w:r w:rsidRPr="000D5F1C">
        <w:rPr>
          <w:rFonts w:cstheme="minorHAnsi"/>
        </w:rPr>
        <w:t xml:space="preserve"> </w:t>
      </w:r>
      <w:bookmarkStart w:id="39" w:name="_Hlk107443859"/>
      <w:r w:rsidRPr="000D5F1C">
        <w:rPr>
          <w:rFonts w:cstheme="minorHAnsi"/>
        </w:rPr>
        <w:t xml:space="preserve">Munich I Regional Court, </w:t>
      </w:r>
      <w:r w:rsidR="000F4148" w:rsidRPr="000D5F1C">
        <w:rPr>
          <w:rFonts w:cstheme="minorHAnsi"/>
        </w:rPr>
        <w:t>judgement of 7 February 2020</w:t>
      </w:r>
      <w:r w:rsidR="000F4148">
        <w:rPr>
          <w:rFonts w:cstheme="minorHAnsi"/>
        </w:rPr>
        <w:t xml:space="preserve">, </w:t>
      </w:r>
      <w:r w:rsidRPr="000D5F1C">
        <w:rPr>
          <w:rFonts w:cstheme="minorHAnsi"/>
        </w:rPr>
        <w:t>37 O 18934/17</w:t>
      </w:r>
      <w:bookmarkEnd w:id="39"/>
      <w:r w:rsidR="00B66124">
        <w:rPr>
          <w:rFonts w:cstheme="minorHAnsi"/>
        </w:rPr>
        <w:t>.</w:t>
      </w:r>
    </w:p>
  </w:footnote>
  <w:footnote w:id="76">
    <w:p w14:paraId="1AD56212" w14:textId="43E93407" w:rsidR="009F4562" w:rsidRPr="000D5F1C" w:rsidRDefault="009F4562" w:rsidP="009F4562">
      <w:pPr>
        <w:pStyle w:val="FootnoteText"/>
        <w:rPr>
          <w:rFonts w:cstheme="minorHAnsi"/>
        </w:rPr>
      </w:pPr>
      <w:r w:rsidRPr="000D5F1C">
        <w:rPr>
          <w:rStyle w:val="FootnoteReference"/>
          <w:rFonts w:cstheme="minorHAnsi"/>
        </w:rPr>
        <w:footnoteRef/>
      </w:r>
      <w:r w:rsidRPr="000D5F1C">
        <w:rPr>
          <w:rFonts w:cstheme="minorHAnsi"/>
        </w:rPr>
        <w:t xml:space="preserve"> </w:t>
      </w:r>
      <w:bookmarkStart w:id="40" w:name="_Hlk107443866"/>
      <w:r w:rsidRPr="000D5F1C">
        <w:rPr>
          <w:rFonts w:cstheme="minorHAnsi"/>
        </w:rPr>
        <w:t>BGH, judgement of 13 July 2021</w:t>
      </w:r>
      <w:r>
        <w:rPr>
          <w:rFonts w:cstheme="minorHAnsi"/>
        </w:rPr>
        <w:t>,</w:t>
      </w:r>
      <w:r w:rsidRPr="000D5F1C">
        <w:rPr>
          <w:rFonts w:cstheme="minorHAnsi"/>
        </w:rPr>
        <w:t xml:space="preserve"> II ZR 84/20</w:t>
      </w:r>
      <w:bookmarkEnd w:id="40"/>
      <w:r w:rsidR="00B66124">
        <w:rPr>
          <w:rFonts w:cstheme="minorHAnsi"/>
        </w:rPr>
        <w:t>.</w:t>
      </w:r>
    </w:p>
  </w:footnote>
  <w:footnote w:id="77">
    <w:p w14:paraId="692B7242" w14:textId="3389580F" w:rsidR="00A227A4" w:rsidRPr="000D5F1C" w:rsidRDefault="00A227A4" w:rsidP="00A227A4">
      <w:pPr>
        <w:pStyle w:val="FootnoteText"/>
        <w:rPr>
          <w:rFonts w:cstheme="minorHAnsi"/>
        </w:rPr>
      </w:pPr>
      <w:r w:rsidRPr="000D5F1C">
        <w:rPr>
          <w:rStyle w:val="FootnoteReference"/>
          <w:rFonts w:cstheme="minorHAnsi"/>
        </w:rPr>
        <w:footnoteRef/>
      </w:r>
      <w:r w:rsidRPr="000D5F1C">
        <w:rPr>
          <w:rFonts w:cstheme="minorHAnsi"/>
        </w:rPr>
        <w:t xml:space="preserve"> </w:t>
      </w:r>
      <w:bookmarkStart w:id="41" w:name="_Hlk107443910"/>
      <w:r w:rsidRPr="000D5F1C">
        <w:rPr>
          <w:rFonts w:cstheme="minorHAnsi"/>
        </w:rPr>
        <w:t xml:space="preserve">Volker </w:t>
      </w:r>
      <w:proofErr w:type="spellStart"/>
      <w:r w:rsidRPr="000D5F1C">
        <w:rPr>
          <w:rFonts w:cstheme="minorHAnsi"/>
        </w:rPr>
        <w:t>Soyez</w:t>
      </w:r>
      <w:proofErr w:type="spellEnd"/>
      <w:r w:rsidRPr="000D5F1C">
        <w:rPr>
          <w:rFonts w:cstheme="minorHAnsi"/>
        </w:rPr>
        <w:t>, ‘Germany: German Federal Supreme Court delivers further claimant-friendly verdicts’ (2022)</w:t>
      </w:r>
      <w:r w:rsidR="00CE2A19">
        <w:rPr>
          <w:rFonts w:cstheme="minorHAnsi"/>
        </w:rPr>
        <w:t xml:space="preserve"> 15</w:t>
      </w:r>
      <w:r w:rsidRPr="000D5F1C">
        <w:rPr>
          <w:rFonts w:cstheme="minorHAnsi"/>
        </w:rPr>
        <w:t xml:space="preserve"> GCLR 3</w:t>
      </w:r>
      <w:bookmarkEnd w:id="41"/>
      <w:r w:rsidR="00B66124">
        <w:rPr>
          <w:rFonts w:cstheme="minorHAnsi"/>
        </w:rPr>
        <w:t>.</w:t>
      </w:r>
    </w:p>
  </w:footnote>
  <w:footnote w:id="78">
    <w:p w14:paraId="42CB476F" w14:textId="1A6E8E45" w:rsidR="00A227A4" w:rsidRPr="000D5F1C" w:rsidRDefault="00A227A4" w:rsidP="00A227A4">
      <w:pPr>
        <w:pStyle w:val="FootnoteText"/>
        <w:rPr>
          <w:rFonts w:cstheme="minorHAnsi"/>
        </w:rPr>
      </w:pPr>
      <w:r w:rsidRPr="000D5F1C">
        <w:rPr>
          <w:rStyle w:val="FootnoteReference"/>
          <w:rFonts w:cstheme="minorHAnsi"/>
        </w:rPr>
        <w:footnoteRef/>
      </w:r>
      <w:r w:rsidRPr="000D5F1C">
        <w:rPr>
          <w:rFonts w:cstheme="minorHAnsi"/>
        </w:rPr>
        <w:t xml:space="preserve"> </w:t>
      </w:r>
      <w:r w:rsidR="00CF3D8A">
        <w:rPr>
          <w:rFonts w:cstheme="minorHAnsi"/>
        </w:rPr>
        <w:t>ibid</w:t>
      </w:r>
      <w:r w:rsidR="00B66124">
        <w:rPr>
          <w:rFonts w:cstheme="minorHAnsi"/>
        </w:rPr>
        <w:t>.</w:t>
      </w:r>
    </w:p>
  </w:footnote>
  <w:footnote w:id="79">
    <w:p w14:paraId="47D5C4A7" w14:textId="4B5F0587" w:rsidR="001616DA" w:rsidRDefault="001616DA">
      <w:pPr>
        <w:pStyle w:val="FootnoteText"/>
      </w:pPr>
      <w:r>
        <w:rPr>
          <w:rStyle w:val="FootnoteReference"/>
        </w:rPr>
        <w:footnoteRef/>
      </w:r>
      <w:r>
        <w:t xml:space="preserve"> </w:t>
      </w:r>
      <w:r w:rsidR="00CF3D8A">
        <w:rPr>
          <w:rFonts w:cstheme="minorHAnsi"/>
        </w:rPr>
        <w:t>ibid</w:t>
      </w:r>
      <w:r w:rsidR="00B66124">
        <w:rPr>
          <w:rFonts w:cstheme="minorHAnsi"/>
        </w:rPr>
        <w:t>.</w:t>
      </w:r>
    </w:p>
  </w:footnote>
  <w:footnote w:id="80">
    <w:p w14:paraId="117F320F" w14:textId="1E54B4C6"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Jens-Uwe Franck, ‘Chapter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82</w:t>
      </w:r>
      <w:r w:rsidR="00B66124">
        <w:rPr>
          <w:rFonts w:cstheme="minorHAnsi"/>
        </w:rPr>
        <w:t>.</w:t>
      </w:r>
    </w:p>
  </w:footnote>
  <w:footnote w:id="81">
    <w:p w14:paraId="57B02803" w14:textId="6DC5E77D"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44" w:name="_Hlk107443926"/>
      <w:r w:rsidRPr="000D5F1C">
        <w:rPr>
          <w:rFonts w:cstheme="minorHAnsi"/>
        </w:rPr>
        <w:t>DIRECTIVE 2014/104/EU OF THE EUROPEAN PARLIAMENT AND OF THE COUNCIL of 26 November 2014 on certain rules governing actions for damages under national law for infringements of the competition law provisions of the Member States and of the European Union</w:t>
      </w:r>
      <w:r w:rsidR="003561C0">
        <w:rPr>
          <w:rFonts w:cstheme="minorHAnsi"/>
        </w:rPr>
        <w:t xml:space="preserve"> [2014] </w:t>
      </w:r>
      <w:r w:rsidR="003561C0" w:rsidRPr="003561C0">
        <w:rPr>
          <w:rFonts w:cstheme="minorHAnsi"/>
        </w:rPr>
        <w:t>OJ L 349</w:t>
      </w:r>
      <w:r w:rsidRPr="000D5F1C">
        <w:rPr>
          <w:rFonts w:cstheme="minorHAnsi"/>
        </w:rPr>
        <w:t>, Chapter II, Article 5(1)</w:t>
      </w:r>
      <w:bookmarkEnd w:id="44"/>
      <w:r w:rsidR="00B66124">
        <w:rPr>
          <w:rFonts w:cstheme="minorHAnsi"/>
        </w:rPr>
        <w:t>.</w:t>
      </w:r>
    </w:p>
  </w:footnote>
  <w:footnote w:id="82">
    <w:p w14:paraId="1BFBEEA2" w14:textId="32A7E340"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33g(1)</w:t>
      </w:r>
      <w:r w:rsidR="00B66124">
        <w:rPr>
          <w:rFonts w:cstheme="minorHAnsi"/>
        </w:rPr>
        <w:t>.</w:t>
      </w:r>
    </w:p>
  </w:footnote>
  <w:footnote w:id="83">
    <w:p w14:paraId="2AFE73C7" w14:textId="5C4E8D0F"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45" w:name="_Hlk107443940"/>
      <w:r w:rsidRPr="000D5F1C">
        <w:rPr>
          <w:rFonts w:cstheme="minorHAnsi"/>
        </w:rPr>
        <w:t xml:space="preserve">Christian </w:t>
      </w:r>
      <w:proofErr w:type="spellStart"/>
      <w:r w:rsidRPr="000D5F1C">
        <w:rPr>
          <w:rFonts w:cstheme="minorHAnsi"/>
        </w:rPr>
        <w:t>Kersting</w:t>
      </w:r>
      <w:proofErr w:type="spellEnd"/>
      <w:r w:rsidRPr="000D5F1C">
        <w:rPr>
          <w:rFonts w:cstheme="minorHAnsi"/>
        </w:rPr>
        <w:t xml:space="preserve">, ‘Germany’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6, Oxford University Press 2019)</w:t>
      </w:r>
      <w:r w:rsidR="00B66124">
        <w:rPr>
          <w:rFonts w:cstheme="minorHAnsi"/>
        </w:rPr>
        <w:t>.</w:t>
      </w:r>
    </w:p>
    <w:bookmarkEnd w:id="45"/>
  </w:footnote>
  <w:footnote w:id="84">
    <w:p w14:paraId="7EAC523C" w14:textId="5CF4FA2B"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7510A7">
        <w:rPr>
          <w:rFonts w:cstheme="minorHAnsi"/>
        </w:rPr>
        <w:t>ibid</w:t>
      </w:r>
      <w:r w:rsidR="00B66124">
        <w:rPr>
          <w:rFonts w:cstheme="minorHAnsi"/>
        </w:rPr>
        <w:t>.</w:t>
      </w:r>
    </w:p>
  </w:footnote>
  <w:footnote w:id="85">
    <w:p w14:paraId="33DBC9CC" w14:textId="2E0D3F74"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33h(6)(3)</w:t>
      </w:r>
      <w:r w:rsidR="00B66124">
        <w:rPr>
          <w:rFonts w:cstheme="minorHAnsi"/>
        </w:rPr>
        <w:t>.</w:t>
      </w:r>
    </w:p>
  </w:footnote>
  <w:footnote w:id="86">
    <w:p w14:paraId="41E22862" w14:textId="4D480FFE" w:rsidR="00236485" w:rsidRDefault="00236485">
      <w:pPr>
        <w:pStyle w:val="FootnoteText"/>
      </w:pPr>
      <w:r>
        <w:rPr>
          <w:rStyle w:val="FootnoteReference"/>
        </w:rPr>
        <w:footnoteRef/>
      </w:r>
      <w:r>
        <w:t xml:space="preserve"> </w:t>
      </w:r>
      <w:r w:rsidRPr="000D5F1C">
        <w:rPr>
          <w:rFonts w:cstheme="minorHAnsi"/>
        </w:rPr>
        <w:t xml:space="preserve">Christian </w:t>
      </w:r>
      <w:proofErr w:type="spellStart"/>
      <w:r w:rsidRPr="000D5F1C">
        <w:rPr>
          <w:rFonts w:cstheme="minorHAnsi"/>
        </w:rPr>
        <w:t>Kersting</w:t>
      </w:r>
      <w:proofErr w:type="spellEnd"/>
      <w:r w:rsidRPr="000D5F1C">
        <w:rPr>
          <w:rFonts w:cstheme="minorHAnsi"/>
        </w:rPr>
        <w:t xml:space="preserve">, ‘Germany’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6, Oxford University Press 2019)</w:t>
      </w:r>
      <w:r>
        <w:rPr>
          <w:rFonts w:cstheme="minorHAnsi"/>
        </w:rPr>
        <w:t>, 156</w:t>
      </w:r>
      <w:r w:rsidR="00B66124">
        <w:rPr>
          <w:rFonts w:cstheme="minorHAnsi"/>
        </w:rPr>
        <w:t>.</w:t>
      </w:r>
    </w:p>
  </w:footnote>
  <w:footnote w:id="87">
    <w:p w14:paraId="5E173B93" w14:textId="759311E5" w:rsidR="005D323E" w:rsidRPr="000D5F1C" w:rsidRDefault="005D323E">
      <w:pPr>
        <w:pStyle w:val="FootnoteText"/>
        <w:rPr>
          <w:rFonts w:cstheme="minorHAnsi"/>
        </w:rPr>
      </w:pPr>
      <w:r w:rsidRPr="000D5F1C">
        <w:rPr>
          <w:rStyle w:val="FootnoteReference"/>
          <w:rFonts w:cstheme="minorHAnsi"/>
        </w:rPr>
        <w:footnoteRef/>
      </w:r>
      <w:r w:rsidRPr="000D5F1C">
        <w:rPr>
          <w:rFonts w:cstheme="minorHAnsi"/>
        </w:rPr>
        <w:t xml:space="preserve"> </w:t>
      </w:r>
      <w:r w:rsidR="00A556C6">
        <w:t>Alex Petrasincu, 'Private Antitrust Enforcement in Germany' (2018) 4 CLPD 14</w:t>
      </w:r>
      <w:r w:rsidRPr="000D5F1C">
        <w:rPr>
          <w:rFonts w:cstheme="minorHAnsi"/>
        </w:rPr>
        <w:t>, 16</w:t>
      </w:r>
      <w:r w:rsidR="00B66124">
        <w:rPr>
          <w:rFonts w:cstheme="minorHAnsi"/>
        </w:rPr>
        <w:t>.</w:t>
      </w:r>
    </w:p>
  </w:footnote>
  <w:footnote w:id="88">
    <w:p w14:paraId="5569908E" w14:textId="1F9674D1" w:rsidR="00984A9A" w:rsidRPr="000D5F1C" w:rsidRDefault="00984A9A">
      <w:pPr>
        <w:pStyle w:val="FootnoteText"/>
        <w:rPr>
          <w:rFonts w:cstheme="minorHAnsi"/>
        </w:rPr>
      </w:pPr>
      <w:r w:rsidRPr="000D5F1C">
        <w:rPr>
          <w:rStyle w:val="FootnoteReference"/>
          <w:rFonts w:cstheme="minorHAnsi"/>
        </w:rPr>
        <w:footnoteRef/>
      </w:r>
      <w:r w:rsidRPr="000D5F1C">
        <w:rPr>
          <w:rFonts w:cstheme="minorHAnsi"/>
        </w:rPr>
        <w:t xml:space="preserve"> </w:t>
      </w:r>
      <w:bookmarkStart w:id="47" w:name="_Hlk107444440"/>
      <w:r w:rsidR="000F4148">
        <w:rPr>
          <w:rFonts w:cstheme="minorHAnsi"/>
        </w:rPr>
        <w:t xml:space="preserve">OLG </w:t>
      </w:r>
      <w:r w:rsidRPr="000D5F1C">
        <w:rPr>
          <w:rFonts w:cstheme="minorHAnsi"/>
        </w:rPr>
        <w:t xml:space="preserve">Berlin, </w:t>
      </w:r>
      <w:r w:rsidR="000F4148">
        <w:rPr>
          <w:rFonts w:cstheme="minorHAnsi"/>
        </w:rPr>
        <w:t>j</w:t>
      </w:r>
      <w:r w:rsidRPr="000D5F1C">
        <w:rPr>
          <w:rFonts w:cstheme="minorHAnsi"/>
        </w:rPr>
        <w:t>udgement of 1 Octo</w:t>
      </w:r>
      <w:r w:rsidR="00FE4D1E" w:rsidRPr="000D5F1C">
        <w:rPr>
          <w:rFonts w:cstheme="minorHAnsi"/>
        </w:rPr>
        <w:t>b</w:t>
      </w:r>
      <w:r w:rsidRPr="000D5F1C">
        <w:rPr>
          <w:rFonts w:cstheme="minorHAnsi"/>
        </w:rPr>
        <w:t xml:space="preserve">er 2009, </w:t>
      </w:r>
      <w:bookmarkStart w:id="48" w:name="_Hlk107443995"/>
      <w:r w:rsidRPr="000D5F1C">
        <w:rPr>
          <w:rFonts w:cstheme="minorHAnsi"/>
        </w:rPr>
        <w:t>2 U 10/03 Kart</w:t>
      </w:r>
      <w:bookmarkEnd w:id="48"/>
      <w:r w:rsidRPr="000D5F1C">
        <w:rPr>
          <w:rFonts w:cstheme="minorHAnsi"/>
        </w:rPr>
        <w:t>, para 37 et seq;</w:t>
      </w:r>
      <w:bookmarkStart w:id="49" w:name="_Hlk107444051"/>
      <w:r w:rsidRPr="000D5F1C">
        <w:rPr>
          <w:rFonts w:cstheme="minorHAnsi"/>
        </w:rPr>
        <w:t xml:space="preserve"> </w:t>
      </w:r>
      <w:r w:rsidR="000F4148">
        <w:rPr>
          <w:rFonts w:cstheme="minorHAnsi"/>
        </w:rPr>
        <w:t xml:space="preserve">OLG </w:t>
      </w:r>
      <w:r w:rsidRPr="000D5F1C">
        <w:rPr>
          <w:rFonts w:cstheme="minorHAnsi"/>
        </w:rPr>
        <w:t>Karlsruhe, judgement of 31 July 2013, 6 U 51/12 Kart</w:t>
      </w:r>
      <w:bookmarkEnd w:id="49"/>
      <w:r w:rsidRPr="000D5F1C">
        <w:rPr>
          <w:rFonts w:cstheme="minorHAnsi"/>
        </w:rPr>
        <w:t xml:space="preserve">, </w:t>
      </w:r>
      <w:r w:rsidR="001E5A5B">
        <w:rPr>
          <w:rFonts w:cstheme="minorHAnsi"/>
        </w:rPr>
        <w:t xml:space="preserve">paras </w:t>
      </w:r>
      <w:r w:rsidRPr="000D5F1C">
        <w:rPr>
          <w:rFonts w:cstheme="minorHAnsi"/>
        </w:rPr>
        <w:t>366</w:t>
      </w:r>
      <w:r w:rsidR="001E5A5B">
        <w:rPr>
          <w:rFonts w:cstheme="minorHAnsi"/>
        </w:rPr>
        <w:t xml:space="preserve"> and</w:t>
      </w:r>
      <w:r w:rsidRPr="000D5F1C">
        <w:rPr>
          <w:rFonts w:cstheme="minorHAnsi"/>
        </w:rPr>
        <w:t xml:space="preserve"> 367</w:t>
      </w:r>
      <w:r w:rsidR="00B66124">
        <w:rPr>
          <w:rFonts w:cstheme="minorHAnsi"/>
        </w:rPr>
        <w:t>.</w:t>
      </w:r>
    </w:p>
    <w:bookmarkEnd w:id="47"/>
  </w:footnote>
  <w:footnote w:id="89">
    <w:p w14:paraId="794313EE" w14:textId="6A0C45F2" w:rsidR="00984A9A" w:rsidRPr="000D5F1C" w:rsidRDefault="00984A9A">
      <w:pPr>
        <w:pStyle w:val="FootnoteText"/>
        <w:rPr>
          <w:rFonts w:cstheme="minorHAnsi"/>
        </w:rPr>
      </w:pPr>
      <w:r w:rsidRPr="000D5F1C">
        <w:rPr>
          <w:rStyle w:val="FootnoteReference"/>
          <w:rFonts w:cstheme="minorHAnsi"/>
        </w:rPr>
        <w:footnoteRef/>
      </w:r>
      <w:r w:rsidRPr="000D5F1C">
        <w:rPr>
          <w:rFonts w:cstheme="minorHAnsi"/>
        </w:rPr>
        <w:t xml:space="preserve"> Christian </w:t>
      </w:r>
      <w:proofErr w:type="spellStart"/>
      <w:r w:rsidRPr="000D5F1C">
        <w:rPr>
          <w:rFonts w:cstheme="minorHAnsi"/>
        </w:rPr>
        <w:t>Kersting</w:t>
      </w:r>
      <w:proofErr w:type="spellEnd"/>
      <w:r w:rsidRPr="000D5F1C">
        <w:rPr>
          <w:rFonts w:cstheme="minorHAnsi"/>
        </w:rPr>
        <w:t xml:space="preserve">, ‘Germany’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6, Oxford University Press 2019)</w:t>
      </w:r>
      <w:r w:rsidR="00A748FA">
        <w:rPr>
          <w:rFonts w:cstheme="minorHAnsi"/>
        </w:rPr>
        <w:t>, 136</w:t>
      </w:r>
      <w:r w:rsidR="00B66124">
        <w:rPr>
          <w:rFonts w:cstheme="minorHAnsi"/>
        </w:rPr>
        <w:t>.</w:t>
      </w:r>
    </w:p>
  </w:footnote>
  <w:footnote w:id="90">
    <w:p w14:paraId="1DF6B453" w14:textId="73E454D0" w:rsidR="00D07AE2" w:rsidRPr="000D5F1C" w:rsidRDefault="00D07AE2">
      <w:pPr>
        <w:pStyle w:val="FootnoteText"/>
        <w:rPr>
          <w:rFonts w:cstheme="minorHAnsi"/>
        </w:rPr>
      </w:pPr>
      <w:r w:rsidRPr="000D5F1C">
        <w:rPr>
          <w:rStyle w:val="FootnoteReference"/>
          <w:rFonts w:cstheme="minorHAnsi"/>
        </w:rPr>
        <w:footnoteRef/>
      </w:r>
      <w:r w:rsidRPr="000D5F1C">
        <w:rPr>
          <w:rFonts w:cstheme="minorHAnsi"/>
        </w:rPr>
        <w:t xml:space="preserve"> Jens-Uwe Franck, </w:t>
      </w:r>
      <w:r w:rsidR="00712D2F" w:rsidRPr="000D5F1C">
        <w:rPr>
          <w:rFonts w:cstheme="minorHAnsi"/>
        </w:rPr>
        <w:t>‘</w:t>
      </w:r>
      <w:r w:rsidRPr="000D5F1C">
        <w:rPr>
          <w:rFonts w:cstheme="minorHAnsi"/>
        </w:rPr>
        <w:t xml:space="preserve">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95</w:t>
      </w:r>
      <w:r w:rsidR="00B66124">
        <w:rPr>
          <w:rFonts w:cstheme="minorHAnsi"/>
        </w:rPr>
        <w:t>.</w:t>
      </w:r>
    </w:p>
  </w:footnote>
  <w:footnote w:id="91">
    <w:p w14:paraId="6FB50FCD" w14:textId="1996B217" w:rsidR="0063070C" w:rsidRPr="000D5F1C" w:rsidRDefault="0063070C">
      <w:pPr>
        <w:pStyle w:val="FootnoteText"/>
        <w:rPr>
          <w:rFonts w:cstheme="minorHAnsi"/>
        </w:rPr>
      </w:pPr>
      <w:r w:rsidRPr="000D5F1C">
        <w:rPr>
          <w:rStyle w:val="FootnoteReference"/>
          <w:rFonts w:cstheme="minorHAnsi"/>
        </w:rPr>
        <w:footnoteRef/>
      </w:r>
      <w:r w:rsidRPr="000D5F1C">
        <w:rPr>
          <w:rFonts w:cstheme="minorHAnsi"/>
        </w:rPr>
        <w:t xml:space="preserve"> </w:t>
      </w:r>
      <w:r w:rsidR="00125C48" w:rsidRPr="000D5F1C">
        <w:rPr>
          <w:rFonts w:cstheme="minorHAnsi"/>
        </w:rPr>
        <w:t xml:space="preserve">OLG Karlsruhe, </w:t>
      </w:r>
      <w:r w:rsidR="00733C57">
        <w:rPr>
          <w:rFonts w:cstheme="minorHAnsi"/>
        </w:rPr>
        <w:t xml:space="preserve">judgement of </w:t>
      </w:r>
      <w:r w:rsidR="00125C48" w:rsidRPr="000D5F1C">
        <w:rPr>
          <w:rFonts w:cstheme="minorHAnsi"/>
        </w:rPr>
        <w:t xml:space="preserve">31 July 2013, 6 U 51/12 Kart, </w:t>
      </w:r>
      <w:r w:rsidR="00396205">
        <w:rPr>
          <w:rFonts w:cstheme="minorHAnsi"/>
        </w:rPr>
        <w:t xml:space="preserve">para </w:t>
      </w:r>
      <w:r w:rsidRPr="000D5F1C">
        <w:rPr>
          <w:rFonts w:cstheme="minorHAnsi"/>
        </w:rPr>
        <w:t>367</w:t>
      </w:r>
      <w:r w:rsidR="00B352D7">
        <w:rPr>
          <w:rFonts w:cstheme="minorHAnsi"/>
        </w:rPr>
        <w:t xml:space="preserve">; </w:t>
      </w:r>
      <w:bookmarkStart w:id="50" w:name="_Hlk107444569"/>
      <w:proofErr w:type="spellStart"/>
      <w:r w:rsidR="00B352D7" w:rsidRPr="00B352D7">
        <w:rPr>
          <w:rFonts w:cstheme="minorHAnsi"/>
        </w:rPr>
        <w:t>Thüringer</w:t>
      </w:r>
      <w:proofErr w:type="spellEnd"/>
      <w:r w:rsidR="00B352D7" w:rsidRPr="00B352D7">
        <w:rPr>
          <w:rFonts w:cstheme="minorHAnsi"/>
        </w:rPr>
        <w:t xml:space="preserve"> OLG, </w:t>
      </w:r>
      <w:r w:rsidR="00733C57">
        <w:rPr>
          <w:rFonts w:cstheme="minorHAnsi"/>
        </w:rPr>
        <w:t xml:space="preserve">judgement of </w:t>
      </w:r>
      <w:r w:rsidR="00B352D7" w:rsidRPr="00B352D7">
        <w:rPr>
          <w:rFonts w:cstheme="minorHAnsi"/>
        </w:rPr>
        <w:t>22 February 2017, 2 U 583/15 Kart</w:t>
      </w:r>
      <w:r w:rsidR="006119F0">
        <w:rPr>
          <w:rFonts w:cstheme="minorHAnsi"/>
        </w:rPr>
        <w:t>, para 206</w:t>
      </w:r>
      <w:bookmarkEnd w:id="50"/>
      <w:r w:rsidR="00B66124">
        <w:rPr>
          <w:rFonts w:cstheme="minorHAnsi"/>
        </w:rPr>
        <w:t>.</w:t>
      </w:r>
    </w:p>
  </w:footnote>
  <w:footnote w:id="92">
    <w:p w14:paraId="38417637" w14:textId="453AE004" w:rsidR="00FF73BE" w:rsidRPr="000D5F1C" w:rsidRDefault="00FF73BE">
      <w:pPr>
        <w:pStyle w:val="FootnoteText"/>
        <w:rPr>
          <w:rFonts w:cstheme="minorHAnsi"/>
        </w:rPr>
      </w:pPr>
      <w:r w:rsidRPr="000D5F1C">
        <w:rPr>
          <w:rStyle w:val="FootnoteReference"/>
          <w:rFonts w:cstheme="minorHAnsi"/>
        </w:rPr>
        <w:footnoteRef/>
      </w:r>
      <w:r w:rsidRPr="000D5F1C">
        <w:rPr>
          <w:rFonts w:cstheme="minorHAnsi"/>
        </w:rPr>
        <w:t xml:space="preserve"> </w:t>
      </w:r>
      <w:bookmarkStart w:id="51" w:name="_Hlk107444584"/>
      <w:r w:rsidR="00125C48" w:rsidRPr="000D5F1C">
        <w:rPr>
          <w:rFonts w:cstheme="minorHAnsi"/>
        </w:rPr>
        <w:t xml:space="preserve">BGH, </w:t>
      </w:r>
      <w:r w:rsidR="00733C57">
        <w:rPr>
          <w:rFonts w:cstheme="minorHAnsi"/>
        </w:rPr>
        <w:t xml:space="preserve">judgement of </w:t>
      </w:r>
      <w:r w:rsidR="00125C48" w:rsidRPr="000D5F1C">
        <w:rPr>
          <w:rFonts w:cstheme="minorHAnsi"/>
        </w:rPr>
        <w:t>11 December 2018, KZR 26/17</w:t>
      </w:r>
      <w:bookmarkEnd w:id="51"/>
      <w:r w:rsidR="00733C57">
        <w:rPr>
          <w:rFonts w:cstheme="minorHAnsi"/>
        </w:rPr>
        <w:t xml:space="preserve">, </w:t>
      </w:r>
      <w:r w:rsidR="00125C48" w:rsidRPr="000D5F1C">
        <w:rPr>
          <w:rFonts w:cstheme="minorHAnsi"/>
        </w:rPr>
        <w:t>para 62</w:t>
      </w:r>
      <w:r w:rsidR="00B66124">
        <w:rPr>
          <w:rFonts w:cstheme="minorHAnsi"/>
        </w:rPr>
        <w:t>.</w:t>
      </w:r>
    </w:p>
  </w:footnote>
  <w:footnote w:id="93">
    <w:p w14:paraId="23343198" w14:textId="33A45EA2" w:rsidR="00125C48" w:rsidRPr="000D5F1C" w:rsidRDefault="00125C48">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Pr="000D5F1C">
        <w:rPr>
          <w:rFonts w:cstheme="minorHAnsi"/>
        </w:rPr>
        <w:t xml:space="preserve">bid </w:t>
      </w:r>
      <w:r w:rsidR="00D44B4B" w:rsidRPr="000D5F1C">
        <w:rPr>
          <w:rFonts w:cstheme="minorHAnsi"/>
        </w:rPr>
        <w:t xml:space="preserve">para </w:t>
      </w:r>
      <w:r w:rsidRPr="000D5F1C">
        <w:rPr>
          <w:rFonts w:cstheme="minorHAnsi"/>
        </w:rPr>
        <w:t>6</w:t>
      </w:r>
      <w:r w:rsidR="00D44B4B" w:rsidRPr="000D5F1C">
        <w:rPr>
          <w:rFonts w:cstheme="minorHAnsi"/>
        </w:rPr>
        <w:t>1</w:t>
      </w:r>
      <w:r w:rsidR="00B66124">
        <w:rPr>
          <w:rFonts w:cstheme="minorHAnsi"/>
        </w:rPr>
        <w:t>.</w:t>
      </w:r>
    </w:p>
  </w:footnote>
  <w:footnote w:id="94">
    <w:p w14:paraId="4C841F42" w14:textId="43CF462B" w:rsidR="00485443" w:rsidRPr="000D5F1C" w:rsidRDefault="00485443">
      <w:pPr>
        <w:pStyle w:val="FootnoteText"/>
        <w:rPr>
          <w:rFonts w:cstheme="minorHAnsi"/>
        </w:rPr>
      </w:pPr>
      <w:r w:rsidRPr="000D5F1C">
        <w:rPr>
          <w:rStyle w:val="FootnoteReference"/>
          <w:rFonts w:cstheme="minorHAnsi"/>
        </w:rPr>
        <w:footnoteRef/>
      </w:r>
      <w:r w:rsidRPr="000D5F1C">
        <w:rPr>
          <w:rFonts w:cstheme="minorHAnsi"/>
        </w:rPr>
        <w:t xml:space="preserve"> Jens-Uwe Franck, </w:t>
      </w:r>
      <w:r w:rsidR="00712D2F" w:rsidRPr="000D5F1C">
        <w:rPr>
          <w:rFonts w:cstheme="minorHAnsi"/>
        </w:rPr>
        <w:t>‘</w:t>
      </w:r>
      <w:r w:rsidRPr="000D5F1C">
        <w:rPr>
          <w:rFonts w:cstheme="minorHAnsi"/>
        </w:rPr>
        <w:t xml:space="preserve">Chapter 5: Private Enforcement in Germany’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96</w:t>
      </w:r>
      <w:r w:rsidR="00B66124">
        <w:rPr>
          <w:rFonts w:cstheme="minorHAnsi"/>
        </w:rPr>
        <w:t>.</w:t>
      </w:r>
    </w:p>
  </w:footnote>
  <w:footnote w:id="95">
    <w:p w14:paraId="123AD09A" w14:textId="63E6E160" w:rsidR="00812BDC" w:rsidRPr="000D5F1C" w:rsidRDefault="00812BDC" w:rsidP="00812BDC">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B66124">
        <w:rPr>
          <w:rFonts w:cstheme="minorHAnsi"/>
        </w:rPr>
        <w:t>.</w:t>
      </w:r>
    </w:p>
  </w:footnote>
  <w:footnote w:id="96">
    <w:p w14:paraId="75615672" w14:textId="49E5D59D" w:rsidR="00812BDC" w:rsidRPr="000D5F1C" w:rsidRDefault="00812BDC" w:rsidP="00812BDC">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33a(4); BGB</w:t>
      </w:r>
      <w:r w:rsidR="003A1958">
        <w:rPr>
          <w:rFonts w:cstheme="minorHAnsi"/>
        </w:rPr>
        <w:t>,</w:t>
      </w:r>
      <w:r w:rsidRPr="000D5F1C">
        <w:rPr>
          <w:rFonts w:cstheme="minorHAnsi"/>
        </w:rPr>
        <w:t xml:space="preserve"> Sections 288 and 289(1)</w:t>
      </w:r>
      <w:r w:rsidR="00B66124">
        <w:rPr>
          <w:rFonts w:cstheme="minorHAnsi"/>
        </w:rPr>
        <w:t>.</w:t>
      </w:r>
    </w:p>
  </w:footnote>
  <w:footnote w:id="97">
    <w:p w14:paraId="323E3D97" w14:textId="42C88A7B" w:rsidR="00812BDC" w:rsidRPr="000D5F1C" w:rsidRDefault="00812BDC" w:rsidP="00812BDC">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B66124">
        <w:rPr>
          <w:rFonts w:cstheme="minorHAnsi"/>
        </w:rPr>
        <w:t>.</w:t>
      </w:r>
    </w:p>
  </w:footnote>
  <w:footnote w:id="98">
    <w:p w14:paraId="18CD8C2B" w14:textId="7A386F9E" w:rsidR="00812BDC" w:rsidRPr="000D5F1C" w:rsidRDefault="00812BDC" w:rsidP="00812BDC">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33a(3)</w:t>
      </w:r>
      <w:r w:rsidR="00B66124">
        <w:rPr>
          <w:rFonts w:cstheme="minorHAnsi"/>
        </w:rPr>
        <w:t>.</w:t>
      </w:r>
    </w:p>
  </w:footnote>
  <w:footnote w:id="99">
    <w:p w14:paraId="7A949BF6" w14:textId="41306FF6" w:rsidR="00812BDC" w:rsidRPr="000D5F1C" w:rsidRDefault="00812BDC" w:rsidP="00812BDC">
      <w:pPr>
        <w:pStyle w:val="FootnoteText"/>
        <w:rPr>
          <w:rFonts w:cstheme="minorHAnsi"/>
        </w:rPr>
      </w:pPr>
      <w:r w:rsidRPr="000D5F1C">
        <w:rPr>
          <w:rStyle w:val="FootnoteReference"/>
          <w:rFonts w:cstheme="minorHAnsi"/>
        </w:rPr>
        <w:footnoteRef/>
      </w:r>
      <w:r w:rsidRPr="000D5F1C">
        <w:rPr>
          <w:rFonts w:cstheme="minorHAnsi"/>
        </w:rPr>
        <w:t xml:space="preserve"> Sebastian </w:t>
      </w:r>
      <w:proofErr w:type="spellStart"/>
      <w:r w:rsidRPr="000D5F1C">
        <w:rPr>
          <w:rFonts w:cstheme="minorHAnsi"/>
        </w:rPr>
        <w:t>Jungermann</w:t>
      </w:r>
      <w:proofErr w:type="spellEnd"/>
      <w:r w:rsidRPr="000D5F1C">
        <w:rPr>
          <w:rFonts w:cstheme="minorHAnsi"/>
        </w:rPr>
        <w:t xml:space="preserve"> </w:t>
      </w:r>
      <w:r w:rsidR="007F3DAA">
        <w:rPr>
          <w:rFonts w:cstheme="minorHAnsi"/>
        </w:rPr>
        <w:t>and</w:t>
      </w:r>
      <w:r w:rsidRPr="000D5F1C">
        <w:rPr>
          <w:rFonts w:cstheme="minorHAnsi"/>
        </w:rPr>
        <w:t xml:space="preserve"> </w:t>
      </w:r>
      <w:proofErr w:type="spellStart"/>
      <w:r w:rsidRPr="000D5F1C">
        <w:rPr>
          <w:rFonts w:cstheme="minorHAnsi"/>
        </w:rPr>
        <w:t>Arnecke</w:t>
      </w:r>
      <w:proofErr w:type="spellEnd"/>
      <w:r w:rsidRPr="000D5F1C">
        <w:rPr>
          <w:rFonts w:cstheme="minorHAnsi"/>
        </w:rPr>
        <w:t xml:space="preserve"> </w:t>
      </w:r>
      <w:proofErr w:type="spellStart"/>
      <w:r w:rsidRPr="000D5F1C">
        <w:rPr>
          <w:rFonts w:cstheme="minorHAnsi"/>
        </w:rPr>
        <w:t>Sibeth</w:t>
      </w:r>
      <w:proofErr w:type="spellEnd"/>
      <w:r w:rsidRPr="000D5F1C">
        <w:rPr>
          <w:rFonts w:cstheme="minorHAnsi"/>
        </w:rPr>
        <w:t xml:space="preserve"> </w:t>
      </w:r>
      <w:proofErr w:type="spellStart"/>
      <w:r w:rsidRPr="000D5F1C">
        <w:rPr>
          <w:rFonts w:cstheme="minorHAnsi"/>
        </w:rPr>
        <w:t>Dabelstein</w:t>
      </w:r>
      <w:proofErr w:type="spellEnd"/>
      <w:r w:rsidRPr="000D5F1C">
        <w:rPr>
          <w:rFonts w:cstheme="minorHAnsi"/>
        </w:rPr>
        <w:t xml:space="preserve">, ‘The Private Competition Enforcement Review: Germany’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B66124">
        <w:rPr>
          <w:rFonts w:cstheme="minorHAnsi"/>
        </w:rPr>
        <w:t>.</w:t>
      </w:r>
    </w:p>
  </w:footnote>
  <w:footnote w:id="100">
    <w:p w14:paraId="419D7C2E" w14:textId="5B557B08" w:rsidR="00396205" w:rsidRDefault="00396205">
      <w:pPr>
        <w:pStyle w:val="FootnoteText"/>
      </w:pPr>
      <w:r>
        <w:rPr>
          <w:rStyle w:val="FootnoteReference"/>
        </w:rPr>
        <w:footnoteRef/>
      </w:r>
      <w:r>
        <w:t xml:space="preserve"> </w:t>
      </w:r>
      <w:bookmarkStart w:id="53" w:name="_Hlk107444611"/>
      <w:r>
        <w:t xml:space="preserve">BGH, </w:t>
      </w:r>
      <w:r w:rsidR="00733C57">
        <w:t xml:space="preserve">judgement of </w:t>
      </w:r>
      <w:r>
        <w:t xml:space="preserve">28 June 2011, KZR 75/10, para 84; </w:t>
      </w:r>
      <w:r w:rsidR="00970288">
        <w:t xml:space="preserve">OLG Karlsruhe, </w:t>
      </w:r>
      <w:r w:rsidR="00733C57">
        <w:t xml:space="preserve">judgement of </w:t>
      </w:r>
      <w:r w:rsidR="0020469A">
        <w:t>9 Nove</w:t>
      </w:r>
      <w:r w:rsidR="00D31798">
        <w:t>m</w:t>
      </w:r>
      <w:r w:rsidR="0020469A">
        <w:t xml:space="preserve">ber 2016, </w:t>
      </w:r>
      <w:r w:rsidR="006119F0">
        <w:t xml:space="preserve">6 U 204/15 Kart (2), para 66; </w:t>
      </w:r>
      <w:r w:rsidR="00733C57">
        <w:t>OLG Munich, judgement of 8 March 2018, U 3497/16 Kart, para 81</w:t>
      </w:r>
      <w:bookmarkEnd w:id="53"/>
      <w:r w:rsidR="00B66124">
        <w:t>.</w:t>
      </w:r>
    </w:p>
  </w:footnote>
  <w:footnote w:id="101">
    <w:p w14:paraId="305C237C" w14:textId="122173FE" w:rsidR="0020469A" w:rsidRPr="0020469A" w:rsidRDefault="0020469A">
      <w:pPr>
        <w:pStyle w:val="FootnoteText"/>
        <w:rPr>
          <w:rFonts w:cstheme="minorHAnsi"/>
        </w:rPr>
      </w:pPr>
      <w:r>
        <w:rPr>
          <w:rStyle w:val="FootnoteReference"/>
        </w:rPr>
        <w:footnoteRef/>
      </w:r>
      <w:r>
        <w:t xml:space="preserve"> </w:t>
      </w:r>
      <w:r w:rsidR="00A556C6">
        <w:t>Alex Petrasincu, 'Private Antitrust Enforcement in Germany' (2018) 4 CLPD 14</w:t>
      </w:r>
      <w:r w:rsidRPr="000D5F1C">
        <w:rPr>
          <w:rFonts w:cstheme="minorHAnsi"/>
        </w:rPr>
        <w:t>,</w:t>
      </w:r>
      <w:r w:rsidR="00B6371C">
        <w:rPr>
          <w:rFonts w:cstheme="minorHAnsi"/>
        </w:rPr>
        <w:t xml:space="preserve"> </w:t>
      </w:r>
      <w:r w:rsidRPr="000D5F1C">
        <w:rPr>
          <w:rFonts w:cstheme="minorHAnsi"/>
        </w:rPr>
        <w:t>1</w:t>
      </w:r>
      <w:r>
        <w:rPr>
          <w:rFonts w:cstheme="minorHAnsi"/>
        </w:rPr>
        <w:t>7</w:t>
      </w:r>
      <w:r w:rsidR="00B66124">
        <w:rPr>
          <w:rFonts w:cstheme="minorHAnsi"/>
        </w:rPr>
        <w:t>.</w:t>
      </w:r>
    </w:p>
  </w:footnote>
  <w:footnote w:id="102">
    <w:p w14:paraId="07A3AA2C" w14:textId="0198DB6C" w:rsidR="004D4BF9" w:rsidRDefault="004D4BF9">
      <w:pPr>
        <w:pStyle w:val="FootnoteText"/>
      </w:pPr>
      <w:r>
        <w:rPr>
          <w:rStyle w:val="FootnoteReference"/>
        </w:rPr>
        <w:footnoteRef/>
      </w:r>
      <w:r>
        <w:t xml:space="preserve"> </w:t>
      </w:r>
      <w:r w:rsidR="003D1309">
        <w:t>OLG Munich, judgement of 8 March 2018, U 3497/16 Kart, para 148 et seq; OLG Karlsruhe, judgement of 9 Nove</w:t>
      </w:r>
      <w:r w:rsidR="00B6371C">
        <w:t>m</w:t>
      </w:r>
      <w:r w:rsidR="003D1309">
        <w:t xml:space="preserve">ber 2016, 6 U 204/15 Kart (2), para 67; </w:t>
      </w:r>
      <w:r w:rsidR="003D1309" w:rsidRPr="000D5F1C">
        <w:rPr>
          <w:rFonts w:cstheme="minorHAnsi"/>
        </w:rPr>
        <w:t xml:space="preserve">OLG Karlsruhe, </w:t>
      </w:r>
      <w:r w:rsidR="003D1309">
        <w:rPr>
          <w:rFonts w:cstheme="minorHAnsi"/>
        </w:rPr>
        <w:t xml:space="preserve">judgement of </w:t>
      </w:r>
      <w:r w:rsidR="003D1309" w:rsidRPr="000D5F1C">
        <w:rPr>
          <w:rFonts w:cstheme="minorHAnsi"/>
        </w:rPr>
        <w:t xml:space="preserve">31 July 2013, 6 U 51/12 Kart, </w:t>
      </w:r>
      <w:r w:rsidR="003D1309">
        <w:rPr>
          <w:rFonts w:cstheme="minorHAnsi"/>
        </w:rPr>
        <w:t>para 57 et seq</w:t>
      </w:r>
      <w:r w:rsidR="00B66124">
        <w:rPr>
          <w:rFonts w:cstheme="minorHAnsi"/>
        </w:rPr>
        <w:t>.</w:t>
      </w:r>
    </w:p>
  </w:footnote>
  <w:footnote w:id="103">
    <w:p w14:paraId="3643AF5B" w14:textId="602673CE" w:rsidR="00CB2773" w:rsidRDefault="00CB2773">
      <w:pPr>
        <w:pStyle w:val="FootnoteText"/>
      </w:pPr>
      <w:r>
        <w:rPr>
          <w:rStyle w:val="FootnoteReference"/>
        </w:rPr>
        <w:footnoteRef/>
      </w:r>
      <w:r>
        <w:t xml:space="preserve"> OLG </w:t>
      </w:r>
      <w:r w:rsidR="004D4BF9">
        <w:t xml:space="preserve">Munich, judgement of 8 March 2018, U </w:t>
      </w:r>
      <w:r w:rsidR="003D1309">
        <w:t>3</w:t>
      </w:r>
      <w:r w:rsidR="004D4BF9">
        <w:t xml:space="preserve">497/16 Kart, para 148 et seq; </w:t>
      </w:r>
      <w:bookmarkStart w:id="54" w:name="_Hlk107444728"/>
      <w:r w:rsidR="002B752B">
        <w:t>O</w:t>
      </w:r>
      <w:r w:rsidR="004D4BF9">
        <w:t>LG Hanover, judgement of 2 May 2017, 18 O 194/15</w:t>
      </w:r>
      <w:bookmarkEnd w:id="54"/>
      <w:r w:rsidR="004D4BF9">
        <w:t>, para 76 et seq</w:t>
      </w:r>
      <w:r w:rsidR="00B66124">
        <w:t>.</w:t>
      </w:r>
    </w:p>
  </w:footnote>
  <w:footnote w:id="104">
    <w:p w14:paraId="170075F5" w14:textId="3FE4DEE2" w:rsidR="0006277F" w:rsidRPr="000D5F1C" w:rsidRDefault="0006277F" w:rsidP="0006277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23</w:t>
      </w:r>
      <w:r w:rsidR="00B66124">
        <w:rPr>
          <w:rFonts w:cstheme="minorHAnsi"/>
        </w:rPr>
        <w:t>.</w:t>
      </w:r>
    </w:p>
  </w:footnote>
  <w:footnote w:id="105">
    <w:p w14:paraId="68D93B81" w14:textId="721DD613" w:rsidR="0033545F" w:rsidRPr="000D5F1C" w:rsidRDefault="0033545F" w:rsidP="0033545F">
      <w:pPr>
        <w:pStyle w:val="FootnoteText"/>
        <w:rPr>
          <w:rFonts w:cstheme="minorHAnsi"/>
        </w:rPr>
      </w:pPr>
      <w:r w:rsidRPr="000D5F1C">
        <w:rPr>
          <w:rStyle w:val="FootnoteReference"/>
          <w:rFonts w:cstheme="minorHAnsi"/>
        </w:rPr>
        <w:footnoteRef/>
      </w:r>
      <w:r w:rsidRPr="000D5F1C">
        <w:rPr>
          <w:rFonts w:cstheme="minorHAnsi"/>
        </w:rPr>
        <w:t xml:space="preserve"> </w:t>
      </w:r>
      <w:r w:rsidR="005539F2" w:rsidRPr="000D5F1C">
        <w:rPr>
          <w:rFonts w:cstheme="minorHAnsi"/>
        </w:rPr>
        <w:t xml:space="preserve">Rupert </w:t>
      </w:r>
      <w:proofErr w:type="spellStart"/>
      <w:r w:rsidR="005539F2" w:rsidRPr="000D5F1C">
        <w:rPr>
          <w:rFonts w:cstheme="minorHAnsi"/>
        </w:rPr>
        <w:t>Bellinghausen</w:t>
      </w:r>
      <w:proofErr w:type="spellEnd"/>
      <w:r w:rsidR="005539F2" w:rsidRPr="000D5F1C">
        <w:rPr>
          <w:rFonts w:cstheme="minorHAnsi"/>
        </w:rPr>
        <w:t xml:space="preserve"> </w:t>
      </w:r>
      <w:r w:rsidR="005539F2">
        <w:rPr>
          <w:rFonts w:cstheme="minorHAnsi"/>
        </w:rPr>
        <w:t>and others</w:t>
      </w:r>
      <w:r w:rsidR="005539F2" w:rsidRPr="000D5F1C">
        <w:rPr>
          <w:rFonts w:cstheme="minorHAnsi"/>
        </w:rPr>
        <w:t>, ‘The future of cartel damages litigation in the UK, the Netherlands and Germany after the implementation of the Damages Directive’ (2017)</w:t>
      </w:r>
      <w:r w:rsidR="005539F2">
        <w:rPr>
          <w:rFonts w:cstheme="minorHAnsi"/>
        </w:rPr>
        <w:t xml:space="preserve"> 10</w:t>
      </w:r>
      <w:r w:rsidR="005539F2" w:rsidRPr="000D5F1C">
        <w:rPr>
          <w:rFonts w:cstheme="minorHAnsi"/>
        </w:rPr>
        <w:t xml:space="preserve"> GCLR </w:t>
      </w:r>
      <w:r w:rsidR="005539F2">
        <w:rPr>
          <w:rFonts w:cstheme="minorHAnsi"/>
        </w:rPr>
        <w:t>103</w:t>
      </w:r>
      <w:r w:rsidRPr="000D5F1C">
        <w:rPr>
          <w:rFonts w:cstheme="minorHAnsi"/>
        </w:rPr>
        <w:t>, 111</w:t>
      </w:r>
      <w:r w:rsidR="00B66124">
        <w:rPr>
          <w:rFonts w:cstheme="minorHAnsi"/>
        </w:rPr>
        <w:t>.</w:t>
      </w:r>
    </w:p>
  </w:footnote>
  <w:footnote w:id="106">
    <w:p w14:paraId="45BC1B4D" w14:textId="093585E6" w:rsidR="000939A3" w:rsidRDefault="000939A3">
      <w:pPr>
        <w:pStyle w:val="FootnoteText"/>
      </w:pPr>
      <w:r>
        <w:rPr>
          <w:rStyle w:val="FootnoteReference"/>
        </w:rPr>
        <w:footnoteRef/>
      </w:r>
      <w:r>
        <w:t xml:space="preserve"> </w:t>
      </w:r>
      <w:r w:rsidR="00A556C6">
        <w:t>Alex Petrasincu, 'Private Antitrust Enforcement in Germany' (2018) 4 CLPD 14</w:t>
      </w:r>
      <w:r w:rsidRPr="000D5F1C">
        <w:rPr>
          <w:rFonts w:cstheme="minorHAnsi"/>
        </w:rPr>
        <w:t xml:space="preserve">, </w:t>
      </w:r>
      <w:r>
        <w:rPr>
          <w:rFonts w:cstheme="minorHAnsi"/>
        </w:rPr>
        <w:t>20</w:t>
      </w:r>
      <w:r w:rsidR="00B66124">
        <w:rPr>
          <w:rFonts w:cstheme="minorHAnsi"/>
        </w:rPr>
        <w:t>.</w:t>
      </w:r>
    </w:p>
  </w:footnote>
  <w:footnote w:id="107">
    <w:p w14:paraId="70CCA7BD" w14:textId="4F9027CC" w:rsidR="0033545F" w:rsidRPr="000D5F1C" w:rsidRDefault="0033545F" w:rsidP="0033545F">
      <w:pPr>
        <w:pStyle w:val="FootnoteText"/>
        <w:rPr>
          <w:rFonts w:cstheme="minorHAnsi"/>
        </w:rPr>
      </w:pPr>
      <w:r w:rsidRPr="000D5F1C">
        <w:rPr>
          <w:rStyle w:val="FootnoteReference"/>
          <w:rFonts w:cstheme="minorHAnsi"/>
        </w:rPr>
        <w:footnoteRef/>
      </w:r>
      <w:r w:rsidRPr="000D5F1C">
        <w:rPr>
          <w:rFonts w:cstheme="minorHAnsi"/>
        </w:rPr>
        <w:t xml:space="preserve"> </w:t>
      </w:r>
      <w:r w:rsidR="00AB0F26" w:rsidRPr="000D5F1C">
        <w:rPr>
          <w:rFonts w:cstheme="minorHAnsi"/>
        </w:rPr>
        <w:t xml:space="preserve">Andreas </w:t>
      </w:r>
      <w:proofErr w:type="spellStart"/>
      <w:r w:rsidR="00AB0F26" w:rsidRPr="000D5F1C">
        <w:rPr>
          <w:rFonts w:cstheme="minorHAnsi"/>
        </w:rPr>
        <w:t>Weitbrecht</w:t>
      </w:r>
      <w:proofErr w:type="spellEnd"/>
      <w:r w:rsidR="00AB0F26" w:rsidRPr="000D5F1C">
        <w:rPr>
          <w:rFonts w:cstheme="minorHAnsi"/>
        </w:rPr>
        <w:t xml:space="preserve">, </w:t>
      </w:r>
      <w:r w:rsidR="00AB0F26">
        <w:rPr>
          <w:rFonts w:cstheme="minorHAnsi"/>
        </w:rPr>
        <w:t>‘</w:t>
      </w:r>
      <w:r w:rsidR="00AB0F26" w:rsidRPr="000D5F1C">
        <w:rPr>
          <w:rFonts w:cstheme="minorHAnsi"/>
        </w:rPr>
        <w:t>Coming of age: private enforcement in Germany</w:t>
      </w:r>
      <w:r w:rsidR="00AB0F26">
        <w:rPr>
          <w:rFonts w:cstheme="minorHAnsi"/>
        </w:rPr>
        <w:t>’</w:t>
      </w:r>
      <w:r w:rsidR="00AB0F26" w:rsidRPr="000D5F1C">
        <w:rPr>
          <w:rFonts w:cstheme="minorHAnsi"/>
        </w:rPr>
        <w:t xml:space="preserve"> (2019)</w:t>
      </w:r>
      <w:r w:rsidR="00AB0F26">
        <w:rPr>
          <w:rFonts w:cstheme="minorHAnsi"/>
        </w:rPr>
        <w:t xml:space="preserve"> 12 GCLR 51</w:t>
      </w:r>
      <w:r w:rsidRPr="000D5F1C">
        <w:rPr>
          <w:rFonts w:cstheme="minorHAnsi"/>
        </w:rPr>
        <w:t>,</w:t>
      </w:r>
      <w:r w:rsidR="00B66124">
        <w:rPr>
          <w:rFonts w:cstheme="minorHAnsi"/>
        </w:rPr>
        <w:t xml:space="preserve"> </w:t>
      </w:r>
      <w:r w:rsidRPr="000D5F1C">
        <w:rPr>
          <w:rFonts w:cstheme="minorHAnsi"/>
        </w:rPr>
        <w:t>53</w:t>
      </w:r>
      <w:r w:rsidR="00B66124">
        <w:rPr>
          <w:rFonts w:cstheme="minorHAnsi"/>
        </w:rPr>
        <w:t>.</w:t>
      </w:r>
    </w:p>
  </w:footnote>
  <w:footnote w:id="108">
    <w:p w14:paraId="43ECA1D0" w14:textId="3CAEDB16" w:rsidR="0038386B" w:rsidRPr="000D5F1C" w:rsidRDefault="0038386B">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E66439">
        <w:rPr>
          <w:rFonts w:cstheme="minorHAnsi"/>
        </w:rPr>
        <w:t>bid</w:t>
      </w:r>
      <w:r w:rsidRPr="000D5F1C">
        <w:rPr>
          <w:rFonts w:cstheme="minorHAnsi"/>
        </w:rPr>
        <w:t xml:space="preserve"> 53-54</w:t>
      </w:r>
      <w:r w:rsidR="00B66124">
        <w:rPr>
          <w:rFonts w:cstheme="minorHAnsi"/>
        </w:rPr>
        <w:t>.</w:t>
      </w:r>
    </w:p>
  </w:footnote>
  <w:footnote w:id="109">
    <w:p w14:paraId="65E5FFA3" w14:textId="1DE6B725" w:rsidR="00A309D6" w:rsidRPr="000D5F1C" w:rsidRDefault="00A309D6">
      <w:pPr>
        <w:pStyle w:val="FootnoteText"/>
        <w:rPr>
          <w:rFonts w:cstheme="minorHAnsi"/>
        </w:rPr>
      </w:pPr>
      <w:r w:rsidRPr="000D5F1C">
        <w:rPr>
          <w:rStyle w:val="FootnoteReference"/>
          <w:rFonts w:cstheme="minorHAnsi"/>
        </w:rPr>
        <w:footnoteRef/>
      </w:r>
      <w:r w:rsidRPr="000D5F1C">
        <w:rPr>
          <w:rFonts w:cstheme="minorHAnsi"/>
        </w:rPr>
        <w:t xml:space="preserve"> </w:t>
      </w:r>
      <w:bookmarkStart w:id="55" w:name="_Hlk107481034"/>
      <w:r w:rsidRPr="000D5F1C">
        <w:rPr>
          <w:rFonts w:cstheme="minorHAnsi"/>
        </w:rPr>
        <w:t>Urszula Jaremba</w:t>
      </w:r>
      <w:r w:rsidR="00413014" w:rsidRPr="000D5F1C">
        <w:rPr>
          <w:rFonts w:cstheme="minorHAnsi"/>
        </w:rPr>
        <w:t xml:space="preserve"> </w:t>
      </w:r>
      <w:r w:rsidR="00EF492B">
        <w:rPr>
          <w:rFonts w:cstheme="minorHAnsi"/>
        </w:rPr>
        <w:t>and</w:t>
      </w:r>
      <w:r w:rsidR="00413014" w:rsidRPr="000D5F1C">
        <w:rPr>
          <w:rFonts w:cstheme="minorHAnsi"/>
        </w:rPr>
        <w:t xml:space="preserve"> Laura </w:t>
      </w:r>
      <w:proofErr w:type="spellStart"/>
      <w:r w:rsidR="00413014" w:rsidRPr="000D5F1C">
        <w:rPr>
          <w:rFonts w:cstheme="minorHAnsi"/>
        </w:rPr>
        <w:t>Lalikova</w:t>
      </w:r>
      <w:proofErr w:type="spellEnd"/>
      <w:r w:rsidR="00413014" w:rsidRPr="000D5F1C">
        <w:rPr>
          <w:rFonts w:cstheme="minorHAnsi"/>
        </w:rPr>
        <w:t>, ‘Effectiveness of Private Enforcement of European Competition Law in Case of Passing-on of Overcharges: Implementation of Antitrust Damages Directive in Germany, France, and Ireland’ (2018)</w:t>
      </w:r>
      <w:r w:rsidR="00984E66">
        <w:rPr>
          <w:rFonts w:cstheme="minorHAnsi"/>
        </w:rPr>
        <w:t xml:space="preserve"> 9 </w:t>
      </w:r>
      <w:r w:rsidR="00413014" w:rsidRPr="00984E66">
        <w:rPr>
          <w:rFonts w:cstheme="minorHAnsi"/>
        </w:rPr>
        <w:t>Journal of European Competition Law &amp; Practice</w:t>
      </w:r>
      <w:r w:rsidR="00984E66">
        <w:rPr>
          <w:rFonts w:cstheme="minorHAnsi"/>
        </w:rPr>
        <w:t xml:space="preserve"> 226</w:t>
      </w:r>
      <w:r w:rsidR="00413014" w:rsidRPr="000D5F1C">
        <w:rPr>
          <w:rFonts w:cstheme="minorHAnsi"/>
        </w:rPr>
        <w:t>,</w:t>
      </w:r>
      <w:bookmarkEnd w:id="55"/>
      <w:r w:rsidR="00413014" w:rsidRPr="000D5F1C">
        <w:rPr>
          <w:rFonts w:cstheme="minorHAnsi"/>
        </w:rPr>
        <w:t xml:space="preserve"> 232</w:t>
      </w:r>
      <w:r w:rsidR="00B66124">
        <w:rPr>
          <w:rFonts w:cstheme="minorHAnsi"/>
        </w:rPr>
        <w:t>.</w:t>
      </w:r>
    </w:p>
  </w:footnote>
  <w:footnote w:id="110">
    <w:p w14:paraId="042433E7" w14:textId="0E58CF81" w:rsidR="00A309D6" w:rsidRPr="000D5F1C" w:rsidRDefault="00A309D6">
      <w:pPr>
        <w:pStyle w:val="FootnoteText"/>
        <w:rPr>
          <w:rFonts w:cstheme="minorHAnsi"/>
        </w:rPr>
      </w:pPr>
      <w:r w:rsidRPr="000D5F1C">
        <w:rPr>
          <w:rStyle w:val="FootnoteReference"/>
          <w:rFonts w:cstheme="minorHAnsi"/>
        </w:rPr>
        <w:footnoteRef/>
      </w:r>
      <w:r w:rsidRPr="000D5F1C">
        <w:rPr>
          <w:rFonts w:cstheme="minorHAnsi"/>
        </w:rPr>
        <w:t xml:space="preserve"> </w:t>
      </w:r>
      <w:bookmarkStart w:id="56" w:name="_Hlk107481055"/>
      <w:r w:rsidR="00B00825" w:rsidRPr="000D5F1C">
        <w:rPr>
          <w:rFonts w:cstheme="minorHAnsi"/>
        </w:rPr>
        <w:t>C Gottlieb, ‘Germany implements the EU Antitrust Damages Directive’ (Memorandum, 14 March 2017) 3 &lt;https://www.clearygottlieb.com/news-and-insights/publication-listing/germany-implements-the-eu-antitrust-damages-directive&gt; accessed 10 May 2022</w:t>
      </w:r>
      <w:bookmarkEnd w:id="56"/>
      <w:r w:rsidR="00B66124">
        <w:rPr>
          <w:rFonts w:cstheme="minorHAnsi"/>
        </w:rPr>
        <w:t>.</w:t>
      </w:r>
    </w:p>
  </w:footnote>
  <w:footnote w:id="111">
    <w:p w14:paraId="10E27D9C" w14:textId="001D51F9" w:rsidR="00416EB6" w:rsidRPr="000D5F1C" w:rsidRDefault="00416EB6">
      <w:pPr>
        <w:pStyle w:val="FootnoteText"/>
        <w:rPr>
          <w:rFonts w:cstheme="minorHAnsi"/>
        </w:rPr>
      </w:pPr>
      <w:r w:rsidRPr="000D5F1C">
        <w:rPr>
          <w:rStyle w:val="FootnoteReference"/>
          <w:rFonts w:cstheme="minorHAnsi"/>
        </w:rPr>
        <w:footnoteRef/>
      </w:r>
      <w:r w:rsidRPr="000D5F1C">
        <w:rPr>
          <w:rFonts w:cstheme="minorHAnsi"/>
        </w:rPr>
        <w:t xml:space="preserve"> </w:t>
      </w:r>
      <w:bookmarkStart w:id="57" w:name="_Hlk107481064"/>
      <w:r w:rsidRPr="000D5F1C">
        <w:rPr>
          <w:rFonts w:cstheme="minorHAnsi"/>
        </w:rPr>
        <w:t xml:space="preserve">Lena </w:t>
      </w:r>
      <w:proofErr w:type="spellStart"/>
      <w:r w:rsidRPr="000D5F1C">
        <w:rPr>
          <w:rFonts w:cstheme="minorHAnsi"/>
        </w:rPr>
        <w:t>HornKohl</w:t>
      </w:r>
      <w:proofErr w:type="spellEnd"/>
      <w:r w:rsidRPr="000D5F1C">
        <w:rPr>
          <w:rFonts w:cstheme="minorHAnsi"/>
        </w:rPr>
        <w:t>, ‘Lump-sum Cartel Damages in Germany: Recent Developments’ (Kluwer Competition Law Blog, 30 April 2021) &lt;http://competitionlawblog.kluwercompetitionlaw.com/2021/04/30/lump-sum-cartel-damages-in-germany-recent-developments/&gt; accessed 10 May 202</w:t>
      </w:r>
      <w:r w:rsidR="00CA182D" w:rsidRPr="000D5F1C">
        <w:rPr>
          <w:rFonts w:cstheme="minorHAnsi"/>
        </w:rPr>
        <w:t>2</w:t>
      </w:r>
      <w:bookmarkEnd w:id="57"/>
      <w:r w:rsidR="00B66124">
        <w:rPr>
          <w:rFonts w:cstheme="minorHAnsi"/>
        </w:rPr>
        <w:t>.</w:t>
      </w:r>
    </w:p>
  </w:footnote>
  <w:footnote w:id="112">
    <w:p w14:paraId="075FB632" w14:textId="2D2587FF" w:rsidR="00B00825" w:rsidRPr="000D5F1C" w:rsidRDefault="00B00825">
      <w:pPr>
        <w:pStyle w:val="FootnoteText"/>
        <w:rPr>
          <w:rFonts w:cstheme="minorHAnsi"/>
        </w:rPr>
      </w:pPr>
      <w:r w:rsidRPr="000D5F1C">
        <w:rPr>
          <w:rStyle w:val="FootnoteReference"/>
          <w:rFonts w:cstheme="minorHAnsi"/>
        </w:rPr>
        <w:footnoteRef/>
      </w:r>
      <w:r w:rsidRPr="000D5F1C">
        <w:rPr>
          <w:rFonts w:cstheme="minorHAnsi"/>
        </w:rPr>
        <w:t xml:space="preserve"> </w:t>
      </w:r>
      <w:bookmarkStart w:id="58" w:name="_Hlk107481073"/>
      <w:proofErr w:type="spellStart"/>
      <w:r w:rsidRPr="000D5F1C">
        <w:rPr>
          <w:rFonts w:cstheme="minorHAnsi"/>
        </w:rPr>
        <w:t>Jurgita</w:t>
      </w:r>
      <w:proofErr w:type="spellEnd"/>
      <w:r w:rsidRPr="000D5F1C">
        <w:rPr>
          <w:rFonts w:cstheme="minorHAnsi"/>
        </w:rPr>
        <w:t xml:space="preserve"> </w:t>
      </w:r>
      <w:proofErr w:type="spellStart"/>
      <w:r w:rsidRPr="000D5F1C">
        <w:rPr>
          <w:rFonts w:cstheme="minorHAnsi"/>
        </w:rPr>
        <w:t>Malinauskaite</w:t>
      </w:r>
      <w:proofErr w:type="spellEnd"/>
      <w:r w:rsidRPr="000D5F1C">
        <w:rPr>
          <w:rFonts w:cstheme="minorHAnsi"/>
        </w:rPr>
        <w:t xml:space="preserve"> &amp; Caroline Cauffman, ‘The Transposition of the Antitrust Damages Directive in the Small Member States of the EU – A Comparative Perspective’ (2018</w:t>
      </w:r>
      <w:r w:rsidRPr="003A0031">
        <w:rPr>
          <w:rFonts w:cstheme="minorHAnsi"/>
        </w:rPr>
        <w:t>)</w:t>
      </w:r>
      <w:r w:rsidR="003A0031">
        <w:rPr>
          <w:rFonts w:cstheme="minorHAnsi"/>
        </w:rPr>
        <w:t xml:space="preserve"> 9</w:t>
      </w:r>
      <w:r w:rsidRPr="003A0031">
        <w:rPr>
          <w:rFonts w:cstheme="minorHAnsi"/>
        </w:rPr>
        <w:t xml:space="preserve"> Journal of European Competition Law &amp; Practice</w:t>
      </w:r>
      <w:bookmarkEnd w:id="58"/>
      <w:r w:rsidR="003A0031">
        <w:rPr>
          <w:rFonts w:cstheme="minorHAnsi"/>
        </w:rPr>
        <w:t xml:space="preserve"> </w:t>
      </w:r>
      <w:r w:rsidRPr="000D5F1C">
        <w:rPr>
          <w:rFonts w:cstheme="minorHAnsi"/>
        </w:rPr>
        <w:t>496</w:t>
      </w:r>
      <w:r w:rsidR="00B66124">
        <w:rPr>
          <w:rFonts w:cstheme="minorHAnsi"/>
        </w:rPr>
        <w:t>.</w:t>
      </w:r>
    </w:p>
  </w:footnote>
  <w:footnote w:id="113">
    <w:p w14:paraId="5B2BB7A4" w14:textId="0A3FAC59" w:rsidR="006E6B2D" w:rsidRPr="000D5F1C" w:rsidRDefault="006E6B2D">
      <w:pPr>
        <w:pStyle w:val="FootnoteText"/>
        <w:rPr>
          <w:rFonts w:cstheme="minorHAnsi"/>
        </w:rPr>
      </w:pPr>
      <w:r w:rsidRPr="000D5F1C">
        <w:rPr>
          <w:rStyle w:val="FootnoteReference"/>
          <w:rFonts w:cstheme="minorHAnsi"/>
        </w:rPr>
        <w:footnoteRef/>
      </w:r>
      <w:r w:rsidRPr="000D5F1C">
        <w:rPr>
          <w:rFonts w:cstheme="minorHAnsi"/>
        </w:rPr>
        <w:t xml:space="preserve"> Urszula Jaremba </w:t>
      </w:r>
      <w:r w:rsidR="00EF492B">
        <w:rPr>
          <w:rFonts w:cstheme="minorHAnsi"/>
        </w:rPr>
        <w:t>and</w:t>
      </w:r>
      <w:r w:rsidRPr="000D5F1C">
        <w:rPr>
          <w:rFonts w:cstheme="minorHAnsi"/>
        </w:rPr>
        <w:t xml:space="preserve"> Laura </w:t>
      </w:r>
      <w:proofErr w:type="spellStart"/>
      <w:r w:rsidRPr="000D5F1C">
        <w:rPr>
          <w:rFonts w:cstheme="minorHAnsi"/>
        </w:rPr>
        <w:t>Lalikova</w:t>
      </w:r>
      <w:proofErr w:type="spellEnd"/>
      <w:r w:rsidRPr="000D5F1C">
        <w:rPr>
          <w:rFonts w:cstheme="minorHAnsi"/>
        </w:rPr>
        <w:t>, ‘Effectiveness of Private Enforcement of European Competition Law in Case of Passing-on of Overcharges: Implementation of Antitrust Damages Directive in Germany, France, and Ireland’ (2018)</w:t>
      </w:r>
      <w:r w:rsidR="00984E66">
        <w:rPr>
          <w:rFonts w:cstheme="minorHAnsi"/>
        </w:rPr>
        <w:t xml:space="preserve"> 9</w:t>
      </w:r>
      <w:r w:rsidRPr="000D5F1C">
        <w:rPr>
          <w:rFonts w:cstheme="minorHAnsi"/>
        </w:rPr>
        <w:t xml:space="preserve"> </w:t>
      </w:r>
      <w:r w:rsidRPr="00984E66">
        <w:rPr>
          <w:rFonts w:cstheme="minorHAnsi"/>
        </w:rPr>
        <w:t>Journal of European Competition Law &amp; Practice</w:t>
      </w:r>
      <w:r w:rsidRPr="000D5F1C">
        <w:rPr>
          <w:rFonts w:cstheme="minorHAnsi"/>
        </w:rPr>
        <w:t xml:space="preserve"> 2</w:t>
      </w:r>
      <w:r w:rsidR="00984E66">
        <w:rPr>
          <w:rFonts w:cstheme="minorHAnsi"/>
        </w:rPr>
        <w:t>26</w:t>
      </w:r>
      <w:r w:rsidRPr="000D5F1C">
        <w:rPr>
          <w:rFonts w:cstheme="minorHAnsi"/>
        </w:rPr>
        <w:t>, 233</w:t>
      </w:r>
      <w:r w:rsidR="00B66124">
        <w:rPr>
          <w:rFonts w:cstheme="minorHAnsi"/>
        </w:rPr>
        <w:t>.</w:t>
      </w:r>
    </w:p>
  </w:footnote>
  <w:footnote w:id="114">
    <w:p w14:paraId="055996BD" w14:textId="334F18B9" w:rsidR="00413014" w:rsidRPr="000D5F1C" w:rsidRDefault="00413014">
      <w:pPr>
        <w:pStyle w:val="FootnoteText"/>
        <w:rPr>
          <w:rFonts w:cstheme="minorHAnsi"/>
        </w:rPr>
      </w:pPr>
      <w:r w:rsidRPr="000D5F1C">
        <w:rPr>
          <w:rStyle w:val="FootnoteReference"/>
          <w:rFonts w:cstheme="minorHAnsi"/>
        </w:rPr>
        <w:footnoteRef/>
      </w:r>
      <w:r w:rsidRPr="000D5F1C">
        <w:rPr>
          <w:rFonts w:cstheme="minorHAnsi"/>
        </w:rPr>
        <w:t xml:space="preserve"> </w:t>
      </w:r>
      <w:r w:rsidR="00B66124">
        <w:rPr>
          <w:rFonts w:cstheme="minorHAnsi"/>
        </w:rPr>
        <w:t>i</w:t>
      </w:r>
      <w:r w:rsidR="006E6B2D" w:rsidRPr="000D5F1C">
        <w:rPr>
          <w:rFonts w:cstheme="minorHAnsi"/>
        </w:rPr>
        <w:t>bid 232-233</w:t>
      </w:r>
      <w:r w:rsidR="00B66124">
        <w:rPr>
          <w:rFonts w:cstheme="minorHAnsi"/>
        </w:rPr>
        <w:t>.</w:t>
      </w:r>
    </w:p>
  </w:footnote>
  <w:footnote w:id="115">
    <w:p w14:paraId="230820E5" w14:textId="0985F377" w:rsidR="00344AA0" w:rsidRPr="000D5F1C" w:rsidRDefault="00344AA0">
      <w:pPr>
        <w:pStyle w:val="FootnoteText"/>
        <w:rPr>
          <w:rFonts w:cstheme="minorHAnsi"/>
        </w:rPr>
      </w:pPr>
      <w:r w:rsidRPr="000D5F1C">
        <w:rPr>
          <w:rStyle w:val="FootnoteReference"/>
          <w:rFonts w:cstheme="minorHAnsi"/>
        </w:rPr>
        <w:footnoteRef/>
      </w:r>
      <w:r w:rsidRPr="000D5F1C">
        <w:rPr>
          <w:rFonts w:cstheme="minorHAnsi"/>
        </w:rPr>
        <w:t xml:space="preserve"> </w:t>
      </w:r>
      <w:r w:rsidR="000A3356" w:rsidRPr="000D5F1C">
        <w:rPr>
          <w:rFonts w:cstheme="minorHAnsi"/>
        </w:rPr>
        <w:t xml:space="preserve">Jens-Uwe Franck, </w:t>
      </w:r>
      <w:r w:rsidR="00712D2F" w:rsidRPr="000D5F1C">
        <w:rPr>
          <w:rFonts w:cstheme="minorHAnsi"/>
        </w:rPr>
        <w:t>‘</w:t>
      </w:r>
      <w:r w:rsidR="000A3356" w:rsidRPr="000D5F1C">
        <w:rPr>
          <w:rFonts w:cstheme="minorHAnsi"/>
        </w:rPr>
        <w:t xml:space="preserve">Chapter 5: Private Enforcement in Germany’ in Ferdinand </w:t>
      </w:r>
      <w:proofErr w:type="spellStart"/>
      <w:r w:rsidR="000A3356" w:rsidRPr="000D5F1C">
        <w:rPr>
          <w:rFonts w:cstheme="minorHAnsi"/>
        </w:rPr>
        <w:t>Wollenschläger</w:t>
      </w:r>
      <w:proofErr w:type="spellEnd"/>
      <w:r w:rsidR="000A3356" w:rsidRPr="000D5F1C">
        <w:rPr>
          <w:rFonts w:cstheme="minorHAnsi"/>
        </w:rPr>
        <w:t xml:space="preserve">, Wolfgang </w:t>
      </w:r>
      <w:proofErr w:type="spellStart"/>
      <w:r w:rsidR="000A3356" w:rsidRPr="000D5F1C">
        <w:rPr>
          <w:rFonts w:cstheme="minorHAnsi"/>
        </w:rPr>
        <w:t>Wurmnest</w:t>
      </w:r>
      <w:proofErr w:type="spellEnd"/>
      <w:r w:rsidR="000A3356" w:rsidRPr="000D5F1C">
        <w:rPr>
          <w:rFonts w:cstheme="minorHAnsi"/>
        </w:rPr>
        <w:t xml:space="preserve"> &amp; Thomas M. J. </w:t>
      </w:r>
      <w:proofErr w:type="spellStart"/>
      <w:r w:rsidR="000A3356" w:rsidRPr="000D5F1C">
        <w:rPr>
          <w:rFonts w:cstheme="minorHAnsi"/>
        </w:rPr>
        <w:t>Möllers</w:t>
      </w:r>
      <w:proofErr w:type="spellEnd"/>
      <w:r w:rsidR="000A3356" w:rsidRPr="000D5F1C">
        <w:rPr>
          <w:rFonts w:cstheme="minorHAnsi"/>
        </w:rPr>
        <w:t xml:space="preserve"> (eds), </w:t>
      </w:r>
      <w:r w:rsidR="000A3356" w:rsidRPr="000D5F1C">
        <w:rPr>
          <w:rFonts w:cstheme="minorHAnsi"/>
          <w:i/>
          <w:iCs/>
        </w:rPr>
        <w:t xml:space="preserve">Private Enforcement of European Competition and State Aid Law: Current Challenges and the Way Forward </w:t>
      </w:r>
      <w:r w:rsidR="000A3356" w:rsidRPr="000D5F1C">
        <w:rPr>
          <w:rFonts w:cstheme="minorHAnsi"/>
        </w:rPr>
        <w:t>(Chapter 5, Kluwer Law International 2020), 106</w:t>
      </w:r>
      <w:r w:rsidR="00B66124">
        <w:rPr>
          <w:rFonts w:cstheme="minorHAnsi"/>
        </w:rPr>
        <w:t>.</w:t>
      </w:r>
    </w:p>
  </w:footnote>
  <w:footnote w:id="116">
    <w:p w14:paraId="377BB3B7" w14:textId="2FBA40F0" w:rsidR="001C7396" w:rsidRPr="000D5F1C" w:rsidRDefault="001C7396">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17</w:t>
      </w:r>
      <w:r w:rsidR="00B66124">
        <w:rPr>
          <w:rFonts w:cstheme="minorHAnsi"/>
        </w:rPr>
        <w:t>.</w:t>
      </w:r>
    </w:p>
  </w:footnote>
  <w:footnote w:id="117">
    <w:p w14:paraId="4098BC55" w14:textId="30220180" w:rsidR="00E15FB2" w:rsidRPr="000D5F1C" w:rsidRDefault="00E15FB2">
      <w:pPr>
        <w:pStyle w:val="FootnoteText"/>
        <w:rPr>
          <w:rFonts w:cstheme="minorHAnsi"/>
        </w:rPr>
      </w:pPr>
      <w:r w:rsidRPr="000D5F1C">
        <w:rPr>
          <w:rStyle w:val="FootnoteReference"/>
          <w:rFonts w:cstheme="minorHAnsi"/>
        </w:rPr>
        <w:footnoteRef/>
      </w:r>
      <w:r w:rsidRPr="000D5F1C">
        <w:rPr>
          <w:rFonts w:cstheme="minorHAnsi"/>
        </w:rPr>
        <w:t xml:space="preserve"> Christian </w:t>
      </w:r>
      <w:proofErr w:type="spellStart"/>
      <w:r w:rsidRPr="000D5F1C">
        <w:rPr>
          <w:rFonts w:cstheme="minorHAnsi"/>
        </w:rPr>
        <w:t>Kersting</w:t>
      </w:r>
      <w:proofErr w:type="spellEnd"/>
      <w:r w:rsidRPr="000D5F1C">
        <w:rPr>
          <w:rFonts w:cstheme="minorHAnsi"/>
        </w:rPr>
        <w:t xml:space="preserve">, ‘Germany’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6, Oxford University Press 2019)</w:t>
      </w:r>
      <w:r w:rsidR="00AB6282">
        <w:rPr>
          <w:rFonts w:cstheme="minorHAnsi"/>
        </w:rPr>
        <w:t>.</w:t>
      </w:r>
    </w:p>
  </w:footnote>
  <w:footnote w:id="118">
    <w:p w14:paraId="52C01639" w14:textId="13710433" w:rsidR="009945B6" w:rsidRPr="000D5F1C" w:rsidRDefault="009945B6">
      <w:pPr>
        <w:pStyle w:val="FootnoteText"/>
        <w:rPr>
          <w:rFonts w:cstheme="minorHAnsi"/>
        </w:rPr>
      </w:pPr>
      <w:r w:rsidRPr="000D5F1C">
        <w:rPr>
          <w:rStyle w:val="FootnoteReference"/>
          <w:rFonts w:cstheme="minorHAnsi"/>
        </w:rPr>
        <w:footnoteRef/>
      </w:r>
      <w:r w:rsidRPr="000D5F1C">
        <w:rPr>
          <w:rFonts w:cstheme="minorHAnsi"/>
        </w:rPr>
        <w:t xml:space="preserve"> </w:t>
      </w:r>
      <w:r w:rsidR="005539F2" w:rsidRPr="000D5F1C">
        <w:rPr>
          <w:rFonts w:cstheme="minorHAnsi"/>
        </w:rPr>
        <w:t xml:space="preserve">Rupert </w:t>
      </w:r>
      <w:proofErr w:type="spellStart"/>
      <w:r w:rsidR="005539F2" w:rsidRPr="000D5F1C">
        <w:rPr>
          <w:rFonts w:cstheme="minorHAnsi"/>
        </w:rPr>
        <w:t>Bellinghausen</w:t>
      </w:r>
      <w:proofErr w:type="spellEnd"/>
      <w:r w:rsidR="005539F2" w:rsidRPr="000D5F1C">
        <w:rPr>
          <w:rFonts w:cstheme="minorHAnsi"/>
        </w:rPr>
        <w:t xml:space="preserve"> </w:t>
      </w:r>
      <w:r w:rsidR="005539F2">
        <w:rPr>
          <w:rFonts w:cstheme="minorHAnsi"/>
        </w:rPr>
        <w:t>and others</w:t>
      </w:r>
      <w:r w:rsidR="005539F2" w:rsidRPr="000D5F1C">
        <w:rPr>
          <w:rFonts w:cstheme="minorHAnsi"/>
        </w:rPr>
        <w:t>, ‘The future of cartel damages litigation in the UK, the Netherlands and Germany after the implementation of the Damages Directive’ (2017)</w:t>
      </w:r>
      <w:r w:rsidR="005539F2">
        <w:rPr>
          <w:rFonts w:cstheme="minorHAnsi"/>
        </w:rPr>
        <w:t xml:space="preserve"> 10</w:t>
      </w:r>
      <w:r w:rsidR="005539F2" w:rsidRPr="000D5F1C">
        <w:rPr>
          <w:rFonts w:cstheme="minorHAnsi"/>
        </w:rPr>
        <w:t xml:space="preserve"> GCLR </w:t>
      </w:r>
      <w:r w:rsidR="005539F2">
        <w:rPr>
          <w:rFonts w:cstheme="minorHAnsi"/>
        </w:rPr>
        <w:t>103</w:t>
      </w:r>
      <w:r w:rsidRPr="000D5F1C">
        <w:rPr>
          <w:rFonts w:cstheme="minorHAnsi"/>
        </w:rPr>
        <w:t>, 107</w:t>
      </w:r>
    </w:p>
  </w:footnote>
  <w:footnote w:id="119">
    <w:p w14:paraId="74740DBE" w14:textId="1C8C4450" w:rsidR="00771155" w:rsidRPr="000D5F1C" w:rsidRDefault="00771155" w:rsidP="00771155">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20">
    <w:p w14:paraId="5FE5C95F" w14:textId="2B110919" w:rsidR="002F5B79" w:rsidRPr="000D5F1C" w:rsidRDefault="002F5B79">
      <w:pPr>
        <w:pStyle w:val="FootnoteText"/>
        <w:rPr>
          <w:rFonts w:cstheme="minorHAnsi"/>
        </w:rPr>
      </w:pPr>
      <w:r w:rsidRPr="000D5F1C">
        <w:rPr>
          <w:rStyle w:val="FootnoteReference"/>
          <w:rFonts w:cstheme="minorHAnsi"/>
        </w:rPr>
        <w:footnoteRef/>
      </w:r>
      <w:r w:rsidRPr="000D5F1C">
        <w:rPr>
          <w:rFonts w:cstheme="minorHAnsi"/>
        </w:rPr>
        <w:t xml:space="preserve"> GWB</w:t>
      </w:r>
      <w:r w:rsidR="003A1958">
        <w:rPr>
          <w:rFonts w:cstheme="minorHAnsi"/>
        </w:rPr>
        <w:t>,</w:t>
      </w:r>
      <w:r w:rsidRPr="000D5F1C">
        <w:rPr>
          <w:rFonts w:cstheme="minorHAnsi"/>
        </w:rPr>
        <w:t xml:space="preserve"> Section 33h(4)</w:t>
      </w:r>
      <w:r w:rsidR="00AB6282">
        <w:rPr>
          <w:rFonts w:cstheme="minorHAnsi"/>
        </w:rPr>
        <w:t>.</w:t>
      </w:r>
    </w:p>
  </w:footnote>
  <w:footnote w:id="121">
    <w:p w14:paraId="07722C28" w14:textId="25455EA4" w:rsidR="00874B0C" w:rsidRPr="000D5F1C" w:rsidRDefault="00874B0C">
      <w:pPr>
        <w:pStyle w:val="FootnoteText"/>
        <w:rPr>
          <w:rFonts w:cstheme="minorHAnsi"/>
        </w:rPr>
      </w:pPr>
      <w:r w:rsidRPr="000D5F1C">
        <w:rPr>
          <w:rStyle w:val="FootnoteReference"/>
          <w:rFonts w:cstheme="minorHAnsi"/>
        </w:rPr>
        <w:footnoteRef/>
      </w:r>
      <w:r w:rsidRPr="000D5F1C">
        <w:rPr>
          <w:rFonts w:cstheme="minorHAnsi"/>
        </w:rPr>
        <w:t xml:space="preserve"> </w:t>
      </w:r>
      <w:r w:rsidR="005539F2" w:rsidRPr="000D5F1C">
        <w:rPr>
          <w:rFonts w:cstheme="minorHAnsi"/>
        </w:rPr>
        <w:t xml:space="preserve">Rupert </w:t>
      </w:r>
      <w:proofErr w:type="spellStart"/>
      <w:r w:rsidR="005539F2" w:rsidRPr="000D5F1C">
        <w:rPr>
          <w:rFonts w:cstheme="minorHAnsi"/>
        </w:rPr>
        <w:t>Bellinghausen</w:t>
      </w:r>
      <w:proofErr w:type="spellEnd"/>
      <w:r w:rsidR="005539F2" w:rsidRPr="000D5F1C">
        <w:rPr>
          <w:rFonts w:cstheme="minorHAnsi"/>
        </w:rPr>
        <w:t xml:space="preserve"> </w:t>
      </w:r>
      <w:r w:rsidR="005539F2">
        <w:rPr>
          <w:rFonts w:cstheme="minorHAnsi"/>
        </w:rPr>
        <w:t>and others</w:t>
      </w:r>
      <w:r w:rsidR="005539F2" w:rsidRPr="000D5F1C">
        <w:rPr>
          <w:rFonts w:cstheme="minorHAnsi"/>
        </w:rPr>
        <w:t>, ‘The future of cartel damages litigation in the UK, the Netherlands and Germany after the implementation of the Damages Directive’ (2017)</w:t>
      </w:r>
      <w:r w:rsidR="005539F2">
        <w:rPr>
          <w:rFonts w:cstheme="minorHAnsi"/>
        </w:rPr>
        <w:t xml:space="preserve"> 10</w:t>
      </w:r>
      <w:r w:rsidR="005539F2" w:rsidRPr="000D5F1C">
        <w:rPr>
          <w:rFonts w:cstheme="minorHAnsi"/>
        </w:rPr>
        <w:t xml:space="preserve"> GCLR </w:t>
      </w:r>
      <w:r w:rsidR="005539F2">
        <w:rPr>
          <w:rFonts w:cstheme="minorHAnsi"/>
        </w:rPr>
        <w:t>103</w:t>
      </w:r>
      <w:r w:rsidRPr="000D5F1C">
        <w:rPr>
          <w:rFonts w:cstheme="minorHAnsi"/>
        </w:rPr>
        <w:t>,</w:t>
      </w:r>
      <w:r w:rsidR="00965EEC">
        <w:rPr>
          <w:rFonts w:cstheme="minorHAnsi"/>
        </w:rPr>
        <w:t xml:space="preserve"> </w:t>
      </w:r>
      <w:r w:rsidRPr="000D5F1C">
        <w:rPr>
          <w:rFonts w:cstheme="minorHAnsi"/>
        </w:rPr>
        <w:t>107</w:t>
      </w:r>
    </w:p>
  </w:footnote>
  <w:footnote w:id="122">
    <w:p w14:paraId="25391F30" w14:textId="3EC378B1" w:rsidR="00874B0C" w:rsidRPr="000D5F1C" w:rsidRDefault="00874B0C">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23">
    <w:p w14:paraId="12348B0B" w14:textId="628A19E8" w:rsidR="009A47DB" w:rsidRPr="000D5F1C" w:rsidRDefault="009A47DB">
      <w:pPr>
        <w:pStyle w:val="FootnoteText"/>
        <w:rPr>
          <w:rFonts w:cstheme="minorHAnsi"/>
        </w:rPr>
      </w:pPr>
      <w:r w:rsidRPr="000D5F1C">
        <w:rPr>
          <w:rStyle w:val="FootnoteReference"/>
          <w:rFonts w:cstheme="minorHAnsi"/>
        </w:rPr>
        <w:footnoteRef/>
      </w:r>
      <w:r w:rsidRPr="000D5F1C">
        <w:rPr>
          <w:rFonts w:cstheme="minorHAnsi"/>
        </w:rPr>
        <w:t xml:space="preserve"> </w:t>
      </w:r>
      <w:bookmarkStart w:id="61" w:name="_Hlk107481100"/>
      <w:proofErr w:type="spellStart"/>
      <w:r w:rsidR="00455C6D" w:rsidRPr="00455C6D">
        <w:rPr>
          <w:rFonts w:cstheme="minorHAnsi"/>
        </w:rPr>
        <w:t>Jochem</w:t>
      </w:r>
      <w:proofErr w:type="spellEnd"/>
      <w:r w:rsidR="00455C6D" w:rsidRPr="00455C6D">
        <w:rPr>
          <w:rFonts w:cstheme="minorHAnsi"/>
        </w:rPr>
        <w:t xml:space="preserve"> Hoffmann and Stephan Schneider, ‘Die </w:t>
      </w:r>
      <w:proofErr w:type="spellStart"/>
      <w:r w:rsidR="00455C6D" w:rsidRPr="00455C6D">
        <w:rPr>
          <w:rFonts w:cstheme="minorHAnsi"/>
        </w:rPr>
        <w:t>Verjährung</w:t>
      </w:r>
      <w:proofErr w:type="spellEnd"/>
      <w:r w:rsidR="00455C6D" w:rsidRPr="00455C6D">
        <w:rPr>
          <w:rFonts w:cstheme="minorHAnsi"/>
        </w:rPr>
        <w:t xml:space="preserve"> </w:t>
      </w:r>
      <w:proofErr w:type="spellStart"/>
      <w:r w:rsidR="00455C6D" w:rsidRPr="00455C6D">
        <w:rPr>
          <w:rFonts w:cstheme="minorHAnsi"/>
        </w:rPr>
        <w:t>unter</w:t>
      </w:r>
      <w:proofErr w:type="spellEnd"/>
      <w:r w:rsidR="00455C6D" w:rsidRPr="00455C6D">
        <w:rPr>
          <w:rFonts w:cstheme="minorHAnsi"/>
        </w:rPr>
        <w:t xml:space="preserve"> der </w:t>
      </w:r>
      <w:proofErr w:type="spellStart"/>
      <w:r w:rsidR="00455C6D" w:rsidRPr="00455C6D">
        <w:rPr>
          <w:rFonts w:cstheme="minorHAnsi"/>
        </w:rPr>
        <w:t>Kartellschadensersatzrichtlinie</w:t>
      </w:r>
      <w:proofErr w:type="spellEnd"/>
      <w:r w:rsidR="00455C6D" w:rsidRPr="00455C6D">
        <w:rPr>
          <w:rFonts w:cstheme="minorHAnsi"/>
        </w:rPr>
        <w:t xml:space="preserve">’ (2016) 3 </w:t>
      </w:r>
      <w:proofErr w:type="spellStart"/>
      <w:r w:rsidR="00455C6D" w:rsidRPr="00455C6D">
        <w:rPr>
          <w:rFonts w:cstheme="minorHAnsi"/>
        </w:rPr>
        <w:t>WuW</w:t>
      </w:r>
      <w:proofErr w:type="spellEnd"/>
      <w:r w:rsidR="00455C6D" w:rsidRPr="00455C6D">
        <w:rPr>
          <w:rFonts w:cstheme="minorHAnsi"/>
        </w:rPr>
        <w:t xml:space="preserve"> 102, 104</w:t>
      </w:r>
    </w:p>
    <w:bookmarkEnd w:id="61"/>
  </w:footnote>
  <w:footnote w:id="124">
    <w:p w14:paraId="76218D41" w14:textId="7760EBF5" w:rsidR="008D7C14" w:rsidRPr="000D5F1C" w:rsidRDefault="008D7C14">
      <w:pPr>
        <w:pStyle w:val="FootnoteText"/>
        <w:rPr>
          <w:rFonts w:cstheme="minorHAnsi"/>
        </w:rPr>
      </w:pPr>
      <w:r w:rsidRPr="000D5F1C">
        <w:rPr>
          <w:rStyle w:val="FootnoteReference"/>
          <w:rFonts w:cstheme="minorHAnsi"/>
        </w:rPr>
        <w:footnoteRef/>
      </w:r>
      <w:r w:rsidRPr="000D5F1C">
        <w:rPr>
          <w:rFonts w:cstheme="minorHAnsi"/>
        </w:rPr>
        <w:t xml:space="preserve"> </w:t>
      </w:r>
      <w:r w:rsidR="00CE2A19" w:rsidRPr="000D5F1C">
        <w:rPr>
          <w:rFonts w:cstheme="minorHAnsi"/>
        </w:rPr>
        <w:t xml:space="preserve">Volker </w:t>
      </w:r>
      <w:proofErr w:type="spellStart"/>
      <w:r w:rsidR="00CE2A19" w:rsidRPr="000D5F1C">
        <w:rPr>
          <w:rFonts w:cstheme="minorHAnsi"/>
        </w:rPr>
        <w:t>Soyez</w:t>
      </w:r>
      <w:proofErr w:type="spellEnd"/>
      <w:r w:rsidR="00CE2A19" w:rsidRPr="000D5F1C">
        <w:rPr>
          <w:rFonts w:cstheme="minorHAnsi"/>
        </w:rPr>
        <w:t>, ‘Germany: German Federal Supreme Court delivers further claimant-friendly verdicts’ (2022)</w:t>
      </w:r>
      <w:r w:rsidR="00CE2A19">
        <w:rPr>
          <w:rFonts w:cstheme="minorHAnsi"/>
        </w:rPr>
        <w:t xml:space="preserve"> 15</w:t>
      </w:r>
      <w:r w:rsidR="00CE2A19" w:rsidRPr="000D5F1C">
        <w:rPr>
          <w:rFonts w:cstheme="minorHAnsi"/>
        </w:rPr>
        <w:t xml:space="preserve"> GCLR 3</w:t>
      </w:r>
      <w:r w:rsidR="00AB6282">
        <w:rPr>
          <w:rFonts w:cstheme="minorHAnsi"/>
        </w:rPr>
        <w:t>.</w:t>
      </w:r>
    </w:p>
  </w:footnote>
  <w:footnote w:id="125">
    <w:p w14:paraId="295C03C4" w14:textId="4796D574" w:rsidR="00937DC5" w:rsidRPr="000D5F1C" w:rsidRDefault="00937DC5">
      <w:pPr>
        <w:pStyle w:val="FootnoteText"/>
        <w:rPr>
          <w:rFonts w:cstheme="minorHAnsi"/>
        </w:rPr>
      </w:pPr>
      <w:r w:rsidRPr="000D5F1C">
        <w:rPr>
          <w:rStyle w:val="FootnoteReference"/>
          <w:rFonts w:cstheme="minorHAnsi"/>
        </w:rPr>
        <w:footnoteRef/>
      </w:r>
      <w:r w:rsidRPr="000D5F1C">
        <w:rPr>
          <w:rFonts w:cstheme="minorHAnsi"/>
        </w:rPr>
        <w:t xml:space="preserve"> </w:t>
      </w:r>
      <w:bookmarkStart w:id="63" w:name="_Hlk107444757"/>
      <w:r w:rsidRPr="000D5F1C">
        <w:rPr>
          <w:rFonts w:cstheme="minorHAnsi"/>
        </w:rPr>
        <w:t xml:space="preserve">BGH, </w:t>
      </w:r>
      <w:r w:rsidR="009F4562" w:rsidRPr="000D5F1C">
        <w:rPr>
          <w:rFonts w:cstheme="minorHAnsi"/>
        </w:rPr>
        <w:t>judgement of 28 January 2020</w:t>
      </w:r>
      <w:r w:rsidR="009F4562">
        <w:rPr>
          <w:rFonts w:cstheme="minorHAnsi"/>
        </w:rPr>
        <w:t>,</w:t>
      </w:r>
      <w:r w:rsidRPr="000D5F1C">
        <w:rPr>
          <w:rFonts w:cstheme="minorHAnsi"/>
        </w:rPr>
        <w:t xml:space="preserve"> KZR 24/17</w:t>
      </w:r>
      <w:bookmarkEnd w:id="63"/>
      <w:r w:rsidR="00AB6282">
        <w:rPr>
          <w:rFonts w:cstheme="minorHAnsi"/>
        </w:rPr>
        <w:t>.</w:t>
      </w:r>
    </w:p>
  </w:footnote>
  <w:footnote w:id="126">
    <w:p w14:paraId="70D3696B" w14:textId="0087A706" w:rsidR="00937DC5" w:rsidRPr="000D5F1C" w:rsidRDefault="00937DC5" w:rsidP="00937DC5">
      <w:pPr>
        <w:pStyle w:val="FootnoteText"/>
        <w:rPr>
          <w:rFonts w:cstheme="minorHAnsi"/>
        </w:rPr>
      </w:pPr>
      <w:r w:rsidRPr="000D5F1C">
        <w:rPr>
          <w:rStyle w:val="FootnoteReference"/>
          <w:rFonts w:cstheme="minorHAnsi"/>
        </w:rPr>
        <w:footnoteRef/>
      </w:r>
      <w:r w:rsidRPr="000D5F1C">
        <w:rPr>
          <w:rFonts w:cstheme="minorHAnsi"/>
        </w:rPr>
        <w:t xml:space="preserve"> </w:t>
      </w:r>
      <w:bookmarkStart w:id="64" w:name="_Hlk107444764"/>
      <w:r w:rsidRPr="000D5F1C">
        <w:rPr>
          <w:rFonts w:cstheme="minorHAnsi"/>
        </w:rPr>
        <w:t xml:space="preserve">BGH, </w:t>
      </w:r>
      <w:r w:rsidR="009F4562" w:rsidRPr="000D5F1C">
        <w:rPr>
          <w:rFonts w:cstheme="minorHAnsi"/>
        </w:rPr>
        <w:t>judgement of 13 April 2021</w:t>
      </w:r>
      <w:r w:rsidR="009F4562">
        <w:rPr>
          <w:rFonts w:cstheme="minorHAnsi"/>
        </w:rPr>
        <w:t xml:space="preserve">, </w:t>
      </w:r>
      <w:r w:rsidRPr="000D5F1C">
        <w:rPr>
          <w:rFonts w:cstheme="minorHAnsi"/>
        </w:rPr>
        <w:t>KZR 19/20</w:t>
      </w:r>
      <w:bookmarkEnd w:id="64"/>
      <w:r w:rsidR="00AB6282">
        <w:rPr>
          <w:rFonts w:cstheme="minorHAnsi"/>
        </w:rPr>
        <w:t>.</w:t>
      </w:r>
    </w:p>
  </w:footnote>
  <w:footnote w:id="127">
    <w:p w14:paraId="1B960C89" w14:textId="1998BE07" w:rsidR="00B371CA" w:rsidRPr="000D5F1C" w:rsidRDefault="00B371CA">
      <w:pPr>
        <w:pStyle w:val="FootnoteText"/>
        <w:rPr>
          <w:rFonts w:cstheme="minorHAnsi"/>
        </w:rPr>
      </w:pPr>
      <w:r w:rsidRPr="000D5F1C">
        <w:rPr>
          <w:rStyle w:val="FootnoteReference"/>
          <w:rFonts w:cstheme="minorHAnsi"/>
        </w:rPr>
        <w:footnoteRef/>
      </w:r>
      <w:r w:rsidRPr="000D5F1C">
        <w:rPr>
          <w:rFonts w:cstheme="minorHAnsi"/>
        </w:rPr>
        <w:t xml:space="preserve"> </w:t>
      </w:r>
      <w:bookmarkStart w:id="65" w:name="_Hlk107481171"/>
      <w:r w:rsidRPr="000D5F1C">
        <w:rPr>
          <w:rFonts w:cstheme="minorHAnsi"/>
        </w:rPr>
        <w:t xml:space="preserve">Volker </w:t>
      </w:r>
      <w:proofErr w:type="spellStart"/>
      <w:r w:rsidRPr="000D5F1C">
        <w:rPr>
          <w:rFonts w:cstheme="minorHAnsi"/>
        </w:rPr>
        <w:t>Soyez</w:t>
      </w:r>
      <w:proofErr w:type="spellEnd"/>
      <w:r w:rsidRPr="000D5F1C">
        <w:rPr>
          <w:rFonts w:cstheme="minorHAnsi"/>
        </w:rPr>
        <w:t>, ‘Germany: "Rail Cartel II" - German Federal Supreme Court further strengthens private enforcement in Germany’ (2020)</w:t>
      </w:r>
      <w:r w:rsidR="00CE2A19">
        <w:rPr>
          <w:rFonts w:cstheme="minorHAnsi"/>
        </w:rPr>
        <w:t xml:space="preserve"> 13</w:t>
      </w:r>
      <w:r w:rsidRPr="000D5F1C">
        <w:rPr>
          <w:rFonts w:cstheme="minorHAnsi"/>
        </w:rPr>
        <w:t xml:space="preserve"> GCLR </w:t>
      </w:r>
      <w:bookmarkEnd w:id="65"/>
      <w:r w:rsidR="00CE2A19">
        <w:rPr>
          <w:rFonts w:cstheme="minorHAnsi"/>
        </w:rPr>
        <w:t>31</w:t>
      </w:r>
      <w:r w:rsidRPr="000D5F1C">
        <w:rPr>
          <w:rFonts w:cstheme="minorHAnsi"/>
        </w:rPr>
        <w:t>, 31</w:t>
      </w:r>
      <w:r w:rsidR="009417A0" w:rsidRPr="000D5F1C">
        <w:rPr>
          <w:rFonts w:cstheme="minorHAnsi"/>
        </w:rPr>
        <w:t>-32</w:t>
      </w:r>
      <w:r w:rsidR="00AB6282">
        <w:rPr>
          <w:rFonts w:cstheme="minorHAnsi"/>
        </w:rPr>
        <w:t>.</w:t>
      </w:r>
    </w:p>
  </w:footnote>
  <w:footnote w:id="128">
    <w:p w14:paraId="0A91F93B" w14:textId="3B53B9A6" w:rsidR="0083615B" w:rsidRPr="000D5F1C" w:rsidRDefault="0083615B">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29">
    <w:p w14:paraId="5FCB91D9" w14:textId="5F251CE3" w:rsidR="009417A0" w:rsidRPr="000D5F1C" w:rsidRDefault="009417A0">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30">
    <w:p w14:paraId="452B24A5" w14:textId="7A98246A" w:rsidR="00EC298D" w:rsidRPr="000D5F1C" w:rsidRDefault="00EC298D">
      <w:pPr>
        <w:pStyle w:val="FootnoteText"/>
        <w:rPr>
          <w:rFonts w:cstheme="minorHAnsi"/>
        </w:rPr>
      </w:pPr>
      <w:r w:rsidRPr="000D5F1C">
        <w:rPr>
          <w:rStyle w:val="FootnoteReference"/>
          <w:rFonts w:cstheme="minorHAnsi"/>
        </w:rPr>
        <w:footnoteRef/>
      </w:r>
      <w:r w:rsidRPr="000D5F1C">
        <w:rPr>
          <w:rFonts w:cstheme="minorHAnsi"/>
        </w:rPr>
        <w:t xml:space="preserve"> </w:t>
      </w:r>
      <w:r w:rsidR="00CE2A19" w:rsidRPr="000D5F1C">
        <w:rPr>
          <w:rFonts w:cstheme="minorHAnsi"/>
        </w:rPr>
        <w:t xml:space="preserve">Volker </w:t>
      </w:r>
      <w:proofErr w:type="spellStart"/>
      <w:r w:rsidR="00CE2A19" w:rsidRPr="000D5F1C">
        <w:rPr>
          <w:rFonts w:cstheme="minorHAnsi"/>
        </w:rPr>
        <w:t>Soyez</w:t>
      </w:r>
      <w:proofErr w:type="spellEnd"/>
      <w:r w:rsidR="00CE2A19" w:rsidRPr="000D5F1C">
        <w:rPr>
          <w:rFonts w:cstheme="minorHAnsi"/>
        </w:rPr>
        <w:t>, ‘Germany: German Federal Supreme Court delivers further claimant-friendly verdicts’ (2022)</w:t>
      </w:r>
      <w:r w:rsidR="00CE2A19">
        <w:rPr>
          <w:rFonts w:cstheme="minorHAnsi"/>
        </w:rPr>
        <w:t xml:space="preserve"> 15</w:t>
      </w:r>
      <w:r w:rsidR="00CE2A19" w:rsidRPr="000D5F1C">
        <w:rPr>
          <w:rFonts w:cstheme="minorHAnsi"/>
        </w:rPr>
        <w:t xml:space="preserve"> GCLR 3</w:t>
      </w:r>
      <w:r w:rsidR="00AB6282">
        <w:rPr>
          <w:rFonts w:cstheme="minorHAnsi"/>
        </w:rPr>
        <w:t>.</w:t>
      </w:r>
    </w:p>
  </w:footnote>
  <w:footnote w:id="131">
    <w:p w14:paraId="37ACC398" w14:textId="6C69751A" w:rsidR="00564256" w:rsidRPr="000D5F1C" w:rsidRDefault="00564256">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r w:rsidRPr="000D5F1C">
        <w:rPr>
          <w:rFonts w:cstheme="minorHAnsi"/>
        </w:rPr>
        <w:t xml:space="preserve"> 4</w:t>
      </w:r>
      <w:r w:rsidR="00AB6282">
        <w:rPr>
          <w:rFonts w:cstheme="minorHAnsi"/>
        </w:rPr>
        <w:t>.</w:t>
      </w:r>
    </w:p>
  </w:footnote>
  <w:footnote w:id="132">
    <w:p w14:paraId="0CC4C179" w14:textId="1AF6A9E9" w:rsidR="00BC623A" w:rsidRPr="000D5F1C" w:rsidRDefault="00BC623A">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r w:rsidRPr="000D5F1C">
        <w:rPr>
          <w:rFonts w:cstheme="minorHAnsi"/>
        </w:rPr>
        <w:t xml:space="preserve"> 3</w:t>
      </w:r>
      <w:r w:rsidR="00AB6282">
        <w:rPr>
          <w:rFonts w:cstheme="minorHAnsi"/>
        </w:rPr>
        <w:t>.</w:t>
      </w:r>
    </w:p>
  </w:footnote>
  <w:footnote w:id="133">
    <w:p w14:paraId="78C28657" w14:textId="1BB373F6" w:rsidR="00070F7B" w:rsidRPr="000D5F1C" w:rsidRDefault="00070F7B">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34">
    <w:p w14:paraId="0ED933D6" w14:textId="03E11183" w:rsidR="005869C6" w:rsidRPr="000D5F1C" w:rsidRDefault="005869C6">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 4.</w:t>
      </w:r>
    </w:p>
  </w:footnote>
  <w:footnote w:id="135">
    <w:p w14:paraId="04724763" w14:textId="3C274D0E" w:rsidR="005869C6" w:rsidRPr="000D5F1C" w:rsidRDefault="005869C6">
      <w:pPr>
        <w:pStyle w:val="FootnoteText"/>
        <w:rPr>
          <w:rFonts w:cstheme="minorHAnsi"/>
        </w:rPr>
      </w:pPr>
      <w:r w:rsidRPr="000D5F1C">
        <w:rPr>
          <w:rStyle w:val="FootnoteReference"/>
          <w:rFonts w:cstheme="minorHAnsi"/>
        </w:rPr>
        <w:footnoteRef/>
      </w:r>
      <w:r w:rsidRPr="000D5F1C">
        <w:rPr>
          <w:rFonts w:cstheme="minorHAnsi"/>
        </w:rPr>
        <w:t xml:space="preserve"> </w:t>
      </w:r>
      <w:r w:rsidR="00AB6282">
        <w:rPr>
          <w:rFonts w:cstheme="minorHAnsi"/>
        </w:rPr>
        <w:t>ibid.</w:t>
      </w:r>
    </w:p>
  </w:footnote>
  <w:footnote w:id="136">
    <w:p w14:paraId="4EDC03B8" w14:textId="570F5A27" w:rsidR="006C344E" w:rsidRPr="000D5F1C" w:rsidRDefault="006C344E">
      <w:pPr>
        <w:pStyle w:val="FootnoteText"/>
        <w:rPr>
          <w:rFonts w:cstheme="minorHAnsi"/>
        </w:rPr>
      </w:pPr>
      <w:r w:rsidRPr="000D5F1C">
        <w:rPr>
          <w:rStyle w:val="FootnoteReference"/>
          <w:rFonts w:cstheme="minorHAnsi"/>
        </w:rPr>
        <w:footnoteRef/>
      </w:r>
      <w:r w:rsidR="00716706" w:rsidRPr="00716706">
        <w:rPr>
          <w:rFonts w:cstheme="minorHAnsi"/>
        </w:rPr>
        <w:t>Jean-François Laborde, ‘Cartel damages actions in Europe: How courts have assessed cartel overcharges (2021 ed.)’ (2021) 3 Concurrences 232</w:t>
      </w:r>
      <w:r w:rsidR="00716706">
        <w:rPr>
          <w:rFonts w:cstheme="minorHAnsi"/>
        </w:rPr>
        <w:t xml:space="preserve">, </w:t>
      </w:r>
      <w:r w:rsidRPr="000D5F1C">
        <w:rPr>
          <w:rFonts w:cstheme="minorHAnsi"/>
        </w:rPr>
        <w:t>235</w:t>
      </w:r>
      <w:r w:rsidR="006421F5">
        <w:rPr>
          <w:rFonts w:cstheme="minorHAnsi"/>
        </w:rPr>
        <w:t>.</w:t>
      </w:r>
    </w:p>
  </w:footnote>
  <w:footnote w:id="137">
    <w:p w14:paraId="6B253E52" w14:textId="3D384000" w:rsidR="003C7BD4" w:rsidRPr="000D5F1C" w:rsidRDefault="003C7BD4">
      <w:pPr>
        <w:pStyle w:val="FootnoteText"/>
        <w:rPr>
          <w:rFonts w:cstheme="minorHAnsi"/>
        </w:rPr>
      </w:pPr>
      <w:r w:rsidRPr="000D5F1C">
        <w:rPr>
          <w:rStyle w:val="FootnoteReference"/>
          <w:rFonts w:cstheme="minorHAnsi"/>
        </w:rPr>
        <w:footnoteRef/>
      </w:r>
      <w:r w:rsidRPr="000D5F1C">
        <w:rPr>
          <w:rFonts w:cstheme="minorHAnsi"/>
        </w:rPr>
        <w:t xml:space="preserve"> </w:t>
      </w:r>
      <w:bookmarkStart w:id="68" w:name="_Hlk107481223"/>
      <w:r w:rsidR="003A52A9" w:rsidRPr="000D5F1C">
        <w:rPr>
          <w:rFonts w:cstheme="minorHAnsi"/>
        </w:rPr>
        <w:t>Barry Rodger, ‘Private Enforcement in the UK: Effective Redress for Consumers?’ in B. Rodger, P. Whelan and A</w:t>
      </w:r>
      <w:r w:rsidR="002A3768" w:rsidRPr="000D5F1C">
        <w:rPr>
          <w:rFonts w:cstheme="minorHAnsi"/>
        </w:rPr>
        <w:t>.</w:t>
      </w:r>
      <w:r w:rsidR="003A52A9" w:rsidRPr="000D5F1C">
        <w:rPr>
          <w:rFonts w:cstheme="minorHAnsi"/>
        </w:rPr>
        <w:t xml:space="preserve"> MacCulloch (eds), </w:t>
      </w:r>
      <w:r w:rsidR="003A52A9" w:rsidRPr="000D5F1C">
        <w:rPr>
          <w:rFonts w:cstheme="minorHAnsi"/>
          <w:i/>
          <w:iCs/>
        </w:rPr>
        <w:t>The UK Competition Regime: A Twenty-Year Retrospective</w:t>
      </w:r>
      <w:r w:rsidR="003A52A9" w:rsidRPr="000D5F1C">
        <w:rPr>
          <w:rFonts w:cstheme="minorHAnsi"/>
        </w:rPr>
        <w:t xml:space="preserve"> (Chapter 12, Oxford University Press 2021, forthcoming)</w:t>
      </w:r>
      <w:bookmarkEnd w:id="68"/>
      <w:r w:rsidR="000D3F51" w:rsidRPr="000D5F1C">
        <w:rPr>
          <w:rFonts w:cstheme="minorHAnsi"/>
        </w:rPr>
        <w:t>, 3</w:t>
      </w:r>
      <w:r w:rsidR="00D96BB8">
        <w:rPr>
          <w:rFonts w:cstheme="minorHAnsi"/>
        </w:rPr>
        <w:t>.</w:t>
      </w:r>
    </w:p>
  </w:footnote>
  <w:footnote w:id="138">
    <w:p w14:paraId="6827BA30" w14:textId="78FE6A41" w:rsidR="00712D2F" w:rsidRPr="000D5F1C" w:rsidRDefault="00712D2F">
      <w:pPr>
        <w:pStyle w:val="FootnoteText"/>
        <w:rPr>
          <w:rFonts w:cstheme="minorHAnsi"/>
        </w:rPr>
      </w:pPr>
      <w:r w:rsidRPr="000D5F1C">
        <w:rPr>
          <w:rStyle w:val="FootnoteReference"/>
          <w:rFonts w:cstheme="minorHAnsi"/>
        </w:rPr>
        <w:footnoteRef/>
      </w:r>
      <w:r w:rsidRPr="000D5F1C">
        <w:rPr>
          <w:rFonts w:cstheme="minorHAnsi"/>
        </w:rPr>
        <w:t xml:space="preserve"> </w:t>
      </w:r>
      <w:bookmarkStart w:id="69" w:name="_Hlk107481233"/>
      <w:r w:rsidRPr="000D5F1C">
        <w:rPr>
          <w:rFonts w:cstheme="minorHAnsi"/>
        </w:rPr>
        <w:t>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w:t>
      </w:r>
      <w:bookmarkEnd w:id="69"/>
      <w:r w:rsidRPr="000D5F1C">
        <w:rPr>
          <w:rFonts w:cstheme="minorHAnsi"/>
        </w:rPr>
        <w:t>, 162</w:t>
      </w:r>
      <w:r w:rsidR="00D96BB8">
        <w:rPr>
          <w:rFonts w:cstheme="minorHAnsi"/>
        </w:rPr>
        <w:t>.</w:t>
      </w:r>
    </w:p>
  </w:footnote>
  <w:footnote w:id="139">
    <w:p w14:paraId="7314239D" w14:textId="389B16EB" w:rsidR="004B4537" w:rsidRPr="000D5F1C" w:rsidRDefault="004B4537" w:rsidP="004B4537">
      <w:pPr>
        <w:pStyle w:val="FootnoteText"/>
        <w:rPr>
          <w:rFonts w:cstheme="minorHAnsi"/>
        </w:rPr>
      </w:pPr>
      <w:r w:rsidRPr="000D5F1C">
        <w:rPr>
          <w:rStyle w:val="FootnoteReference"/>
          <w:rFonts w:cstheme="minorHAnsi"/>
        </w:rPr>
        <w:footnoteRef/>
      </w:r>
      <w:r w:rsidRPr="000D5F1C">
        <w:rPr>
          <w:rFonts w:cstheme="minorHAnsi"/>
        </w:rPr>
        <w:t xml:space="preserve"> </w:t>
      </w:r>
      <w:r w:rsidR="00AB0F26" w:rsidRPr="000D5F1C">
        <w:rPr>
          <w:rFonts w:cstheme="minorHAnsi"/>
        </w:rPr>
        <w:t xml:space="preserve">Andreas </w:t>
      </w:r>
      <w:proofErr w:type="spellStart"/>
      <w:r w:rsidR="00AB0F26" w:rsidRPr="000D5F1C">
        <w:rPr>
          <w:rFonts w:cstheme="minorHAnsi"/>
        </w:rPr>
        <w:t>Weitbrecht</w:t>
      </w:r>
      <w:proofErr w:type="spellEnd"/>
      <w:r w:rsidR="00AB0F26" w:rsidRPr="000D5F1C">
        <w:rPr>
          <w:rFonts w:cstheme="minorHAnsi"/>
        </w:rPr>
        <w:t xml:space="preserve">, </w:t>
      </w:r>
      <w:r w:rsidR="00AB0F26">
        <w:rPr>
          <w:rFonts w:cstheme="minorHAnsi"/>
        </w:rPr>
        <w:t>‘</w:t>
      </w:r>
      <w:r w:rsidR="00AB0F26" w:rsidRPr="000D5F1C">
        <w:rPr>
          <w:rFonts w:cstheme="minorHAnsi"/>
        </w:rPr>
        <w:t>Coming of age: private enforcement in Germany</w:t>
      </w:r>
      <w:r w:rsidR="00AB0F26">
        <w:rPr>
          <w:rFonts w:cstheme="minorHAnsi"/>
        </w:rPr>
        <w:t>’</w:t>
      </w:r>
      <w:r w:rsidR="00AB0F26" w:rsidRPr="000D5F1C">
        <w:rPr>
          <w:rFonts w:cstheme="minorHAnsi"/>
        </w:rPr>
        <w:t xml:space="preserve"> (2019)</w:t>
      </w:r>
      <w:r w:rsidR="00AB0F26">
        <w:rPr>
          <w:rFonts w:cstheme="minorHAnsi"/>
        </w:rPr>
        <w:t xml:space="preserve"> 12 GCLR 51</w:t>
      </w:r>
      <w:r w:rsidR="00D96BB8">
        <w:rPr>
          <w:rFonts w:cstheme="minorHAnsi"/>
        </w:rPr>
        <w:t>.</w:t>
      </w:r>
    </w:p>
  </w:footnote>
  <w:footnote w:id="140">
    <w:p w14:paraId="01AF158E" w14:textId="305C8B32" w:rsidR="00D31B24" w:rsidRPr="000D5F1C" w:rsidRDefault="00D31B24">
      <w:pPr>
        <w:pStyle w:val="FootnoteText"/>
        <w:rPr>
          <w:rFonts w:cstheme="minorHAnsi"/>
        </w:rPr>
      </w:pPr>
      <w:r w:rsidRPr="000D5F1C">
        <w:rPr>
          <w:rStyle w:val="FootnoteReference"/>
          <w:rFonts w:cstheme="minorHAnsi"/>
        </w:rPr>
        <w:footnoteRef/>
      </w:r>
      <w:r w:rsidRPr="000D5F1C">
        <w:rPr>
          <w:rFonts w:cstheme="minorHAnsi"/>
        </w:rPr>
        <w:t xml:space="preserve"> </w:t>
      </w:r>
      <w:bookmarkStart w:id="70" w:name="_Hlk107481253"/>
      <w:r w:rsidRPr="000D5F1C">
        <w:rPr>
          <w:rFonts w:cstheme="minorHAnsi"/>
        </w:rPr>
        <w:t xml:space="preserve">Ronit Kreisberger </w:t>
      </w:r>
      <w:r w:rsidR="00716071">
        <w:rPr>
          <w:rFonts w:cstheme="minorHAnsi"/>
        </w:rPr>
        <w:t>and</w:t>
      </w:r>
      <w:r w:rsidRPr="000D5F1C">
        <w:rPr>
          <w:rFonts w:cstheme="minorHAnsi"/>
        </w:rPr>
        <w:t xml:space="preserve"> Conor McCarthy, ‘Competition damages litigation in the United Kingdom: the impact of Brexit’ (2018) </w:t>
      </w:r>
      <w:r w:rsidR="006421F5">
        <w:rPr>
          <w:rFonts w:cstheme="minorHAnsi"/>
        </w:rPr>
        <w:t>4 CLPD</w:t>
      </w:r>
      <w:bookmarkEnd w:id="70"/>
      <w:r w:rsidR="001051DF">
        <w:rPr>
          <w:rFonts w:cstheme="minorHAnsi"/>
        </w:rPr>
        <w:t xml:space="preserve"> 48,</w:t>
      </w:r>
      <w:r w:rsidR="006421F5">
        <w:rPr>
          <w:rFonts w:cstheme="minorHAnsi"/>
        </w:rPr>
        <w:t xml:space="preserve"> </w:t>
      </w:r>
      <w:r w:rsidRPr="000D5F1C">
        <w:rPr>
          <w:rFonts w:cstheme="minorHAnsi"/>
        </w:rPr>
        <w:t>49</w:t>
      </w:r>
      <w:r w:rsidR="00D96BB8">
        <w:rPr>
          <w:rFonts w:cstheme="minorHAnsi"/>
        </w:rPr>
        <w:t>.</w:t>
      </w:r>
    </w:p>
  </w:footnote>
  <w:footnote w:id="141">
    <w:p w14:paraId="0E6848D5" w14:textId="23109CC1" w:rsidR="00AC7667" w:rsidRPr="000D5F1C" w:rsidRDefault="00AC7667" w:rsidP="00AC7667">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461</w:t>
      </w:r>
      <w:r w:rsidR="00D96BB8">
        <w:rPr>
          <w:rFonts w:cstheme="minorHAnsi"/>
        </w:rPr>
        <w:t>.</w:t>
      </w:r>
    </w:p>
  </w:footnote>
  <w:footnote w:id="142">
    <w:p w14:paraId="1B879DB5" w14:textId="52894616" w:rsidR="00E170DA" w:rsidRPr="000D5F1C" w:rsidRDefault="00E170DA">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4 CLPD</w:t>
      </w:r>
      <w:r w:rsidR="001051DF">
        <w:rPr>
          <w:rFonts w:cstheme="minorHAnsi"/>
        </w:rPr>
        <w:t xml:space="preserve"> 48,</w:t>
      </w:r>
      <w:r w:rsidR="006421F5">
        <w:rPr>
          <w:rFonts w:cstheme="minorHAnsi"/>
        </w:rPr>
        <w:t xml:space="preserve"> </w:t>
      </w:r>
      <w:r w:rsidR="00712D2F" w:rsidRPr="000D5F1C">
        <w:rPr>
          <w:rFonts w:cstheme="minorHAnsi"/>
        </w:rPr>
        <w:t>49</w:t>
      </w:r>
      <w:r w:rsidR="00D96BB8">
        <w:rPr>
          <w:rFonts w:cstheme="minorHAnsi"/>
        </w:rPr>
        <w:t>.</w:t>
      </w:r>
    </w:p>
  </w:footnote>
  <w:footnote w:id="143">
    <w:p w14:paraId="7D4FAD2E" w14:textId="3634CA92" w:rsidR="002E1AE2" w:rsidRPr="000D5F1C" w:rsidRDefault="002E1AE2">
      <w:pPr>
        <w:pStyle w:val="FootnoteText"/>
        <w:rPr>
          <w:rFonts w:cstheme="minorHAnsi"/>
        </w:rPr>
      </w:pPr>
      <w:r w:rsidRPr="000D5F1C">
        <w:rPr>
          <w:rStyle w:val="FootnoteReference"/>
          <w:rFonts w:cstheme="minorHAnsi"/>
        </w:rPr>
        <w:footnoteRef/>
      </w:r>
      <w:r w:rsidRPr="000D5F1C">
        <w:rPr>
          <w:rFonts w:cstheme="minorHAnsi"/>
        </w:rPr>
        <w:t xml:space="preserve"> 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w:t>
      </w:r>
      <w:r w:rsidR="00D96BB8">
        <w:rPr>
          <w:rFonts w:cstheme="minorHAnsi"/>
        </w:rPr>
        <w:t>.</w:t>
      </w:r>
    </w:p>
  </w:footnote>
  <w:footnote w:id="144">
    <w:p w14:paraId="44E3FB82" w14:textId="1262683D" w:rsidR="002E1AE2" w:rsidRPr="000D5F1C" w:rsidRDefault="002E1AE2">
      <w:pPr>
        <w:pStyle w:val="FootnoteText"/>
        <w:rPr>
          <w:rFonts w:cstheme="minorHAnsi"/>
        </w:rPr>
      </w:pPr>
      <w:r w:rsidRPr="000D5F1C">
        <w:rPr>
          <w:rStyle w:val="FootnoteReference"/>
          <w:rFonts w:cstheme="minorHAnsi"/>
        </w:rPr>
        <w:footnoteRef/>
      </w:r>
      <w:r w:rsidRPr="000D5F1C">
        <w:rPr>
          <w:rFonts w:cstheme="minorHAnsi"/>
        </w:rPr>
        <w:t xml:space="preserve"> 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w:t>
      </w:r>
      <w:r w:rsidR="00D96BB8">
        <w:rPr>
          <w:rFonts w:cstheme="minorHAnsi"/>
        </w:rPr>
        <w:t>.</w:t>
      </w:r>
    </w:p>
  </w:footnote>
  <w:footnote w:id="145">
    <w:p w14:paraId="11AC8FA2" w14:textId="5A7B33A0" w:rsidR="004C5065" w:rsidRPr="000D5F1C" w:rsidRDefault="004C5065">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4 CLPD</w:t>
      </w:r>
      <w:r w:rsidR="001051DF">
        <w:rPr>
          <w:rFonts w:cstheme="minorHAnsi"/>
        </w:rPr>
        <w:t xml:space="preserve"> 48,</w:t>
      </w:r>
      <w:r w:rsidR="006421F5">
        <w:rPr>
          <w:rFonts w:cstheme="minorHAnsi"/>
        </w:rPr>
        <w:t xml:space="preserve"> </w:t>
      </w:r>
      <w:r w:rsidRPr="000D5F1C">
        <w:rPr>
          <w:rFonts w:cstheme="minorHAnsi"/>
        </w:rPr>
        <w:t>49</w:t>
      </w:r>
      <w:r w:rsidR="00D96BB8">
        <w:rPr>
          <w:rFonts w:cstheme="minorHAnsi"/>
        </w:rPr>
        <w:t>.</w:t>
      </w:r>
    </w:p>
  </w:footnote>
  <w:footnote w:id="146">
    <w:p w14:paraId="5FA7068A" w14:textId="0910B68C" w:rsidR="001B643D" w:rsidRPr="000D5F1C" w:rsidRDefault="001B643D">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26</w:t>
      </w:r>
      <w:r w:rsidR="00D96BB8">
        <w:rPr>
          <w:rFonts w:cstheme="minorHAnsi"/>
        </w:rPr>
        <w:t>.</w:t>
      </w:r>
    </w:p>
  </w:footnote>
  <w:footnote w:id="147">
    <w:p w14:paraId="6081D889" w14:textId="1CE36AB3" w:rsidR="001D32C3" w:rsidRPr="000D5F1C" w:rsidRDefault="001D32C3">
      <w:pPr>
        <w:pStyle w:val="FootnoteText"/>
        <w:rPr>
          <w:rFonts w:cstheme="minorHAnsi"/>
        </w:rPr>
      </w:pPr>
      <w:r w:rsidRPr="000D5F1C">
        <w:rPr>
          <w:rStyle w:val="FootnoteReference"/>
          <w:rFonts w:cstheme="minorHAnsi"/>
        </w:rPr>
        <w:footnoteRef/>
      </w:r>
      <w:r w:rsidRPr="000D5F1C">
        <w:rPr>
          <w:rFonts w:cstheme="minorHAnsi"/>
        </w:rPr>
        <w:t xml:space="preserve"> </w:t>
      </w:r>
      <w:r w:rsidR="00AB0F26" w:rsidRPr="000D5F1C">
        <w:rPr>
          <w:rFonts w:cstheme="minorHAnsi"/>
        </w:rPr>
        <w:t xml:space="preserve">Andreas </w:t>
      </w:r>
      <w:proofErr w:type="spellStart"/>
      <w:r w:rsidR="00AB0F26" w:rsidRPr="000D5F1C">
        <w:rPr>
          <w:rFonts w:cstheme="minorHAnsi"/>
        </w:rPr>
        <w:t>Weitbrecht</w:t>
      </w:r>
      <w:proofErr w:type="spellEnd"/>
      <w:r w:rsidR="00AB0F26" w:rsidRPr="000D5F1C">
        <w:rPr>
          <w:rFonts w:cstheme="minorHAnsi"/>
        </w:rPr>
        <w:t xml:space="preserve">, </w:t>
      </w:r>
      <w:r w:rsidR="00AB0F26">
        <w:rPr>
          <w:rFonts w:cstheme="minorHAnsi"/>
        </w:rPr>
        <w:t>‘</w:t>
      </w:r>
      <w:r w:rsidR="00AB0F26" w:rsidRPr="000D5F1C">
        <w:rPr>
          <w:rFonts w:cstheme="minorHAnsi"/>
        </w:rPr>
        <w:t>Coming of age: private enforcement in Germany</w:t>
      </w:r>
      <w:r w:rsidR="00AB0F26">
        <w:rPr>
          <w:rFonts w:cstheme="minorHAnsi"/>
        </w:rPr>
        <w:t>’</w:t>
      </w:r>
      <w:r w:rsidR="00AB0F26" w:rsidRPr="000D5F1C">
        <w:rPr>
          <w:rFonts w:cstheme="minorHAnsi"/>
        </w:rPr>
        <w:t xml:space="preserve"> (2019)</w:t>
      </w:r>
      <w:r w:rsidR="00AB0F26">
        <w:rPr>
          <w:rFonts w:cstheme="minorHAnsi"/>
        </w:rPr>
        <w:t xml:space="preserve"> 12 GCLR 51</w:t>
      </w:r>
      <w:r w:rsidR="00D96BB8">
        <w:rPr>
          <w:rFonts w:cstheme="minorHAnsi"/>
        </w:rPr>
        <w:t>.</w:t>
      </w:r>
    </w:p>
  </w:footnote>
  <w:footnote w:id="148">
    <w:p w14:paraId="03B58914" w14:textId="2668D763" w:rsidR="001D32C3" w:rsidRPr="000D5F1C" w:rsidRDefault="001D32C3">
      <w:pPr>
        <w:pStyle w:val="FootnoteText"/>
        <w:rPr>
          <w:rFonts w:cstheme="minorHAnsi"/>
        </w:rPr>
      </w:pPr>
      <w:r w:rsidRPr="000D5F1C">
        <w:rPr>
          <w:rStyle w:val="FootnoteReference"/>
          <w:rFonts w:cstheme="minorHAnsi"/>
        </w:rPr>
        <w:footnoteRef/>
      </w:r>
      <w:r w:rsidRPr="000D5F1C">
        <w:rPr>
          <w:rFonts w:cstheme="minorHAnsi"/>
        </w:rPr>
        <w:t xml:space="preserve"> 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w:t>
      </w:r>
      <w:r w:rsidR="00D96BB8">
        <w:rPr>
          <w:rFonts w:cstheme="minorHAnsi"/>
        </w:rPr>
        <w:t>.</w:t>
      </w:r>
    </w:p>
  </w:footnote>
  <w:footnote w:id="149">
    <w:p w14:paraId="3F4B8AA6" w14:textId="0B9603C3" w:rsidR="00A3453E" w:rsidRPr="000D5F1C" w:rsidRDefault="00A3453E">
      <w:pPr>
        <w:pStyle w:val="FootnoteText"/>
        <w:rPr>
          <w:rFonts w:cstheme="minorHAnsi"/>
        </w:rPr>
      </w:pPr>
      <w:r w:rsidRPr="000D5F1C">
        <w:rPr>
          <w:rStyle w:val="FootnoteReference"/>
          <w:rFonts w:cstheme="minorHAnsi"/>
        </w:rPr>
        <w:footnoteRef/>
      </w:r>
      <w:r w:rsidRPr="000D5F1C">
        <w:rPr>
          <w:rFonts w:cstheme="minorHAnsi"/>
        </w:rPr>
        <w:t xml:space="preserve"> </w:t>
      </w:r>
      <w:bookmarkStart w:id="71" w:name="_Hlk107482648"/>
      <w:r w:rsidRPr="000D5F1C">
        <w:rPr>
          <w:rFonts w:cstheme="minorHAnsi"/>
        </w:rPr>
        <w:t xml:space="preserve">Julian </w:t>
      </w:r>
      <w:proofErr w:type="spellStart"/>
      <w:r w:rsidRPr="000D5F1C">
        <w:rPr>
          <w:rFonts w:cstheme="minorHAnsi"/>
        </w:rPr>
        <w:t>Stait</w:t>
      </w:r>
      <w:proofErr w:type="spellEnd"/>
      <w:r w:rsidR="00E311CF" w:rsidRPr="000D5F1C">
        <w:rPr>
          <w:rFonts w:cstheme="minorHAnsi"/>
        </w:rPr>
        <w:t xml:space="preserve"> </w:t>
      </w:r>
      <w:r w:rsidR="008722B9">
        <w:rPr>
          <w:rFonts w:cstheme="minorHAnsi"/>
        </w:rPr>
        <w:t>and others</w:t>
      </w:r>
      <w:r w:rsidR="00E311CF" w:rsidRPr="000D5F1C">
        <w:rPr>
          <w:rFonts w:cstheme="minorHAnsi"/>
        </w:rPr>
        <w:t>,</w:t>
      </w:r>
      <w:r w:rsidRPr="000D5F1C">
        <w:rPr>
          <w:rFonts w:cstheme="minorHAnsi"/>
        </w:rPr>
        <w:t xml:space="preserve"> ‘The Private Competition Enforcement Review: </w:t>
      </w:r>
      <w:r w:rsidR="00E311CF" w:rsidRPr="000D5F1C">
        <w:rPr>
          <w:rFonts w:cstheme="minorHAnsi"/>
        </w:rPr>
        <w:t>United Kingdom</w:t>
      </w:r>
      <w:r w:rsidRPr="000D5F1C">
        <w:rPr>
          <w:rFonts w:cstheme="minorHAnsi"/>
        </w:rPr>
        <w:t xml:space="preserve">’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bookmarkEnd w:id="71"/>
      <w:r w:rsidR="004A7A4F">
        <w:rPr>
          <w:rFonts w:cstheme="minorHAnsi"/>
        </w:rPr>
        <w:t>.</w:t>
      </w:r>
    </w:p>
  </w:footnote>
  <w:footnote w:id="150">
    <w:p w14:paraId="20FDD29C" w14:textId="4E9F64CA" w:rsidR="00AC7667" w:rsidRPr="000D5F1C" w:rsidRDefault="00AC7667" w:rsidP="00AC7667">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456-460</w:t>
      </w:r>
      <w:r w:rsidR="004A7A4F">
        <w:rPr>
          <w:rFonts w:cstheme="minorHAnsi"/>
        </w:rPr>
        <w:t>.</w:t>
      </w:r>
    </w:p>
  </w:footnote>
  <w:footnote w:id="151">
    <w:p w14:paraId="04E795F1" w14:textId="0AB416D3" w:rsidR="00DF1699" w:rsidRPr="000D5F1C" w:rsidRDefault="00DF1699">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462</w:t>
      </w:r>
      <w:r w:rsidR="00BE12F1" w:rsidRPr="000D5F1C">
        <w:rPr>
          <w:rFonts w:cstheme="minorHAnsi"/>
        </w:rPr>
        <w:t xml:space="preserve">; </w:t>
      </w:r>
      <w:bookmarkStart w:id="72" w:name="_Hlk107482690"/>
      <w:r w:rsidR="00BE12F1" w:rsidRPr="000D5F1C">
        <w:rPr>
          <w:rFonts w:cstheme="minorHAnsi"/>
        </w:rPr>
        <w:t xml:space="preserve">Norton Rose Fulbright, </w:t>
      </w:r>
      <w:r w:rsidR="002A355F" w:rsidRPr="000D5F1C">
        <w:rPr>
          <w:rFonts w:cstheme="minorHAnsi"/>
        </w:rPr>
        <w:t>‘Implementing the EU Damages Directive – will the UK retain its competitive advantage?’ (2016), Competition World</w:t>
      </w:r>
      <w:r w:rsidR="00A43EF3">
        <w:rPr>
          <w:rFonts w:cstheme="minorHAnsi"/>
        </w:rPr>
        <w:t xml:space="preserve"> 1</w:t>
      </w:r>
      <w:r w:rsidR="002A355F" w:rsidRPr="000D5F1C">
        <w:rPr>
          <w:rFonts w:cstheme="minorHAnsi"/>
        </w:rPr>
        <w:t>, 15</w:t>
      </w:r>
      <w:r w:rsidR="00A933C5" w:rsidRPr="000D5F1C">
        <w:rPr>
          <w:rFonts w:cstheme="minorHAnsi"/>
        </w:rPr>
        <w:t xml:space="preserve"> &lt;https://www.nortonrosefulbright.com/-/media/files/nrf/nrfweb/imported/competition-world-q1-2016.pdf&gt; accessed 16 May 2022</w:t>
      </w:r>
      <w:bookmarkEnd w:id="72"/>
      <w:r w:rsidR="004A7A4F">
        <w:rPr>
          <w:rFonts w:cstheme="minorHAnsi"/>
        </w:rPr>
        <w:t>.</w:t>
      </w:r>
    </w:p>
  </w:footnote>
  <w:footnote w:id="152">
    <w:p w14:paraId="7ABB13DB" w14:textId="5B466F3C" w:rsidR="00117F21" w:rsidRPr="000D5F1C" w:rsidRDefault="00117F21" w:rsidP="00117F21">
      <w:pPr>
        <w:pStyle w:val="FootnoteText"/>
        <w:rPr>
          <w:rFonts w:cstheme="minorHAnsi"/>
        </w:rPr>
      </w:pPr>
      <w:r w:rsidRPr="000D5F1C">
        <w:rPr>
          <w:rStyle w:val="FootnoteReference"/>
          <w:rFonts w:cstheme="minorHAnsi"/>
        </w:rPr>
        <w:footnoteRef/>
      </w:r>
      <w:r w:rsidRPr="000D5F1C">
        <w:rPr>
          <w:rFonts w:cstheme="minorHAnsi"/>
        </w:rPr>
        <w:t xml:space="preserve"> </w:t>
      </w:r>
      <w:bookmarkStart w:id="73" w:name="_Hlk107482708"/>
      <w:r w:rsidRPr="000D5F1C">
        <w:rPr>
          <w:rFonts w:cstheme="minorHAnsi"/>
        </w:rPr>
        <w:t xml:space="preserve">Her Majesty’s Government, </w:t>
      </w:r>
      <w:r w:rsidRPr="000D5F1C">
        <w:rPr>
          <w:rFonts w:cstheme="minorHAnsi"/>
          <w:i/>
          <w:iCs/>
        </w:rPr>
        <w:t>The future relationship between the United Kingdom and the European Union</w:t>
      </w:r>
      <w:r w:rsidRPr="000D5F1C">
        <w:rPr>
          <w:rFonts w:cstheme="minorHAnsi"/>
        </w:rPr>
        <w:t xml:space="preserve"> (July 2018, Cm 9593) para</w:t>
      </w:r>
      <w:r w:rsidR="00925ABA">
        <w:rPr>
          <w:rFonts w:cstheme="minorHAnsi"/>
        </w:rPr>
        <w:t>s</w:t>
      </w:r>
      <w:r w:rsidRPr="000D5F1C">
        <w:rPr>
          <w:rFonts w:cstheme="minorHAnsi"/>
        </w:rPr>
        <w:t xml:space="preserve"> 105 </w:t>
      </w:r>
      <w:r w:rsidR="00925ABA">
        <w:rPr>
          <w:rFonts w:cstheme="minorHAnsi"/>
        </w:rPr>
        <w:t>and</w:t>
      </w:r>
      <w:r w:rsidRPr="000D5F1C">
        <w:rPr>
          <w:rFonts w:cstheme="minorHAnsi"/>
        </w:rPr>
        <w:t xml:space="preserve"> 108</w:t>
      </w:r>
      <w:r w:rsidR="006D3BA1">
        <w:rPr>
          <w:rFonts w:cstheme="minorHAnsi"/>
        </w:rPr>
        <w:t xml:space="preserve">. </w:t>
      </w:r>
      <w:r w:rsidRPr="000D5F1C">
        <w:rPr>
          <w:rFonts w:cstheme="minorHAnsi"/>
        </w:rPr>
        <w:t>&lt;https://assets.publishing.service.gov.uk/government/uploads/system/uploads/attachment_data/file/786626/The_Future_Relationship_between_the_United_Kingdom_and_the_European_Union_120319.pdf&gt; accessed 17 May 2022</w:t>
      </w:r>
      <w:bookmarkEnd w:id="73"/>
      <w:r w:rsidR="004A7A4F">
        <w:rPr>
          <w:rFonts w:cstheme="minorHAnsi"/>
        </w:rPr>
        <w:t>.</w:t>
      </w:r>
    </w:p>
  </w:footnote>
  <w:footnote w:id="153">
    <w:p w14:paraId="4589F7B4" w14:textId="2DF80C34" w:rsidR="00072DB9" w:rsidRPr="000D5F1C" w:rsidRDefault="00072DB9" w:rsidP="00072DB9">
      <w:pPr>
        <w:pStyle w:val="FootnoteText"/>
        <w:rPr>
          <w:rFonts w:cstheme="minorHAnsi"/>
        </w:rPr>
      </w:pPr>
      <w:r w:rsidRPr="000D5F1C">
        <w:rPr>
          <w:rStyle w:val="FootnoteReference"/>
          <w:rFonts w:cstheme="minorHAnsi"/>
        </w:rPr>
        <w:footnoteRef/>
      </w:r>
      <w:r w:rsidRPr="000D5F1C">
        <w:rPr>
          <w:rFonts w:cstheme="minorHAnsi"/>
        </w:rPr>
        <w:t xml:space="preserve"> 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w:t>
      </w:r>
      <w:r w:rsidR="0093326E" w:rsidRPr="000D5F1C">
        <w:rPr>
          <w:rFonts w:cstheme="minorHAnsi"/>
        </w:rPr>
        <w:t xml:space="preserve">; </w:t>
      </w:r>
      <w:bookmarkStart w:id="74" w:name="_Hlk107482750"/>
      <w:r w:rsidR="0093326E" w:rsidRPr="000D5F1C">
        <w:rPr>
          <w:rFonts w:cstheme="minorHAnsi"/>
        </w:rPr>
        <w:t xml:space="preserve">Barry Rodger, ‘United Kingdom’ in Barry Rodger, Francisco Marcos and Miguel S. Ferro (eds), </w:t>
      </w:r>
      <w:r w:rsidR="0093326E" w:rsidRPr="000D5F1C">
        <w:rPr>
          <w:rFonts w:cstheme="minorHAnsi"/>
          <w:i/>
          <w:iCs/>
        </w:rPr>
        <w:t>The EU Antitrust Damages Directive: Transposition in the Member States</w:t>
      </w:r>
      <w:r w:rsidR="0093326E" w:rsidRPr="000D5F1C">
        <w:rPr>
          <w:rFonts w:cstheme="minorHAnsi"/>
        </w:rPr>
        <w:t xml:space="preserve"> (Chapter 18, Oxford University Press 2019)</w:t>
      </w:r>
      <w:bookmarkEnd w:id="74"/>
      <w:r w:rsidR="002A3768" w:rsidRPr="000D5F1C">
        <w:rPr>
          <w:rFonts w:cstheme="minorHAnsi"/>
        </w:rPr>
        <w:t xml:space="preserve">; Barry Rodger, ‘Private Enforcement in the UK: Effective Redress for Consumers?’ in B. Rodger, P. Whelan and A. MacCulloch (eds), </w:t>
      </w:r>
      <w:r w:rsidR="002A3768" w:rsidRPr="000D5F1C">
        <w:rPr>
          <w:rFonts w:cstheme="minorHAnsi"/>
          <w:i/>
          <w:iCs/>
        </w:rPr>
        <w:t>The UK Competition Regime: A Twenty-Year Retrospective</w:t>
      </w:r>
      <w:r w:rsidR="002A3768" w:rsidRPr="000D5F1C">
        <w:rPr>
          <w:rFonts w:cstheme="minorHAnsi"/>
        </w:rPr>
        <w:t xml:space="preserve"> (Chapter 12, Oxford University Press 2021, forthcoming), 26</w:t>
      </w:r>
      <w:r w:rsidR="004A7A4F">
        <w:rPr>
          <w:rFonts w:cstheme="minorHAnsi"/>
        </w:rPr>
        <w:t>.</w:t>
      </w:r>
    </w:p>
  </w:footnote>
  <w:footnote w:id="154">
    <w:p w14:paraId="0705A4D2" w14:textId="5346B953" w:rsidR="0079641A" w:rsidRPr="000D5F1C" w:rsidRDefault="0079641A" w:rsidP="0079641A">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4A7A4F">
        <w:rPr>
          <w:rFonts w:cstheme="minorHAnsi"/>
        </w:rPr>
        <w:t>.</w:t>
      </w:r>
    </w:p>
  </w:footnote>
  <w:footnote w:id="155">
    <w:p w14:paraId="3B8CECFD" w14:textId="026FBFC5" w:rsidR="00120DA9" w:rsidRPr="000D5F1C" w:rsidRDefault="00120DA9">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Pr="000D5F1C">
        <w:rPr>
          <w:rFonts w:cstheme="minorHAnsi"/>
        </w:rPr>
        <w:t>48</w:t>
      </w:r>
      <w:r w:rsidR="006421F5">
        <w:rPr>
          <w:rFonts w:cstheme="minorHAnsi"/>
        </w:rPr>
        <w:t>.</w:t>
      </w:r>
    </w:p>
  </w:footnote>
  <w:footnote w:id="156">
    <w:p w14:paraId="18AB103C" w14:textId="59A3D80B" w:rsidR="00186A32" w:rsidRPr="000D5F1C" w:rsidRDefault="00186A32" w:rsidP="00186A32">
      <w:pPr>
        <w:pStyle w:val="FootnoteText"/>
        <w:rPr>
          <w:rFonts w:cstheme="minorHAnsi"/>
        </w:rPr>
      </w:pPr>
      <w:r w:rsidRPr="000D5F1C">
        <w:rPr>
          <w:rStyle w:val="FootnoteReference"/>
          <w:rFonts w:cstheme="minorHAnsi"/>
        </w:rPr>
        <w:footnoteRef/>
      </w:r>
      <w:r w:rsidRPr="000D5F1C">
        <w:rPr>
          <w:rFonts w:cstheme="minorHAnsi"/>
        </w:rPr>
        <w:t xml:space="preserve"> </w:t>
      </w:r>
      <w:r w:rsidR="004A7A4F">
        <w:rPr>
          <w:rFonts w:cstheme="minorHAnsi"/>
        </w:rPr>
        <w:t>ibid</w:t>
      </w:r>
      <w:r w:rsidR="00384D8F">
        <w:rPr>
          <w:rFonts w:cstheme="minorHAnsi"/>
        </w:rPr>
        <w:t>.</w:t>
      </w:r>
    </w:p>
  </w:footnote>
  <w:footnote w:id="157">
    <w:p w14:paraId="393E2E03" w14:textId="7DA41641" w:rsidR="00991419" w:rsidRPr="000D5F1C" w:rsidRDefault="00991419">
      <w:pPr>
        <w:pStyle w:val="FootnoteText"/>
        <w:rPr>
          <w:rFonts w:cstheme="minorHAnsi"/>
        </w:rPr>
      </w:pPr>
      <w:r w:rsidRPr="000D5F1C">
        <w:rPr>
          <w:rStyle w:val="FootnoteReference"/>
          <w:rFonts w:cstheme="minorHAnsi"/>
        </w:rPr>
        <w:footnoteRef/>
      </w:r>
      <w:r w:rsidRPr="000D5F1C">
        <w:rPr>
          <w:rFonts w:cstheme="minorHAnsi"/>
        </w:rPr>
        <w:t xml:space="preserve"> </w:t>
      </w:r>
      <w:r w:rsidR="004A7A4F">
        <w:rPr>
          <w:rFonts w:cstheme="minorHAnsi"/>
        </w:rPr>
        <w:t>ibid</w:t>
      </w:r>
      <w:r w:rsidR="00384D8F">
        <w:rPr>
          <w:rFonts w:cstheme="minorHAnsi"/>
        </w:rPr>
        <w:t>.</w:t>
      </w:r>
    </w:p>
  </w:footnote>
  <w:footnote w:id="158">
    <w:p w14:paraId="6258BC8E" w14:textId="3E7C2666" w:rsidR="001B6E44" w:rsidRPr="000D5F1C" w:rsidRDefault="001B6E44" w:rsidP="001B6E44">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172</w:t>
      </w:r>
      <w:r w:rsidR="004A7A4F">
        <w:rPr>
          <w:rFonts w:cstheme="minorHAnsi"/>
        </w:rPr>
        <w:t>.</w:t>
      </w:r>
    </w:p>
  </w:footnote>
  <w:footnote w:id="159">
    <w:p w14:paraId="10128BE9" w14:textId="3BD9D9BE" w:rsidR="002C3AC7" w:rsidRPr="000D5F1C" w:rsidRDefault="002C3AC7">
      <w:pPr>
        <w:pStyle w:val="FootnoteText"/>
        <w:rPr>
          <w:rFonts w:cstheme="minorHAnsi"/>
        </w:rPr>
      </w:pPr>
      <w:r w:rsidRPr="000D5F1C">
        <w:rPr>
          <w:rStyle w:val="FootnoteReference"/>
          <w:rFonts w:cstheme="minorHAnsi"/>
        </w:rPr>
        <w:footnoteRef/>
      </w:r>
      <w:r w:rsidRPr="000D5F1C">
        <w:rPr>
          <w:rFonts w:cstheme="minorHAnsi"/>
        </w:rPr>
        <w:t xml:space="preserve"> </w:t>
      </w:r>
      <w:bookmarkStart w:id="76" w:name="_Hlk107444865"/>
      <w:r w:rsidRPr="000D5F1C">
        <w:rPr>
          <w:rFonts w:cstheme="minorHAnsi"/>
        </w:rPr>
        <w:t>Competition Act 1998</w:t>
      </w:r>
      <w:r w:rsidR="002B752B" w:rsidRPr="002B752B">
        <w:rPr>
          <w:rFonts w:cstheme="minorHAnsi"/>
        </w:rPr>
        <w:t xml:space="preserve"> </w:t>
      </w:r>
      <w:bookmarkEnd w:id="76"/>
      <w:r w:rsidR="00043C82">
        <w:rPr>
          <w:rFonts w:cstheme="minorHAnsi"/>
        </w:rPr>
        <w:t xml:space="preserve">s </w:t>
      </w:r>
      <w:r w:rsidR="002B752B" w:rsidRPr="000D5F1C">
        <w:rPr>
          <w:rFonts w:cstheme="minorHAnsi"/>
        </w:rPr>
        <w:t>47A</w:t>
      </w:r>
      <w:r w:rsidRPr="000D5F1C">
        <w:rPr>
          <w:rFonts w:cstheme="minorHAnsi"/>
        </w:rPr>
        <w:t xml:space="preserve">; </w:t>
      </w:r>
      <w:bookmarkStart w:id="77" w:name="_Hlk107444885"/>
      <w:r w:rsidR="00441B74">
        <w:rPr>
          <w:rFonts w:cstheme="minorHAnsi"/>
        </w:rPr>
        <w:t xml:space="preserve">EU Competition law </w:t>
      </w:r>
      <w:r w:rsidR="000210EB">
        <w:rPr>
          <w:rFonts w:cstheme="minorHAnsi"/>
        </w:rPr>
        <w:t>P</w:t>
      </w:r>
      <w:r w:rsidR="00441B74">
        <w:rPr>
          <w:rFonts w:cstheme="minorHAnsi"/>
        </w:rPr>
        <w:t>ractice Direction (P</w:t>
      </w:r>
      <w:r w:rsidR="000210EB">
        <w:rPr>
          <w:rFonts w:cstheme="minorHAnsi"/>
        </w:rPr>
        <w:t>D</w:t>
      </w:r>
      <w:r w:rsidR="00441B74">
        <w:rPr>
          <w:rFonts w:cstheme="minorHAnsi"/>
        </w:rPr>
        <w:t>)</w:t>
      </w:r>
      <w:r w:rsidR="00875228" w:rsidRPr="000D5F1C">
        <w:rPr>
          <w:rFonts w:cstheme="minorHAnsi"/>
        </w:rPr>
        <w:t xml:space="preserve"> 2.1</w:t>
      </w:r>
      <w:r w:rsidR="004A7A4F">
        <w:rPr>
          <w:rFonts w:cstheme="minorHAnsi"/>
        </w:rPr>
        <w:t>.</w:t>
      </w:r>
    </w:p>
    <w:bookmarkEnd w:id="77"/>
  </w:footnote>
  <w:footnote w:id="160">
    <w:p w14:paraId="3F5A8C47" w14:textId="342A27A3" w:rsidR="00C22F67" w:rsidRPr="000D5F1C" w:rsidRDefault="00C22F67">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162-163</w:t>
      </w:r>
      <w:r w:rsidR="004A7A4F">
        <w:rPr>
          <w:rFonts w:cstheme="minorHAnsi"/>
        </w:rPr>
        <w:t>.</w:t>
      </w:r>
    </w:p>
  </w:footnote>
  <w:footnote w:id="161">
    <w:p w14:paraId="354B4740" w14:textId="3C434E53" w:rsidR="006F6578" w:rsidRPr="000D5F1C" w:rsidRDefault="006F6578">
      <w:pPr>
        <w:pStyle w:val="FootnoteText"/>
        <w:rPr>
          <w:rFonts w:cstheme="minorHAnsi"/>
          <w:lang w:val="nl-NL"/>
        </w:rPr>
      </w:pPr>
      <w:r w:rsidRPr="000D5F1C">
        <w:rPr>
          <w:rStyle w:val="FootnoteReference"/>
          <w:rFonts w:cstheme="minorHAnsi"/>
        </w:rPr>
        <w:footnoteRef/>
      </w:r>
      <w:r w:rsidRPr="000D5F1C">
        <w:rPr>
          <w:rFonts w:cstheme="minorHAnsi"/>
        </w:rPr>
        <w:t xml:space="preserve"> Florian Wagner-</w:t>
      </w:r>
      <w:r w:rsidR="00585415" w:rsidRPr="000D5F1C">
        <w:rPr>
          <w:rFonts w:cstheme="minorHAnsi"/>
        </w:rPr>
        <w:t>v</w:t>
      </w:r>
      <w:r w:rsidRPr="000D5F1C">
        <w:rPr>
          <w:rFonts w:cstheme="minorHAnsi"/>
        </w:rPr>
        <w:t xml:space="preserve">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w:t>
      </w:r>
      <w:r w:rsidR="0047003E" w:rsidRPr="000D5F1C">
        <w:rPr>
          <w:rFonts w:cstheme="minorHAnsi"/>
        </w:rPr>
        <w:t>7</w:t>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4 CLPD</w:t>
      </w:r>
      <w:r w:rsidR="001051DF">
        <w:rPr>
          <w:rFonts w:cstheme="minorHAnsi"/>
        </w:rPr>
        <w:t xml:space="preserve"> 48,</w:t>
      </w:r>
      <w:r w:rsidR="006421F5">
        <w:rPr>
          <w:rFonts w:cstheme="minorHAnsi"/>
        </w:rPr>
        <w:t xml:space="preserve"> </w:t>
      </w:r>
      <w:r w:rsidRPr="000D5F1C">
        <w:rPr>
          <w:rFonts w:cstheme="minorHAnsi"/>
        </w:rPr>
        <w:t xml:space="preserve">49; </w:t>
      </w:r>
      <w:bookmarkStart w:id="78" w:name="_Hlk107482799"/>
      <w:proofErr w:type="spellStart"/>
      <w:r w:rsidRPr="000D5F1C">
        <w:rPr>
          <w:rFonts w:cstheme="minorHAnsi"/>
        </w:rPr>
        <w:t>Samet</w:t>
      </w:r>
      <w:proofErr w:type="spellEnd"/>
      <w:r w:rsidRPr="000D5F1C">
        <w:rPr>
          <w:rFonts w:cstheme="minorHAnsi"/>
        </w:rPr>
        <w:t xml:space="preserve"> </w:t>
      </w:r>
      <w:proofErr w:type="spellStart"/>
      <w:r w:rsidRPr="000D5F1C">
        <w:rPr>
          <w:rFonts w:cstheme="minorHAnsi"/>
        </w:rPr>
        <w:t>Caliskan</w:t>
      </w:r>
      <w:proofErr w:type="spellEnd"/>
      <w:r w:rsidRPr="000D5F1C">
        <w:rPr>
          <w:rFonts w:cstheme="minorHAnsi"/>
        </w:rPr>
        <w:t>, ‘Private enforcement of UK competition law: enhanced deterrence for whom?’ (2020)</w:t>
      </w:r>
      <w:r w:rsidR="00986936">
        <w:rPr>
          <w:rFonts w:cstheme="minorHAnsi"/>
        </w:rPr>
        <w:t xml:space="preserve"> 13</w:t>
      </w:r>
      <w:r w:rsidRPr="000D5F1C">
        <w:rPr>
          <w:rFonts w:cstheme="minorHAnsi"/>
        </w:rPr>
        <w:t xml:space="preserve"> </w:t>
      </w:r>
      <w:r w:rsidR="004B1B9A" w:rsidRPr="000D5F1C">
        <w:rPr>
          <w:rFonts w:cstheme="minorHAnsi"/>
        </w:rPr>
        <w:t>GCLR 20</w:t>
      </w:r>
      <w:bookmarkEnd w:id="78"/>
      <w:r w:rsidR="00986936">
        <w:rPr>
          <w:rFonts w:cstheme="minorHAnsi"/>
        </w:rPr>
        <w:t>,</w:t>
      </w:r>
      <w:r w:rsidR="004B1B9A" w:rsidRPr="000D5F1C">
        <w:rPr>
          <w:rFonts w:cstheme="minorHAnsi"/>
        </w:rPr>
        <w:t xml:space="preserve"> 22; </w:t>
      </w:r>
      <w:r w:rsidR="00F025B0" w:rsidRPr="000D5F1C">
        <w:rPr>
          <w:rFonts w:cstheme="minorHAnsi"/>
        </w:rPr>
        <w:t>Dominik Wolski, ‘Can an Ideal Court Model in Private Antitrust Enforcement Be Established?’ (2018</w:t>
      </w:r>
      <w:r w:rsidR="00F025B0">
        <w:rPr>
          <w:rFonts w:cstheme="minorHAnsi"/>
        </w:rPr>
        <w:t>) 11 YARS 115</w:t>
      </w:r>
      <w:r w:rsidR="004B1B9A" w:rsidRPr="000D5F1C">
        <w:rPr>
          <w:rFonts w:cstheme="minorHAnsi"/>
        </w:rPr>
        <w:t>, 124</w:t>
      </w:r>
      <w:r w:rsidR="005B089C" w:rsidRPr="000D5F1C">
        <w:rPr>
          <w:rFonts w:cstheme="minorHAnsi"/>
        </w:rPr>
        <w:t>-126</w:t>
      </w:r>
    </w:p>
  </w:footnote>
  <w:footnote w:id="162">
    <w:p w14:paraId="1DF32742" w14:textId="643794E2" w:rsidR="000D3F51" w:rsidRPr="000D5F1C" w:rsidRDefault="000D3F51">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12</w:t>
      </w:r>
      <w:r w:rsidR="00EF1B1F"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00EF1B1F" w:rsidRPr="000D5F1C">
        <w:rPr>
          <w:rFonts w:cstheme="minorHAnsi"/>
        </w:rPr>
        <w:t>, 125</w:t>
      </w:r>
      <w:r w:rsidR="004A7A4F">
        <w:rPr>
          <w:rFonts w:cstheme="minorHAnsi"/>
        </w:rPr>
        <w:t>.</w:t>
      </w:r>
    </w:p>
  </w:footnote>
  <w:footnote w:id="163">
    <w:p w14:paraId="53BD6783" w14:textId="7427F730" w:rsidR="00EA0B06" w:rsidRPr="000D5F1C" w:rsidRDefault="00EA0B06">
      <w:pPr>
        <w:pStyle w:val="FootnoteText"/>
        <w:rPr>
          <w:rFonts w:cstheme="minorHAnsi"/>
        </w:rPr>
      </w:pPr>
      <w:r w:rsidRPr="000D5F1C">
        <w:rPr>
          <w:rStyle w:val="FootnoteReference"/>
          <w:rFonts w:cstheme="minorHAnsi"/>
        </w:rPr>
        <w:footnoteRef/>
      </w:r>
      <w:r w:rsidRPr="000D5F1C">
        <w:rPr>
          <w:rFonts w:cstheme="minorHAnsi"/>
        </w:rPr>
        <w:t xml:space="preserve"> </w:t>
      </w:r>
      <w:bookmarkStart w:id="79" w:name="_Hlk107482823"/>
      <w:r w:rsidRPr="000D5F1C">
        <w:rPr>
          <w:rFonts w:cstheme="minorHAnsi"/>
        </w:rPr>
        <w:t xml:space="preserve">Mark Furse, ‘Follow-On Actions in the UK: Litigating Section 47A of the Competition Act 1998’ (2013) 9 </w:t>
      </w:r>
      <w:r w:rsidR="002A07D1">
        <w:rPr>
          <w:rFonts w:cstheme="minorHAnsi"/>
        </w:rPr>
        <w:t xml:space="preserve">ECJ </w:t>
      </w:r>
      <w:bookmarkEnd w:id="79"/>
      <w:r w:rsidRPr="000D5F1C">
        <w:rPr>
          <w:rFonts w:cstheme="minorHAnsi"/>
        </w:rPr>
        <w:t>79</w:t>
      </w:r>
      <w:r w:rsidR="004A7A4F">
        <w:rPr>
          <w:rFonts w:cstheme="minorHAnsi"/>
        </w:rPr>
        <w:t>.</w:t>
      </w:r>
    </w:p>
  </w:footnote>
  <w:footnote w:id="164">
    <w:p w14:paraId="162D0D61" w14:textId="01E1EECA" w:rsidR="00376AD5" w:rsidRPr="000D5F1C" w:rsidRDefault="00376AD5">
      <w:pPr>
        <w:pStyle w:val="FootnoteText"/>
        <w:rPr>
          <w:rFonts w:cstheme="minorHAnsi"/>
        </w:rPr>
      </w:pPr>
      <w:r w:rsidRPr="000D5F1C">
        <w:rPr>
          <w:rStyle w:val="FootnoteReference"/>
          <w:rFonts w:cstheme="minorHAnsi"/>
        </w:rPr>
        <w:footnoteRef/>
      </w:r>
      <w:r w:rsidRPr="000D5F1C">
        <w:rPr>
          <w:rFonts w:cstheme="minorHAnsi"/>
        </w:rPr>
        <w:t xml:space="preserve"> </w:t>
      </w:r>
      <w:r w:rsidR="00B77660" w:rsidRPr="000D5F1C">
        <w:rPr>
          <w:rFonts w:cstheme="minorHAnsi"/>
        </w:rPr>
        <w:t>Competition Act 1998</w:t>
      </w:r>
      <w:r w:rsidR="00043C82">
        <w:rPr>
          <w:rFonts w:cstheme="minorHAnsi"/>
        </w:rPr>
        <w:t xml:space="preserve"> s</w:t>
      </w:r>
      <w:r w:rsidR="002B752B" w:rsidRPr="000D5F1C">
        <w:rPr>
          <w:rFonts w:cstheme="minorHAnsi"/>
        </w:rPr>
        <w:t xml:space="preserve"> 47A(1)(3)</w:t>
      </w:r>
      <w:r w:rsidR="004A7A4F">
        <w:rPr>
          <w:rFonts w:cstheme="minorHAnsi"/>
        </w:rPr>
        <w:t>.</w:t>
      </w:r>
    </w:p>
  </w:footnote>
  <w:footnote w:id="165">
    <w:p w14:paraId="2D674909" w14:textId="72C0480D" w:rsidR="00B77660" w:rsidRPr="000D5F1C" w:rsidRDefault="00B77660">
      <w:pPr>
        <w:pStyle w:val="FootnoteText"/>
        <w:rPr>
          <w:rFonts w:cstheme="minorHAnsi"/>
        </w:rPr>
      </w:pPr>
      <w:r w:rsidRPr="000D5F1C">
        <w:rPr>
          <w:rStyle w:val="FootnoteReference"/>
          <w:rFonts w:cstheme="minorHAnsi"/>
        </w:rPr>
        <w:footnoteRef/>
      </w:r>
      <w:r w:rsidRPr="000D5F1C">
        <w:rPr>
          <w:rFonts w:cstheme="minorHAnsi"/>
        </w:rPr>
        <w:t xml:space="preserve"> </w:t>
      </w:r>
      <w:bookmarkStart w:id="80" w:name="_Hlk107482854"/>
      <w:r w:rsidRPr="000D5F1C">
        <w:rPr>
          <w:rFonts w:cstheme="minorHAnsi"/>
        </w:rPr>
        <w:t xml:space="preserve">Sebastian Peyer, ‘Chapter 5: Private antitrust enforcement in England and Wales after the EU Damages Directive: where are we heading?’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5, Edward Elgar Publishing Limited, 2018)</w:t>
      </w:r>
      <w:bookmarkEnd w:id="80"/>
      <w:r w:rsidRPr="000D5F1C">
        <w:rPr>
          <w:rFonts w:cstheme="minorHAnsi"/>
        </w:rPr>
        <w:t>, 93</w:t>
      </w:r>
    </w:p>
  </w:footnote>
  <w:footnote w:id="166">
    <w:p w14:paraId="41000B6A" w14:textId="4C62B521" w:rsidR="00B34B59" w:rsidRPr="000D5F1C" w:rsidRDefault="00B34B59">
      <w:pPr>
        <w:pStyle w:val="FootnoteText"/>
        <w:rPr>
          <w:rFonts w:cstheme="minorHAnsi"/>
        </w:rPr>
      </w:pPr>
      <w:r w:rsidRPr="000D5F1C">
        <w:rPr>
          <w:rStyle w:val="FootnoteReference"/>
          <w:rFonts w:cstheme="minorHAnsi"/>
        </w:rPr>
        <w:footnoteRef/>
      </w:r>
      <w:r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Pr="000D5F1C">
        <w:rPr>
          <w:rFonts w:cstheme="minorHAnsi"/>
        </w:rPr>
        <w:t>, 124</w:t>
      </w:r>
      <w:r w:rsidR="004A7A4F">
        <w:rPr>
          <w:rFonts w:cstheme="minorHAnsi"/>
        </w:rPr>
        <w:t>.</w:t>
      </w:r>
    </w:p>
  </w:footnote>
  <w:footnote w:id="167">
    <w:p w14:paraId="2144249E" w14:textId="11019D8B" w:rsidR="00FC7633" w:rsidRPr="000D5F1C" w:rsidRDefault="00FC7633">
      <w:pPr>
        <w:pStyle w:val="FootnoteText"/>
        <w:rPr>
          <w:rFonts w:cstheme="minorHAnsi"/>
        </w:rPr>
      </w:pPr>
      <w:r w:rsidRPr="000D5F1C">
        <w:rPr>
          <w:rStyle w:val="FootnoteReference"/>
          <w:rFonts w:cstheme="minorHAnsi"/>
        </w:rPr>
        <w:footnoteRef/>
      </w:r>
      <w:r w:rsidRPr="000D5F1C">
        <w:rPr>
          <w:rFonts w:cstheme="minorHAnsi"/>
        </w:rPr>
        <w:t xml:space="preserve"> </w:t>
      </w:r>
      <w:bookmarkStart w:id="81" w:name="_Hlk107482887"/>
      <w:bookmarkStart w:id="82" w:name="_Hlk107482881"/>
      <w:r w:rsidRPr="000D5F1C">
        <w:rPr>
          <w:rFonts w:cstheme="minorHAnsi"/>
        </w:rPr>
        <w:t xml:space="preserve">Competition Appeal Tribunal, </w:t>
      </w:r>
      <w:r w:rsidRPr="000D5F1C">
        <w:rPr>
          <w:rFonts w:cstheme="minorHAnsi"/>
          <w:i/>
          <w:iCs/>
        </w:rPr>
        <w:t xml:space="preserve">Annual Report and Accounts </w:t>
      </w:r>
      <w:r w:rsidRPr="000D5F1C">
        <w:rPr>
          <w:rFonts w:cstheme="minorHAnsi"/>
        </w:rPr>
        <w:t>2016/2017 (27 July 2017), 5 &lt;https://www.catribunal.org.uk/sites/default/files/2021-11/Annual%20Report%20and%20Accounts%202020-21_0.pdf&gt; accessed 17 May 2022</w:t>
      </w:r>
      <w:bookmarkEnd w:id="81"/>
      <w:r w:rsidR="004A7A4F">
        <w:rPr>
          <w:rFonts w:cstheme="minorHAnsi"/>
        </w:rPr>
        <w:t>.</w:t>
      </w:r>
    </w:p>
    <w:bookmarkEnd w:id="82"/>
  </w:footnote>
  <w:footnote w:id="168">
    <w:p w14:paraId="477F16BD" w14:textId="4115C39B" w:rsidR="00214520" w:rsidRPr="000D5F1C" w:rsidRDefault="00214520">
      <w:pPr>
        <w:pStyle w:val="FootnoteText"/>
        <w:rPr>
          <w:rFonts w:cstheme="minorHAnsi"/>
        </w:rPr>
      </w:pPr>
      <w:r w:rsidRPr="000D5F1C">
        <w:rPr>
          <w:rStyle w:val="FootnoteReference"/>
          <w:rFonts w:cstheme="minorHAnsi"/>
        </w:rPr>
        <w:footnoteRef/>
      </w:r>
      <w:r w:rsidRPr="000D5F1C">
        <w:rPr>
          <w:rFonts w:cstheme="minorHAnsi"/>
        </w:rPr>
        <w:t xml:space="preserve"> </w:t>
      </w:r>
      <w:r w:rsidR="004A7A4F">
        <w:rPr>
          <w:rFonts w:cstheme="minorHAnsi"/>
        </w:rPr>
        <w:t>ibid 6.</w:t>
      </w:r>
    </w:p>
  </w:footnote>
  <w:footnote w:id="169">
    <w:p w14:paraId="14149C9C" w14:textId="7AFDE899" w:rsidR="00214520" w:rsidRPr="000D5F1C" w:rsidRDefault="00214520">
      <w:pPr>
        <w:pStyle w:val="FootnoteText"/>
        <w:rPr>
          <w:rFonts w:cstheme="minorHAnsi"/>
        </w:rPr>
      </w:pPr>
      <w:r w:rsidRPr="000D5F1C">
        <w:rPr>
          <w:rStyle w:val="FootnoteReference"/>
          <w:rFonts w:cstheme="minorHAnsi"/>
        </w:rPr>
        <w:footnoteRef/>
      </w:r>
      <w:r w:rsidRPr="000D5F1C">
        <w:rPr>
          <w:rFonts w:cstheme="minorHAnsi"/>
        </w:rPr>
        <w:t xml:space="preserve"> </w:t>
      </w:r>
      <w:r w:rsidR="004A7A4F">
        <w:rPr>
          <w:rFonts w:cstheme="minorHAnsi"/>
        </w:rPr>
        <w:t>ibid 10.</w:t>
      </w:r>
    </w:p>
  </w:footnote>
  <w:footnote w:id="170">
    <w:p w14:paraId="2ABBB35F" w14:textId="054CF423" w:rsidR="00214520" w:rsidRPr="000D5F1C" w:rsidRDefault="00214520">
      <w:pPr>
        <w:pStyle w:val="FootnoteText"/>
        <w:rPr>
          <w:rFonts w:cstheme="minorHAnsi"/>
        </w:rPr>
      </w:pPr>
      <w:r w:rsidRPr="000D5F1C">
        <w:rPr>
          <w:rStyle w:val="FootnoteReference"/>
          <w:rFonts w:cstheme="minorHAnsi"/>
        </w:rPr>
        <w:footnoteRef/>
      </w:r>
      <w:r w:rsidRPr="000D5F1C">
        <w:rPr>
          <w:rFonts w:cstheme="minorHAnsi"/>
        </w:rPr>
        <w:t xml:space="preserve"> </w:t>
      </w:r>
      <w:r w:rsidR="004A7A4F">
        <w:rPr>
          <w:rFonts w:cstheme="minorHAnsi"/>
        </w:rPr>
        <w:t>ibid 2</w:t>
      </w:r>
      <w:r w:rsidR="00384D8F">
        <w:rPr>
          <w:rFonts w:cstheme="minorHAnsi"/>
        </w:rPr>
        <w:t>.</w:t>
      </w:r>
    </w:p>
  </w:footnote>
  <w:footnote w:id="171">
    <w:p w14:paraId="22FD69F4" w14:textId="7BC371B5" w:rsidR="002C47D6" w:rsidRPr="000D5F1C" w:rsidRDefault="002C47D6" w:rsidP="002C47D6">
      <w:pPr>
        <w:pStyle w:val="FootnoteText"/>
        <w:rPr>
          <w:rFonts w:cstheme="minorHAnsi"/>
        </w:rPr>
      </w:pPr>
      <w:r w:rsidRPr="000D5F1C">
        <w:rPr>
          <w:rStyle w:val="FootnoteReference"/>
          <w:rFonts w:cstheme="minorHAnsi"/>
        </w:rPr>
        <w:footnoteRef/>
      </w:r>
      <w:r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Pr="000D5F1C">
        <w:rPr>
          <w:rFonts w:cstheme="minorHAnsi"/>
        </w:rPr>
        <w:t>, 124</w:t>
      </w:r>
      <w:r w:rsidR="001E34B8"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4 CLPD</w:t>
      </w:r>
      <w:r w:rsidR="001E34B8" w:rsidRPr="000D5F1C">
        <w:rPr>
          <w:rFonts w:cstheme="minorHAnsi"/>
        </w:rPr>
        <w:t xml:space="preserve"> </w:t>
      </w:r>
      <w:r w:rsidR="001051DF">
        <w:rPr>
          <w:rFonts w:cstheme="minorHAnsi"/>
        </w:rPr>
        <w:t xml:space="preserve">48, </w:t>
      </w:r>
      <w:r w:rsidR="001E34B8" w:rsidRPr="000D5F1C">
        <w:rPr>
          <w:rFonts w:cstheme="minorHAnsi"/>
        </w:rPr>
        <w:t>49</w:t>
      </w:r>
      <w:r w:rsidR="00384D8F">
        <w:rPr>
          <w:rFonts w:cstheme="minorHAnsi"/>
        </w:rPr>
        <w:t>.</w:t>
      </w:r>
    </w:p>
  </w:footnote>
  <w:footnote w:id="172">
    <w:p w14:paraId="36507F7C" w14:textId="58E510BC" w:rsidR="002C47D6" w:rsidRPr="000D5F1C" w:rsidRDefault="002C47D6">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172</w:t>
      </w:r>
      <w:r w:rsidR="00605A1F"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00605A1F" w:rsidRPr="000D5F1C">
        <w:rPr>
          <w:rFonts w:cstheme="minorHAnsi"/>
        </w:rPr>
        <w:t>, 125</w:t>
      </w:r>
      <w:r w:rsidR="001E34B8"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001E34B8" w:rsidRPr="000D5F1C">
        <w:rPr>
          <w:rFonts w:cstheme="minorHAnsi"/>
        </w:rPr>
        <w:t>49</w:t>
      </w:r>
      <w:r w:rsidR="00384D8F">
        <w:rPr>
          <w:rFonts w:cstheme="minorHAnsi"/>
        </w:rPr>
        <w:t>.</w:t>
      </w:r>
    </w:p>
  </w:footnote>
  <w:footnote w:id="173">
    <w:p w14:paraId="693AE71C" w14:textId="30EC9686" w:rsidR="00605A1F" w:rsidRPr="000D5F1C" w:rsidRDefault="00605A1F">
      <w:pPr>
        <w:pStyle w:val="FootnoteText"/>
        <w:rPr>
          <w:rFonts w:cstheme="minorHAnsi"/>
        </w:rPr>
      </w:pPr>
      <w:r w:rsidRPr="000D5F1C">
        <w:rPr>
          <w:rStyle w:val="FootnoteReference"/>
          <w:rFonts w:cstheme="minorHAnsi"/>
        </w:rPr>
        <w:footnoteRef/>
      </w:r>
      <w:r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Pr="000D5F1C">
        <w:rPr>
          <w:rFonts w:cstheme="minorHAnsi"/>
        </w:rPr>
        <w:t>, 125-126</w:t>
      </w:r>
      <w:r w:rsidR="00384D8F">
        <w:rPr>
          <w:rFonts w:cstheme="minorHAnsi"/>
        </w:rPr>
        <w:t>.</w:t>
      </w:r>
    </w:p>
  </w:footnote>
  <w:footnote w:id="174">
    <w:p w14:paraId="67E0802D" w14:textId="66E38297" w:rsidR="005535A6" w:rsidRPr="000D5F1C" w:rsidRDefault="005535A6" w:rsidP="005535A6">
      <w:pPr>
        <w:pStyle w:val="FootnoteText"/>
        <w:rPr>
          <w:rFonts w:cstheme="minorHAnsi"/>
        </w:rPr>
      </w:pPr>
      <w:r w:rsidRPr="000D5F1C">
        <w:rPr>
          <w:rStyle w:val="FootnoteReference"/>
          <w:rFonts w:cstheme="minorHAnsi"/>
        </w:rPr>
        <w:footnoteRef/>
      </w:r>
      <w:r w:rsidRPr="000D5F1C">
        <w:rPr>
          <w:rFonts w:cstheme="minorHAnsi"/>
        </w:rPr>
        <w:t xml:space="preserve"> </w:t>
      </w:r>
      <w:r w:rsidR="00384D8F">
        <w:rPr>
          <w:rFonts w:cstheme="minorHAnsi"/>
        </w:rPr>
        <w:t xml:space="preserve">ibid </w:t>
      </w:r>
      <w:r w:rsidRPr="000D5F1C">
        <w:rPr>
          <w:rFonts w:cstheme="minorHAnsi"/>
        </w:rPr>
        <w:t>123</w:t>
      </w:r>
      <w:r w:rsidR="00384D8F">
        <w:rPr>
          <w:rFonts w:cstheme="minorHAnsi"/>
        </w:rPr>
        <w:t>.</w:t>
      </w:r>
    </w:p>
  </w:footnote>
  <w:footnote w:id="175">
    <w:p w14:paraId="2AA2212E" w14:textId="457CCDCD" w:rsidR="005535A6" w:rsidRPr="000D5F1C" w:rsidRDefault="005535A6" w:rsidP="005535A6">
      <w:pPr>
        <w:pStyle w:val="FootnoteText"/>
        <w:rPr>
          <w:rFonts w:cstheme="minorHAnsi"/>
        </w:rPr>
      </w:pPr>
      <w:r w:rsidRPr="000D5F1C">
        <w:rPr>
          <w:rStyle w:val="FootnoteReference"/>
          <w:rFonts w:cstheme="minorHAnsi"/>
        </w:rPr>
        <w:footnoteRef/>
      </w:r>
      <w:r w:rsidRPr="000D5F1C">
        <w:rPr>
          <w:rFonts w:cstheme="minorHAnsi"/>
        </w:rPr>
        <w:t xml:space="preserve"> Competition Appeal Tribunal, </w:t>
      </w:r>
      <w:r w:rsidRPr="000D5F1C">
        <w:rPr>
          <w:rFonts w:cstheme="minorHAnsi"/>
          <w:i/>
          <w:iCs/>
        </w:rPr>
        <w:t xml:space="preserve">Annual Report and Accounts </w:t>
      </w:r>
      <w:r w:rsidRPr="000D5F1C">
        <w:rPr>
          <w:rFonts w:cstheme="minorHAnsi"/>
        </w:rPr>
        <w:t>2016/2017 (27 July 2017), p. 5 &lt;https://www.catribunal.org.uk/sites/default/files/2017-12/annual_report_16_17_0.pdf&gt; accessed 17 May 2022</w:t>
      </w:r>
      <w:r w:rsidR="00384D8F">
        <w:rPr>
          <w:rFonts w:cstheme="minorHAnsi"/>
        </w:rPr>
        <w:t>.</w:t>
      </w:r>
    </w:p>
  </w:footnote>
  <w:footnote w:id="176">
    <w:p w14:paraId="06C1D044" w14:textId="6D5C9ABA" w:rsidR="00F411DB" w:rsidRPr="000D5F1C" w:rsidRDefault="00F411DB">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Pr="000D5F1C">
        <w:rPr>
          <w:rFonts w:cstheme="minorHAnsi"/>
        </w:rPr>
        <w:t>49</w:t>
      </w:r>
      <w:r w:rsidR="00384D8F">
        <w:rPr>
          <w:rFonts w:cstheme="minorHAnsi"/>
        </w:rPr>
        <w:t>.</w:t>
      </w:r>
    </w:p>
  </w:footnote>
  <w:footnote w:id="177">
    <w:p w14:paraId="28DFAB98" w14:textId="6C3B63B5" w:rsidR="005535A6" w:rsidRPr="000D5F1C" w:rsidRDefault="005535A6" w:rsidP="005535A6">
      <w:pPr>
        <w:pStyle w:val="FootnoteText"/>
        <w:rPr>
          <w:rFonts w:cstheme="minorHAnsi"/>
        </w:rPr>
      </w:pPr>
      <w:r w:rsidRPr="000D5F1C">
        <w:rPr>
          <w:rStyle w:val="FootnoteReference"/>
          <w:rFonts w:cstheme="minorHAnsi"/>
        </w:rPr>
        <w:footnoteRef/>
      </w:r>
      <w:r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Pr="000D5F1C">
        <w:rPr>
          <w:rFonts w:cstheme="minorHAnsi"/>
        </w:rPr>
        <w:t xml:space="preserve">, 124; Sebastian Peyer, ‘Chapter 5: Private antitrust enforcement in England and Wales after the EU Damages Directive: where are we heading?’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5, Edward Elgar Publishing Limited, 2018), </w:t>
      </w:r>
      <w:r w:rsidR="00DC2571" w:rsidRPr="000D5F1C">
        <w:rPr>
          <w:rFonts w:cstheme="minorHAnsi"/>
        </w:rPr>
        <w:t>167</w:t>
      </w:r>
      <w:r w:rsidR="00384D8F">
        <w:rPr>
          <w:rFonts w:cstheme="minorHAnsi"/>
        </w:rPr>
        <w:t>.</w:t>
      </w:r>
    </w:p>
  </w:footnote>
  <w:footnote w:id="178">
    <w:p w14:paraId="14794DE3" w14:textId="60F35F9E"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r</w:t>
      </w:r>
      <w:r w:rsidRPr="000D5F1C">
        <w:rPr>
          <w:rFonts w:cstheme="minorHAnsi"/>
        </w:rPr>
        <w:t xml:space="preserve"> 44.2(2)(a)</w:t>
      </w:r>
      <w:r w:rsidR="00384D8F">
        <w:rPr>
          <w:rFonts w:cstheme="minorHAnsi"/>
        </w:rPr>
        <w:t>.</w:t>
      </w:r>
    </w:p>
  </w:footnote>
  <w:footnote w:id="179">
    <w:p w14:paraId="0CADC6D3" w14:textId="0FAD7CE1"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 404</w:t>
      </w:r>
      <w:r w:rsidR="00384D8F">
        <w:rPr>
          <w:rFonts w:cstheme="minorHAnsi"/>
        </w:rPr>
        <w:t>.</w:t>
      </w:r>
    </w:p>
  </w:footnote>
  <w:footnote w:id="180">
    <w:p w14:paraId="01B13977" w14:textId="0D9C72B9"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The Competition Appeal Tribunal Rules 2015</w:t>
      </w:r>
      <w:r w:rsidR="00370445">
        <w:rPr>
          <w:rFonts w:cstheme="minorHAnsi"/>
        </w:rPr>
        <w:t xml:space="preserve"> SI 2015/1648</w:t>
      </w:r>
      <w:r w:rsidRPr="000D5F1C">
        <w:rPr>
          <w:rFonts w:cstheme="minorHAnsi"/>
        </w:rPr>
        <w:t xml:space="preserve">, </w:t>
      </w:r>
      <w:r w:rsidR="00370445">
        <w:rPr>
          <w:rFonts w:cstheme="minorHAnsi"/>
        </w:rPr>
        <w:t>r</w:t>
      </w:r>
      <w:r w:rsidRPr="000D5F1C">
        <w:rPr>
          <w:rFonts w:cstheme="minorHAnsi"/>
        </w:rPr>
        <w:t xml:space="preserve"> 104(2)</w:t>
      </w:r>
      <w:r w:rsidR="00384D8F">
        <w:rPr>
          <w:rFonts w:cstheme="minorHAnsi"/>
        </w:rPr>
        <w:t>.</w:t>
      </w:r>
    </w:p>
  </w:footnote>
  <w:footnote w:id="181">
    <w:p w14:paraId="06F62F2D" w14:textId="4DB64976"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 404</w:t>
      </w:r>
      <w:r w:rsidR="00384D8F">
        <w:rPr>
          <w:rFonts w:cstheme="minorHAnsi"/>
        </w:rPr>
        <w:t>.</w:t>
      </w:r>
    </w:p>
  </w:footnote>
  <w:footnote w:id="182">
    <w:p w14:paraId="2D7C7385" w14:textId="1872525E"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w:t>
      </w:r>
      <w:r w:rsidR="00384D8F">
        <w:rPr>
          <w:rFonts w:cstheme="minorHAnsi"/>
        </w:rPr>
        <w:t>ibid</w:t>
      </w:r>
      <w:r w:rsidRPr="000D5F1C">
        <w:rPr>
          <w:rFonts w:cstheme="minorHAnsi"/>
        </w:rPr>
        <w:t xml:space="preserve"> 403</w:t>
      </w:r>
      <w:r w:rsidR="00384D8F">
        <w:rPr>
          <w:rFonts w:cstheme="minorHAnsi"/>
        </w:rPr>
        <w:t>.</w:t>
      </w:r>
    </w:p>
  </w:footnote>
  <w:footnote w:id="183">
    <w:p w14:paraId="1A687932" w14:textId="2613D1D3"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176</w:t>
      </w:r>
      <w:r w:rsidR="00384D8F">
        <w:rPr>
          <w:rFonts w:cstheme="minorHAnsi"/>
        </w:rPr>
        <w:t>.</w:t>
      </w:r>
    </w:p>
  </w:footnote>
  <w:footnote w:id="184">
    <w:p w14:paraId="34FE2D1F" w14:textId="172DA328" w:rsidR="00E06526" w:rsidRPr="000D5F1C" w:rsidRDefault="00E06526" w:rsidP="00E06526">
      <w:pPr>
        <w:pStyle w:val="FootnoteText"/>
        <w:rPr>
          <w:rFonts w:cstheme="minorHAnsi"/>
        </w:rPr>
      </w:pPr>
      <w:r w:rsidRPr="000D5F1C">
        <w:rPr>
          <w:rStyle w:val="FootnoteReference"/>
          <w:rFonts w:cstheme="minorHAnsi"/>
        </w:rPr>
        <w:footnoteRef/>
      </w:r>
      <w:r w:rsidRPr="000D5F1C">
        <w:rPr>
          <w:rFonts w:cstheme="minorHAnsi"/>
        </w:rPr>
        <w:t xml:space="preserve"> </w:t>
      </w:r>
      <w:r w:rsidR="00384D8F">
        <w:rPr>
          <w:rFonts w:cstheme="minorHAnsi"/>
        </w:rPr>
        <w:t>ibid.</w:t>
      </w:r>
    </w:p>
  </w:footnote>
  <w:footnote w:id="185">
    <w:p w14:paraId="751C23C7" w14:textId="6700C2C7" w:rsidR="008C5347" w:rsidRDefault="008C5347">
      <w:pPr>
        <w:pStyle w:val="FootnoteText"/>
      </w:pPr>
      <w:r>
        <w:rPr>
          <w:rStyle w:val="FootnoteReference"/>
        </w:rPr>
        <w:footnoteRef/>
      </w:r>
      <w:r>
        <w:t xml:space="preserve"> See section 2.2.6</w:t>
      </w:r>
    </w:p>
  </w:footnote>
  <w:footnote w:id="186">
    <w:p w14:paraId="0E70AABB" w14:textId="5FB48820"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 xml:space="preserve">(Chapter 8, Kluwer Law International 2020), 184; Sebastian Peyer, ‘Chapter 5: Private antitrust enforcement in England and Wales after the EU Damages Directive: where are we heading?’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5, Edward Elgar Publishing Limited, 2018), 113</w:t>
      </w:r>
      <w:r w:rsidR="00384D8F">
        <w:rPr>
          <w:rFonts w:cstheme="minorHAnsi"/>
        </w:rPr>
        <w:t>.</w:t>
      </w:r>
    </w:p>
  </w:footnote>
  <w:footnote w:id="187">
    <w:p w14:paraId="135277D1" w14:textId="2BD72E6F"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w:t>
      </w:r>
      <w:r w:rsidR="00D07DCD" w:rsidRPr="00D07DCD">
        <w:rPr>
          <w:rFonts w:cstheme="minorHAnsi"/>
        </w:rPr>
        <w:t xml:space="preserve"> </w:t>
      </w:r>
      <w:r w:rsidR="00043C82">
        <w:rPr>
          <w:rFonts w:cstheme="minorHAnsi"/>
        </w:rPr>
        <w:t xml:space="preserve">s </w:t>
      </w:r>
      <w:r w:rsidR="00D07DCD" w:rsidRPr="000D5F1C">
        <w:rPr>
          <w:rFonts w:cstheme="minorHAnsi"/>
        </w:rPr>
        <w:t>47B-47E</w:t>
      </w:r>
      <w:r w:rsidR="00384D8F">
        <w:rPr>
          <w:rFonts w:cstheme="minorHAnsi"/>
        </w:rPr>
        <w:t>.</w:t>
      </w:r>
    </w:p>
  </w:footnote>
  <w:footnote w:id="188">
    <w:p w14:paraId="5DCB4306" w14:textId="3CF4F2D9"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85" w:name="_Hlk107482955"/>
      <w:proofErr w:type="spellStart"/>
      <w:r w:rsidRPr="000D5F1C">
        <w:rPr>
          <w:rFonts w:cstheme="minorHAnsi"/>
        </w:rPr>
        <w:t>Zygimantas</w:t>
      </w:r>
      <w:proofErr w:type="spellEnd"/>
      <w:r w:rsidRPr="000D5F1C">
        <w:rPr>
          <w:rFonts w:cstheme="minorHAnsi"/>
        </w:rPr>
        <w:t xml:space="preserve"> </w:t>
      </w:r>
      <w:proofErr w:type="spellStart"/>
      <w:r w:rsidRPr="000D5F1C">
        <w:rPr>
          <w:rFonts w:cstheme="minorHAnsi"/>
        </w:rPr>
        <w:t>Juska</w:t>
      </w:r>
      <w:proofErr w:type="spellEnd"/>
      <w:r w:rsidRPr="000D5F1C">
        <w:rPr>
          <w:rFonts w:cstheme="minorHAnsi"/>
        </w:rPr>
        <w:t>, ‘The effectiveness of antitrust collective litigation in the European Union: a study of the principle of full compensation’ (2018)</w:t>
      </w:r>
      <w:r w:rsidR="00FF3413">
        <w:rPr>
          <w:rFonts w:cstheme="minorHAnsi"/>
        </w:rPr>
        <w:t xml:space="preserve"> 49</w:t>
      </w:r>
      <w:r w:rsidRPr="000D5F1C">
        <w:rPr>
          <w:rFonts w:cstheme="minorHAnsi"/>
        </w:rPr>
        <w:t xml:space="preserve"> IIC </w:t>
      </w:r>
      <w:bookmarkEnd w:id="85"/>
      <w:r w:rsidR="00FF3413">
        <w:rPr>
          <w:rFonts w:cstheme="minorHAnsi"/>
        </w:rPr>
        <w:t>63</w:t>
      </w:r>
      <w:r w:rsidRPr="000D5F1C">
        <w:rPr>
          <w:rFonts w:cstheme="minorHAnsi"/>
        </w:rPr>
        <w:t xml:space="preserve">, 81; Sebastian Peyer, ‘Chapter 5: Private antitrust enforcement in England and Wales after the EU Damages Directive: where are we heading?’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5, Edward Elgar Publishing Limited, 2018), 111</w:t>
      </w:r>
      <w:r w:rsidR="00384D8F">
        <w:rPr>
          <w:rFonts w:cstheme="minorHAnsi"/>
        </w:rPr>
        <w:t>.</w:t>
      </w:r>
    </w:p>
  </w:footnote>
  <w:footnote w:id="189">
    <w:p w14:paraId="59D71C90" w14:textId="1FE31BAB"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174</w:t>
      </w:r>
      <w:r w:rsidR="00384D8F">
        <w:rPr>
          <w:rFonts w:cstheme="minorHAnsi"/>
        </w:rPr>
        <w:t>.</w:t>
      </w:r>
    </w:p>
  </w:footnote>
  <w:footnote w:id="190">
    <w:p w14:paraId="2C6FA2EB" w14:textId="66A9419D"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 </w:t>
      </w:r>
      <w:r w:rsidR="00043C82">
        <w:rPr>
          <w:rFonts w:cstheme="minorHAnsi"/>
        </w:rPr>
        <w:t>s</w:t>
      </w:r>
      <w:r w:rsidRPr="000D5F1C">
        <w:rPr>
          <w:rFonts w:cstheme="minorHAnsi"/>
        </w:rPr>
        <w:t xml:space="preserve"> 47B(8)(a)</w:t>
      </w:r>
      <w:r w:rsidR="00384D8F">
        <w:rPr>
          <w:rFonts w:cstheme="minorHAnsi"/>
        </w:rPr>
        <w:t>.</w:t>
      </w:r>
    </w:p>
  </w:footnote>
  <w:footnote w:id="191">
    <w:p w14:paraId="51C9ECB5" w14:textId="064723B8"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 </w:t>
      </w:r>
      <w:r w:rsidR="00043C82">
        <w:rPr>
          <w:rFonts w:cstheme="minorHAnsi"/>
        </w:rPr>
        <w:t>s</w:t>
      </w:r>
      <w:r w:rsidRPr="000D5F1C">
        <w:rPr>
          <w:rFonts w:cstheme="minorHAnsi"/>
        </w:rPr>
        <w:t xml:space="preserve"> 47B(8)(b)</w:t>
      </w:r>
      <w:r w:rsidR="00384D8F">
        <w:rPr>
          <w:rFonts w:cstheme="minorHAnsi"/>
        </w:rPr>
        <w:t>.</w:t>
      </w:r>
    </w:p>
  </w:footnote>
  <w:footnote w:id="192">
    <w:p w14:paraId="4A8AC5B4" w14:textId="7231EABC"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w:t>
      </w:r>
      <w:r w:rsidR="00043C82">
        <w:rPr>
          <w:rFonts w:cstheme="minorHAnsi"/>
        </w:rPr>
        <w:t xml:space="preserve"> s </w:t>
      </w:r>
      <w:r w:rsidRPr="000D5F1C">
        <w:rPr>
          <w:rFonts w:cstheme="minorHAnsi"/>
        </w:rPr>
        <w:t>47B(6)</w:t>
      </w:r>
      <w:r w:rsidR="00384D8F">
        <w:rPr>
          <w:rFonts w:cstheme="minorHAnsi"/>
        </w:rPr>
        <w:t>.</w:t>
      </w:r>
    </w:p>
  </w:footnote>
  <w:footnote w:id="193">
    <w:p w14:paraId="48CF5E16" w14:textId="6DF0DDE2"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384D8F">
        <w:rPr>
          <w:rFonts w:cstheme="minorHAnsi"/>
        </w:rPr>
        <w:t>.</w:t>
      </w:r>
    </w:p>
  </w:footnote>
  <w:footnote w:id="194">
    <w:p w14:paraId="565947B6" w14:textId="30FAA9FE"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Pr="000D5F1C">
        <w:rPr>
          <w:rFonts w:cstheme="minorHAnsi"/>
          <w:i/>
          <w:iCs/>
        </w:rPr>
        <w:t xml:space="preserve">Walter Hugh </w:t>
      </w:r>
      <w:proofErr w:type="spellStart"/>
      <w:r w:rsidRPr="000D5F1C">
        <w:rPr>
          <w:rFonts w:cstheme="minorHAnsi"/>
          <w:i/>
          <w:iCs/>
        </w:rPr>
        <w:t>Merricks</w:t>
      </w:r>
      <w:proofErr w:type="spellEnd"/>
      <w:r w:rsidRPr="000D5F1C">
        <w:rPr>
          <w:rFonts w:cstheme="minorHAnsi"/>
          <w:i/>
          <w:iCs/>
        </w:rPr>
        <w:t xml:space="preserve"> CBE v Mastercard</w:t>
      </w:r>
      <w:r w:rsidRPr="000D5F1C">
        <w:rPr>
          <w:rFonts w:cstheme="minorHAnsi"/>
        </w:rPr>
        <w:t xml:space="preserve"> </w:t>
      </w:r>
      <w:r w:rsidRPr="000D5F1C">
        <w:rPr>
          <w:rFonts w:cstheme="minorHAnsi"/>
          <w:i/>
          <w:iCs/>
        </w:rPr>
        <w:t xml:space="preserve">Incorporated and others </w:t>
      </w:r>
      <w:r w:rsidRPr="000D5F1C">
        <w:rPr>
          <w:rFonts w:cstheme="minorHAnsi"/>
        </w:rPr>
        <w:t>[2020] UKSC 51</w:t>
      </w:r>
      <w:r w:rsidR="00384D8F">
        <w:rPr>
          <w:rFonts w:cstheme="minorHAnsi"/>
        </w:rPr>
        <w:t>.</w:t>
      </w:r>
    </w:p>
  </w:footnote>
  <w:footnote w:id="195">
    <w:p w14:paraId="3A20E32A" w14:textId="1B5835F0"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i/>
          <w:iCs/>
        </w:rPr>
        <w:t>Merricks</w:t>
      </w:r>
      <w:proofErr w:type="spellEnd"/>
      <w:r w:rsidRPr="000D5F1C">
        <w:rPr>
          <w:rFonts w:cstheme="minorHAnsi"/>
          <w:i/>
          <w:iCs/>
        </w:rPr>
        <w:t xml:space="preserve"> v Mastercard</w:t>
      </w:r>
      <w:r w:rsidRPr="000D5F1C">
        <w:rPr>
          <w:rFonts w:cstheme="minorHAnsi"/>
        </w:rPr>
        <w:t xml:space="preserve"> [2020] UKSC 51</w:t>
      </w:r>
      <w:r w:rsidR="00925ABA">
        <w:rPr>
          <w:rFonts w:cstheme="minorHAnsi"/>
        </w:rPr>
        <w:t>,</w:t>
      </w:r>
      <w:r w:rsidRPr="000D5F1C">
        <w:rPr>
          <w:rFonts w:cstheme="minorHAnsi"/>
        </w:rPr>
        <w:t xml:space="preserve"> para 45</w:t>
      </w:r>
      <w:r w:rsidR="00384D8F">
        <w:rPr>
          <w:rFonts w:cstheme="minorHAnsi"/>
        </w:rPr>
        <w:t>.</w:t>
      </w:r>
    </w:p>
  </w:footnote>
  <w:footnote w:id="196">
    <w:p w14:paraId="1AB79821" w14:textId="221A08AA"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i/>
          <w:iCs/>
        </w:rPr>
        <w:t>Merricks</w:t>
      </w:r>
      <w:proofErr w:type="spellEnd"/>
      <w:r w:rsidRPr="000D5F1C">
        <w:rPr>
          <w:rFonts w:cstheme="minorHAnsi"/>
          <w:i/>
          <w:iCs/>
        </w:rPr>
        <w:t xml:space="preserve"> v Mastercard</w:t>
      </w:r>
      <w:r w:rsidRPr="000D5F1C">
        <w:rPr>
          <w:rFonts w:cstheme="minorHAnsi"/>
        </w:rPr>
        <w:t xml:space="preserve"> [2020] UKSC 51</w:t>
      </w:r>
      <w:r w:rsidR="00925ABA">
        <w:rPr>
          <w:rFonts w:cstheme="minorHAnsi"/>
        </w:rPr>
        <w:t>,</w:t>
      </w:r>
      <w:r w:rsidRPr="000D5F1C">
        <w:rPr>
          <w:rFonts w:cstheme="minorHAnsi"/>
        </w:rPr>
        <w:t xml:space="preserve"> para 54</w:t>
      </w:r>
      <w:r w:rsidR="00384D8F">
        <w:rPr>
          <w:rFonts w:cstheme="minorHAnsi"/>
        </w:rPr>
        <w:t>.</w:t>
      </w:r>
    </w:p>
  </w:footnote>
  <w:footnote w:id="197">
    <w:p w14:paraId="1053E39D" w14:textId="1128B4DC"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bookmarkStart w:id="86" w:name="_Hlk107482976"/>
      <w:r w:rsidRPr="000D5F1C">
        <w:rPr>
          <w:rFonts w:cstheme="minorHAnsi"/>
        </w:rPr>
        <w:t xml:space="preserve">Chris Bushell </w:t>
      </w:r>
      <w:r w:rsidR="00FF3413">
        <w:rPr>
          <w:rFonts w:cstheme="minorHAnsi"/>
        </w:rPr>
        <w:t>and others</w:t>
      </w:r>
      <w:r w:rsidRPr="000D5F1C">
        <w:rPr>
          <w:rFonts w:cstheme="minorHAnsi"/>
        </w:rPr>
        <w:t>, ‘</w:t>
      </w:r>
      <w:proofErr w:type="spellStart"/>
      <w:r w:rsidRPr="000D5F1C">
        <w:rPr>
          <w:rFonts w:cstheme="minorHAnsi"/>
        </w:rPr>
        <w:t>Merricks</w:t>
      </w:r>
      <w:proofErr w:type="spellEnd"/>
      <w:r w:rsidRPr="000D5F1C">
        <w:rPr>
          <w:rFonts w:cstheme="minorHAnsi"/>
        </w:rPr>
        <w:t xml:space="preserve"> v Mastercard: the litigation risks for the financial services sector’ (2021)</w:t>
      </w:r>
      <w:bookmarkEnd w:id="86"/>
      <w:r w:rsidR="00FF3413">
        <w:rPr>
          <w:rFonts w:cstheme="minorHAnsi"/>
        </w:rPr>
        <w:t xml:space="preserve"> JIBFL </w:t>
      </w:r>
      <w:r w:rsidRPr="000D5F1C">
        <w:rPr>
          <w:rFonts w:cstheme="minorHAnsi"/>
        </w:rPr>
        <w:t>781</w:t>
      </w:r>
      <w:r w:rsidR="00FF3413">
        <w:rPr>
          <w:rFonts w:cstheme="minorHAnsi"/>
        </w:rPr>
        <w:t xml:space="preserve"> &lt;</w:t>
      </w:r>
      <w:r w:rsidR="00FF3413" w:rsidRPr="00FF3413">
        <w:rPr>
          <w:rFonts w:cstheme="minorHAnsi"/>
        </w:rPr>
        <w:t>https://sites-herbertsmithfreehills.vuturevx.com/20/24346/landing-pages/merricks-v-mastercard---litigation-risks-for-the-financial-services-sector.pdf</w:t>
      </w:r>
      <w:r w:rsidR="00FF3413">
        <w:rPr>
          <w:rFonts w:cstheme="minorHAnsi"/>
        </w:rPr>
        <w:t xml:space="preserve">&gt; accessed 18 May 2022 </w:t>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8E078B">
        <w:rPr>
          <w:rFonts w:cstheme="minorHAnsi"/>
        </w:rPr>
        <w:t>.</w:t>
      </w:r>
    </w:p>
  </w:footnote>
  <w:footnote w:id="198">
    <w:p w14:paraId="7D4FA54B" w14:textId="19D1DAF3"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8E078B">
        <w:rPr>
          <w:rFonts w:cstheme="minorHAnsi"/>
        </w:rPr>
        <w:t>.</w:t>
      </w:r>
    </w:p>
  </w:footnote>
  <w:footnote w:id="199">
    <w:p w14:paraId="73853557" w14:textId="63FBCF43"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FF3413" w:rsidRPr="000D5F1C">
        <w:rPr>
          <w:rFonts w:cstheme="minorHAnsi"/>
        </w:rPr>
        <w:t xml:space="preserve">Chris Bushell </w:t>
      </w:r>
      <w:r w:rsidR="00FF3413">
        <w:rPr>
          <w:rFonts w:cstheme="minorHAnsi"/>
        </w:rPr>
        <w:t>and others</w:t>
      </w:r>
      <w:r w:rsidR="00FF3413" w:rsidRPr="000D5F1C">
        <w:rPr>
          <w:rFonts w:cstheme="minorHAnsi"/>
        </w:rPr>
        <w:t>, ‘</w:t>
      </w:r>
      <w:proofErr w:type="spellStart"/>
      <w:r w:rsidR="00FF3413" w:rsidRPr="000D5F1C">
        <w:rPr>
          <w:rFonts w:cstheme="minorHAnsi"/>
        </w:rPr>
        <w:t>Merricks</w:t>
      </w:r>
      <w:proofErr w:type="spellEnd"/>
      <w:r w:rsidR="00FF3413" w:rsidRPr="000D5F1C">
        <w:rPr>
          <w:rFonts w:cstheme="minorHAnsi"/>
        </w:rPr>
        <w:t xml:space="preserve"> v Mastercard: the litigation risks for the financial services sector’ (2021)</w:t>
      </w:r>
      <w:r w:rsidR="00FF3413">
        <w:rPr>
          <w:rFonts w:cstheme="minorHAnsi"/>
        </w:rPr>
        <w:t xml:space="preserve"> JIBFL </w:t>
      </w:r>
      <w:r w:rsidR="00FF3413" w:rsidRPr="000D5F1C">
        <w:rPr>
          <w:rFonts w:cstheme="minorHAnsi"/>
        </w:rPr>
        <w:t>781</w:t>
      </w:r>
      <w:r w:rsidRPr="000D5F1C">
        <w:rPr>
          <w:rFonts w:cstheme="minorHAnsi"/>
        </w:rPr>
        <w:t>, 782</w:t>
      </w:r>
      <w:r w:rsidR="008E078B">
        <w:rPr>
          <w:rFonts w:cstheme="minorHAnsi"/>
        </w:rPr>
        <w:t>.</w:t>
      </w:r>
    </w:p>
  </w:footnote>
  <w:footnote w:id="200">
    <w:p w14:paraId="585C37A0" w14:textId="1C0E9E01"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w:t>
      </w:r>
      <w:r w:rsidR="008E078B">
        <w:rPr>
          <w:rFonts w:cstheme="minorHAnsi"/>
        </w:rPr>
        <w:t>ibid.</w:t>
      </w:r>
    </w:p>
  </w:footnote>
  <w:footnote w:id="201">
    <w:p w14:paraId="64CEDA0D" w14:textId="4D52038E"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See for example: </w:t>
      </w:r>
      <w:bookmarkStart w:id="87" w:name="_Hlk107450713"/>
      <w:r w:rsidRPr="000D5F1C">
        <w:rPr>
          <w:rFonts w:cstheme="minorHAnsi"/>
          <w:i/>
          <w:iCs/>
        </w:rPr>
        <w:t xml:space="preserve">Justin Le </w:t>
      </w:r>
      <w:proofErr w:type="spellStart"/>
      <w:r w:rsidRPr="000D5F1C">
        <w:rPr>
          <w:rFonts w:cstheme="minorHAnsi"/>
          <w:i/>
          <w:iCs/>
        </w:rPr>
        <w:t>Patourel</w:t>
      </w:r>
      <w:proofErr w:type="spellEnd"/>
      <w:r w:rsidRPr="000D5F1C">
        <w:rPr>
          <w:rFonts w:cstheme="minorHAnsi"/>
          <w:i/>
          <w:iCs/>
        </w:rPr>
        <w:t xml:space="preserve"> v BT Group PLC </w:t>
      </w:r>
      <w:r w:rsidRPr="000D5F1C">
        <w:rPr>
          <w:rFonts w:cstheme="minorHAnsi"/>
        </w:rPr>
        <w:t>[2021]</w:t>
      </w:r>
      <w:r w:rsidR="00DF7B6D">
        <w:rPr>
          <w:rFonts w:cstheme="minorHAnsi"/>
        </w:rPr>
        <w:t xml:space="preserve"> </w:t>
      </w:r>
      <w:r w:rsidRPr="000D5F1C">
        <w:rPr>
          <w:rFonts w:cstheme="minorHAnsi"/>
        </w:rPr>
        <w:t>CAT 30</w:t>
      </w:r>
      <w:bookmarkEnd w:id="87"/>
      <w:r w:rsidRPr="000D5F1C">
        <w:rPr>
          <w:rFonts w:cstheme="minorHAnsi"/>
        </w:rPr>
        <w:t xml:space="preserve">; </w:t>
      </w:r>
      <w:bookmarkStart w:id="88" w:name="_Hlk107450726"/>
      <w:r w:rsidRPr="000D5F1C">
        <w:rPr>
          <w:rFonts w:cstheme="minorHAnsi"/>
          <w:i/>
          <w:iCs/>
        </w:rPr>
        <w:t>Justin Gutmann v London &amp; South Eastern Railway Limited</w:t>
      </w:r>
      <w:r w:rsidRPr="000D5F1C">
        <w:rPr>
          <w:rFonts w:cstheme="minorHAnsi"/>
        </w:rPr>
        <w:t xml:space="preserve"> [2021] CAT 31</w:t>
      </w:r>
      <w:bookmarkEnd w:id="88"/>
      <w:r w:rsidR="008E078B">
        <w:rPr>
          <w:rFonts w:cstheme="minorHAnsi"/>
        </w:rPr>
        <w:t>.</w:t>
      </w:r>
    </w:p>
  </w:footnote>
  <w:footnote w:id="202">
    <w:p w14:paraId="6E901842" w14:textId="77D0406F"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w:t>
      </w:r>
      <w:r w:rsidR="00043C82">
        <w:rPr>
          <w:rFonts w:cstheme="minorHAnsi"/>
        </w:rPr>
        <w:t xml:space="preserve"> s </w:t>
      </w:r>
      <w:r w:rsidR="00D07DCD" w:rsidRPr="000D5F1C">
        <w:rPr>
          <w:rFonts w:cstheme="minorHAnsi"/>
        </w:rPr>
        <w:t>47C(2)</w:t>
      </w:r>
      <w:r w:rsidR="008E078B">
        <w:rPr>
          <w:rFonts w:cstheme="minorHAnsi"/>
        </w:rPr>
        <w:t>.</w:t>
      </w:r>
    </w:p>
  </w:footnote>
  <w:footnote w:id="203">
    <w:p w14:paraId="28FF9FA1" w14:textId="626242A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8E078B">
        <w:rPr>
          <w:rFonts w:cstheme="minorHAnsi"/>
        </w:rPr>
        <w:t>.</w:t>
      </w:r>
    </w:p>
  </w:footnote>
  <w:footnote w:id="204">
    <w:p w14:paraId="719B9C82" w14:textId="0B44EBBF"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Competition Act 1998</w:t>
      </w:r>
      <w:r w:rsidR="00043C82">
        <w:rPr>
          <w:rFonts w:cstheme="minorHAnsi"/>
        </w:rPr>
        <w:t xml:space="preserve"> s </w:t>
      </w:r>
      <w:r w:rsidRPr="000D5F1C">
        <w:rPr>
          <w:rFonts w:cstheme="minorHAnsi"/>
        </w:rPr>
        <w:t>47B(11)(b)(1)</w:t>
      </w:r>
      <w:r w:rsidR="008E078B">
        <w:rPr>
          <w:rFonts w:cstheme="minorHAnsi"/>
        </w:rPr>
        <w:t>.</w:t>
      </w:r>
    </w:p>
  </w:footnote>
  <w:footnote w:id="205">
    <w:p w14:paraId="79D009D4" w14:textId="4C6C2005" w:rsidR="00BC63AF" w:rsidRPr="000D5F1C" w:rsidRDefault="00BC63AF" w:rsidP="00BC63AF">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w:t>
      </w:r>
      <w:r w:rsidR="008E078B">
        <w:rPr>
          <w:rFonts w:cstheme="minorHAnsi"/>
        </w:rPr>
        <w:t xml:space="preserve"> </w:t>
      </w:r>
      <w:r w:rsidRPr="000D5F1C">
        <w:rPr>
          <w:rFonts w:cstheme="minorHAnsi"/>
        </w:rPr>
        <w:t>162</w:t>
      </w:r>
      <w:r w:rsidR="008E078B">
        <w:rPr>
          <w:rFonts w:cstheme="minorHAnsi"/>
        </w:rPr>
        <w:t>.</w:t>
      </w:r>
    </w:p>
  </w:footnote>
  <w:footnote w:id="206">
    <w:p w14:paraId="75E2B74B" w14:textId="512B622C" w:rsidR="00B33186" w:rsidRPr="000D5F1C" w:rsidRDefault="00B33186">
      <w:pPr>
        <w:pStyle w:val="FootnoteText"/>
        <w:rPr>
          <w:rFonts w:cstheme="minorHAnsi"/>
        </w:rPr>
      </w:pPr>
      <w:r w:rsidRPr="000D5F1C">
        <w:rPr>
          <w:rStyle w:val="FootnoteReference"/>
          <w:rFonts w:cstheme="minorHAnsi"/>
        </w:rPr>
        <w:footnoteRef/>
      </w:r>
      <w:r w:rsidRPr="000D5F1C">
        <w:rPr>
          <w:rFonts w:cstheme="minorHAnsi"/>
        </w:rPr>
        <w:t xml:space="preserve"> </w:t>
      </w:r>
      <w:r w:rsidR="008E078B">
        <w:rPr>
          <w:rFonts w:cstheme="minorHAnsi"/>
        </w:rPr>
        <w:t>ibid</w:t>
      </w:r>
      <w:r w:rsidRPr="000D5F1C">
        <w:rPr>
          <w:rFonts w:cstheme="minorHAnsi"/>
        </w:rPr>
        <w:t xml:space="preserve"> 167</w:t>
      </w:r>
      <w:r w:rsidR="008E078B">
        <w:rPr>
          <w:rFonts w:cstheme="minorHAnsi"/>
        </w:rPr>
        <w:t>.</w:t>
      </w:r>
    </w:p>
  </w:footnote>
  <w:footnote w:id="207">
    <w:p w14:paraId="15C0943D" w14:textId="04DA7C90" w:rsidR="00DC2571" w:rsidRPr="000D5F1C" w:rsidRDefault="00DC2571">
      <w:pPr>
        <w:pStyle w:val="FootnoteText"/>
        <w:rPr>
          <w:rFonts w:cstheme="minorHAnsi"/>
        </w:rPr>
      </w:pPr>
      <w:r w:rsidRPr="000D5F1C">
        <w:rPr>
          <w:rStyle w:val="FootnoteReference"/>
          <w:rFonts w:cstheme="minorHAnsi"/>
        </w:rPr>
        <w:footnoteRef/>
      </w:r>
      <w:r w:rsidRPr="000D5F1C">
        <w:rPr>
          <w:rFonts w:cstheme="minorHAnsi"/>
        </w:rPr>
        <w:t xml:space="preserve"> </w:t>
      </w:r>
      <w:r w:rsidR="008E078B">
        <w:rPr>
          <w:rFonts w:cstheme="minorHAnsi"/>
        </w:rPr>
        <w:t xml:space="preserve">ibid </w:t>
      </w:r>
      <w:r w:rsidRPr="000D5F1C">
        <w:rPr>
          <w:rFonts w:cstheme="minorHAnsi"/>
        </w:rPr>
        <w:t>172</w:t>
      </w:r>
      <w:r w:rsidR="008E078B">
        <w:rPr>
          <w:rFonts w:cstheme="minorHAnsi"/>
        </w:rPr>
        <w:t>.</w:t>
      </w:r>
    </w:p>
  </w:footnote>
  <w:footnote w:id="208">
    <w:p w14:paraId="47215806" w14:textId="165C0EE5" w:rsidR="00022F41" w:rsidRPr="000D5F1C" w:rsidRDefault="00022F41" w:rsidP="00022F41">
      <w:pPr>
        <w:pStyle w:val="FootnoteText"/>
        <w:tabs>
          <w:tab w:val="left" w:pos="768"/>
        </w:tabs>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13</w:t>
      </w:r>
      <w:r w:rsidR="008E078B">
        <w:rPr>
          <w:rFonts w:cstheme="minorHAnsi"/>
        </w:rPr>
        <w:t>.</w:t>
      </w:r>
    </w:p>
  </w:footnote>
  <w:footnote w:id="209">
    <w:p w14:paraId="457A3B9F" w14:textId="59CDD11F" w:rsidR="00FF1F77" w:rsidRPr="000D5F1C" w:rsidRDefault="00FF1F77" w:rsidP="00FF1F77">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Pr="000D5F1C">
        <w:rPr>
          <w:rFonts w:cstheme="minorHAnsi"/>
        </w:rPr>
        <w:t>49</w:t>
      </w:r>
      <w:r w:rsidR="008E078B">
        <w:rPr>
          <w:rFonts w:cstheme="minorHAnsi"/>
        </w:rPr>
        <w:t>.</w:t>
      </w:r>
    </w:p>
  </w:footnote>
  <w:footnote w:id="210">
    <w:p w14:paraId="119821B0" w14:textId="41933892" w:rsidR="00FF1F77" w:rsidRPr="000D5F1C" w:rsidRDefault="00FF1F77" w:rsidP="00FF1F77">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162</w:t>
      </w:r>
      <w:r w:rsidR="008E078B">
        <w:rPr>
          <w:rFonts w:cstheme="minorHAnsi"/>
        </w:rPr>
        <w:t>.</w:t>
      </w:r>
    </w:p>
  </w:footnote>
  <w:footnote w:id="211">
    <w:p w14:paraId="469166FE" w14:textId="10009D86" w:rsidR="00963559" w:rsidRPr="000D5F1C" w:rsidRDefault="00963559" w:rsidP="00963559">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r</w:t>
      </w:r>
      <w:r w:rsidRPr="000D5F1C">
        <w:rPr>
          <w:rFonts w:cstheme="minorHAnsi"/>
        </w:rPr>
        <w:t xml:space="preserve"> 31; </w:t>
      </w:r>
      <w:r w:rsidR="00370445" w:rsidRPr="000D5F1C">
        <w:rPr>
          <w:rFonts w:cstheme="minorHAnsi"/>
        </w:rPr>
        <w:t>The Competition Appeal Tribunal Rules 2015</w:t>
      </w:r>
      <w:r w:rsidR="00370445">
        <w:rPr>
          <w:rFonts w:cstheme="minorHAnsi"/>
        </w:rPr>
        <w:t xml:space="preserve"> SI 2015/1648</w:t>
      </w:r>
      <w:r w:rsidRPr="000D5F1C">
        <w:rPr>
          <w:rFonts w:cstheme="minorHAnsi"/>
        </w:rPr>
        <w:t xml:space="preserve">, </w:t>
      </w:r>
      <w:r w:rsidR="000210EB">
        <w:rPr>
          <w:rFonts w:cstheme="minorHAnsi"/>
        </w:rPr>
        <w:t>rr</w:t>
      </w:r>
      <w:r w:rsidRPr="000D5F1C">
        <w:rPr>
          <w:rFonts w:cstheme="minorHAnsi"/>
        </w:rPr>
        <w:t xml:space="preserve"> 60-65</w:t>
      </w:r>
      <w:r w:rsidR="008E078B">
        <w:rPr>
          <w:rFonts w:cstheme="minorHAnsi"/>
        </w:rPr>
        <w:t>.</w:t>
      </w:r>
    </w:p>
  </w:footnote>
  <w:footnote w:id="212">
    <w:p w14:paraId="47C92088" w14:textId="47EE01DF" w:rsidR="00963559" w:rsidRPr="000D5F1C" w:rsidRDefault="00963559">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000210EB">
        <w:rPr>
          <w:rFonts w:cstheme="minorHAnsi"/>
        </w:rPr>
        <w:t xml:space="preserve"> r</w:t>
      </w:r>
      <w:r w:rsidR="00755536" w:rsidRPr="000D5F1C">
        <w:rPr>
          <w:rFonts w:cstheme="minorHAnsi"/>
        </w:rPr>
        <w:t xml:space="preserve"> 31.6; </w:t>
      </w:r>
      <w:r w:rsidR="00370445" w:rsidRPr="000D5F1C">
        <w:rPr>
          <w:rFonts w:cstheme="minorHAnsi"/>
        </w:rPr>
        <w:t>The Competition Appeal Tribunal Rules 2015</w:t>
      </w:r>
      <w:r w:rsidR="00370445">
        <w:rPr>
          <w:rFonts w:cstheme="minorHAnsi"/>
        </w:rPr>
        <w:t xml:space="preserve"> SI 2015/1648</w:t>
      </w:r>
      <w:r w:rsidR="00755536" w:rsidRPr="000D5F1C">
        <w:rPr>
          <w:rFonts w:cstheme="minorHAnsi"/>
        </w:rPr>
        <w:t xml:space="preserve">, </w:t>
      </w:r>
      <w:r w:rsidR="000210EB">
        <w:rPr>
          <w:rFonts w:cstheme="minorHAnsi"/>
        </w:rPr>
        <w:t>r</w:t>
      </w:r>
      <w:r w:rsidR="00755536" w:rsidRPr="000D5F1C">
        <w:rPr>
          <w:rFonts w:cstheme="minorHAnsi"/>
        </w:rPr>
        <w:t xml:space="preserve"> 63</w:t>
      </w:r>
      <w:r w:rsidR="008E078B">
        <w:rPr>
          <w:rFonts w:cstheme="minorHAnsi"/>
        </w:rPr>
        <w:t>.</w:t>
      </w:r>
    </w:p>
  </w:footnote>
  <w:footnote w:id="213">
    <w:p w14:paraId="612B3635" w14:textId="22E4D352" w:rsidR="001024B1" w:rsidRPr="000D5F1C" w:rsidRDefault="001024B1">
      <w:pPr>
        <w:pStyle w:val="FootnoteText"/>
        <w:rPr>
          <w:rFonts w:cstheme="minorHAnsi"/>
        </w:rPr>
      </w:pPr>
      <w:r w:rsidRPr="000D5F1C">
        <w:rPr>
          <w:rStyle w:val="FootnoteReference"/>
          <w:rFonts w:cstheme="minorHAnsi"/>
        </w:rPr>
        <w:footnoteRef/>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w:t>
      </w:r>
      <w:r w:rsidR="00E118E8">
        <w:rPr>
          <w:rFonts w:cstheme="minorHAnsi"/>
        </w:rPr>
        <w:t>.</w:t>
      </w:r>
    </w:p>
  </w:footnote>
  <w:footnote w:id="214">
    <w:p w14:paraId="2CF284BB" w14:textId="1D165601" w:rsidR="0004321B" w:rsidRPr="000D5F1C" w:rsidRDefault="0004321B">
      <w:pPr>
        <w:pStyle w:val="FootnoteText"/>
        <w:rPr>
          <w:rFonts w:cstheme="minorHAnsi"/>
        </w:rPr>
      </w:pPr>
      <w:r w:rsidRPr="000D5F1C">
        <w:rPr>
          <w:rStyle w:val="FootnoteReference"/>
          <w:rFonts w:cstheme="minorHAnsi"/>
        </w:rPr>
        <w:footnoteRef/>
      </w:r>
      <w:r w:rsidRPr="000D5F1C">
        <w:rPr>
          <w:rFonts w:cstheme="minorHAnsi"/>
        </w:rPr>
        <w:t xml:space="preserve"> Sebastian Peyer, ‘Chapter 5: Private antitrust enforcement in England and Wales after the EU Damages Directive: where are we heading?’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5, Edward Elgar Publishing Limited, 2018), 9</w:t>
      </w:r>
      <w:r w:rsidR="00040E7A" w:rsidRPr="000D5F1C">
        <w:rPr>
          <w:rFonts w:cstheme="minorHAnsi"/>
        </w:rPr>
        <w:t>9</w:t>
      </w:r>
      <w:r w:rsidR="00E118E8">
        <w:rPr>
          <w:rFonts w:cstheme="minorHAnsi"/>
        </w:rPr>
        <w:t>.</w:t>
      </w:r>
    </w:p>
  </w:footnote>
  <w:footnote w:id="215">
    <w:p w14:paraId="7E171D41" w14:textId="101F227D" w:rsidR="00570A5C" w:rsidRPr="000D5F1C" w:rsidRDefault="00570A5C" w:rsidP="00570A5C">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E118E8">
        <w:rPr>
          <w:rFonts w:cstheme="minorHAnsi"/>
        </w:rPr>
        <w:t>.</w:t>
      </w:r>
    </w:p>
  </w:footnote>
  <w:footnote w:id="216">
    <w:p w14:paraId="169A9565" w14:textId="61EED046" w:rsidR="00EB0D6B" w:rsidRPr="000D5F1C" w:rsidRDefault="00EB0D6B">
      <w:pPr>
        <w:pStyle w:val="FootnoteText"/>
        <w:rPr>
          <w:rFonts w:cstheme="minorHAnsi"/>
        </w:rPr>
      </w:pPr>
      <w:r w:rsidRPr="000D5F1C">
        <w:rPr>
          <w:rStyle w:val="FootnoteReference"/>
          <w:rFonts w:cstheme="minorHAnsi"/>
        </w:rPr>
        <w:footnoteRef/>
      </w:r>
      <w:r w:rsidRPr="000D5F1C">
        <w:rPr>
          <w:rFonts w:cstheme="minorHAnsi"/>
        </w:rPr>
        <w:t xml:space="preserve"> </w:t>
      </w:r>
      <w:bookmarkStart w:id="90" w:name="_Hlk107483037"/>
      <w:r w:rsidR="00910342" w:rsidRPr="000D5F1C">
        <w:rPr>
          <w:rFonts w:cstheme="minorHAnsi"/>
        </w:rPr>
        <w:t>Lord Justice Jackson, ‘Controlling the Costs of Disclosure’ (</w:t>
      </w:r>
      <w:r w:rsidR="000A4B7D">
        <w:rPr>
          <w:rFonts w:cstheme="minorHAnsi"/>
        </w:rPr>
        <w:t xml:space="preserve">Judiciary of England and Wales, 24 November </w:t>
      </w:r>
      <w:r w:rsidR="00910342" w:rsidRPr="000D5F1C">
        <w:rPr>
          <w:rFonts w:cstheme="minorHAnsi"/>
        </w:rPr>
        <w:t>2011) para</w:t>
      </w:r>
      <w:r w:rsidR="00925ABA">
        <w:rPr>
          <w:rFonts w:cstheme="minorHAnsi"/>
        </w:rPr>
        <w:t>s</w:t>
      </w:r>
      <w:r w:rsidR="00910342" w:rsidRPr="000D5F1C">
        <w:rPr>
          <w:rFonts w:cstheme="minorHAnsi"/>
        </w:rPr>
        <w:t xml:space="preserve"> 4.7</w:t>
      </w:r>
      <w:r w:rsidR="00925ABA">
        <w:rPr>
          <w:rFonts w:cstheme="minorHAnsi"/>
        </w:rPr>
        <w:t xml:space="preserve"> and </w:t>
      </w:r>
      <w:r w:rsidR="00910342" w:rsidRPr="000D5F1C">
        <w:rPr>
          <w:rFonts w:cstheme="minorHAnsi"/>
        </w:rPr>
        <w:t>4.8 &lt;https://www.judiciary.uk/wp-content/uploads/JCO/Documents/Speeches/controlling-costs-disclosure.pdf&gt; accessed 18 May 2022</w:t>
      </w:r>
      <w:bookmarkEnd w:id="90"/>
      <w:r w:rsidR="00A569A7">
        <w:rPr>
          <w:rFonts w:cstheme="minorHAnsi"/>
        </w:rPr>
        <w:t xml:space="preserve">; </w:t>
      </w:r>
      <w:r w:rsidR="00A569A7" w:rsidRPr="00E2681D">
        <w:rPr>
          <w:rFonts w:cstheme="minorHAnsi"/>
          <w:lang w:val="en-GB"/>
        </w:rPr>
        <w:t>In this sense, the “key to the warehouse” basically grants access to the documents of other parties so each party can inquire what is relevant for their case instead of being required to examine their own documents to determine what is helpful for the opposing party</w:t>
      </w:r>
      <w:r w:rsidR="00A569A7">
        <w:rPr>
          <w:rFonts w:cstheme="minorHAnsi"/>
          <w:lang w:val="en-GB"/>
        </w:rPr>
        <w:t>.</w:t>
      </w:r>
    </w:p>
  </w:footnote>
  <w:footnote w:id="217">
    <w:p w14:paraId="09AEA070" w14:textId="1630B6C8" w:rsidR="008569F7" w:rsidRPr="000D5F1C" w:rsidRDefault="008569F7" w:rsidP="008569F7">
      <w:pPr>
        <w:pStyle w:val="FootnoteText"/>
        <w:rPr>
          <w:rFonts w:cstheme="minorHAnsi"/>
        </w:rPr>
      </w:pPr>
      <w:r w:rsidRPr="000D5F1C">
        <w:rPr>
          <w:rStyle w:val="FootnoteReference"/>
          <w:rFonts w:cstheme="minorHAnsi"/>
        </w:rPr>
        <w:footnoteRef/>
      </w:r>
      <w:r w:rsidRPr="000D5F1C">
        <w:rPr>
          <w:rFonts w:cstheme="minorHAnsi"/>
        </w:rPr>
        <w:t xml:space="preserve"> </w:t>
      </w:r>
      <w:bookmarkStart w:id="91" w:name="_Hlk107445177"/>
      <w:r w:rsidR="00370445" w:rsidRPr="000D5F1C">
        <w:rPr>
          <w:rFonts w:cstheme="minorHAnsi"/>
        </w:rPr>
        <w:t>The Competition Appeal Tribunal Rules 2015</w:t>
      </w:r>
      <w:r w:rsidR="00370445">
        <w:rPr>
          <w:rFonts w:cstheme="minorHAnsi"/>
        </w:rPr>
        <w:t xml:space="preserve"> SI 2015/1648</w:t>
      </w:r>
      <w:r w:rsidRPr="000D5F1C">
        <w:rPr>
          <w:rFonts w:cstheme="minorHAnsi"/>
        </w:rPr>
        <w:t xml:space="preserve">, </w:t>
      </w:r>
      <w:r w:rsidR="00370445">
        <w:rPr>
          <w:rFonts w:cstheme="minorHAnsi"/>
        </w:rPr>
        <w:t xml:space="preserve">r </w:t>
      </w:r>
      <w:r w:rsidRPr="000D5F1C">
        <w:rPr>
          <w:rFonts w:cstheme="minorHAnsi"/>
        </w:rPr>
        <w:t>60(3)</w:t>
      </w:r>
      <w:bookmarkEnd w:id="91"/>
    </w:p>
  </w:footnote>
  <w:footnote w:id="218">
    <w:p w14:paraId="446DAB2E" w14:textId="65E0E21B" w:rsidR="008569F7" w:rsidRPr="000D5F1C" w:rsidRDefault="008569F7">
      <w:pPr>
        <w:pStyle w:val="FootnoteText"/>
        <w:rPr>
          <w:rFonts w:cstheme="minorHAnsi"/>
        </w:rPr>
      </w:pPr>
      <w:r w:rsidRPr="000D5F1C">
        <w:rPr>
          <w:rStyle w:val="FootnoteReference"/>
          <w:rFonts w:cstheme="minorHAnsi"/>
        </w:rPr>
        <w:footnoteRef/>
      </w:r>
      <w:r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w:t>
      </w:r>
      <w:r w:rsidRPr="000D5F1C">
        <w:rPr>
          <w:rFonts w:cstheme="minorHAnsi"/>
        </w:rPr>
        <w:t xml:space="preserve">, </w:t>
      </w:r>
      <w:r w:rsidR="00370445">
        <w:rPr>
          <w:rFonts w:cstheme="minorHAnsi"/>
        </w:rPr>
        <w:t>r</w:t>
      </w:r>
      <w:r w:rsidRPr="000D5F1C">
        <w:rPr>
          <w:rFonts w:cstheme="minorHAnsi"/>
        </w:rPr>
        <w:t xml:space="preserve"> 60(2)(b)</w:t>
      </w:r>
      <w:r w:rsidR="006A4015">
        <w:rPr>
          <w:rFonts w:cstheme="minorHAnsi"/>
        </w:rPr>
        <w:t xml:space="preserve">; </w:t>
      </w:r>
      <w:r w:rsidR="006A4015" w:rsidRPr="006A4015">
        <w:rPr>
          <w:rFonts w:cstheme="minorHAnsi"/>
          <w:lang w:val="en-GB"/>
        </w:rPr>
        <w:t>In this respect, “justly” refers to the requirements under rule 4(2) of the Competition Appeal Tribunal Rules 2015.</w:t>
      </w:r>
    </w:p>
  </w:footnote>
  <w:footnote w:id="219">
    <w:p w14:paraId="227808EB" w14:textId="3250268C" w:rsidR="00EE1FA3" w:rsidRPr="000D5F1C" w:rsidRDefault="00EE1FA3" w:rsidP="00EE1FA3">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r</w:t>
      </w:r>
      <w:r w:rsidRPr="000D5F1C">
        <w:rPr>
          <w:rFonts w:cstheme="minorHAnsi"/>
        </w:rPr>
        <w:t xml:space="preserve"> 34; </w:t>
      </w:r>
      <w:r w:rsidR="00370445" w:rsidRPr="000D5F1C">
        <w:rPr>
          <w:rFonts w:cstheme="minorHAnsi"/>
        </w:rPr>
        <w:t>The Competition Appeal Tribunal Rules 2015</w:t>
      </w:r>
      <w:r w:rsidR="00370445">
        <w:rPr>
          <w:rFonts w:cstheme="minorHAnsi"/>
        </w:rPr>
        <w:t xml:space="preserve"> SI 2015/1648</w:t>
      </w:r>
      <w:r w:rsidRPr="000D5F1C">
        <w:rPr>
          <w:rFonts w:cstheme="minorHAnsi"/>
        </w:rPr>
        <w:t xml:space="preserve">, </w:t>
      </w:r>
      <w:r w:rsidR="000210EB">
        <w:rPr>
          <w:rFonts w:cstheme="minorHAnsi"/>
        </w:rPr>
        <w:t>rr</w:t>
      </w:r>
      <w:r w:rsidRPr="000D5F1C">
        <w:rPr>
          <w:rFonts w:cstheme="minorHAnsi"/>
        </w:rPr>
        <w:t xml:space="preserve"> 55 </w:t>
      </w:r>
      <w:r w:rsidR="000210EB">
        <w:rPr>
          <w:rFonts w:cstheme="minorHAnsi"/>
        </w:rPr>
        <w:t>and</w:t>
      </w:r>
      <w:r w:rsidRPr="000D5F1C">
        <w:rPr>
          <w:rFonts w:cstheme="minorHAnsi"/>
        </w:rPr>
        <w:t xml:space="preserve"> 56</w:t>
      </w:r>
      <w:r w:rsidR="00E118E8">
        <w:rPr>
          <w:rFonts w:cstheme="minorHAnsi"/>
        </w:rPr>
        <w:t>.</w:t>
      </w:r>
    </w:p>
  </w:footnote>
  <w:footnote w:id="220">
    <w:p w14:paraId="24E95F4F" w14:textId="47E3937D" w:rsidR="00EC74C7" w:rsidRPr="000D5F1C" w:rsidRDefault="00EC74C7" w:rsidP="00EC74C7">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 xml:space="preserve">r </w:t>
      </w:r>
      <w:r w:rsidRPr="000D5F1C">
        <w:rPr>
          <w:rFonts w:cstheme="minorHAnsi"/>
        </w:rPr>
        <w:t>31.17</w:t>
      </w:r>
      <w:r w:rsidR="00E374F0"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w:t>
      </w:r>
      <w:r w:rsidR="00E374F0" w:rsidRPr="000D5F1C">
        <w:rPr>
          <w:rFonts w:cstheme="minorHAnsi"/>
        </w:rPr>
        <w:t xml:space="preserve">, </w:t>
      </w:r>
      <w:r w:rsidR="000210EB">
        <w:rPr>
          <w:rFonts w:cstheme="minorHAnsi"/>
        </w:rPr>
        <w:t xml:space="preserve">r </w:t>
      </w:r>
      <w:r w:rsidR="00E374F0" w:rsidRPr="000D5F1C">
        <w:rPr>
          <w:rFonts w:cstheme="minorHAnsi"/>
        </w:rPr>
        <w:t>63</w:t>
      </w:r>
      <w:r w:rsidR="00E118E8">
        <w:rPr>
          <w:rFonts w:cstheme="minorHAnsi"/>
        </w:rPr>
        <w:t>.</w:t>
      </w:r>
    </w:p>
  </w:footnote>
  <w:footnote w:id="221">
    <w:p w14:paraId="27FA120C" w14:textId="1DF76B65" w:rsidR="00EC74C7" w:rsidRPr="000D5F1C" w:rsidRDefault="00EC74C7" w:rsidP="00EC74C7">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 xml:space="preserve">(Chapter 8, Kluwer Law International 2020), 169-170; </w:t>
      </w:r>
      <w:r w:rsidR="00D71039" w:rsidRPr="000D5F1C">
        <w:rPr>
          <w:rFonts w:cstheme="minorHAnsi"/>
        </w:rPr>
        <w:t>S</w:t>
      </w:r>
      <w:r w:rsidRPr="000D5F1C">
        <w:rPr>
          <w:rFonts w:cstheme="minorHAnsi"/>
        </w:rPr>
        <w:t>ee also</w:t>
      </w:r>
      <w:r w:rsidR="00D71039" w:rsidRPr="000D5F1C">
        <w:rPr>
          <w:rFonts w:cstheme="minorHAnsi"/>
        </w:rPr>
        <w:t>:</w:t>
      </w:r>
      <w:r w:rsidRPr="000D5F1C">
        <w:rPr>
          <w:rFonts w:cstheme="minorHAnsi"/>
        </w:rPr>
        <w:t xml:space="preserve"> </w:t>
      </w:r>
      <w:bookmarkStart w:id="92" w:name="_Hlk107445205"/>
      <w:proofErr w:type="spellStart"/>
      <w:r w:rsidRPr="000D5F1C">
        <w:rPr>
          <w:rFonts w:cstheme="minorHAnsi"/>
          <w:i/>
          <w:iCs/>
        </w:rPr>
        <w:t>BritNed</w:t>
      </w:r>
      <w:proofErr w:type="spellEnd"/>
      <w:r w:rsidRPr="000D5F1C">
        <w:rPr>
          <w:rFonts w:cstheme="minorHAnsi"/>
          <w:i/>
          <w:iCs/>
        </w:rPr>
        <w:t xml:space="preserve"> Development Ltd v ABB AB</w:t>
      </w:r>
      <w:r w:rsidRPr="000D5F1C">
        <w:rPr>
          <w:rFonts w:cstheme="minorHAnsi"/>
        </w:rPr>
        <w:t xml:space="preserve"> [2019] EWCA Civ 1840</w:t>
      </w:r>
      <w:bookmarkEnd w:id="92"/>
      <w:r w:rsidRPr="000D5F1C">
        <w:rPr>
          <w:rFonts w:cstheme="minorHAnsi"/>
        </w:rPr>
        <w:t>, para</w:t>
      </w:r>
      <w:r w:rsidR="00D800FB">
        <w:rPr>
          <w:rFonts w:cstheme="minorHAnsi"/>
        </w:rPr>
        <w:t>s</w:t>
      </w:r>
      <w:r w:rsidRPr="000D5F1C">
        <w:rPr>
          <w:rFonts w:cstheme="minorHAnsi"/>
        </w:rPr>
        <w:t xml:space="preserve"> 36 </w:t>
      </w:r>
      <w:r w:rsidR="00D800FB">
        <w:rPr>
          <w:rFonts w:cstheme="minorHAnsi"/>
        </w:rPr>
        <w:t>and</w:t>
      </w:r>
      <w:r w:rsidRPr="000D5F1C">
        <w:rPr>
          <w:rFonts w:cstheme="minorHAnsi"/>
        </w:rPr>
        <w:t xml:space="preserve"> 37</w:t>
      </w:r>
      <w:r w:rsidR="00E118E8">
        <w:rPr>
          <w:rFonts w:cstheme="minorHAnsi"/>
        </w:rPr>
        <w:t>.</w:t>
      </w:r>
    </w:p>
  </w:footnote>
  <w:footnote w:id="222">
    <w:p w14:paraId="76B2EC0E" w14:textId="37DFC700" w:rsidR="00960CB0" w:rsidRPr="000D5F1C" w:rsidRDefault="00960CB0">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r</w:t>
      </w:r>
      <w:r w:rsidRPr="000D5F1C">
        <w:rPr>
          <w:rFonts w:cstheme="minorHAnsi"/>
        </w:rPr>
        <w:t xml:space="preserve"> 31.16</w:t>
      </w:r>
      <w:r w:rsidR="00E374F0"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 </w:t>
      </w:r>
      <w:r w:rsidR="000210EB">
        <w:rPr>
          <w:rFonts w:cstheme="minorHAnsi"/>
        </w:rPr>
        <w:t>r</w:t>
      </w:r>
      <w:r w:rsidR="00E374F0" w:rsidRPr="000D5F1C">
        <w:rPr>
          <w:rFonts w:cstheme="minorHAnsi"/>
        </w:rPr>
        <w:t xml:space="preserve"> 62</w:t>
      </w:r>
      <w:r w:rsidR="00E118E8">
        <w:rPr>
          <w:rFonts w:cstheme="minorHAnsi"/>
        </w:rPr>
        <w:t>.</w:t>
      </w:r>
    </w:p>
  </w:footnote>
  <w:footnote w:id="223">
    <w:p w14:paraId="361490DB" w14:textId="1EE22584" w:rsidR="00960CB0" w:rsidRPr="000D5F1C" w:rsidRDefault="00960CB0">
      <w:pPr>
        <w:pStyle w:val="FootnoteText"/>
        <w:rPr>
          <w:rFonts w:cstheme="minorHAnsi"/>
        </w:rPr>
      </w:pPr>
      <w:r w:rsidRPr="000D5F1C">
        <w:rPr>
          <w:rStyle w:val="FootnoteReference"/>
          <w:rFonts w:cstheme="minorHAnsi"/>
        </w:rPr>
        <w:footnoteRef/>
      </w:r>
      <w:r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w:t>
      </w:r>
      <w:r w:rsidR="00E16A4A" w:rsidRPr="000D5F1C">
        <w:rPr>
          <w:rFonts w:cstheme="minorHAnsi"/>
        </w:rPr>
        <w:t xml:space="preserve">, </w:t>
      </w:r>
      <w:r w:rsidR="000210EB">
        <w:rPr>
          <w:rFonts w:cstheme="minorHAnsi"/>
        </w:rPr>
        <w:t>r</w:t>
      </w:r>
      <w:r w:rsidR="00E16A4A" w:rsidRPr="000D5F1C">
        <w:rPr>
          <w:rFonts w:cstheme="minorHAnsi"/>
        </w:rPr>
        <w:t xml:space="preserve"> 53(2)(d)</w:t>
      </w:r>
      <w:r w:rsidR="00E118E8">
        <w:rPr>
          <w:rFonts w:cstheme="minorHAnsi"/>
        </w:rPr>
        <w:t>.</w:t>
      </w:r>
    </w:p>
  </w:footnote>
  <w:footnote w:id="224">
    <w:p w14:paraId="57CEFE8A" w14:textId="3DCE758C" w:rsidR="00EE1FA3" w:rsidRPr="000D5F1C" w:rsidRDefault="00EE1FA3" w:rsidP="00EE1FA3">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171</w:t>
      </w:r>
      <w:r w:rsidR="00E118E8">
        <w:rPr>
          <w:rFonts w:cstheme="minorHAnsi"/>
        </w:rPr>
        <w:t>.</w:t>
      </w:r>
    </w:p>
  </w:footnote>
  <w:footnote w:id="225">
    <w:p w14:paraId="2F5E1F2F" w14:textId="34804E35" w:rsidR="000C197F" w:rsidRPr="000D5F1C" w:rsidRDefault="000C197F">
      <w:pPr>
        <w:pStyle w:val="FootnoteText"/>
        <w:rPr>
          <w:rFonts w:cstheme="minorHAnsi"/>
        </w:rPr>
      </w:pPr>
      <w:r w:rsidRPr="000D5F1C">
        <w:rPr>
          <w:rStyle w:val="FootnoteReference"/>
          <w:rFonts w:cstheme="minorHAnsi"/>
        </w:rPr>
        <w:footnoteRef/>
      </w:r>
      <w:r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w:t>
      </w:r>
      <w:r w:rsidR="0024679F" w:rsidRPr="000D5F1C">
        <w:rPr>
          <w:rFonts w:cstheme="minorHAnsi"/>
        </w:rPr>
        <w:t xml:space="preserve">, </w:t>
      </w:r>
      <w:r w:rsidR="00370445">
        <w:rPr>
          <w:rFonts w:cstheme="minorHAnsi"/>
        </w:rPr>
        <w:t xml:space="preserve">r </w:t>
      </w:r>
      <w:r w:rsidR="0024679F" w:rsidRPr="000D5F1C">
        <w:rPr>
          <w:rFonts w:cstheme="minorHAnsi"/>
        </w:rPr>
        <w:t xml:space="preserve">53(2)(h); </w:t>
      </w:r>
      <w:r w:rsidR="0024679F" w:rsidRPr="000D5F1C">
        <w:rPr>
          <w:rFonts w:cstheme="minorHAnsi"/>
          <w:i/>
          <w:iCs/>
        </w:rPr>
        <w:t>National Grid Electricity Transmission plc v ABB and Others</w:t>
      </w:r>
      <w:r w:rsidR="0024679F" w:rsidRPr="000D5F1C">
        <w:rPr>
          <w:rFonts w:cstheme="minorHAnsi"/>
        </w:rPr>
        <w:t xml:space="preserve"> [2012] EWHC 869 (Ch)</w:t>
      </w:r>
      <w:r w:rsidR="00D07DCD">
        <w:rPr>
          <w:rFonts w:cstheme="minorHAnsi"/>
        </w:rPr>
        <w:t>,</w:t>
      </w:r>
      <w:r w:rsidR="0024679F" w:rsidRPr="000D5F1C">
        <w:rPr>
          <w:rFonts w:cstheme="minorHAnsi"/>
        </w:rPr>
        <w:t xml:space="preserve"> para 58; </w:t>
      </w:r>
      <w:bookmarkStart w:id="93" w:name="_Hlk107445251"/>
      <w:proofErr w:type="spellStart"/>
      <w:r w:rsidR="0024679F" w:rsidRPr="000D5F1C">
        <w:rPr>
          <w:rFonts w:cstheme="minorHAnsi"/>
          <w:i/>
          <w:iCs/>
        </w:rPr>
        <w:t>IPCom</w:t>
      </w:r>
      <w:proofErr w:type="spellEnd"/>
      <w:r w:rsidR="0024679F" w:rsidRPr="000D5F1C">
        <w:rPr>
          <w:rFonts w:cstheme="minorHAnsi"/>
          <w:i/>
          <w:iCs/>
        </w:rPr>
        <w:t xml:space="preserve"> GmbH &amp; Co KG v HTC and Others</w:t>
      </w:r>
      <w:r w:rsidR="0024679F" w:rsidRPr="000D5F1C">
        <w:rPr>
          <w:rFonts w:cstheme="minorHAnsi"/>
        </w:rPr>
        <w:t xml:space="preserve"> [2013] EWHC 2880 (Ch)</w:t>
      </w:r>
      <w:bookmarkEnd w:id="93"/>
      <w:r w:rsidR="00D07DCD">
        <w:rPr>
          <w:rFonts w:cstheme="minorHAnsi"/>
        </w:rPr>
        <w:t>,</w:t>
      </w:r>
      <w:r w:rsidR="0024679F" w:rsidRPr="000D5F1C">
        <w:rPr>
          <w:rFonts w:cstheme="minorHAnsi"/>
        </w:rPr>
        <w:t xml:space="preserve"> paras</w:t>
      </w:r>
      <w:r w:rsidR="00563DA1" w:rsidRPr="000D5F1C">
        <w:rPr>
          <w:rFonts w:cstheme="minorHAnsi"/>
        </w:rPr>
        <w:t xml:space="preserve"> 47-49</w:t>
      </w:r>
      <w:r w:rsidR="00E118E8">
        <w:rPr>
          <w:rFonts w:cstheme="minorHAnsi"/>
        </w:rPr>
        <w:t>.</w:t>
      </w:r>
    </w:p>
  </w:footnote>
  <w:footnote w:id="226">
    <w:p w14:paraId="3B4AC937" w14:textId="60A129EF" w:rsidR="004044B7" w:rsidRPr="000D5F1C" w:rsidRDefault="004044B7">
      <w:pPr>
        <w:pStyle w:val="FootnoteText"/>
        <w:rPr>
          <w:rFonts w:cstheme="minorHAnsi"/>
        </w:rPr>
      </w:pPr>
      <w:r w:rsidRPr="000D5F1C">
        <w:rPr>
          <w:rStyle w:val="FootnoteReference"/>
          <w:rFonts w:cstheme="minorHAnsi"/>
        </w:rPr>
        <w:footnoteRef/>
      </w:r>
      <w:r w:rsidRPr="000D5F1C">
        <w:rPr>
          <w:rFonts w:cstheme="minorHAnsi"/>
        </w:rPr>
        <w:t xml:space="preserve"> </w:t>
      </w:r>
      <w:r w:rsidR="000D65FB" w:rsidRPr="000D5F1C">
        <w:rPr>
          <w:rFonts w:cstheme="minorHAnsi"/>
        </w:rPr>
        <w:t xml:space="preserve">Florian Wagner-von Papp, Chapter 8: Private Enforcement in the United Kingdom’ in Ferdinand </w:t>
      </w:r>
      <w:proofErr w:type="spellStart"/>
      <w:r w:rsidR="000D65FB" w:rsidRPr="000D5F1C">
        <w:rPr>
          <w:rFonts w:cstheme="minorHAnsi"/>
        </w:rPr>
        <w:t>Wollenschläger</w:t>
      </w:r>
      <w:proofErr w:type="spellEnd"/>
      <w:r w:rsidR="000D65FB" w:rsidRPr="000D5F1C">
        <w:rPr>
          <w:rFonts w:cstheme="minorHAnsi"/>
        </w:rPr>
        <w:t xml:space="preserve">, Wolfgang </w:t>
      </w:r>
      <w:proofErr w:type="spellStart"/>
      <w:r w:rsidR="000D65FB" w:rsidRPr="000D5F1C">
        <w:rPr>
          <w:rFonts w:cstheme="minorHAnsi"/>
        </w:rPr>
        <w:t>Wurmnest</w:t>
      </w:r>
      <w:proofErr w:type="spellEnd"/>
      <w:r w:rsidR="000D65FB" w:rsidRPr="000D5F1C">
        <w:rPr>
          <w:rFonts w:cstheme="minorHAnsi"/>
        </w:rPr>
        <w:t xml:space="preserve"> &amp; Thomas M. J. </w:t>
      </w:r>
      <w:proofErr w:type="spellStart"/>
      <w:r w:rsidR="000D65FB" w:rsidRPr="000D5F1C">
        <w:rPr>
          <w:rFonts w:cstheme="minorHAnsi"/>
        </w:rPr>
        <w:t>Möllers</w:t>
      </w:r>
      <w:proofErr w:type="spellEnd"/>
      <w:r w:rsidR="000D65FB" w:rsidRPr="000D5F1C">
        <w:rPr>
          <w:rFonts w:cstheme="minorHAnsi"/>
        </w:rPr>
        <w:t xml:space="preserve"> (eds), </w:t>
      </w:r>
      <w:r w:rsidR="000D65FB" w:rsidRPr="000D5F1C">
        <w:rPr>
          <w:rFonts w:cstheme="minorHAnsi"/>
          <w:i/>
          <w:iCs/>
        </w:rPr>
        <w:t xml:space="preserve">Private Enforcement of European Competition and State Aid Law: Current Challenges and the Way Forward </w:t>
      </w:r>
      <w:r w:rsidR="000D65FB" w:rsidRPr="000D5F1C">
        <w:rPr>
          <w:rFonts w:cstheme="minorHAnsi"/>
        </w:rPr>
        <w:t xml:space="preserve">(Chapter 8, Kluwer Law International 2020), 168; </w:t>
      </w:r>
      <w:r w:rsidR="005D447B">
        <w:rPr>
          <w:rFonts w:cstheme="minorHAnsi"/>
        </w:rPr>
        <w:t>CPR</w:t>
      </w:r>
      <w:r w:rsidRPr="000D5F1C">
        <w:rPr>
          <w:rFonts w:cstheme="minorHAnsi"/>
        </w:rPr>
        <w:t xml:space="preserve">, </w:t>
      </w:r>
      <w:r w:rsidR="000210EB">
        <w:rPr>
          <w:rFonts w:cstheme="minorHAnsi"/>
        </w:rPr>
        <w:t xml:space="preserve">r </w:t>
      </w:r>
      <w:r w:rsidRPr="000D5F1C">
        <w:rPr>
          <w:rFonts w:cstheme="minorHAnsi"/>
        </w:rPr>
        <w:t>31.16</w:t>
      </w:r>
      <w:r w:rsidR="00441222" w:rsidRPr="000D5F1C">
        <w:rPr>
          <w:rFonts w:cstheme="minorHAnsi"/>
        </w:rPr>
        <w:t xml:space="preserve">; </w:t>
      </w:r>
      <w:r w:rsidR="00370445" w:rsidRPr="000D5F1C">
        <w:rPr>
          <w:rFonts w:cstheme="minorHAnsi"/>
        </w:rPr>
        <w:t>The Competition Appeal Tribunal Rules 2015</w:t>
      </w:r>
      <w:r w:rsidR="00370445">
        <w:rPr>
          <w:rFonts w:cstheme="minorHAnsi"/>
        </w:rPr>
        <w:t xml:space="preserve"> SI 2015/1648</w:t>
      </w:r>
      <w:r w:rsidR="00441222" w:rsidRPr="000D5F1C">
        <w:rPr>
          <w:rFonts w:cstheme="minorHAnsi"/>
        </w:rPr>
        <w:t xml:space="preserve">, </w:t>
      </w:r>
      <w:r w:rsidR="000210EB">
        <w:rPr>
          <w:rFonts w:cstheme="minorHAnsi"/>
        </w:rPr>
        <w:t>r</w:t>
      </w:r>
      <w:r w:rsidR="00441222" w:rsidRPr="000D5F1C">
        <w:rPr>
          <w:rFonts w:cstheme="minorHAnsi"/>
        </w:rPr>
        <w:t xml:space="preserve"> 63</w:t>
      </w:r>
      <w:r w:rsidR="00E118E8">
        <w:rPr>
          <w:rFonts w:cstheme="minorHAnsi"/>
        </w:rPr>
        <w:t>.</w:t>
      </w:r>
    </w:p>
  </w:footnote>
  <w:footnote w:id="227">
    <w:p w14:paraId="7B83E530" w14:textId="2F00EE38" w:rsidR="00F904F7" w:rsidRPr="000D5F1C" w:rsidRDefault="00F904F7">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168</w:t>
      </w:r>
      <w:r w:rsidR="00E118E8">
        <w:rPr>
          <w:rFonts w:cstheme="minorHAnsi"/>
        </w:rPr>
        <w:t>.</w:t>
      </w:r>
    </w:p>
  </w:footnote>
  <w:footnote w:id="228">
    <w:p w14:paraId="05342FF4" w14:textId="51BF959C" w:rsidR="00F904F7" w:rsidRPr="000D5F1C" w:rsidRDefault="00F904F7">
      <w:pPr>
        <w:pStyle w:val="FootnoteText"/>
        <w:rPr>
          <w:rFonts w:cstheme="minorHAnsi"/>
        </w:rPr>
      </w:pPr>
      <w:r w:rsidRPr="000D5F1C">
        <w:rPr>
          <w:rStyle w:val="FootnoteReference"/>
          <w:rFonts w:cstheme="minorHAnsi"/>
        </w:rPr>
        <w:footnoteRef/>
      </w:r>
      <w:r w:rsidRPr="000D5F1C">
        <w:rPr>
          <w:rFonts w:cstheme="minorHAnsi"/>
        </w:rPr>
        <w:t xml:space="preserve"> </w:t>
      </w:r>
      <w:bookmarkStart w:id="94" w:name="_Hlk107445269"/>
      <w:r w:rsidRPr="000D5F1C">
        <w:rPr>
          <w:rFonts w:cstheme="minorHAnsi"/>
          <w:i/>
          <w:iCs/>
        </w:rPr>
        <w:t>Nokia Corporation v AU Optronics Corporation</w:t>
      </w:r>
      <w:r w:rsidRPr="000D5F1C">
        <w:rPr>
          <w:rFonts w:cstheme="minorHAnsi"/>
        </w:rPr>
        <w:t xml:space="preserve"> [2012] EWHC 731 (Ch)</w:t>
      </w:r>
      <w:r w:rsidR="00CC6AA5" w:rsidRPr="000D5F1C">
        <w:rPr>
          <w:rFonts w:cstheme="minorHAnsi"/>
        </w:rPr>
        <w:t>,</w:t>
      </w:r>
      <w:r w:rsidRPr="000D5F1C">
        <w:rPr>
          <w:rFonts w:cstheme="minorHAnsi"/>
        </w:rPr>
        <w:t xml:space="preserve"> </w:t>
      </w:r>
      <w:bookmarkEnd w:id="94"/>
      <w:r w:rsidRPr="000D5F1C">
        <w:rPr>
          <w:rFonts w:cstheme="minorHAnsi"/>
        </w:rPr>
        <w:t>para 67</w:t>
      </w:r>
      <w:r w:rsidR="00E118E8">
        <w:rPr>
          <w:rFonts w:cstheme="minorHAnsi"/>
        </w:rPr>
        <w:t>.</w:t>
      </w:r>
    </w:p>
  </w:footnote>
  <w:footnote w:id="229">
    <w:p w14:paraId="3F0C794C" w14:textId="34CE9D61" w:rsidR="002E5A54" w:rsidRPr="000D5F1C" w:rsidRDefault="002E5A54">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13</w:t>
      </w:r>
      <w:r w:rsidR="0051136D" w:rsidRPr="000D5F1C">
        <w:rPr>
          <w:rFonts w:cstheme="minorHAnsi"/>
        </w:rPr>
        <w:t xml:space="preserve">; Florian Wagner-von Papp, Chapter 8: Private Enforcement in the United Kingdom’ in Ferdinand </w:t>
      </w:r>
      <w:proofErr w:type="spellStart"/>
      <w:r w:rsidR="0051136D" w:rsidRPr="000D5F1C">
        <w:rPr>
          <w:rFonts w:cstheme="minorHAnsi"/>
        </w:rPr>
        <w:t>Wollenschläger</w:t>
      </w:r>
      <w:proofErr w:type="spellEnd"/>
      <w:r w:rsidR="0051136D" w:rsidRPr="000D5F1C">
        <w:rPr>
          <w:rFonts w:cstheme="minorHAnsi"/>
        </w:rPr>
        <w:t xml:space="preserve">, Wolfgang </w:t>
      </w:r>
      <w:proofErr w:type="spellStart"/>
      <w:r w:rsidR="0051136D" w:rsidRPr="000D5F1C">
        <w:rPr>
          <w:rFonts w:cstheme="minorHAnsi"/>
        </w:rPr>
        <w:t>Wurmnest</w:t>
      </w:r>
      <w:proofErr w:type="spellEnd"/>
      <w:r w:rsidR="0051136D" w:rsidRPr="000D5F1C">
        <w:rPr>
          <w:rFonts w:cstheme="minorHAnsi"/>
        </w:rPr>
        <w:t xml:space="preserve"> &amp; Thomas M. J. </w:t>
      </w:r>
      <w:proofErr w:type="spellStart"/>
      <w:r w:rsidR="0051136D" w:rsidRPr="000D5F1C">
        <w:rPr>
          <w:rFonts w:cstheme="minorHAnsi"/>
        </w:rPr>
        <w:t>Möllers</w:t>
      </w:r>
      <w:proofErr w:type="spellEnd"/>
      <w:r w:rsidR="0051136D" w:rsidRPr="000D5F1C">
        <w:rPr>
          <w:rFonts w:cstheme="minorHAnsi"/>
        </w:rPr>
        <w:t xml:space="preserve"> (eds), </w:t>
      </w:r>
      <w:r w:rsidR="0051136D" w:rsidRPr="000D5F1C">
        <w:rPr>
          <w:rFonts w:cstheme="minorHAnsi"/>
          <w:i/>
          <w:iCs/>
        </w:rPr>
        <w:t xml:space="preserve">Private Enforcement of European Competition and State Aid Law: Current Challenges and the Way Forward </w:t>
      </w:r>
      <w:r w:rsidR="0051136D" w:rsidRPr="000D5F1C">
        <w:rPr>
          <w:rFonts w:cstheme="minorHAnsi"/>
        </w:rPr>
        <w:t>(Chapter 8, Kluwer Law International 2020), 169-172</w:t>
      </w:r>
      <w:r w:rsidR="00E118E8">
        <w:rPr>
          <w:rFonts w:cstheme="minorHAnsi"/>
        </w:rPr>
        <w:t>.</w:t>
      </w:r>
    </w:p>
  </w:footnote>
  <w:footnote w:id="230">
    <w:p w14:paraId="69DAB4D4" w14:textId="7578543F" w:rsidR="00F72AD2" w:rsidRPr="000D5F1C" w:rsidRDefault="00F72AD2">
      <w:pPr>
        <w:pStyle w:val="FootnoteText"/>
        <w:rPr>
          <w:rFonts w:cstheme="minorHAnsi"/>
        </w:rPr>
      </w:pPr>
      <w:r w:rsidRPr="000D5F1C">
        <w:rPr>
          <w:rStyle w:val="FootnoteReference"/>
          <w:rFonts w:cstheme="minorHAnsi"/>
        </w:rPr>
        <w:footnoteRef/>
      </w:r>
      <w:r w:rsidRPr="000D5F1C">
        <w:rPr>
          <w:rFonts w:cstheme="minorHAnsi"/>
        </w:rPr>
        <w:t xml:space="preserve"> </w:t>
      </w:r>
      <w:bookmarkStart w:id="95" w:name="_Hlk107445303"/>
      <w:r w:rsidR="002E5A54" w:rsidRPr="000D5F1C">
        <w:rPr>
          <w:rFonts w:cstheme="minorHAnsi"/>
          <w:i/>
          <w:iCs/>
          <w:shd w:val="clear" w:color="auto" w:fill="FFFFFF"/>
        </w:rPr>
        <w:t>National Grid Electricity Transmission Plc v ABB Ltd</w:t>
      </w:r>
      <w:r w:rsidR="002E5A54" w:rsidRPr="000D5F1C">
        <w:rPr>
          <w:rFonts w:cstheme="minorHAnsi"/>
        </w:rPr>
        <w:t xml:space="preserve"> </w:t>
      </w:r>
      <w:r w:rsidR="001732ED">
        <w:rPr>
          <w:rFonts w:cstheme="minorHAnsi"/>
        </w:rPr>
        <w:t>and</w:t>
      </w:r>
      <w:r w:rsidR="004921DE" w:rsidRPr="000D5F1C">
        <w:rPr>
          <w:rFonts w:cstheme="minorHAnsi"/>
        </w:rPr>
        <w:t xml:space="preserve"> O</w:t>
      </w:r>
      <w:r w:rsidR="00875F15">
        <w:rPr>
          <w:rFonts w:cstheme="minorHAnsi"/>
        </w:rPr>
        <w:t>the</w:t>
      </w:r>
      <w:r w:rsidR="004921DE" w:rsidRPr="000D5F1C">
        <w:rPr>
          <w:rFonts w:cstheme="minorHAnsi"/>
        </w:rPr>
        <w:t>rs</w:t>
      </w:r>
      <w:r w:rsidR="00875F15">
        <w:rPr>
          <w:rFonts w:cstheme="minorHAnsi"/>
        </w:rPr>
        <w:t xml:space="preserve"> </w:t>
      </w:r>
      <w:r w:rsidR="002E5A54" w:rsidRPr="000D5F1C">
        <w:rPr>
          <w:rFonts w:cstheme="minorHAnsi"/>
        </w:rPr>
        <w:t>[2014] EWHC 1</w:t>
      </w:r>
      <w:r w:rsidR="00BE7F33" w:rsidRPr="000D5F1C">
        <w:rPr>
          <w:rFonts w:cstheme="minorHAnsi"/>
        </w:rPr>
        <w:t>5</w:t>
      </w:r>
      <w:r w:rsidR="002E5A54" w:rsidRPr="000D5F1C">
        <w:rPr>
          <w:rFonts w:cstheme="minorHAnsi"/>
        </w:rPr>
        <w:t>55 (Ch)</w:t>
      </w:r>
      <w:r w:rsidR="00E118E8">
        <w:rPr>
          <w:rFonts w:cstheme="minorHAnsi"/>
        </w:rPr>
        <w:t>.</w:t>
      </w:r>
    </w:p>
    <w:bookmarkEnd w:id="95"/>
  </w:footnote>
  <w:footnote w:id="231">
    <w:p w14:paraId="172DD00B" w14:textId="642D0CA0" w:rsidR="00B6299B" w:rsidRPr="000D5F1C" w:rsidRDefault="00B6299B">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13</w:t>
      </w:r>
      <w:r w:rsidR="00AC6141">
        <w:rPr>
          <w:rFonts w:cstheme="minorHAnsi"/>
        </w:rPr>
        <w:t xml:space="preserve">; </w:t>
      </w:r>
      <w:r w:rsidR="00AC6141" w:rsidRPr="00E2681D">
        <w:rPr>
          <w:rFonts w:cstheme="minorHAnsi"/>
          <w:shd w:val="clear" w:color="auto" w:fill="FFFFFF"/>
          <w:lang w:val="en-GB"/>
        </w:rPr>
        <w:t>the disclosure for th</w:t>
      </w:r>
      <w:r w:rsidR="00AC6141">
        <w:rPr>
          <w:rFonts w:cstheme="minorHAnsi"/>
          <w:shd w:val="clear" w:color="auto" w:fill="FFFFFF"/>
          <w:lang w:val="en-GB"/>
        </w:rPr>
        <w:t>e single party’s</w:t>
      </w:r>
      <w:r w:rsidR="00AC6141" w:rsidRPr="00E2681D">
        <w:rPr>
          <w:rFonts w:cstheme="minorHAnsi"/>
          <w:shd w:val="clear" w:color="auto" w:fill="FFFFFF"/>
          <w:lang w:val="en-GB"/>
        </w:rPr>
        <w:t xml:space="preserve"> </w:t>
      </w:r>
      <w:r w:rsidR="00AC6141">
        <w:rPr>
          <w:rFonts w:cstheme="minorHAnsi"/>
          <w:shd w:val="clear" w:color="auto" w:fill="FFFFFF"/>
          <w:lang w:val="en-GB"/>
        </w:rPr>
        <w:t>evidence</w:t>
      </w:r>
      <w:r w:rsidR="00AC6141" w:rsidRPr="00E2681D">
        <w:rPr>
          <w:rFonts w:cstheme="minorHAnsi"/>
          <w:shd w:val="clear" w:color="auto" w:fill="FFFFFF"/>
          <w:lang w:val="en-GB"/>
        </w:rPr>
        <w:t xml:space="preserve"> was eventually granted under </w:t>
      </w:r>
      <w:r w:rsidR="00AC6141">
        <w:rPr>
          <w:rFonts w:cstheme="minorHAnsi"/>
          <w:shd w:val="clear" w:color="auto" w:fill="FFFFFF"/>
          <w:lang w:val="en-GB"/>
        </w:rPr>
        <w:t>rule 18 of the</w:t>
      </w:r>
      <w:r w:rsidR="00AC6141" w:rsidRPr="00E2681D">
        <w:rPr>
          <w:rFonts w:cstheme="minorHAnsi"/>
          <w:shd w:val="clear" w:color="auto" w:fill="FFFFFF"/>
          <w:lang w:val="en-GB"/>
        </w:rPr>
        <w:t xml:space="preserve"> Civil Procedure Rules where the demand for the disclosure was proportionate, reasonable and necessary</w:t>
      </w:r>
      <w:r w:rsidR="00AC6141">
        <w:rPr>
          <w:rFonts w:cstheme="minorHAnsi"/>
          <w:shd w:val="clear" w:color="auto" w:fill="FFFFFF"/>
          <w:lang w:val="en-GB"/>
        </w:rPr>
        <w:t>.</w:t>
      </w:r>
    </w:p>
  </w:footnote>
  <w:footnote w:id="232">
    <w:p w14:paraId="1C40E1A9" w14:textId="27C79746" w:rsidR="0046677F" w:rsidRPr="000D5F1C" w:rsidRDefault="0046677F" w:rsidP="0046677F">
      <w:pPr>
        <w:pStyle w:val="FootnoteText"/>
        <w:rPr>
          <w:rFonts w:cstheme="minorHAnsi"/>
        </w:rPr>
      </w:pPr>
      <w:r w:rsidRPr="000D5F1C">
        <w:rPr>
          <w:rStyle w:val="FootnoteReference"/>
          <w:rFonts w:cstheme="minorHAnsi"/>
        </w:rPr>
        <w:footnoteRef/>
      </w:r>
      <w:r w:rsidRPr="000D5F1C">
        <w:rPr>
          <w:rFonts w:cstheme="minorHAnsi"/>
        </w:rPr>
        <w:t xml:space="preserve"> </w:t>
      </w:r>
      <w:bookmarkStart w:id="96" w:name="_Hlk107445311"/>
      <w:r w:rsidRPr="000D5F1C">
        <w:rPr>
          <w:rFonts w:cstheme="minorHAnsi"/>
          <w:i/>
          <w:iCs/>
          <w:shd w:val="clear" w:color="auto" w:fill="FFFFFF"/>
        </w:rPr>
        <w:t>Peugeot S.A. and other v NSK Ltd</w:t>
      </w:r>
      <w:r w:rsidRPr="000D5F1C">
        <w:rPr>
          <w:rFonts w:cstheme="minorHAnsi"/>
          <w:shd w:val="clear" w:color="auto" w:fill="FFFFFF"/>
        </w:rPr>
        <w:t xml:space="preserve"> </w:t>
      </w:r>
      <w:r w:rsidRPr="000D5F1C">
        <w:rPr>
          <w:rFonts w:cstheme="minorHAnsi"/>
        </w:rPr>
        <w:t>[2018] CAT 3</w:t>
      </w:r>
      <w:bookmarkEnd w:id="96"/>
      <w:r w:rsidR="00E118E8">
        <w:rPr>
          <w:rFonts w:cstheme="minorHAnsi"/>
        </w:rPr>
        <w:t>.</w:t>
      </w:r>
    </w:p>
  </w:footnote>
  <w:footnote w:id="233">
    <w:p w14:paraId="74138670" w14:textId="2F032515" w:rsidR="00EE2766" w:rsidRPr="000D5F1C" w:rsidRDefault="00EE2766">
      <w:pPr>
        <w:pStyle w:val="FootnoteText"/>
        <w:rPr>
          <w:rFonts w:cstheme="minorHAnsi"/>
        </w:rPr>
      </w:pPr>
      <w:r w:rsidRPr="000D5F1C">
        <w:rPr>
          <w:rStyle w:val="FootnoteReference"/>
          <w:rFonts w:cstheme="minorHAnsi"/>
        </w:rPr>
        <w:footnoteRef/>
      </w:r>
      <w:r w:rsidRPr="000D5F1C">
        <w:rPr>
          <w:rFonts w:cstheme="minorHAnsi"/>
        </w:rPr>
        <w:t xml:space="preserve"> </w:t>
      </w:r>
      <w:bookmarkStart w:id="97" w:name="_Hlk107445320"/>
      <w:r w:rsidRPr="000D5F1C">
        <w:rPr>
          <w:rFonts w:cstheme="minorHAnsi"/>
          <w:i/>
          <w:iCs/>
        </w:rPr>
        <w:t xml:space="preserve">Ardila Investments NV v ENRC NV v </w:t>
      </w:r>
      <w:proofErr w:type="spellStart"/>
      <w:r w:rsidRPr="000D5F1C">
        <w:rPr>
          <w:rFonts w:cstheme="minorHAnsi"/>
          <w:i/>
          <w:iCs/>
        </w:rPr>
        <w:t>Zamin</w:t>
      </w:r>
      <w:proofErr w:type="spellEnd"/>
      <w:r w:rsidRPr="000D5F1C">
        <w:rPr>
          <w:rFonts w:cstheme="minorHAnsi"/>
          <w:i/>
          <w:iCs/>
        </w:rPr>
        <w:t xml:space="preserve"> Ferrous Ltd</w:t>
      </w:r>
      <w:r w:rsidRPr="000D5F1C">
        <w:rPr>
          <w:rFonts w:cstheme="minorHAnsi"/>
        </w:rPr>
        <w:t xml:space="preserve"> [2015] EWHC 3761 (Comm)</w:t>
      </w:r>
      <w:bookmarkEnd w:id="97"/>
      <w:r w:rsidRPr="000D5F1C">
        <w:rPr>
          <w:rFonts w:cstheme="minorHAnsi"/>
        </w:rPr>
        <w:t>, para</w:t>
      </w:r>
      <w:r w:rsidR="00D800FB">
        <w:rPr>
          <w:rFonts w:cstheme="minorHAnsi"/>
        </w:rPr>
        <w:t>s</w:t>
      </w:r>
      <w:r w:rsidRPr="000D5F1C">
        <w:rPr>
          <w:rFonts w:cstheme="minorHAnsi"/>
        </w:rPr>
        <w:t xml:space="preserve"> 13 </w:t>
      </w:r>
      <w:r w:rsidR="00D800FB">
        <w:rPr>
          <w:rFonts w:cstheme="minorHAnsi"/>
        </w:rPr>
        <w:t>and</w:t>
      </w:r>
      <w:r w:rsidRPr="000D5F1C">
        <w:rPr>
          <w:rFonts w:cstheme="minorHAnsi"/>
        </w:rPr>
        <w:t xml:space="preserve"> 14</w:t>
      </w:r>
      <w:r w:rsidR="00E118E8">
        <w:rPr>
          <w:rFonts w:cstheme="minorHAnsi"/>
        </w:rPr>
        <w:t>.</w:t>
      </w:r>
    </w:p>
  </w:footnote>
  <w:footnote w:id="234">
    <w:p w14:paraId="257DE9F2" w14:textId="0D3E0048" w:rsidR="00190573" w:rsidRPr="000D5F1C" w:rsidRDefault="00190573">
      <w:pPr>
        <w:pStyle w:val="FootnoteText"/>
        <w:rPr>
          <w:rFonts w:cstheme="minorHAnsi"/>
        </w:rPr>
      </w:pPr>
      <w:r w:rsidRPr="000D5F1C">
        <w:rPr>
          <w:rStyle w:val="FootnoteReference"/>
          <w:rFonts w:cstheme="minorHAnsi"/>
        </w:rPr>
        <w:footnoteRef/>
      </w:r>
      <w:r w:rsidRPr="000D5F1C">
        <w:rPr>
          <w:rFonts w:cstheme="minorHAnsi"/>
        </w:rPr>
        <w:t xml:space="preserve"> </w:t>
      </w:r>
      <w:bookmarkStart w:id="98" w:name="_Hlk107445327"/>
      <w:r w:rsidR="00EE2766" w:rsidRPr="000D5F1C">
        <w:rPr>
          <w:rFonts w:cstheme="minorHAnsi"/>
          <w:i/>
          <w:iCs/>
        </w:rPr>
        <w:t xml:space="preserve">Schlumberger Holdings Ltd v Electromagnetic </w:t>
      </w:r>
      <w:proofErr w:type="spellStart"/>
      <w:r w:rsidR="00EE2766" w:rsidRPr="000D5F1C">
        <w:rPr>
          <w:rFonts w:cstheme="minorHAnsi"/>
          <w:i/>
          <w:iCs/>
        </w:rPr>
        <w:t>Geoservices</w:t>
      </w:r>
      <w:proofErr w:type="spellEnd"/>
      <w:r w:rsidR="00EE2766" w:rsidRPr="000D5F1C">
        <w:rPr>
          <w:rFonts w:cstheme="minorHAnsi"/>
        </w:rPr>
        <w:t xml:space="preserve"> [2008] EWHC 56 (Pat) </w:t>
      </w:r>
      <w:bookmarkEnd w:id="98"/>
      <w:r w:rsidR="00EE2766" w:rsidRPr="000D5F1C">
        <w:rPr>
          <w:rFonts w:cstheme="minorHAnsi"/>
        </w:rPr>
        <w:t xml:space="preserve">paras 8–21; </w:t>
      </w:r>
      <w:bookmarkStart w:id="99" w:name="_Hlk107445336"/>
      <w:r w:rsidR="00EE2766" w:rsidRPr="000D5F1C">
        <w:rPr>
          <w:rFonts w:cstheme="minorHAnsi"/>
          <w:i/>
          <w:iCs/>
        </w:rPr>
        <w:t>North Shore Ventures Ltd v Anstead Holdings Inc</w:t>
      </w:r>
      <w:r w:rsidR="00EE2766" w:rsidRPr="000D5F1C">
        <w:rPr>
          <w:rFonts w:cstheme="minorHAnsi"/>
        </w:rPr>
        <w:t xml:space="preserve"> [2012] EWCA Civ 11</w:t>
      </w:r>
      <w:bookmarkEnd w:id="99"/>
      <w:r w:rsidR="00EE2766" w:rsidRPr="000D5F1C">
        <w:rPr>
          <w:rFonts w:cstheme="minorHAnsi"/>
        </w:rPr>
        <w:t>, paras 26–40;</w:t>
      </w:r>
      <w:r w:rsidR="00E67BB2" w:rsidRPr="000D5F1C">
        <w:rPr>
          <w:rFonts w:cstheme="minorHAnsi"/>
        </w:rPr>
        <w:t xml:space="preserve"> </w:t>
      </w:r>
      <w:r w:rsidR="00D131DE" w:rsidRPr="000D5F1C">
        <w:rPr>
          <w:rFonts w:cstheme="minorHAnsi"/>
        </w:rPr>
        <w:t>S</w:t>
      </w:r>
      <w:r w:rsidR="00E67BB2" w:rsidRPr="000D5F1C">
        <w:rPr>
          <w:rFonts w:cstheme="minorHAnsi"/>
        </w:rPr>
        <w:t>ee</w:t>
      </w:r>
      <w:r w:rsidR="00D71039" w:rsidRPr="000D5F1C">
        <w:rPr>
          <w:rFonts w:cstheme="minorHAnsi"/>
        </w:rPr>
        <w:t>:</w:t>
      </w:r>
      <w:r w:rsidR="00EE2766" w:rsidRPr="000D5F1C">
        <w:rPr>
          <w:rFonts w:cstheme="minorHAnsi"/>
        </w:rPr>
        <w:t xml:space="preserve"> </w:t>
      </w:r>
      <w:bookmarkStart w:id="100" w:name="_Hlk107445344"/>
      <w:r w:rsidR="00CF6609">
        <w:fldChar w:fldCharType="begin"/>
      </w:r>
      <w:r w:rsidR="00CF6609">
        <w:instrText>HYPERLINK "https://www.bailii.org/ew/cases/EWHC/Comm/2020/402.html" \t "_blank"</w:instrText>
      </w:r>
      <w:r w:rsidR="00CF6609">
        <w:fldChar w:fldCharType="separate"/>
      </w:r>
      <w:r w:rsidRPr="000D5F1C">
        <w:rPr>
          <w:rStyle w:val="Emphasis"/>
          <w:rFonts w:cstheme="minorHAnsi"/>
          <w:shd w:val="clear" w:color="auto" w:fill="FFFFFF"/>
        </w:rPr>
        <w:t>Pipia v BG Group Ltd</w:t>
      </w:r>
      <w:r w:rsidRPr="000D5F1C">
        <w:rPr>
          <w:rStyle w:val="Hyperlink"/>
          <w:rFonts w:cstheme="minorHAnsi"/>
          <w:color w:val="auto"/>
          <w:u w:val="none"/>
          <w:shd w:val="clear" w:color="auto" w:fill="FFFFFF"/>
        </w:rPr>
        <w:t> [2020] EWHC 402 (Comm)</w:t>
      </w:r>
      <w:r w:rsidR="00CF6609">
        <w:rPr>
          <w:rStyle w:val="Hyperlink"/>
          <w:rFonts w:cstheme="minorHAnsi"/>
          <w:color w:val="auto"/>
          <w:u w:val="none"/>
          <w:shd w:val="clear" w:color="auto" w:fill="FFFFFF"/>
        </w:rPr>
        <w:fldChar w:fldCharType="end"/>
      </w:r>
      <w:bookmarkEnd w:id="100"/>
      <w:r w:rsidR="00B6299B" w:rsidRPr="000D5F1C">
        <w:rPr>
          <w:rFonts w:cstheme="minorHAnsi"/>
        </w:rPr>
        <w:t xml:space="preserve">; </w:t>
      </w:r>
      <w:r w:rsidR="00D131DE" w:rsidRPr="000D5F1C">
        <w:rPr>
          <w:rFonts w:cstheme="minorHAnsi"/>
        </w:rPr>
        <w:t>S</w:t>
      </w:r>
      <w:r w:rsidR="00B6299B" w:rsidRPr="000D5F1C">
        <w:rPr>
          <w:rFonts w:cstheme="minorHAnsi"/>
        </w:rPr>
        <w:t>ee also</w:t>
      </w:r>
      <w:r w:rsidR="00D71039" w:rsidRPr="000D5F1C">
        <w:rPr>
          <w:rFonts w:cstheme="minorHAnsi"/>
        </w:rPr>
        <w:t>:</w:t>
      </w:r>
      <w:r w:rsidR="00B6299B" w:rsidRPr="000D5F1C">
        <w:rPr>
          <w:rFonts w:cstheme="minorHAnsi"/>
        </w:rPr>
        <w:t xml:space="preserve"> </w:t>
      </w:r>
      <w:bookmarkStart w:id="101" w:name="_Hlk107483136"/>
      <w:bookmarkStart w:id="102" w:name="_Hlk107483123"/>
      <w:r w:rsidR="00B6299B" w:rsidRPr="000D5F1C">
        <w:rPr>
          <w:rFonts w:cstheme="minorHAnsi"/>
        </w:rPr>
        <w:t xml:space="preserve">Anna </w:t>
      </w:r>
      <w:proofErr w:type="spellStart"/>
      <w:r w:rsidR="00B6299B" w:rsidRPr="000D5F1C">
        <w:rPr>
          <w:rFonts w:cstheme="minorHAnsi"/>
        </w:rPr>
        <w:t>Pertoldi</w:t>
      </w:r>
      <w:proofErr w:type="spellEnd"/>
      <w:r w:rsidR="00B6299B" w:rsidRPr="000D5F1C">
        <w:rPr>
          <w:rFonts w:cstheme="minorHAnsi"/>
        </w:rPr>
        <w:t xml:space="preserve"> </w:t>
      </w:r>
      <w:r w:rsidR="00967C23">
        <w:rPr>
          <w:rFonts w:cstheme="minorHAnsi"/>
        </w:rPr>
        <w:t>and</w:t>
      </w:r>
      <w:r w:rsidR="00B6299B" w:rsidRPr="000D5F1C">
        <w:rPr>
          <w:rFonts w:cstheme="minorHAnsi"/>
        </w:rPr>
        <w:t xml:space="preserve"> Maura McIntosh, ‘High Court finds “control” for the purposes of disclosure includes third party documents that the litigating party can access under a standing consent short of an enforceable right’ (Herbert Smith Freehills, Litigation Notes, 11 March 2020)  &lt;https://hsfnotes.com/litigation/2020/03/11/high-court-finds-control-for-the-purposes-of-disclosure-includes-third-party-documents-that-the-litigating-party-can-access-under-a-standing-consent-short-of-an-enforceable-right/&gt; accessed 18 May 2022</w:t>
      </w:r>
      <w:bookmarkEnd w:id="101"/>
      <w:r w:rsidR="00E118E8">
        <w:rPr>
          <w:rFonts w:cstheme="minorHAnsi"/>
        </w:rPr>
        <w:t>.</w:t>
      </w:r>
    </w:p>
    <w:bookmarkEnd w:id="102"/>
  </w:footnote>
  <w:footnote w:id="235">
    <w:p w14:paraId="627E41F2" w14:textId="3C2CA74F"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E118E8">
        <w:rPr>
          <w:rFonts w:cstheme="minorHAnsi"/>
        </w:rPr>
        <w:t>.</w:t>
      </w:r>
    </w:p>
  </w:footnote>
  <w:footnote w:id="236">
    <w:p w14:paraId="20B4DD86" w14:textId="0FA26816"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w:t>
      </w:r>
      <w:r w:rsidR="00475508" w:rsidRPr="00475508">
        <w:rPr>
          <w:rFonts w:cstheme="minorHAnsi"/>
        </w:rPr>
        <w:t>Gwendoline Davies and Andrew Beck, ‘Practice makes privileged’ (2016) 65 CLJ</w:t>
      </w:r>
      <w:r w:rsidRPr="000D5F1C">
        <w:rPr>
          <w:rFonts w:cstheme="minorHAnsi"/>
        </w:rPr>
        <w:t xml:space="preserve">, 19-21; See also: </w:t>
      </w:r>
      <w:bookmarkStart w:id="103" w:name="_Hlk107450467"/>
      <w:r w:rsidRPr="000D5F1C">
        <w:rPr>
          <w:rFonts w:cstheme="minorHAnsi"/>
          <w:i/>
          <w:iCs/>
        </w:rPr>
        <w:t>The Civil Aviation Authority v. Jet2.Com Ltd</w:t>
      </w:r>
      <w:r w:rsidRPr="000D5F1C">
        <w:rPr>
          <w:rFonts w:cstheme="minorHAnsi"/>
        </w:rPr>
        <w:t xml:space="preserve"> [2020] EWCA Civ 35 </w:t>
      </w:r>
      <w:bookmarkEnd w:id="103"/>
      <w:r w:rsidRPr="000D5F1C">
        <w:rPr>
          <w:rFonts w:cstheme="minorHAnsi"/>
        </w:rPr>
        <w:t>for approval of the “dominant purpose” test by the Court of Appeal</w:t>
      </w:r>
      <w:r w:rsidR="00E118E8">
        <w:rPr>
          <w:rFonts w:cstheme="minorHAnsi"/>
        </w:rPr>
        <w:t>.</w:t>
      </w:r>
    </w:p>
  </w:footnote>
  <w:footnote w:id="237">
    <w:p w14:paraId="1F000775" w14:textId="21D11E7F"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w:t>
      </w:r>
      <w:r w:rsidR="00E118E8">
        <w:rPr>
          <w:rFonts w:cstheme="minorHAnsi"/>
        </w:rPr>
        <w:t>ibid.</w:t>
      </w:r>
    </w:p>
  </w:footnote>
  <w:footnote w:id="238">
    <w:p w14:paraId="5F2AC87A" w14:textId="087D6FF9"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w:t>
      </w:r>
      <w:r w:rsidR="000521C5">
        <w:rPr>
          <w:rFonts w:cstheme="minorHAnsi"/>
          <w:shd w:val="clear" w:color="auto" w:fill="FFFFFF"/>
          <w:lang w:val="en-GB"/>
        </w:rPr>
        <w:t xml:space="preserve">See: </w:t>
      </w:r>
      <w:r w:rsidR="000521C5" w:rsidRPr="00302BB8">
        <w:rPr>
          <w:rFonts w:cstheme="minorHAnsi"/>
        </w:rPr>
        <w:t xml:space="preserve">Elizabeth Hyde and Natascha </w:t>
      </w:r>
      <w:proofErr w:type="spellStart"/>
      <w:r w:rsidR="000521C5" w:rsidRPr="00302BB8">
        <w:rPr>
          <w:rFonts w:cstheme="minorHAnsi"/>
        </w:rPr>
        <w:t>Gaut</w:t>
      </w:r>
      <w:proofErr w:type="spellEnd"/>
      <w:r w:rsidR="000521C5" w:rsidRPr="00302BB8">
        <w:rPr>
          <w:rFonts w:cstheme="minorHAnsi"/>
        </w:rPr>
        <w:t>, ‘Legal professional privilege update: protections and pitfalls’ (2019) 8 C&amp;R 1</w:t>
      </w:r>
      <w:r w:rsidR="000521C5" w:rsidRPr="000D5F1C">
        <w:rPr>
          <w:rFonts w:cstheme="minorHAnsi"/>
        </w:rPr>
        <w:t xml:space="preserve">, 7; See also: </w:t>
      </w:r>
      <w:r w:rsidR="000521C5" w:rsidRPr="000D5F1C">
        <w:rPr>
          <w:rFonts w:cstheme="minorHAnsi"/>
          <w:i/>
          <w:iCs/>
        </w:rPr>
        <w:t>Three Rivers District Council and Others v. The Governor &amp; Company of the Bank of England</w:t>
      </w:r>
      <w:r w:rsidR="000521C5" w:rsidRPr="000D5F1C">
        <w:rPr>
          <w:rFonts w:cstheme="minorHAnsi"/>
        </w:rPr>
        <w:t xml:space="preserve"> </w:t>
      </w:r>
      <w:r w:rsidR="000521C5" w:rsidRPr="000D5F1C">
        <w:rPr>
          <w:rFonts w:cstheme="minorHAnsi"/>
          <w:i/>
          <w:iCs/>
        </w:rPr>
        <w:t>(No. 6)</w:t>
      </w:r>
      <w:r w:rsidR="000521C5" w:rsidRPr="000D5F1C">
        <w:rPr>
          <w:rFonts w:cstheme="minorHAnsi"/>
        </w:rPr>
        <w:t xml:space="preserve"> [2005] 1 AC 610</w:t>
      </w:r>
      <w:r w:rsidR="000521C5">
        <w:rPr>
          <w:rFonts w:cstheme="minorHAnsi"/>
        </w:rPr>
        <w:t>;</w:t>
      </w:r>
      <w:r w:rsidR="000521C5">
        <w:rPr>
          <w:rFonts w:cstheme="minorHAnsi"/>
          <w:shd w:val="clear" w:color="auto" w:fill="FFFFFF"/>
          <w:lang w:val="en-GB"/>
        </w:rPr>
        <w:t xml:space="preserve"> </w:t>
      </w:r>
      <w:r w:rsidR="000521C5" w:rsidRPr="00E2681D">
        <w:rPr>
          <w:rFonts w:cstheme="minorHAnsi"/>
          <w:shd w:val="clear" w:color="auto" w:fill="FFFFFF"/>
          <w:lang w:val="en-GB"/>
        </w:rPr>
        <w:t>The conditions require that (1) communications are made for the single or dominant purpose of pursuing legal action, (2) the legal action is in progress or is taken into reasonably consideration by the client, and (3) the legal action is adversarial instead of inquisitive</w:t>
      </w:r>
      <w:r w:rsidR="000521C5">
        <w:rPr>
          <w:rFonts w:cstheme="minorHAnsi"/>
          <w:shd w:val="clear" w:color="auto" w:fill="FFFFFF"/>
          <w:lang w:val="en-GB"/>
        </w:rPr>
        <w:t>.</w:t>
      </w:r>
    </w:p>
  </w:footnote>
  <w:footnote w:id="239">
    <w:p w14:paraId="1D175CC4" w14:textId="60718B42"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w:t>
      </w:r>
      <w:r w:rsidR="00475508" w:rsidRPr="00475508">
        <w:rPr>
          <w:rFonts w:cstheme="minorHAnsi"/>
        </w:rPr>
        <w:t>Gwendoline Davies and Andrew Beck, ‘Practice makes privileged’ (2016) 65 CLJ</w:t>
      </w:r>
      <w:r w:rsidR="00475508">
        <w:rPr>
          <w:rFonts w:cstheme="minorHAnsi"/>
        </w:rPr>
        <w:t xml:space="preserve">, </w:t>
      </w:r>
      <w:r w:rsidRPr="000D5F1C">
        <w:rPr>
          <w:rFonts w:cstheme="minorHAnsi"/>
        </w:rPr>
        <w:t>19</w:t>
      </w:r>
      <w:r w:rsidR="00E118E8">
        <w:rPr>
          <w:rFonts w:cstheme="minorHAnsi"/>
        </w:rPr>
        <w:t>.</w:t>
      </w:r>
    </w:p>
  </w:footnote>
  <w:footnote w:id="240">
    <w:p w14:paraId="244E7A8F" w14:textId="63093AFE" w:rsidR="00504182" w:rsidRPr="000D5F1C" w:rsidRDefault="00504182" w:rsidP="00504182">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E118E8">
        <w:rPr>
          <w:rFonts w:cstheme="minorHAnsi"/>
        </w:rPr>
        <w:t>.</w:t>
      </w:r>
    </w:p>
  </w:footnote>
  <w:footnote w:id="241">
    <w:p w14:paraId="7878298B" w14:textId="4BCD441E" w:rsidR="006456BE" w:rsidRPr="000D5F1C" w:rsidRDefault="006456BE">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 xml:space="preserve">(Chapter 8, Kluwer Law International 2020), </w:t>
      </w:r>
      <w:r w:rsidR="004D50DE">
        <w:rPr>
          <w:rFonts w:cstheme="minorHAnsi"/>
        </w:rPr>
        <w:t>174</w:t>
      </w:r>
      <w:r w:rsidR="00E118E8">
        <w:rPr>
          <w:rFonts w:cstheme="minorHAnsi"/>
        </w:rPr>
        <w:t xml:space="preserve">, </w:t>
      </w:r>
      <w:r w:rsidRPr="000D5F1C">
        <w:rPr>
          <w:rFonts w:cstheme="minorHAnsi"/>
        </w:rPr>
        <w:t>176</w:t>
      </w:r>
    </w:p>
  </w:footnote>
  <w:footnote w:id="242">
    <w:p w14:paraId="0C9170EC" w14:textId="0C0481D8" w:rsidR="006456BE" w:rsidRPr="000D5F1C" w:rsidRDefault="006456BE">
      <w:pPr>
        <w:pStyle w:val="FootnoteText"/>
        <w:rPr>
          <w:rFonts w:cstheme="minorHAnsi"/>
        </w:rPr>
      </w:pPr>
      <w:r w:rsidRPr="000D5F1C">
        <w:rPr>
          <w:rStyle w:val="FootnoteReference"/>
          <w:rFonts w:cstheme="minorHAnsi"/>
        </w:rPr>
        <w:footnoteRef/>
      </w:r>
      <w:r w:rsidRPr="000D5F1C">
        <w:rPr>
          <w:rFonts w:cstheme="minorHAnsi"/>
        </w:rPr>
        <w:t xml:space="preserve"> </w:t>
      </w:r>
      <w:r w:rsidR="00E118E8">
        <w:rPr>
          <w:rFonts w:cstheme="minorHAnsi"/>
        </w:rPr>
        <w:t>ibid</w:t>
      </w:r>
      <w:r w:rsidRPr="000D5F1C">
        <w:rPr>
          <w:rFonts w:cstheme="minorHAnsi"/>
        </w:rPr>
        <w:t xml:space="preserve"> 176</w:t>
      </w:r>
      <w:r w:rsidR="00E118E8">
        <w:rPr>
          <w:rFonts w:cstheme="minorHAnsi"/>
        </w:rPr>
        <w:t>.</w:t>
      </w:r>
    </w:p>
  </w:footnote>
  <w:footnote w:id="243">
    <w:p w14:paraId="1577AED9" w14:textId="6BBD786F" w:rsidR="00653620" w:rsidRPr="000D5F1C" w:rsidRDefault="00653620" w:rsidP="00653620">
      <w:pPr>
        <w:pStyle w:val="FootnoteText"/>
        <w:rPr>
          <w:rFonts w:cstheme="minorHAnsi"/>
        </w:rPr>
      </w:pPr>
      <w:r w:rsidRPr="000D5F1C">
        <w:rPr>
          <w:rStyle w:val="FootnoteReference"/>
          <w:rFonts w:cstheme="minorHAnsi"/>
        </w:rPr>
        <w:footnoteRef/>
      </w:r>
      <w:r w:rsidRPr="000D5F1C">
        <w:rPr>
          <w:rFonts w:cstheme="minorHAnsi"/>
        </w:rPr>
        <w:t xml:space="preserve"> </w:t>
      </w:r>
      <w:r w:rsidR="00C01423" w:rsidRPr="00C01423">
        <w:rPr>
          <w:rFonts w:cstheme="minorHAnsi"/>
        </w:rPr>
        <w:t xml:space="preserve">Kim </w:t>
      </w:r>
      <w:proofErr w:type="spellStart"/>
      <w:r w:rsidR="00C01423" w:rsidRPr="00C01423">
        <w:rPr>
          <w:rFonts w:cstheme="minorHAnsi"/>
        </w:rPr>
        <w:t>Dietzel</w:t>
      </w:r>
      <w:proofErr w:type="spellEnd"/>
      <w:r w:rsidR="00C01423" w:rsidRPr="00C01423">
        <w:rPr>
          <w:rFonts w:cstheme="minorHAnsi"/>
        </w:rPr>
        <w:t xml:space="preserve"> and </w:t>
      </w:r>
      <w:proofErr w:type="spellStart"/>
      <w:r w:rsidR="00C01423" w:rsidRPr="00C01423">
        <w:rPr>
          <w:rFonts w:cstheme="minorHAnsi"/>
        </w:rPr>
        <w:t>Kristien</w:t>
      </w:r>
      <w:proofErr w:type="spellEnd"/>
      <w:r w:rsidR="00C01423" w:rsidRPr="00C01423">
        <w:rPr>
          <w:rFonts w:cstheme="minorHAnsi"/>
        </w:rPr>
        <w:t xml:space="preserve"> </w:t>
      </w:r>
      <w:proofErr w:type="spellStart"/>
      <w:r w:rsidR="00C01423" w:rsidRPr="00C01423">
        <w:rPr>
          <w:rFonts w:cstheme="minorHAnsi"/>
        </w:rPr>
        <w:t>Geeurickx</w:t>
      </w:r>
      <w:proofErr w:type="spellEnd"/>
      <w:r w:rsidR="00C01423" w:rsidRPr="00C01423">
        <w:rPr>
          <w:rFonts w:cstheme="minorHAnsi"/>
        </w:rPr>
        <w:t xml:space="preserve">, ‘Action on Damages: A look at the new directive and its impact on England and </w:t>
      </w:r>
      <w:proofErr w:type="spellStart"/>
      <w:r w:rsidR="00C01423" w:rsidRPr="00C01423">
        <w:rPr>
          <w:rFonts w:cstheme="minorHAnsi"/>
        </w:rPr>
        <w:t>Wales’</w:t>
      </w:r>
      <w:proofErr w:type="spellEnd"/>
      <w:r w:rsidR="00C01423" w:rsidRPr="00C01423">
        <w:rPr>
          <w:rFonts w:cstheme="minorHAnsi"/>
        </w:rPr>
        <w:t xml:space="preserve"> (2015) CLI</w:t>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 391-392</w:t>
      </w:r>
      <w:r w:rsidR="00E118E8">
        <w:rPr>
          <w:rFonts w:cstheme="minorHAnsi"/>
        </w:rPr>
        <w:t>.</w:t>
      </w:r>
    </w:p>
  </w:footnote>
  <w:footnote w:id="244">
    <w:p w14:paraId="780FDBE1" w14:textId="1A702546" w:rsidR="00415E41" w:rsidRPr="000D5F1C" w:rsidRDefault="00415E41" w:rsidP="00415E41">
      <w:pPr>
        <w:pStyle w:val="FootnoteText"/>
        <w:rPr>
          <w:rFonts w:cstheme="minorHAnsi"/>
        </w:rPr>
      </w:pPr>
      <w:r w:rsidRPr="000D5F1C">
        <w:rPr>
          <w:rStyle w:val="FootnoteReference"/>
          <w:rFonts w:cstheme="minorHAnsi"/>
        </w:rPr>
        <w:footnoteRef/>
      </w:r>
      <w:r w:rsidRPr="000D5F1C">
        <w:rPr>
          <w:rFonts w:cstheme="minorHAnsi"/>
        </w:rPr>
        <w:t xml:space="preserve"> </w:t>
      </w:r>
      <w:r w:rsidR="00F025B0" w:rsidRPr="000D5F1C">
        <w:rPr>
          <w:rFonts w:cstheme="minorHAnsi"/>
        </w:rPr>
        <w:t>Dominik Wolski, ‘Can an Ideal Court Model in Private Antitrust Enforcement Be Established?’ (2018</w:t>
      </w:r>
      <w:r w:rsidR="00F025B0">
        <w:rPr>
          <w:rFonts w:cstheme="minorHAnsi"/>
        </w:rPr>
        <w:t>) 11 YARS 115</w:t>
      </w:r>
      <w:r w:rsidRPr="000D5F1C">
        <w:rPr>
          <w:rFonts w:cstheme="minorHAnsi"/>
        </w:rPr>
        <w:t>, 106</w:t>
      </w:r>
      <w:r w:rsidR="00E118E8">
        <w:rPr>
          <w:rFonts w:cstheme="minorHAnsi"/>
        </w:rPr>
        <w:t>.</w:t>
      </w:r>
    </w:p>
  </w:footnote>
  <w:footnote w:id="245">
    <w:p w14:paraId="13734046" w14:textId="148DA0FF" w:rsidR="00415E41" w:rsidRPr="000D5F1C" w:rsidRDefault="00415E41" w:rsidP="00415E41">
      <w:pPr>
        <w:pStyle w:val="FootnoteText"/>
        <w:rPr>
          <w:rFonts w:cstheme="minorHAnsi"/>
        </w:rPr>
      </w:pPr>
      <w:r w:rsidRPr="000D5F1C">
        <w:rPr>
          <w:rStyle w:val="FootnoteReference"/>
          <w:rFonts w:cstheme="minorHAnsi"/>
        </w:rPr>
        <w:footnoteRef/>
      </w:r>
      <w:r w:rsidRPr="000D5F1C">
        <w:rPr>
          <w:rFonts w:cstheme="minorHAnsi"/>
        </w:rPr>
        <w:t xml:space="preserve"> </w:t>
      </w:r>
      <w:r w:rsidR="00723B1B" w:rsidRPr="000D5F1C">
        <w:rPr>
          <w:rFonts w:cstheme="minorHAnsi"/>
        </w:rPr>
        <w:t>DIRECTIVE 2014/104/EU OF THE EUROPEAN PARLIAMENT AND OF THE COUNCIL of 26 November 2014 on certain rules governing actions for damages under national law for infringements of the competition law provisions of the Member States and of the European Union</w:t>
      </w:r>
      <w:r w:rsidR="00723B1B">
        <w:rPr>
          <w:rFonts w:cstheme="minorHAnsi"/>
        </w:rPr>
        <w:t xml:space="preserve"> [2014] </w:t>
      </w:r>
      <w:r w:rsidR="00723B1B" w:rsidRPr="003561C0">
        <w:rPr>
          <w:rFonts w:cstheme="minorHAnsi"/>
        </w:rPr>
        <w:t>OJ L 349</w:t>
      </w:r>
      <w:r w:rsidR="00723B1B" w:rsidRPr="000D5F1C">
        <w:rPr>
          <w:rFonts w:cstheme="minorHAnsi"/>
        </w:rPr>
        <w:t>, Chapter II</w:t>
      </w:r>
      <w:r w:rsidRPr="000D5F1C">
        <w:rPr>
          <w:rFonts w:cstheme="minorHAnsi"/>
        </w:rPr>
        <w:t>, Article 5(</w:t>
      </w:r>
      <w:r w:rsidR="00A71107" w:rsidRPr="000D5F1C">
        <w:rPr>
          <w:rFonts w:cstheme="minorHAnsi"/>
        </w:rPr>
        <w:t>3)</w:t>
      </w:r>
      <w:r w:rsidR="00E118E8">
        <w:rPr>
          <w:rFonts w:cstheme="minorHAnsi"/>
        </w:rPr>
        <w:t>.</w:t>
      </w:r>
    </w:p>
  </w:footnote>
  <w:footnote w:id="246">
    <w:p w14:paraId="477588E2" w14:textId="3A8FC2E7" w:rsidR="00415E41" w:rsidRPr="000D5F1C" w:rsidRDefault="00415E41" w:rsidP="00415E41">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459</w:t>
      </w:r>
      <w:r w:rsidR="00E118E8">
        <w:rPr>
          <w:rFonts w:cstheme="minorHAnsi"/>
        </w:rPr>
        <w:t>.</w:t>
      </w:r>
    </w:p>
  </w:footnote>
  <w:footnote w:id="247">
    <w:p w14:paraId="60316449" w14:textId="54C9124E" w:rsidR="00097593" w:rsidRPr="000D5F1C" w:rsidRDefault="00097593" w:rsidP="00097593">
      <w:pPr>
        <w:pStyle w:val="FootnoteText"/>
        <w:rPr>
          <w:rFonts w:cstheme="minorHAnsi"/>
        </w:rPr>
      </w:pPr>
      <w:r w:rsidRPr="000D5F1C">
        <w:rPr>
          <w:rStyle w:val="FootnoteReference"/>
          <w:rFonts w:cstheme="minorHAnsi"/>
        </w:rPr>
        <w:footnoteRef/>
      </w:r>
      <w:r w:rsidRPr="000D5F1C">
        <w:rPr>
          <w:rFonts w:cstheme="minorHAnsi"/>
        </w:rPr>
        <w:t xml:space="preserve"> </w:t>
      </w:r>
      <w:r w:rsidR="00E118E8">
        <w:rPr>
          <w:rFonts w:cstheme="minorHAnsi"/>
        </w:rPr>
        <w:t>ibid.</w:t>
      </w:r>
      <w:r w:rsidRPr="000D5F1C">
        <w:rPr>
          <w:rFonts w:cstheme="minorHAnsi"/>
        </w:rPr>
        <w:t xml:space="preserve"> 457</w:t>
      </w:r>
      <w:r w:rsidR="00E118E8">
        <w:rPr>
          <w:rFonts w:cstheme="minorHAnsi"/>
        </w:rPr>
        <w:t>.</w:t>
      </w:r>
    </w:p>
  </w:footnote>
  <w:footnote w:id="248">
    <w:p w14:paraId="4EE05DEB" w14:textId="05C42C63" w:rsidR="00097593" w:rsidRPr="000D5F1C" w:rsidRDefault="00097593" w:rsidP="00097593">
      <w:pPr>
        <w:pStyle w:val="FootnoteText"/>
        <w:rPr>
          <w:rFonts w:cstheme="minorHAnsi"/>
        </w:rPr>
      </w:pPr>
      <w:r w:rsidRPr="000D5F1C">
        <w:rPr>
          <w:rStyle w:val="FootnoteReference"/>
          <w:rFonts w:cstheme="minorHAnsi"/>
        </w:rPr>
        <w:footnoteRef/>
      </w:r>
      <w:r w:rsidRPr="000D5F1C">
        <w:rPr>
          <w:rFonts w:cstheme="minorHAnsi"/>
        </w:rPr>
        <w:t xml:space="preserve"> </w:t>
      </w:r>
      <w:bookmarkStart w:id="104" w:name="_Hlk107445437"/>
      <w:r w:rsidRPr="000D5F1C">
        <w:rPr>
          <w:rFonts w:cstheme="minorHAnsi"/>
        </w:rPr>
        <w:t xml:space="preserve">Case C-360/09 </w:t>
      </w:r>
      <w:proofErr w:type="spellStart"/>
      <w:r w:rsidRPr="000D5F1C">
        <w:rPr>
          <w:rFonts w:cstheme="minorHAnsi"/>
          <w:i/>
          <w:iCs/>
        </w:rPr>
        <w:t>Pfleiderer</w:t>
      </w:r>
      <w:proofErr w:type="spellEnd"/>
      <w:r w:rsidRPr="000D5F1C">
        <w:rPr>
          <w:rFonts w:cstheme="minorHAnsi"/>
          <w:i/>
          <w:iCs/>
        </w:rPr>
        <w:t xml:space="preserve"> AG v </w:t>
      </w:r>
      <w:proofErr w:type="spellStart"/>
      <w:r w:rsidRPr="000D5F1C">
        <w:rPr>
          <w:rFonts w:cstheme="minorHAnsi"/>
          <w:i/>
          <w:iCs/>
        </w:rPr>
        <w:t>Bundeskartellamt</w:t>
      </w:r>
      <w:proofErr w:type="spellEnd"/>
      <w:r w:rsidRPr="000D5F1C">
        <w:rPr>
          <w:rFonts w:cstheme="minorHAnsi"/>
        </w:rPr>
        <w:t xml:space="preserve"> [2011] ECR I-05161, paras 23-32</w:t>
      </w:r>
      <w:bookmarkEnd w:id="104"/>
      <w:r w:rsidR="00A569A7">
        <w:rPr>
          <w:rFonts w:cstheme="minorHAnsi"/>
        </w:rPr>
        <w:t xml:space="preserve">; </w:t>
      </w:r>
      <w:r w:rsidR="00A569A7">
        <w:rPr>
          <w:rFonts w:cstheme="minorHAnsi"/>
          <w:shd w:val="clear" w:color="auto" w:fill="FFFFFF"/>
          <w:lang w:val="en-GB"/>
        </w:rPr>
        <w:t>In this test,</w:t>
      </w:r>
      <w:r w:rsidR="00A569A7" w:rsidRPr="00E2681D">
        <w:rPr>
          <w:rFonts w:cstheme="minorHAnsi"/>
          <w:shd w:val="clear" w:color="auto" w:fill="FFFFFF"/>
          <w:lang w:val="en-GB"/>
        </w:rPr>
        <w:t xml:space="preserve"> the incentives of cartelists to apply for leniency when the national leniency materials are disclosed </w:t>
      </w:r>
      <w:r w:rsidR="00A569A7">
        <w:rPr>
          <w:rFonts w:cstheme="minorHAnsi"/>
          <w:shd w:val="clear" w:color="auto" w:fill="FFFFFF"/>
          <w:lang w:val="en-GB"/>
        </w:rPr>
        <w:t>should be</w:t>
      </w:r>
      <w:r w:rsidR="00A569A7" w:rsidRPr="00E2681D">
        <w:rPr>
          <w:rFonts w:cstheme="minorHAnsi"/>
          <w:shd w:val="clear" w:color="auto" w:fill="FFFFFF"/>
          <w:lang w:val="en-GB"/>
        </w:rPr>
        <w:t xml:space="preserve"> weighed off against the role of private enforcement in retaining effective competition and a victim’s rights to damages.</w:t>
      </w:r>
    </w:p>
  </w:footnote>
  <w:footnote w:id="249">
    <w:p w14:paraId="5465AF9A" w14:textId="756A04B3"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bookmarkStart w:id="106" w:name="_Hlk107445462"/>
      <w:r w:rsidRPr="000D5F1C">
        <w:rPr>
          <w:rFonts w:cstheme="minorHAnsi"/>
          <w:i/>
          <w:iCs/>
        </w:rPr>
        <w:t xml:space="preserve">Roche Products Ltd v </w:t>
      </w:r>
      <w:proofErr w:type="spellStart"/>
      <w:r w:rsidRPr="000D5F1C">
        <w:rPr>
          <w:rFonts w:cstheme="minorHAnsi"/>
          <w:i/>
          <w:iCs/>
        </w:rPr>
        <w:t>Provimi</w:t>
      </w:r>
      <w:proofErr w:type="spellEnd"/>
      <w:r w:rsidRPr="000D5F1C">
        <w:rPr>
          <w:rFonts w:cstheme="minorHAnsi"/>
          <w:i/>
          <w:iCs/>
        </w:rPr>
        <w:t xml:space="preserve"> Ltd</w:t>
      </w:r>
      <w:r w:rsidRPr="000D5F1C">
        <w:rPr>
          <w:rFonts w:cstheme="minorHAnsi"/>
        </w:rPr>
        <w:t xml:space="preserve"> [2003] EWHC 961 (Comm)</w:t>
      </w:r>
      <w:bookmarkEnd w:id="106"/>
      <w:r w:rsidRPr="000D5F1C">
        <w:rPr>
          <w:rFonts w:cstheme="minorHAnsi"/>
        </w:rPr>
        <w:t xml:space="preserve">; </w:t>
      </w:r>
      <w:bookmarkStart w:id="107" w:name="_Hlk107445469"/>
      <w:r w:rsidRPr="000D5F1C">
        <w:rPr>
          <w:rFonts w:cstheme="minorHAnsi"/>
          <w:i/>
          <w:iCs/>
        </w:rPr>
        <w:t>Cooper Tire</w:t>
      </w:r>
      <w:r w:rsidR="0096646C">
        <w:rPr>
          <w:rFonts w:cstheme="minorHAnsi"/>
          <w:i/>
          <w:iCs/>
        </w:rPr>
        <w:t xml:space="preserve"> &amp; Rubber Company v Dow Deutschland Inc and others</w:t>
      </w:r>
      <w:r w:rsidRPr="000D5F1C">
        <w:rPr>
          <w:rFonts w:cstheme="minorHAnsi"/>
        </w:rPr>
        <w:t xml:space="preserve"> [2010] EWCA Civ 864</w:t>
      </w:r>
      <w:bookmarkEnd w:id="107"/>
      <w:r w:rsidRPr="000D5F1C">
        <w:rPr>
          <w:rFonts w:cstheme="minorHAnsi"/>
        </w:rPr>
        <w:t xml:space="preserve">; </w:t>
      </w:r>
      <w:bookmarkStart w:id="108" w:name="_Hlk107445477"/>
      <w:r w:rsidRPr="000D5F1C">
        <w:rPr>
          <w:rFonts w:cstheme="minorHAnsi"/>
          <w:i/>
          <w:iCs/>
        </w:rPr>
        <w:t>KME Yorkshire Ltd v Toshiba Carrier UK Ltd</w:t>
      </w:r>
      <w:r w:rsidRPr="000D5F1C">
        <w:rPr>
          <w:rFonts w:cstheme="minorHAnsi"/>
        </w:rPr>
        <w:t xml:space="preserve"> [2012] EWCA Civ 1190</w:t>
      </w:r>
      <w:bookmarkEnd w:id="108"/>
      <w:r w:rsidR="00E118E8">
        <w:rPr>
          <w:rFonts w:cstheme="minorHAnsi"/>
        </w:rPr>
        <w:t>.</w:t>
      </w:r>
    </w:p>
  </w:footnote>
  <w:footnote w:id="250">
    <w:p w14:paraId="5C0E8B46" w14:textId="783BB431"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r w:rsidR="00B33A02" w:rsidRPr="00B33A02">
        <w:rPr>
          <w:rFonts w:cstheme="minorHAnsi"/>
        </w:rPr>
        <w:t xml:space="preserve">Damien </w:t>
      </w:r>
      <w:proofErr w:type="spellStart"/>
      <w:r w:rsidR="00B33A02" w:rsidRPr="00B33A02">
        <w:rPr>
          <w:rFonts w:cstheme="minorHAnsi"/>
        </w:rPr>
        <w:t>Geradin</w:t>
      </w:r>
      <w:proofErr w:type="spellEnd"/>
      <w:r w:rsidR="00B33A02" w:rsidRPr="00B33A02">
        <w:rPr>
          <w:rFonts w:cstheme="minorHAnsi"/>
        </w:rPr>
        <w:t xml:space="preserve"> and Laurie-Anne </w:t>
      </w:r>
      <w:proofErr w:type="spellStart"/>
      <w:r w:rsidR="00B33A02" w:rsidRPr="00B33A02">
        <w:rPr>
          <w:rFonts w:cstheme="minorHAnsi"/>
        </w:rPr>
        <w:t>Grelier</w:t>
      </w:r>
      <w:proofErr w:type="spellEnd"/>
      <w:r w:rsidR="00B33A02" w:rsidRPr="00B33A02">
        <w:rPr>
          <w:rFonts w:cstheme="minorHAnsi"/>
        </w:rPr>
        <w:t>, ‘Cartel damages claims in the European Union: Have we only seen the tip of the iceberg?’ (2013)</w:t>
      </w:r>
      <w:r w:rsidR="00B33A02">
        <w:rPr>
          <w:rFonts w:cstheme="minorHAnsi"/>
        </w:rPr>
        <w:t xml:space="preserve"> 1</w:t>
      </w:r>
      <w:r w:rsidR="00B33A02" w:rsidRPr="00B33A02">
        <w:rPr>
          <w:rFonts w:cstheme="minorHAnsi"/>
        </w:rPr>
        <w:t xml:space="preserve"> &lt;https://ssrn.com/abstract=2362386&gt; accessed 18 May 2022</w:t>
      </w:r>
      <w:r w:rsidR="00E118E8">
        <w:rPr>
          <w:rFonts w:cstheme="minorHAnsi"/>
        </w:rPr>
        <w:t>.</w:t>
      </w:r>
    </w:p>
  </w:footnote>
  <w:footnote w:id="251">
    <w:p w14:paraId="3501DE96" w14:textId="26FB8464"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461</w:t>
      </w:r>
      <w:r w:rsidR="00E118E8">
        <w:rPr>
          <w:rFonts w:cstheme="minorHAnsi"/>
        </w:rPr>
        <w:t>.</w:t>
      </w:r>
    </w:p>
  </w:footnote>
  <w:footnote w:id="252">
    <w:p w14:paraId="23C4F863" w14:textId="3044CB8B"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bookmarkStart w:id="109" w:name="_Hlk107445690"/>
      <w:r w:rsidRPr="000D5F1C">
        <w:rPr>
          <w:rFonts w:cstheme="minorHAnsi"/>
        </w:rPr>
        <w:t>REGULATION (EU) No 1215/2012 OF THE EUROPEAN PARLIAMENT AND OF THE COUNCIL of 12 December 2012 on jurisdiction and the recognition and enforcement of judgments in civil and commercial matters [2012] OJ L351/1</w:t>
      </w:r>
      <w:bookmarkEnd w:id="109"/>
      <w:r w:rsidRPr="000D5F1C">
        <w:rPr>
          <w:rFonts w:cstheme="minorHAnsi"/>
        </w:rPr>
        <w:t>, Article 4(1)</w:t>
      </w:r>
      <w:r w:rsidR="00E118E8">
        <w:rPr>
          <w:rFonts w:cstheme="minorHAnsi"/>
        </w:rPr>
        <w:t>.</w:t>
      </w:r>
    </w:p>
  </w:footnote>
  <w:footnote w:id="253">
    <w:p w14:paraId="5679A3EA" w14:textId="3FE2E052"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462</w:t>
      </w:r>
      <w:r w:rsidR="00E118E8">
        <w:rPr>
          <w:rFonts w:cstheme="minorHAnsi"/>
        </w:rPr>
        <w:t>.</w:t>
      </w:r>
    </w:p>
  </w:footnote>
  <w:footnote w:id="254">
    <w:p w14:paraId="13921975" w14:textId="49A87A08"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bookmarkStart w:id="110" w:name="_Hlk107445719"/>
      <w:r w:rsidRPr="000D5F1C">
        <w:rPr>
          <w:rFonts w:cstheme="minorHAnsi"/>
        </w:rPr>
        <w:t xml:space="preserve">Case C-352/13 </w:t>
      </w:r>
      <w:r w:rsidRPr="000D5F1C">
        <w:rPr>
          <w:rFonts w:cstheme="minorHAnsi"/>
          <w:i/>
          <w:iCs/>
        </w:rPr>
        <w:t>CDC Hydrogen Peroxide v Evonik Degussa GmbH</w:t>
      </w:r>
      <w:r w:rsidRPr="000D5F1C">
        <w:rPr>
          <w:rFonts w:cstheme="minorHAnsi"/>
        </w:rPr>
        <w:t xml:space="preserve"> [2015], </w:t>
      </w:r>
      <w:bookmarkEnd w:id="110"/>
      <w:r w:rsidRPr="000D5F1C">
        <w:rPr>
          <w:rFonts w:cstheme="minorHAnsi"/>
        </w:rPr>
        <w:t>para 56</w:t>
      </w:r>
      <w:r w:rsidR="00E118E8">
        <w:rPr>
          <w:rFonts w:cstheme="minorHAnsi"/>
        </w:rPr>
        <w:t>.</w:t>
      </w:r>
    </w:p>
  </w:footnote>
  <w:footnote w:id="255">
    <w:p w14:paraId="66E761FC" w14:textId="24BA2321"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r w:rsidR="005B5E7B" w:rsidRPr="005B5E7B">
        <w:rPr>
          <w:rFonts w:cstheme="minorHAnsi"/>
        </w:rPr>
        <w:t>John Kwan, ‘The Damages Directive: End of England’s Eminence?’ (2015) 36 ECLR 455</w:t>
      </w:r>
      <w:r w:rsidRPr="000D5F1C">
        <w:rPr>
          <w:rFonts w:cstheme="minorHAnsi"/>
        </w:rPr>
        <w:t>, 462</w:t>
      </w:r>
      <w:r w:rsidR="005B5E7B">
        <w:rPr>
          <w:rFonts w:cstheme="minorHAnsi"/>
        </w:rPr>
        <w:t>.</w:t>
      </w:r>
    </w:p>
  </w:footnote>
  <w:footnote w:id="256">
    <w:p w14:paraId="55A7017F" w14:textId="06F4AC80" w:rsidR="006D67F3" w:rsidRPr="000D5F1C" w:rsidRDefault="006D67F3" w:rsidP="006D67F3">
      <w:pPr>
        <w:pStyle w:val="FootnoteText"/>
        <w:rPr>
          <w:rFonts w:cstheme="minorHAnsi"/>
        </w:rPr>
      </w:pPr>
      <w:r w:rsidRPr="000D5F1C">
        <w:rPr>
          <w:rStyle w:val="FootnoteReference"/>
          <w:rFonts w:cstheme="minorHAnsi"/>
        </w:rPr>
        <w:footnoteRef/>
      </w:r>
      <w:r w:rsidRPr="000D5F1C">
        <w:rPr>
          <w:rFonts w:cstheme="minorHAnsi"/>
        </w:rPr>
        <w:t xml:space="preserve"> </w:t>
      </w:r>
      <w:r w:rsidR="00E118E8">
        <w:rPr>
          <w:rFonts w:cstheme="minorHAnsi"/>
        </w:rPr>
        <w:t>ibid.</w:t>
      </w:r>
    </w:p>
  </w:footnote>
  <w:footnote w:id="257">
    <w:p w14:paraId="7E879A04" w14:textId="41B85FD9" w:rsidR="008C5347" w:rsidRDefault="008C5347">
      <w:pPr>
        <w:pStyle w:val="FootnoteText"/>
      </w:pPr>
      <w:r>
        <w:rPr>
          <w:rStyle w:val="FootnoteReference"/>
        </w:rPr>
        <w:footnoteRef/>
      </w:r>
      <w:r>
        <w:t xml:space="preserve"> See section 2.2.7</w:t>
      </w:r>
    </w:p>
  </w:footnote>
  <w:footnote w:id="258">
    <w:p w14:paraId="3393DCFE" w14:textId="02599095" w:rsidR="00E27656" w:rsidRPr="000D5F1C" w:rsidRDefault="00E27656">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174</w:t>
      </w:r>
      <w:r w:rsidR="00E118E8">
        <w:rPr>
          <w:rFonts w:cstheme="minorHAnsi"/>
        </w:rPr>
        <w:t>.</w:t>
      </w:r>
    </w:p>
  </w:footnote>
  <w:footnote w:id="259">
    <w:p w14:paraId="6CF7804A" w14:textId="4C4EFC49" w:rsidR="00095D47" w:rsidRPr="000D5F1C" w:rsidRDefault="00095D47" w:rsidP="00095D47">
      <w:pPr>
        <w:pStyle w:val="FootnoteText"/>
        <w:rPr>
          <w:rFonts w:cstheme="minorHAnsi"/>
        </w:rPr>
      </w:pPr>
      <w:r w:rsidRPr="000D5F1C">
        <w:rPr>
          <w:rStyle w:val="FootnoteReference"/>
          <w:rFonts w:cstheme="minorHAnsi"/>
        </w:rPr>
        <w:footnoteRef/>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w:t>
      </w:r>
      <w:r w:rsidR="00E118E8">
        <w:rPr>
          <w:rFonts w:cstheme="minorHAnsi"/>
        </w:rPr>
        <w:t xml:space="preserve"> </w:t>
      </w:r>
      <w:r w:rsidRPr="000D5F1C">
        <w:rPr>
          <w:rFonts w:cstheme="minorHAnsi"/>
        </w:rPr>
        <w:t xml:space="preserve">404;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174</w:t>
      </w:r>
      <w:r w:rsidR="00E118E8">
        <w:rPr>
          <w:rFonts w:cstheme="minorHAnsi"/>
        </w:rPr>
        <w:t>.</w:t>
      </w:r>
    </w:p>
  </w:footnote>
  <w:footnote w:id="260">
    <w:p w14:paraId="60CD2FC4" w14:textId="20CF937E" w:rsidR="007641FA" w:rsidRPr="000D5F1C" w:rsidRDefault="007641FA">
      <w:pPr>
        <w:pStyle w:val="FootnoteText"/>
        <w:rPr>
          <w:rFonts w:cstheme="minorHAnsi"/>
        </w:rPr>
      </w:pPr>
      <w:r w:rsidRPr="000D5F1C">
        <w:rPr>
          <w:rStyle w:val="FootnoteReference"/>
          <w:rFonts w:cstheme="minorHAnsi"/>
        </w:rPr>
        <w:footnoteRef/>
      </w:r>
      <w:r w:rsidRPr="000D5F1C">
        <w:rPr>
          <w:rFonts w:cstheme="minorHAnsi"/>
        </w:rPr>
        <w:t xml:space="preserve"> </w:t>
      </w:r>
      <w:r w:rsidR="00E03356" w:rsidRPr="000D5F1C">
        <w:rPr>
          <w:rFonts w:cstheme="minorHAnsi"/>
        </w:rPr>
        <w:t xml:space="preserve">Barry Rodger, ‘United Kingdom’ in Barry Rodger, Francisco Marcos and Miguel S. Ferro (eds), </w:t>
      </w:r>
      <w:r w:rsidR="00E03356" w:rsidRPr="000D5F1C">
        <w:rPr>
          <w:rFonts w:cstheme="minorHAnsi"/>
          <w:i/>
          <w:iCs/>
        </w:rPr>
        <w:t>The EU Antitrust Damages Directive: Transposition in the Member States</w:t>
      </w:r>
      <w:r w:rsidR="00E03356" w:rsidRPr="000D5F1C">
        <w:rPr>
          <w:rFonts w:cstheme="minorHAnsi"/>
        </w:rPr>
        <w:t xml:space="preserve"> (Chapter 18, Oxford University Press 2019), 404</w:t>
      </w:r>
      <w:r w:rsidR="00E118E8">
        <w:rPr>
          <w:rFonts w:cstheme="minorHAnsi"/>
        </w:rPr>
        <w:t>.</w:t>
      </w:r>
    </w:p>
  </w:footnote>
  <w:footnote w:id="261">
    <w:p w14:paraId="7F3E86CB" w14:textId="2C82673F" w:rsidR="00E03356" w:rsidRPr="000D5F1C" w:rsidRDefault="00E03356">
      <w:pPr>
        <w:pStyle w:val="FootnoteText"/>
        <w:rPr>
          <w:rFonts w:cstheme="minorHAnsi"/>
        </w:rPr>
      </w:pPr>
      <w:r w:rsidRPr="000D5F1C">
        <w:rPr>
          <w:rStyle w:val="FootnoteReference"/>
          <w:rFonts w:cstheme="minorHAnsi"/>
        </w:rPr>
        <w:footnoteRef/>
      </w:r>
      <w:r w:rsidRPr="000D5F1C">
        <w:rPr>
          <w:rFonts w:cstheme="minorHAnsi"/>
        </w:rPr>
        <w:t xml:space="preserve"> See: </w:t>
      </w:r>
      <w:r w:rsidR="002E46E5" w:rsidRPr="002E46E5">
        <w:rPr>
          <w:rFonts w:cstheme="minorHAnsi"/>
        </w:rPr>
        <w:t xml:space="preserve">Cristopher Hodges, John </w:t>
      </w:r>
      <w:proofErr w:type="spellStart"/>
      <w:r w:rsidR="002E46E5" w:rsidRPr="002E46E5">
        <w:rPr>
          <w:rFonts w:cstheme="minorHAnsi"/>
        </w:rPr>
        <w:t>Peysner</w:t>
      </w:r>
      <w:proofErr w:type="spellEnd"/>
      <w:r w:rsidR="002E46E5" w:rsidRPr="002E46E5">
        <w:rPr>
          <w:rFonts w:cstheme="minorHAnsi"/>
        </w:rPr>
        <w:t xml:space="preserve"> and Angus Nurse, ‘Litigation Funding: Status and Issues’ (2012) 55 Oxford Legal Studies Research Paper &lt;https://ssrn.com/abstract=2126506&gt; accessed 18 May 2022.</w:t>
      </w:r>
    </w:p>
  </w:footnote>
  <w:footnote w:id="262">
    <w:p w14:paraId="22DFAED3" w14:textId="673A771D" w:rsidR="00E03356" w:rsidRPr="000D5F1C" w:rsidRDefault="00E03356">
      <w:pPr>
        <w:pStyle w:val="FootnoteText"/>
        <w:rPr>
          <w:rFonts w:cstheme="minorHAnsi"/>
        </w:rPr>
      </w:pPr>
      <w:r w:rsidRPr="000D5F1C">
        <w:rPr>
          <w:rStyle w:val="FootnoteReference"/>
          <w:rFonts w:cstheme="minorHAnsi"/>
        </w:rPr>
        <w:footnoteRef/>
      </w:r>
      <w:r w:rsidRPr="000D5F1C">
        <w:rPr>
          <w:rFonts w:cstheme="minorHAnsi"/>
        </w:rPr>
        <w:t xml:space="preserve"> Barry Rodger, ‘United Kingdom’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18, Oxford University Press 2019), 404</w:t>
      </w:r>
      <w:r w:rsidR="00F61AEC">
        <w:rPr>
          <w:rFonts w:cstheme="minorHAnsi"/>
        </w:rPr>
        <w:t>.</w:t>
      </w:r>
    </w:p>
  </w:footnote>
  <w:footnote w:id="263">
    <w:p w14:paraId="63879313" w14:textId="51C6D88F" w:rsidR="0036648A" w:rsidRPr="000D5F1C" w:rsidRDefault="0036648A">
      <w:pPr>
        <w:pStyle w:val="FootnoteText"/>
        <w:rPr>
          <w:rFonts w:cstheme="minorHAnsi"/>
        </w:rPr>
      </w:pPr>
      <w:r w:rsidRPr="000D5F1C">
        <w:rPr>
          <w:rStyle w:val="FootnoteReference"/>
          <w:rFonts w:cstheme="minorHAnsi"/>
        </w:rPr>
        <w:footnoteRef/>
      </w:r>
      <w:r w:rsidRPr="000D5F1C">
        <w:rPr>
          <w:rFonts w:cstheme="minorHAnsi"/>
        </w:rPr>
        <w:t xml:space="preserve"> Florian Wagner-von Papp, Chapter 8: Private Enforcement in the United Kingdom’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8, Kluwer Law International 2020), 174</w:t>
      </w:r>
      <w:r w:rsidR="00F61AEC">
        <w:rPr>
          <w:rFonts w:cstheme="minorHAnsi"/>
        </w:rPr>
        <w:t>.</w:t>
      </w:r>
    </w:p>
  </w:footnote>
  <w:footnote w:id="264">
    <w:p w14:paraId="5E701381" w14:textId="164468B1" w:rsidR="00AB29F5" w:rsidRPr="000D5F1C" w:rsidRDefault="00AB29F5" w:rsidP="00AB29F5">
      <w:pPr>
        <w:pStyle w:val="FootnoteText"/>
        <w:rPr>
          <w:rFonts w:cstheme="minorHAnsi"/>
        </w:rPr>
      </w:pPr>
      <w:r w:rsidRPr="000D5F1C">
        <w:rPr>
          <w:rStyle w:val="FootnoteReference"/>
          <w:rFonts w:cstheme="minorHAnsi"/>
        </w:rPr>
        <w:footnoteRef/>
      </w:r>
      <w:r w:rsidRPr="000D5F1C">
        <w:rPr>
          <w:rFonts w:cstheme="minorHAnsi"/>
        </w:rPr>
        <w:t xml:space="preserve"> </w:t>
      </w:r>
      <w:r w:rsidR="00F61AEC">
        <w:rPr>
          <w:rFonts w:cstheme="minorHAnsi"/>
        </w:rPr>
        <w:t>ibid</w:t>
      </w:r>
      <w:r w:rsidRPr="000D5F1C">
        <w:rPr>
          <w:rFonts w:cstheme="minorHAnsi"/>
        </w:rPr>
        <w:t xml:space="preserve"> 173</w:t>
      </w:r>
      <w:r w:rsidR="00F61AEC">
        <w:rPr>
          <w:rFonts w:cstheme="minorHAnsi"/>
        </w:rPr>
        <w:t>.</w:t>
      </w:r>
    </w:p>
  </w:footnote>
  <w:footnote w:id="265">
    <w:p w14:paraId="7814D6FD" w14:textId="24155D1B" w:rsidR="000B56F6" w:rsidRPr="000D5F1C" w:rsidRDefault="000B56F6">
      <w:pPr>
        <w:pStyle w:val="FootnoteText"/>
        <w:rPr>
          <w:rFonts w:cstheme="minorHAnsi"/>
        </w:rPr>
      </w:pPr>
      <w:r w:rsidRPr="000D5F1C">
        <w:rPr>
          <w:rStyle w:val="FootnoteReference"/>
          <w:rFonts w:cstheme="minorHAnsi"/>
        </w:rPr>
        <w:footnoteRef/>
      </w:r>
      <w:r w:rsidRPr="000D5F1C">
        <w:rPr>
          <w:rFonts w:cstheme="minorHAnsi"/>
        </w:rPr>
        <w:t xml:space="preserve"> </w:t>
      </w:r>
      <w:r w:rsidR="00F61AEC">
        <w:rPr>
          <w:rFonts w:cstheme="minorHAnsi"/>
        </w:rPr>
        <w:t>ibid.</w:t>
      </w:r>
    </w:p>
  </w:footnote>
  <w:footnote w:id="266">
    <w:p w14:paraId="0D3E8B8D" w14:textId="03A1FA4B" w:rsidR="00574F48" w:rsidRPr="000D5F1C" w:rsidRDefault="00574F48">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22</w:t>
      </w:r>
      <w:r w:rsidR="005539F2">
        <w:rPr>
          <w:rFonts w:cstheme="minorHAnsi"/>
        </w:rPr>
        <w:t>.</w:t>
      </w:r>
    </w:p>
  </w:footnote>
  <w:footnote w:id="267">
    <w:p w14:paraId="26D5A615" w14:textId="00E9A5AA" w:rsidR="0006067B" w:rsidRPr="000D5F1C" w:rsidRDefault="0006067B">
      <w:pPr>
        <w:pStyle w:val="FootnoteText"/>
        <w:rPr>
          <w:rFonts w:cstheme="minorHAnsi"/>
        </w:rPr>
      </w:pPr>
      <w:r w:rsidRPr="000D5F1C">
        <w:rPr>
          <w:rStyle w:val="FootnoteReference"/>
          <w:rFonts w:cstheme="minorHAnsi"/>
        </w:rPr>
        <w:footnoteRef/>
      </w:r>
      <w:r w:rsidRPr="000D5F1C">
        <w:rPr>
          <w:rFonts w:cstheme="minorHAnsi"/>
        </w:rPr>
        <w:t xml:space="preserve"> </w:t>
      </w:r>
      <w:r w:rsidR="00F61AEC">
        <w:rPr>
          <w:rFonts w:cstheme="minorHAnsi"/>
        </w:rPr>
        <w:t>ibid.</w:t>
      </w:r>
    </w:p>
  </w:footnote>
  <w:footnote w:id="268">
    <w:p w14:paraId="4E1CA7EC" w14:textId="7A1B17FF" w:rsidR="005367B8" w:rsidRPr="000D5F1C" w:rsidRDefault="005367B8">
      <w:pPr>
        <w:pStyle w:val="FootnoteText"/>
        <w:rPr>
          <w:rFonts w:cstheme="minorHAnsi"/>
        </w:rPr>
      </w:pPr>
      <w:r w:rsidRPr="000D5F1C">
        <w:rPr>
          <w:rStyle w:val="FootnoteReference"/>
          <w:rFonts w:cstheme="minorHAnsi"/>
        </w:rPr>
        <w:footnoteRef/>
      </w:r>
      <w:r w:rsidRPr="000D5F1C">
        <w:rPr>
          <w:rFonts w:cstheme="minorHAnsi"/>
        </w:rPr>
        <w:t xml:space="preserve"> </w:t>
      </w:r>
      <w:bookmarkStart w:id="113" w:name="_Hlk107445933"/>
      <w:proofErr w:type="spellStart"/>
      <w:r w:rsidR="00DF7B6D" w:rsidRPr="00DF7B6D">
        <w:rPr>
          <w:rFonts w:cstheme="minorHAnsi"/>
          <w:i/>
          <w:iCs/>
        </w:rPr>
        <w:t>Merricks</w:t>
      </w:r>
      <w:proofErr w:type="spellEnd"/>
      <w:r w:rsidR="00DF7B6D" w:rsidRPr="00DF7B6D">
        <w:rPr>
          <w:rFonts w:cstheme="minorHAnsi"/>
          <w:i/>
          <w:iCs/>
        </w:rPr>
        <w:t xml:space="preserve"> v Mastercard</w:t>
      </w:r>
      <w:r w:rsidR="00DF7B6D" w:rsidRPr="00DF7B6D">
        <w:rPr>
          <w:rFonts w:cstheme="minorHAnsi"/>
        </w:rPr>
        <w:t xml:space="preserve"> </w:t>
      </w:r>
      <w:r w:rsidRPr="000D5F1C">
        <w:rPr>
          <w:rFonts w:cstheme="minorHAnsi"/>
        </w:rPr>
        <w:t>[2017] CAT 16, para</w:t>
      </w:r>
      <w:bookmarkEnd w:id="113"/>
      <w:r w:rsidRPr="000D5F1C">
        <w:rPr>
          <w:rFonts w:cstheme="minorHAnsi"/>
        </w:rPr>
        <w:t xml:space="preserve"> 127</w:t>
      </w:r>
      <w:r w:rsidR="00F61AEC">
        <w:rPr>
          <w:rFonts w:cstheme="minorHAnsi"/>
        </w:rPr>
        <w:t>.</w:t>
      </w:r>
    </w:p>
  </w:footnote>
  <w:footnote w:id="269">
    <w:p w14:paraId="0F11856A" w14:textId="39D2B44E" w:rsidR="005E48FC" w:rsidRPr="000D5F1C" w:rsidRDefault="005E48FC">
      <w:pPr>
        <w:pStyle w:val="FootnoteText"/>
        <w:rPr>
          <w:rFonts w:cstheme="minorHAnsi"/>
        </w:rPr>
      </w:pPr>
      <w:r w:rsidRPr="000D5F1C">
        <w:rPr>
          <w:rStyle w:val="FootnoteReference"/>
          <w:rFonts w:cstheme="minorHAnsi"/>
        </w:rPr>
        <w:footnoteRef/>
      </w:r>
      <w:r w:rsidRPr="000D5F1C">
        <w:rPr>
          <w:rFonts w:cstheme="minorHAnsi"/>
        </w:rPr>
        <w:t xml:space="preserve"> Competition Act 1998</w:t>
      </w:r>
      <w:r w:rsidR="00043C82">
        <w:rPr>
          <w:rFonts w:cstheme="minorHAnsi"/>
        </w:rPr>
        <w:t xml:space="preserve"> s</w:t>
      </w:r>
      <w:r w:rsidRPr="000D5F1C">
        <w:rPr>
          <w:rFonts w:cstheme="minorHAnsi"/>
        </w:rPr>
        <w:t xml:space="preserve"> 47C(6); </w:t>
      </w:r>
      <w:r w:rsidR="00370445" w:rsidRPr="000D5F1C">
        <w:rPr>
          <w:rFonts w:cstheme="minorHAnsi"/>
        </w:rPr>
        <w:t>The Competition Appeal Tribunal Rules 2015</w:t>
      </w:r>
      <w:r w:rsidR="00370445">
        <w:rPr>
          <w:rFonts w:cstheme="minorHAnsi"/>
        </w:rPr>
        <w:t xml:space="preserve"> SI 2015/1648</w:t>
      </w:r>
      <w:r w:rsidRPr="000D5F1C">
        <w:rPr>
          <w:rFonts w:cstheme="minorHAnsi"/>
        </w:rPr>
        <w:t xml:space="preserve">, </w:t>
      </w:r>
      <w:r w:rsidR="00370445">
        <w:rPr>
          <w:rFonts w:cstheme="minorHAnsi"/>
        </w:rPr>
        <w:t>r</w:t>
      </w:r>
      <w:r w:rsidRPr="000D5F1C">
        <w:rPr>
          <w:rFonts w:cstheme="minorHAnsi"/>
        </w:rPr>
        <w:t xml:space="preserve"> 93(4)</w:t>
      </w:r>
      <w:r w:rsidR="00F61AEC">
        <w:rPr>
          <w:rFonts w:cstheme="minorHAnsi"/>
        </w:rPr>
        <w:t>.</w:t>
      </w:r>
    </w:p>
  </w:footnote>
  <w:footnote w:id="270">
    <w:p w14:paraId="612DF97E" w14:textId="33BB15CC" w:rsidR="009C506F" w:rsidRPr="000D5F1C" w:rsidRDefault="009C506F">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22-23</w:t>
      </w:r>
      <w:r w:rsidR="00F61AEC">
        <w:rPr>
          <w:rFonts w:cstheme="minorHAnsi"/>
        </w:rPr>
        <w:t>.</w:t>
      </w:r>
    </w:p>
  </w:footnote>
  <w:footnote w:id="271">
    <w:p w14:paraId="4E963686" w14:textId="2B400CCD" w:rsidR="00873D35" w:rsidRPr="000D5F1C" w:rsidRDefault="00873D35" w:rsidP="00873D35">
      <w:pPr>
        <w:pStyle w:val="FootnoteText"/>
        <w:rPr>
          <w:rFonts w:cstheme="minorHAnsi"/>
        </w:rPr>
      </w:pPr>
      <w:r w:rsidRPr="000D5F1C">
        <w:rPr>
          <w:rStyle w:val="FootnoteReference"/>
          <w:rFonts w:cstheme="minorHAnsi"/>
        </w:rPr>
        <w:footnoteRef/>
      </w:r>
      <w:r w:rsidRPr="000D5F1C">
        <w:rPr>
          <w:rFonts w:cstheme="minorHAnsi"/>
        </w:rPr>
        <w:t xml:space="preserve"> </w:t>
      </w:r>
      <w:bookmarkStart w:id="116" w:name="_Hlk107446012"/>
      <w:r w:rsidR="00DF7B6D" w:rsidRPr="00E2681D">
        <w:rPr>
          <w:rFonts w:cstheme="minorHAnsi"/>
          <w:i/>
          <w:iCs/>
          <w:lang w:val="en-GB"/>
        </w:rPr>
        <w:t>Gibson v Pride Mobility Products</w:t>
      </w:r>
      <w:r w:rsidR="00DF7B6D" w:rsidRPr="000D5F1C">
        <w:rPr>
          <w:rFonts w:cstheme="minorHAnsi"/>
        </w:rPr>
        <w:t xml:space="preserve"> </w:t>
      </w:r>
      <w:r w:rsidRPr="000D5F1C">
        <w:rPr>
          <w:rFonts w:cstheme="minorHAnsi"/>
        </w:rPr>
        <w:t xml:space="preserve">[2017] </w:t>
      </w:r>
      <w:bookmarkStart w:id="117" w:name="_Hlk107446002"/>
      <w:bookmarkEnd w:id="116"/>
      <w:r w:rsidRPr="000D5F1C">
        <w:rPr>
          <w:rFonts w:cstheme="minorHAnsi"/>
        </w:rPr>
        <w:t>CAT 9</w:t>
      </w:r>
      <w:bookmarkEnd w:id="117"/>
      <w:r w:rsidRPr="000D5F1C">
        <w:rPr>
          <w:rFonts w:cstheme="minorHAnsi"/>
        </w:rPr>
        <w:t>, para 145</w:t>
      </w:r>
      <w:r w:rsidR="00F61AEC">
        <w:rPr>
          <w:rFonts w:cstheme="minorHAnsi"/>
        </w:rPr>
        <w:t>.</w:t>
      </w:r>
    </w:p>
  </w:footnote>
  <w:footnote w:id="272">
    <w:p w14:paraId="5E60D0E4" w14:textId="0772F75A" w:rsidR="005E48FC" w:rsidRPr="000D5F1C" w:rsidRDefault="005E48FC">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23</w:t>
      </w:r>
      <w:r w:rsidR="00F61AEC">
        <w:rPr>
          <w:rFonts w:cstheme="minorHAnsi"/>
        </w:rPr>
        <w:t>.</w:t>
      </w:r>
    </w:p>
  </w:footnote>
  <w:footnote w:id="273">
    <w:p w14:paraId="6FA88276" w14:textId="50054EF3" w:rsidR="001502F8" w:rsidRPr="000D5F1C" w:rsidRDefault="001502F8">
      <w:pPr>
        <w:pStyle w:val="FootnoteText"/>
        <w:rPr>
          <w:rFonts w:cstheme="minorHAnsi"/>
        </w:rPr>
      </w:pPr>
      <w:r w:rsidRPr="000D5F1C">
        <w:rPr>
          <w:rStyle w:val="FootnoteReference"/>
          <w:rFonts w:cstheme="minorHAnsi"/>
        </w:rPr>
        <w:footnoteRef/>
      </w:r>
      <w:r w:rsidRPr="000D5F1C">
        <w:rPr>
          <w:rFonts w:cstheme="minorHAnsi"/>
        </w:rPr>
        <w:t xml:space="preserve"> See section </w:t>
      </w:r>
      <w:r w:rsidR="001766CA">
        <w:rPr>
          <w:rFonts w:cstheme="minorHAnsi"/>
        </w:rPr>
        <w:t>2.2.3</w:t>
      </w:r>
    </w:p>
  </w:footnote>
  <w:footnote w:id="274">
    <w:p w14:paraId="6E1BD832" w14:textId="690125A7" w:rsidR="0046764A" w:rsidRPr="000D5F1C" w:rsidRDefault="0046764A">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24</w:t>
      </w:r>
      <w:r w:rsidR="00F61AEC">
        <w:rPr>
          <w:rFonts w:cstheme="minorHAnsi"/>
        </w:rPr>
        <w:t>.</w:t>
      </w:r>
    </w:p>
  </w:footnote>
  <w:footnote w:id="275">
    <w:p w14:paraId="53905582" w14:textId="2096CBC7" w:rsidR="00CE5596" w:rsidRPr="000D5F1C" w:rsidRDefault="00CE5596">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F61AEC">
        <w:rPr>
          <w:rFonts w:cstheme="minorHAnsi"/>
        </w:rPr>
        <w:t>.</w:t>
      </w:r>
    </w:p>
  </w:footnote>
  <w:footnote w:id="276">
    <w:p w14:paraId="00BB85F9" w14:textId="547883EF" w:rsidR="004F5FCC" w:rsidRPr="000D5F1C" w:rsidRDefault="004F5FCC" w:rsidP="004F5FCC">
      <w:pPr>
        <w:pStyle w:val="FootnoteText"/>
        <w:rPr>
          <w:rFonts w:cstheme="minorHAnsi"/>
        </w:rPr>
      </w:pPr>
      <w:r w:rsidRPr="000D5F1C">
        <w:rPr>
          <w:rStyle w:val="FootnoteReference"/>
          <w:rFonts w:cstheme="minorHAnsi"/>
        </w:rPr>
        <w:footnoteRef/>
      </w:r>
      <w:r w:rsidRPr="000D5F1C">
        <w:rPr>
          <w:rFonts w:cstheme="minorHAnsi"/>
        </w:rPr>
        <w:t xml:space="preserve"> </w:t>
      </w:r>
      <w:bookmarkStart w:id="119" w:name="_Hlk107483699"/>
      <w:r w:rsidR="00AC14C9" w:rsidRPr="00AC14C9">
        <w:rPr>
          <w:rFonts w:cstheme="minorHAnsi"/>
        </w:rPr>
        <w:t xml:space="preserve">Arianna </w:t>
      </w:r>
      <w:proofErr w:type="spellStart"/>
      <w:r w:rsidR="00AC14C9" w:rsidRPr="00AC14C9">
        <w:rPr>
          <w:rFonts w:cstheme="minorHAnsi"/>
        </w:rPr>
        <w:t>Andreangeli</w:t>
      </w:r>
      <w:proofErr w:type="spellEnd"/>
      <w:r w:rsidR="00AC14C9" w:rsidRPr="00AC14C9">
        <w:rPr>
          <w:rFonts w:cstheme="minorHAnsi"/>
        </w:rPr>
        <w:t>, ‘The consequences of Brexit for competition litigation: an end to a "success story"?’ (2017) 38 ECLR 228</w:t>
      </w:r>
      <w:r w:rsidRPr="000D5F1C">
        <w:rPr>
          <w:rFonts w:cstheme="minorHAnsi"/>
        </w:rPr>
        <w:t xml:space="preserve">, </w:t>
      </w:r>
      <w:bookmarkEnd w:id="119"/>
      <w:r w:rsidRPr="000D5F1C">
        <w:rPr>
          <w:rFonts w:cstheme="minorHAnsi"/>
        </w:rPr>
        <w:t>235</w:t>
      </w:r>
      <w:r w:rsidR="001C2CE4" w:rsidRPr="000D5F1C">
        <w:rPr>
          <w:rFonts w:cstheme="minorHAnsi"/>
        </w:rPr>
        <w:t xml:space="preserve">; Barry Rodger, ‘Private Enforcement in the UK: Effective Redress for Consumers?’ in B. Rodger, P. Whelan and A. MacCulloch (eds), </w:t>
      </w:r>
      <w:r w:rsidR="001C2CE4" w:rsidRPr="000D5F1C">
        <w:rPr>
          <w:rFonts w:cstheme="minorHAnsi"/>
          <w:i/>
          <w:iCs/>
        </w:rPr>
        <w:t>The UK Competition Regime: A Twenty-Year Retrospective</w:t>
      </w:r>
      <w:r w:rsidR="001C2CE4" w:rsidRPr="000D5F1C">
        <w:rPr>
          <w:rFonts w:cstheme="minorHAnsi"/>
        </w:rPr>
        <w:t xml:space="preserve"> (Chapter 12, Oxford University Press 2021, forthcoming), 25</w:t>
      </w:r>
      <w:r w:rsidR="002C5948" w:rsidRPr="000D5F1C">
        <w:rPr>
          <w:rFonts w:cstheme="minorHAnsi"/>
        </w:rPr>
        <w:t xml:space="preserve">; </w:t>
      </w:r>
      <w:bookmarkStart w:id="120" w:name="_Hlk107483714"/>
      <w:r w:rsidR="002C5948" w:rsidRPr="000D5F1C">
        <w:rPr>
          <w:rFonts w:cstheme="minorHAnsi"/>
        </w:rPr>
        <w:t xml:space="preserve">Grant Stirling, </w:t>
      </w:r>
      <w:r w:rsidR="00E51E1B">
        <w:rPr>
          <w:rFonts w:cstheme="minorHAnsi"/>
        </w:rPr>
        <w:t>‘</w:t>
      </w:r>
      <w:r w:rsidR="002C5948" w:rsidRPr="000D5F1C">
        <w:rPr>
          <w:rFonts w:cstheme="minorHAnsi"/>
        </w:rPr>
        <w:t>Company group liability and extra-territorial jurisdiction: the considerable post-Brexit obstacles to the UK as a major forum for competition law damages actions</w:t>
      </w:r>
      <w:r w:rsidR="00E51E1B">
        <w:rPr>
          <w:rFonts w:cstheme="minorHAnsi"/>
        </w:rPr>
        <w:t>’</w:t>
      </w:r>
      <w:r w:rsidR="002C5948" w:rsidRPr="000D5F1C">
        <w:rPr>
          <w:rFonts w:cstheme="minorHAnsi"/>
        </w:rPr>
        <w:t xml:space="preserve"> (2021)</w:t>
      </w:r>
      <w:r w:rsidR="00E51E1B">
        <w:rPr>
          <w:rFonts w:cstheme="minorHAnsi"/>
        </w:rPr>
        <w:t xml:space="preserve"> 14</w:t>
      </w:r>
      <w:r w:rsidR="002C5948" w:rsidRPr="000D5F1C">
        <w:rPr>
          <w:rFonts w:cstheme="minorHAnsi"/>
        </w:rPr>
        <w:t xml:space="preserve"> GCLR </w:t>
      </w:r>
      <w:bookmarkEnd w:id="120"/>
      <w:r w:rsidR="00E51E1B">
        <w:rPr>
          <w:rFonts w:cstheme="minorHAnsi"/>
        </w:rPr>
        <w:t>27</w:t>
      </w:r>
      <w:r w:rsidR="002C5948" w:rsidRPr="000D5F1C">
        <w:rPr>
          <w:rFonts w:cstheme="minorHAnsi"/>
        </w:rPr>
        <w:t xml:space="preserve">, </w:t>
      </w:r>
      <w:r w:rsidR="00AF0CDA" w:rsidRPr="000D5F1C">
        <w:rPr>
          <w:rFonts w:cstheme="minorHAnsi"/>
        </w:rPr>
        <w:t>35</w:t>
      </w:r>
      <w:r w:rsidR="00F61AEC">
        <w:rPr>
          <w:rFonts w:cstheme="minorHAnsi"/>
        </w:rPr>
        <w:t>.</w:t>
      </w:r>
    </w:p>
  </w:footnote>
  <w:footnote w:id="277">
    <w:p w14:paraId="2CA25E03" w14:textId="2F688E4E" w:rsidR="00801122" w:rsidRPr="000D5F1C" w:rsidRDefault="00801122">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Pr="000D5F1C">
        <w:rPr>
          <w:rFonts w:cstheme="minorHAnsi"/>
        </w:rPr>
        <w:t>54</w:t>
      </w:r>
      <w:r w:rsidR="00F61AEC">
        <w:rPr>
          <w:rFonts w:cstheme="minorHAnsi"/>
        </w:rPr>
        <w:t>.</w:t>
      </w:r>
    </w:p>
  </w:footnote>
  <w:footnote w:id="278">
    <w:p w14:paraId="0936AF25" w14:textId="52787AB5" w:rsidR="00EB695D" w:rsidRPr="000D5F1C" w:rsidRDefault="00EB695D">
      <w:pPr>
        <w:pStyle w:val="FootnoteText"/>
        <w:rPr>
          <w:rFonts w:cstheme="minorHAnsi"/>
        </w:rPr>
      </w:pPr>
      <w:r w:rsidRPr="000D5F1C">
        <w:rPr>
          <w:rStyle w:val="FootnoteReference"/>
          <w:rFonts w:cstheme="minorHAnsi"/>
        </w:rPr>
        <w:footnoteRef/>
      </w:r>
      <w:r w:rsidRPr="000D5F1C">
        <w:rPr>
          <w:rFonts w:cstheme="minorHAnsi"/>
        </w:rPr>
        <w:t xml:space="preserve"> </w:t>
      </w:r>
      <w:bookmarkStart w:id="121" w:name="_Hlk107483740"/>
      <w:r w:rsidRPr="000D5F1C">
        <w:rPr>
          <w:rFonts w:cstheme="minorHAnsi"/>
        </w:rPr>
        <w:t>Commission, ‘Assessment on the application of the United Kingdom of Great Britain and Northern Ireland to accede to the 2007 Lugano Convention’ COM</w:t>
      </w:r>
      <w:r w:rsidR="001A50B4">
        <w:rPr>
          <w:rFonts w:cstheme="minorHAnsi"/>
        </w:rPr>
        <w:t xml:space="preserve"> </w:t>
      </w:r>
      <w:r w:rsidRPr="000D5F1C">
        <w:rPr>
          <w:rFonts w:cstheme="minorHAnsi"/>
        </w:rPr>
        <w:t>(2021) 222 final</w:t>
      </w:r>
      <w:bookmarkEnd w:id="121"/>
      <w:r w:rsidR="005B5D8F" w:rsidRPr="000D5F1C">
        <w:rPr>
          <w:rFonts w:cstheme="minorHAnsi"/>
        </w:rPr>
        <w:t>, 4</w:t>
      </w:r>
      <w:r w:rsidR="00F61AEC">
        <w:rPr>
          <w:rFonts w:cstheme="minorHAnsi"/>
        </w:rPr>
        <w:t>.</w:t>
      </w:r>
    </w:p>
  </w:footnote>
  <w:footnote w:id="279">
    <w:p w14:paraId="13A15AF3" w14:textId="7A83066B" w:rsidR="00D409D2" w:rsidRPr="000D5F1C" w:rsidRDefault="00D409D2">
      <w:pPr>
        <w:pStyle w:val="FootnoteText"/>
        <w:rPr>
          <w:rFonts w:cstheme="minorHAnsi"/>
        </w:rPr>
      </w:pPr>
      <w:r w:rsidRPr="000D5F1C">
        <w:rPr>
          <w:rStyle w:val="FootnoteReference"/>
          <w:rFonts w:cstheme="minorHAnsi"/>
        </w:rPr>
        <w:footnoteRef/>
      </w:r>
      <w:r w:rsidRPr="000D5F1C">
        <w:rPr>
          <w:rFonts w:cstheme="minorHAnsi"/>
        </w:rPr>
        <w:t xml:space="preserve"> </w:t>
      </w:r>
      <w:bookmarkStart w:id="122" w:name="_Hlk107483762"/>
      <w:bookmarkStart w:id="123" w:name="_Hlk107483754"/>
      <w:r w:rsidRPr="000D5F1C">
        <w:rPr>
          <w:rFonts w:cstheme="minorHAnsi"/>
        </w:rPr>
        <w:t>Commission, ‘Communication from the European Commission representing the European Union to the Swiss Federal Council as the Depositary of the 2007 Lugano Convention (concerning the application of the United Kingdom of Great Britain and Northern Ireland to accede the 2007 Lugano Convention)’ (Note Verbale</w:t>
      </w:r>
      <w:r w:rsidR="006D3BA1">
        <w:rPr>
          <w:rFonts w:cstheme="minorHAnsi"/>
        </w:rPr>
        <w:t xml:space="preserve"> 2021</w:t>
      </w:r>
      <w:r w:rsidRPr="000D5F1C">
        <w:rPr>
          <w:rFonts w:cstheme="minorHAnsi"/>
        </w:rPr>
        <w:t>) &lt;https://www.eda.admin.ch/dam/eda/fr/documents/aussenpolitik/voelkerrecht/autres-conventions/Lugano2/20210701-LUG-ann-EU.pdf&gt; accessed 20 May 2021</w:t>
      </w:r>
      <w:bookmarkEnd w:id="122"/>
      <w:r w:rsidR="00F61AEC">
        <w:rPr>
          <w:rFonts w:cstheme="minorHAnsi"/>
        </w:rPr>
        <w:t>.</w:t>
      </w:r>
    </w:p>
    <w:bookmarkEnd w:id="123"/>
  </w:footnote>
  <w:footnote w:id="280">
    <w:p w14:paraId="5640E116" w14:textId="35F1A393" w:rsidR="000C7DF4" w:rsidRPr="000D5F1C" w:rsidRDefault="000C7DF4">
      <w:pPr>
        <w:pStyle w:val="FootnoteText"/>
        <w:rPr>
          <w:rFonts w:cstheme="minorHAnsi"/>
        </w:rPr>
      </w:pPr>
      <w:r w:rsidRPr="000D5F1C">
        <w:rPr>
          <w:rStyle w:val="FootnoteReference"/>
          <w:rFonts w:cstheme="minorHAnsi"/>
        </w:rPr>
        <w:footnoteRef/>
      </w:r>
      <w:r w:rsidRPr="000D5F1C">
        <w:rPr>
          <w:rFonts w:cstheme="minorHAnsi"/>
        </w:rPr>
        <w:t xml:space="preserve"> </w:t>
      </w:r>
      <w:bookmarkStart w:id="124" w:name="_Hlk107483771"/>
      <w:r w:rsidRPr="000D5F1C">
        <w:rPr>
          <w:rFonts w:cstheme="minorHAnsi"/>
        </w:rPr>
        <w:t>Federal Department of Foreign Affairs FDFA, ‘Notification to the Parties of the Convention on Jurisdiction and the Recognition and Enforcement of Judgments in Civil and Commercial Matters, concluded at Lugano on 30 October 2007’ (2021) &lt;https://www.eda.admin.ch/dam/eda/fr/documents/aussenpolitik/voelkerrecht/autres-conventions/Lugano2/20210701-LUG_en.pdf&gt; accessed 20 May 2022</w:t>
      </w:r>
      <w:bookmarkEnd w:id="124"/>
      <w:r w:rsidR="00F61AEC">
        <w:rPr>
          <w:rFonts w:cstheme="minorHAnsi"/>
        </w:rPr>
        <w:t>.</w:t>
      </w:r>
    </w:p>
  </w:footnote>
  <w:footnote w:id="281">
    <w:p w14:paraId="610A210E" w14:textId="1A826746" w:rsidR="00B618BA" w:rsidRPr="000D5F1C" w:rsidRDefault="00B618BA">
      <w:pPr>
        <w:pStyle w:val="FootnoteText"/>
        <w:rPr>
          <w:rFonts w:cstheme="minorHAnsi"/>
        </w:rPr>
      </w:pPr>
      <w:r w:rsidRPr="000D5F1C">
        <w:rPr>
          <w:rStyle w:val="FootnoteReference"/>
          <w:rFonts w:cstheme="minorHAnsi"/>
        </w:rPr>
        <w:footnoteRef/>
      </w:r>
      <w:r w:rsidRPr="000D5F1C">
        <w:rPr>
          <w:rFonts w:cstheme="minorHAnsi"/>
        </w:rPr>
        <w:t xml:space="preserve"> Julian </w:t>
      </w:r>
      <w:proofErr w:type="spellStart"/>
      <w:r w:rsidRPr="000D5F1C">
        <w:rPr>
          <w:rFonts w:cstheme="minorHAnsi"/>
        </w:rPr>
        <w:t>Stait</w:t>
      </w:r>
      <w:proofErr w:type="spellEnd"/>
      <w:r w:rsidRPr="000D5F1C">
        <w:rPr>
          <w:rFonts w:cstheme="minorHAnsi"/>
        </w:rPr>
        <w:t xml:space="preserve"> </w:t>
      </w:r>
      <w:r w:rsidR="008722B9">
        <w:rPr>
          <w:rFonts w:cstheme="minorHAnsi"/>
        </w:rPr>
        <w:t>and others</w:t>
      </w:r>
      <w:r w:rsidRPr="000D5F1C">
        <w:rPr>
          <w:rFonts w:cstheme="minorHAnsi"/>
        </w:rPr>
        <w:t xml:space="preserve">, ‘The Private Competition Enforcement Review: United Kingdom’ in Ilene </w:t>
      </w:r>
      <w:proofErr w:type="spellStart"/>
      <w:r w:rsidRPr="000D5F1C">
        <w:rPr>
          <w:rFonts w:cstheme="minorHAnsi"/>
        </w:rPr>
        <w:t>Knable</w:t>
      </w:r>
      <w:proofErr w:type="spellEnd"/>
      <w:r w:rsidRPr="000D5F1C">
        <w:rPr>
          <w:rFonts w:cstheme="minorHAnsi"/>
        </w:rPr>
        <w:t xml:space="preserve"> Gotts and Kevin S. Schwartz (eds), </w:t>
      </w:r>
      <w:r w:rsidRPr="000D5F1C">
        <w:rPr>
          <w:rFonts w:cstheme="minorHAnsi"/>
          <w:i/>
          <w:iCs/>
        </w:rPr>
        <w:t xml:space="preserve">The Private Competition Enforcement Review </w:t>
      </w:r>
      <w:r w:rsidRPr="000D5F1C">
        <w:rPr>
          <w:rFonts w:cstheme="minorHAnsi"/>
        </w:rPr>
        <w:t>(15</w:t>
      </w:r>
      <w:r w:rsidRPr="000D5F1C">
        <w:rPr>
          <w:rFonts w:cstheme="minorHAnsi"/>
          <w:vertAlign w:val="superscript"/>
        </w:rPr>
        <w:t>th</w:t>
      </w:r>
      <w:r w:rsidRPr="000D5F1C">
        <w:rPr>
          <w:rFonts w:cstheme="minorHAnsi"/>
        </w:rPr>
        <w:t xml:space="preserve"> edition, The Law Reviews 2022)</w:t>
      </w:r>
      <w:r w:rsidR="00F61AEC">
        <w:rPr>
          <w:rFonts w:cstheme="minorHAnsi"/>
        </w:rPr>
        <w:t>.</w:t>
      </w:r>
    </w:p>
  </w:footnote>
  <w:footnote w:id="282">
    <w:p w14:paraId="7DC97F56" w14:textId="2849A65E" w:rsidR="00DC2DC8" w:rsidRPr="000D5F1C" w:rsidRDefault="00DC2DC8">
      <w:pPr>
        <w:pStyle w:val="FootnoteText"/>
        <w:rPr>
          <w:rFonts w:cstheme="minorHAnsi"/>
        </w:rPr>
      </w:pPr>
      <w:r w:rsidRPr="000D5F1C">
        <w:rPr>
          <w:rStyle w:val="FootnoteReference"/>
          <w:rFonts w:cstheme="minorHAnsi"/>
        </w:rPr>
        <w:footnoteRef/>
      </w:r>
      <w:r w:rsidRPr="000D5F1C">
        <w:rPr>
          <w:rFonts w:cstheme="minorHAnsi"/>
        </w:rPr>
        <w:t xml:space="preserve"> </w:t>
      </w:r>
      <w:r w:rsidR="005D447B">
        <w:rPr>
          <w:rFonts w:cstheme="minorHAnsi"/>
        </w:rPr>
        <w:t>CPR</w:t>
      </w:r>
      <w:r w:rsidRPr="000D5F1C">
        <w:rPr>
          <w:rFonts w:cstheme="minorHAnsi"/>
        </w:rPr>
        <w:t xml:space="preserve">, </w:t>
      </w:r>
      <w:r w:rsidR="000210EB">
        <w:rPr>
          <w:rFonts w:cstheme="minorHAnsi"/>
        </w:rPr>
        <w:t>r</w:t>
      </w:r>
      <w:r w:rsidRPr="000D5F1C">
        <w:rPr>
          <w:rFonts w:cstheme="minorHAnsi"/>
        </w:rPr>
        <w:t xml:space="preserve"> 6.37(3)</w:t>
      </w:r>
      <w:r w:rsidR="00F61AEC">
        <w:rPr>
          <w:rFonts w:cstheme="minorHAnsi"/>
        </w:rPr>
        <w:t>.</w:t>
      </w:r>
    </w:p>
  </w:footnote>
  <w:footnote w:id="283">
    <w:p w14:paraId="058F1076" w14:textId="6E1D2374" w:rsidR="00A64822" w:rsidRPr="000D5F1C" w:rsidRDefault="00A64822">
      <w:pPr>
        <w:pStyle w:val="FootnoteText"/>
        <w:rPr>
          <w:rFonts w:cstheme="minorHAnsi"/>
        </w:rPr>
      </w:pPr>
      <w:r w:rsidRPr="000D5F1C">
        <w:rPr>
          <w:rStyle w:val="FootnoteReference"/>
          <w:rFonts w:cstheme="minorHAnsi"/>
        </w:rPr>
        <w:footnoteRef/>
      </w:r>
      <w:r w:rsidRPr="000D5F1C">
        <w:rPr>
          <w:rFonts w:cstheme="minorHAnsi"/>
        </w:rPr>
        <w:t xml:space="preserve"> Barry Rodger, ‘Private Enforcement in the UK: Effective Redress for Consumers?’ in B. Rodger, P. Whelan and A. MacCulloch (eds), </w:t>
      </w:r>
      <w:r w:rsidRPr="000D5F1C">
        <w:rPr>
          <w:rFonts w:cstheme="minorHAnsi"/>
          <w:i/>
          <w:iCs/>
        </w:rPr>
        <w:t>The UK Competition Regime: A Twenty-Year Retrospective</w:t>
      </w:r>
      <w:r w:rsidRPr="000D5F1C">
        <w:rPr>
          <w:rFonts w:cstheme="minorHAnsi"/>
        </w:rPr>
        <w:t xml:space="preserve"> (Chapter 12, Oxford University Press 2021, forthcoming), 2</w:t>
      </w:r>
      <w:r w:rsidR="003465E7" w:rsidRPr="000D5F1C">
        <w:rPr>
          <w:rFonts w:cstheme="minorHAnsi"/>
        </w:rPr>
        <w:t xml:space="preserve">5; </w:t>
      </w:r>
      <w:bookmarkStart w:id="125" w:name="_Hlk107483802"/>
      <w:r w:rsidR="003465E7" w:rsidRPr="000D5F1C">
        <w:rPr>
          <w:rFonts w:cstheme="minorHAnsi"/>
        </w:rPr>
        <w:t xml:space="preserve">Kim </w:t>
      </w:r>
      <w:proofErr w:type="spellStart"/>
      <w:r w:rsidR="003465E7" w:rsidRPr="000D5F1C">
        <w:rPr>
          <w:rFonts w:cstheme="minorHAnsi"/>
        </w:rPr>
        <w:t>Dietzel</w:t>
      </w:r>
      <w:proofErr w:type="spellEnd"/>
      <w:r w:rsidR="003465E7" w:rsidRPr="000D5F1C">
        <w:rPr>
          <w:rFonts w:cstheme="minorHAnsi"/>
        </w:rPr>
        <w:t xml:space="preserve">, Stephen </w:t>
      </w:r>
      <w:proofErr w:type="spellStart"/>
      <w:r w:rsidR="003465E7" w:rsidRPr="000D5F1C">
        <w:rPr>
          <w:rFonts w:cstheme="minorHAnsi"/>
        </w:rPr>
        <w:t>Wisking</w:t>
      </w:r>
      <w:proofErr w:type="spellEnd"/>
      <w:r w:rsidR="003465E7" w:rsidRPr="000D5F1C">
        <w:rPr>
          <w:rFonts w:cstheme="minorHAnsi"/>
        </w:rPr>
        <w:t xml:space="preserve"> </w:t>
      </w:r>
      <w:r w:rsidR="00965EEC">
        <w:rPr>
          <w:rFonts w:cstheme="minorHAnsi"/>
        </w:rPr>
        <w:t>and</w:t>
      </w:r>
      <w:r w:rsidR="003465E7" w:rsidRPr="000D5F1C">
        <w:rPr>
          <w:rFonts w:cstheme="minorHAnsi"/>
        </w:rPr>
        <w:t xml:space="preserve"> Molly Herron, ‘Nothing to see here? The UK's implementation of the EU Damages Directive’ (2017)</w:t>
      </w:r>
      <w:r w:rsidR="00965EEC">
        <w:rPr>
          <w:rFonts w:cstheme="minorHAnsi"/>
        </w:rPr>
        <w:t xml:space="preserve"> 10</w:t>
      </w:r>
      <w:r w:rsidR="003465E7" w:rsidRPr="000D5F1C">
        <w:rPr>
          <w:rFonts w:cstheme="minorHAnsi"/>
        </w:rPr>
        <w:t xml:space="preserve"> GCLR</w:t>
      </w:r>
      <w:bookmarkEnd w:id="125"/>
      <w:r w:rsidR="00965EEC">
        <w:rPr>
          <w:rFonts w:cstheme="minorHAnsi"/>
        </w:rPr>
        <w:t xml:space="preserve"> 169, </w:t>
      </w:r>
      <w:r w:rsidR="003465E7" w:rsidRPr="000D5F1C">
        <w:rPr>
          <w:rFonts w:cstheme="minorHAnsi"/>
        </w:rPr>
        <w:t>177</w:t>
      </w:r>
      <w:r w:rsidR="00C955E3"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00B9360F" w:rsidRPr="000D5F1C">
        <w:rPr>
          <w:rFonts w:cstheme="minorHAnsi"/>
        </w:rPr>
        <w:t>53-55</w:t>
      </w:r>
      <w:r w:rsidR="00774933" w:rsidRPr="000D5F1C">
        <w:rPr>
          <w:rFonts w:cstheme="minorHAnsi"/>
        </w:rPr>
        <w:t xml:space="preserve">; </w:t>
      </w:r>
      <w:r w:rsidR="00AC14C9" w:rsidRPr="00AC14C9">
        <w:rPr>
          <w:rFonts w:cstheme="minorHAnsi"/>
        </w:rPr>
        <w:t xml:space="preserve">Arianna </w:t>
      </w:r>
      <w:proofErr w:type="spellStart"/>
      <w:r w:rsidR="00AC14C9" w:rsidRPr="00AC14C9">
        <w:rPr>
          <w:rFonts w:cstheme="minorHAnsi"/>
        </w:rPr>
        <w:t>Andreangeli</w:t>
      </w:r>
      <w:proofErr w:type="spellEnd"/>
      <w:r w:rsidR="00AC14C9" w:rsidRPr="00AC14C9">
        <w:rPr>
          <w:rFonts w:cstheme="minorHAnsi"/>
        </w:rPr>
        <w:t>, ‘The consequences of Brexit for competition litigation: an end to a "success story"?’ (2017) 38 ECLR 228</w:t>
      </w:r>
      <w:r w:rsidR="00AC14C9">
        <w:rPr>
          <w:rFonts w:cstheme="minorHAnsi"/>
        </w:rPr>
        <w:t xml:space="preserve">, </w:t>
      </w:r>
      <w:r w:rsidR="00774933" w:rsidRPr="000D5F1C">
        <w:rPr>
          <w:rFonts w:cstheme="minorHAnsi"/>
        </w:rPr>
        <w:t>235</w:t>
      </w:r>
      <w:r w:rsidR="00F61AEC">
        <w:rPr>
          <w:rFonts w:cstheme="minorHAnsi"/>
        </w:rPr>
        <w:t>.</w:t>
      </w:r>
    </w:p>
  </w:footnote>
  <w:footnote w:id="284">
    <w:p w14:paraId="1E72E99D" w14:textId="2184E69A" w:rsidR="00C1584E" w:rsidRPr="000D5F1C" w:rsidRDefault="00C1584E">
      <w:pPr>
        <w:pStyle w:val="FootnoteText"/>
        <w:rPr>
          <w:rFonts w:cstheme="minorHAnsi"/>
        </w:rPr>
      </w:pPr>
      <w:r w:rsidRPr="000D5F1C">
        <w:rPr>
          <w:rStyle w:val="FootnoteReference"/>
          <w:rFonts w:cstheme="minorHAnsi"/>
        </w:rPr>
        <w:footnoteRef/>
      </w:r>
      <w:r w:rsidRPr="000D5F1C">
        <w:rPr>
          <w:rFonts w:cstheme="minorHAnsi"/>
        </w:rPr>
        <w:t xml:space="preserve"> </w:t>
      </w:r>
      <w:r w:rsidR="006421F5" w:rsidRPr="000D5F1C">
        <w:rPr>
          <w:rFonts w:cstheme="minorHAnsi"/>
        </w:rPr>
        <w:t xml:space="preserve">Ronit Kreisberger </w:t>
      </w:r>
      <w:r w:rsidR="006421F5">
        <w:rPr>
          <w:rFonts w:cstheme="minorHAnsi"/>
        </w:rPr>
        <w:t>and</w:t>
      </w:r>
      <w:r w:rsidR="006421F5" w:rsidRPr="000D5F1C">
        <w:rPr>
          <w:rFonts w:cstheme="minorHAnsi"/>
        </w:rPr>
        <w:t xml:space="preserve"> Conor McCarthy, ‘Competition damages litigation in the United Kingdom: the impact of Brexit’ (2018) </w:t>
      </w:r>
      <w:r w:rsidR="006421F5">
        <w:rPr>
          <w:rFonts w:cstheme="minorHAnsi"/>
        </w:rPr>
        <w:t xml:space="preserve">4 CLPD </w:t>
      </w:r>
      <w:r w:rsidR="001051DF">
        <w:rPr>
          <w:rFonts w:cstheme="minorHAnsi"/>
        </w:rPr>
        <w:t xml:space="preserve">48, </w:t>
      </w:r>
      <w:r w:rsidRPr="000D5F1C">
        <w:rPr>
          <w:rFonts w:cstheme="minorHAnsi"/>
        </w:rPr>
        <w:t>53-55</w:t>
      </w:r>
      <w:r w:rsidR="00F61AEC">
        <w:rPr>
          <w:rFonts w:cstheme="minorHAnsi"/>
        </w:rPr>
        <w:t>.</w:t>
      </w:r>
    </w:p>
  </w:footnote>
  <w:footnote w:id="285">
    <w:p w14:paraId="7D8F8540" w14:textId="42151737" w:rsidR="00A71B24" w:rsidRPr="000D5F1C" w:rsidRDefault="00A71B24">
      <w:pPr>
        <w:pStyle w:val="FootnoteText"/>
        <w:rPr>
          <w:rFonts w:cstheme="minorHAnsi"/>
        </w:rPr>
      </w:pPr>
      <w:r w:rsidRPr="000D5F1C">
        <w:rPr>
          <w:rStyle w:val="FootnoteReference"/>
          <w:rFonts w:cstheme="minorHAnsi"/>
        </w:rPr>
        <w:footnoteRef/>
      </w:r>
      <w:r w:rsidRPr="000D5F1C">
        <w:rPr>
          <w:rFonts w:cstheme="minorHAnsi"/>
        </w:rPr>
        <w:t xml:space="preserve"> </w:t>
      </w:r>
      <w:bookmarkStart w:id="126" w:name="_Hlk107483824"/>
      <w:r w:rsidRPr="000D5F1C">
        <w:rPr>
          <w:rFonts w:cstheme="minorHAnsi"/>
        </w:rPr>
        <w:t>HCCH, ‘CONVENTION ON THE RECOGNITION AND ENFORCEMENT OF FOREIGN JUDGMENTS IN CIVIL OR COMMERCIAL MATTERS’ (concluded 2 July 2019) &lt;https://assets.hcch.net/docs/806e290e-bbd8-413d-b15e-8e3e1bf1496d.pdf&gt; accessed 20 May 2022</w:t>
      </w:r>
      <w:bookmarkEnd w:id="126"/>
      <w:r w:rsidR="00F61AEC">
        <w:rPr>
          <w:rFonts w:cstheme="minorHAnsi"/>
        </w:rPr>
        <w:t>.</w:t>
      </w:r>
    </w:p>
  </w:footnote>
  <w:footnote w:id="286">
    <w:p w14:paraId="113B261D" w14:textId="60427AD3" w:rsidR="00A71B24" w:rsidRPr="000D5F1C" w:rsidRDefault="00A71B24">
      <w:pPr>
        <w:pStyle w:val="FootnoteText"/>
        <w:rPr>
          <w:rFonts w:cstheme="minorHAnsi"/>
        </w:rPr>
      </w:pPr>
      <w:r w:rsidRPr="000D5F1C">
        <w:rPr>
          <w:rStyle w:val="FootnoteReference"/>
          <w:rFonts w:cstheme="minorHAnsi"/>
        </w:rPr>
        <w:footnoteRef/>
      </w:r>
      <w:r w:rsidRPr="000D5F1C">
        <w:rPr>
          <w:rFonts w:cstheme="minorHAnsi"/>
        </w:rPr>
        <w:t xml:space="preserve"> </w:t>
      </w:r>
      <w:bookmarkStart w:id="127" w:name="_Hlk107483841"/>
      <w:bookmarkStart w:id="128" w:name="_Hlk107483834"/>
      <w:r w:rsidRPr="000D5F1C">
        <w:rPr>
          <w:rFonts w:cstheme="minorHAnsi"/>
        </w:rPr>
        <w:t xml:space="preserve">Michael </w:t>
      </w:r>
      <w:proofErr w:type="spellStart"/>
      <w:r w:rsidRPr="000D5F1C">
        <w:rPr>
          <w:rFonts w:cstheme="minorHAnsi"/>
        </w:rPr>
        <w:t>Wilderspin</w:t>
      </w:r>
      <w:proofErr w:type="spellEnd"/>
      <w:r w:rsidRPr="000D5F1C">
        <w:rPr>
          <w:rFonts w:cstheme="minorHAnsi"/>
        </w:rPr>
        <w:t xml:space="preserve"> </w:t>
      </w:r>
      <w:r w:rsidR="00B76790">
        <w:rPr>
          <w:rFonts w:cstheme="minorHAnsi"/>
        </w:rPr>
        <w:t>and</w:t>
      </w:r>
      <w:r w:rsidRPr="000D5F1C">
        <w:rPr>
          <w:rFonts w:cstheme="minorHAnsi"/>
        </w:rPr>
        <w:t xml:space="preserve"> </w:t>
      </w:r>
      <w:proofErr w:type="spellStart"/>
      <w:r w:rsidRPr="000D5F1C">
        <w:rPr>
          <w:rFonts w:cstheme="minorHAnsi"/>
        </w:rPr>
        <w:t>Lenka</w:t>
      </w:r>
      <w:proofErr w:type="spellEnd"/>
      <w:r w:rsidRPr="000D5F1C">
        <w:rPr>
          <w:rFonts w:cstheme="minorHAnsi"/>
        </w:rPr>
        <w:t xml:space="preserve"> </w:t>
      </w:r>
      <w:proofErr w:type="spellStart"/>
      <w:r w:rsidRPr="000D5F1C">
        <w:rPr>
          <w:rFonts w:cstheme="minorHAnsi"/>
        </w:rPr>
        <w:t>Vysoka</w:t>
      </w:r>
      <w:proofErr w:type="spellEnd"/>
      <w:r w:rsidRPr="000D5F1C">
        <w:rPr>
          <w:rFonts w:cstheme="minorHAnsi"/>
        </w:rPr>
        <w:t>, ‘The 2019 Hague Judgments Convention through European lenses’ (2020</w:t>
      </w:r>
      <w:r w:rsidR="00B76790">
        <w:rPr>
          <w:rFonts w:cstheme="minorHAnsi"/>
        </w:rPr>
        <w:t>) 1</w:t>
      </w:r>
      <w:r w:rsidR="00E43289" w:rsidRPr="000D5F1C">
        <w:rPr>
          <w:rFonts w:cstheme="minorHAnsi"/>
        </w:rPr>
        <w:t xml:space="preserve"> </w:t>
      </w:r>
      <w:r w:rsidRPr="000D5F1C">
        <w:rPr>
          <w:rFonts w:cstheme="minorHAnsi"/>
        </w:rPr>
        <w:t>NIPR</w:t>
      </w:r>
      <w:r w:rsidR="00E43289" w:rsidRPr="000D5F1C">
        <w:rPr>
          <w:rFonts w:cstheme="minorHAnsi"/>
        </w:rPr>
        <w:t xml:space="preserve"> &lt;https://www.nipr-online.eu/pdf/2020-138.pdf&gt; accessed 20 May 2022</w:t>
      </w:r>
      <w:bookmarkEnd w:id="127"/>
      <w:r w:rsidR="00F61AEC">
        <w:rPr>
          <w:rFonts w:cstheme="minorHAnsi"/>
        </w:rPr>
        <w:t>.</w:t>
      </w:r>
    </w:p>
    <w:bookmarkEnd w:id="128"/>
  </w:footnote>
  <w:footnote w:id="287">
    <w:p w14:paraId="7F05AAD5" w14:textId="6D1D4820" w:rsidR="000C2E3D" w:rsidRPr="000D5F1C" w:rsidRDefault="000C2E3D" w:rsidP="000C2E3D">
      <w:pPr>
        <w:pStyle w:val="FootnoteText"/>
        <w:rPr>
          <w:rFonts w:cstheme="minorHAnsi"/>
        </w:rPr>
      </w:pPr>
      <w:r w:rsidRPr="000D5F1C">
        <w:rPr>
          <w:rStyle w:val="FootnoteReference"/>
          <w:rFonts w:cstheme="minorHAnsi"/>
        </w:rPr>
        <w:footnoteRef/>
      </w:r>
      <w:r w:rsidRPr="000D5F1C">
        <w:rPr>
          <w:rFonts w:cstheme="minorHAnsi"/>
        </w:rPr>
        <w:t xml:space="preserve"> </w:t>
      </w:r>
      <w:bookmarkStart w:id="131" w:name="_Hlk107483878"/>
      <w:proofErr w:type="spellStart"/>
      <w:r w:rsidRPr="000D5F1C">
        <w:rPr>
          <w:rFonts w:cstheme="minorHAnsi"/>
        </w:rPr>
        <w:t>Rogier</w:t>
      </w:r>
      <w:proofErr w:type="spellEnd"/>
      <w:r w:rsidRPr="000D5F1C">
        <w:rPr>
          <w:rFonts w:cstheme="minorHAnsi"/>
        </w:rPr>
        <w:t xml:space="preserve"> Meijer </w:t>
      </w:r>
      <w:r w:rsidR="007F3DAA">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w:t>
      </w:r>
      <w:bookmarkEnd w:id="131"/>
      <w:r w:rsidRPr="000D5F1C">
        <w:rPr>
          <w:rFonts w:cstheme="minorHAnsi"/>
        </w:rPr>
        <w:t>, 151</w:t>
      </w:r>
      <w:r w:rsidR="00B2367D">
        <w:rPr>
          <w:rFonts w:cstheme="minorHAnsi"/>
        </w:rPr>
        <w:t>.</w:t>
      </w:r>
    </w:p>
  </w:footnote>
  <w:footnote w:id="288">
    <w:p w14:paraId="70C7B3B8" w14:textId="41876F30" w:rsidR="00ED6417" w:rsidRPr="000D5F1C" w:rsidRDefault="00ED6417">
      <w:pPr>
        <w:pStyle w:val="FootnoteText"/>
        <w:rPr>
          <w:rFonts w:cstheme="minorHAnsi"/>
        </w:rPr>
      </w:pPr>
      <w:r w:rsidRPr="000D5F1C">
        <w:rPr>
          <w:rStyle w:val="FootnoteReference"/>
          <w:rFonts w:cstheme="minorHAnsi"/>
        </w:rPr>
        <w:footnoteRef/>
      </w:r>
      <w:r w:rsidRPr="000D5F1C">
        <w:rPr>
          <w:rFonts w:cstheme="minorHAnsi"/>
        </w:rPr>
        <w:t xml:space="preserve"> </w:t>
      </w:r>
      <w:r w:rsidR="00716071" w:rsidRPr="000D5F1C">
        <w:rPr>
          <w:rFonts w:cstheme="minorHAnsi"/>
        </w:rPr>
        <w:t>R</w:t>
      </w:r>
      <w:r w:rsidR="00716071">
        <w:rPr>
          <w:rFonts w:cstheme="minorHAnsi"/>
        </w:rPr>
        <w:t>ick</w:t>
      </w:r>
      <w:r w:rsidRPr="000D5F1C">
        <w:rPr>
          <w:rFonts w:cstheme="minorHAnsi"/>
        </w:rPr>
        <w:t xml:space="preserve"> Cornelissen </w:t>
      </w:r>
      <w:r w:rsidR="007F3DAA">
        <w:rPr>
          <w:rFonts w:cstheme="minorHAnsi"/>
        </w:rPr>
        <w:t>and others</w:t>
      </w:r>
      <w:r w:rsidRPr="000D5F1C">
        <w:rPr>
          <w:rFonts w:cstheme="minorHAnsi"/>
        </w:rPr>
        <w:t xml:space="preserve">, ‘Netherlands’ in Ilene K. Gotts and Kevin S. Schwartz (eds), </w:t>
      </w:r>
      <w:r w:rsidRPr="000D5F1C">
        <w:rPr>
          <w:rFonts w:cstheme="minorHAnsi"/>
          <w:i/>
          <w:iCs/>
        </w:rPr>
        <w:t>Private Competition Enforcement Review</w:t>
      </w:r>
      <w:r w:rsidRPr="000D5F1C">
        <w:rPr>
          <w:rFonts w:cstheme="minorHAnsi"/>
        </w:rPr>
        <w:t xml:space="preserve"> (Chapter 15, The </w:t>
      </w:r>
      <w:proofErr w:type="spellStart"/>
      <w:r w:rsidRPr="000D5F1C">
        <w:rPr>
          <w:rFonts w:cstheme="minorHAnsi"/>
        </w:rPr>
        <w:t>LawReviews</w:t>
      </w:r>
      <w:proofErr w:type="spellEnd"/>
      <w:r w:rsidRPr="000D5F1C">
        <w:rPr>
          <w:rFonts w:cstheme="minorHAnsi"/>
        </w:rPr>
        <w:t xml:space="preserve"> 2020), 191</w:t>
      </w:r>
      <w:r w:rsidR="00B2367D">
        <w:rPr>
          <w:rFonts w:cstheme="minorHAnsi"/>
        </w:rPr>
        <w:t>.</w:t>
      </w:r>
    </w:p>
  </w:footnote>
  <w:footnote w:id="289">
    <w:p w14:paraId="5FA0247F" w14:textId="44DC94F2" w:rsidR="0045133F" w:rsidRPr="000D5F1C" w:rsidRDefault="0045133F">
      <w:pPr>
        <w:pStyle w:val="FootnoteText"/>
        <w:rPr>
          <w:rFonts w:cstheme="minorHAnsi"/>
        </w:rPr>
      </w:pPr>
      <w:r w:rsidRPr="000D5F1C">
        <w:rPr>
          <w:rStyle w:val="FootnoteReference"/>
          <w:rFonts w:cstheme="minorHAnsi"/>
        </w:rPr>
        <w:footnoteRef/>
      </w:r>
      <w:r w:rsidRPr="000D5F1C">
        <w:rPr>
          <w:rFonts w:cstheme="minorHAnsi"/>
        </w:rPr>
        <w:t xml:space="preserve"> </w:t>
      </w:r>
      <w:bookmarkStart w:id="132" w:name="_Hlk107483899"/>
      <w:bookmarkStart w:id="133" w:name="_Hlk104806505"/>
      <w:r w:rsidRPr="000D5F1C">
        <w:rPr>
          <w:rFonts w:cstheme="minorHAnsi"/>
        </w:rPr>
        <w:t xml:space="preserve">Rein </w:t>
      </w:r>
      <w:proofErr w:type="spellStart"/>
      <w:r w:rsidRPr="000D5F1C">
        <w:rPr>
          <w:rFonts w:cstheme="minorHAnsi"/>
        </w:rPr>
        <w:t>Wesseling</w:t>
      </w:r>
      <w:proofErr w:type="spellEnd"/>
      <w:r w:rsidRPr="000D5F1C">
        <w:rPr>
          <w:rFonts w:cstheme="minorHAnsi"/>
        </w:rPr>
        <w:t xml:space="preserve"> </w:t>
      </w:r>
      <w:r w:rsidR="009B2D18">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‘Cartel damages cases in the Netherlands’ (2018) 4 CLPD</w:t>
      </w:r>
      <w:bookmarkEnd w:id="132"/>
      <w:r w:rsidRPr="000D5F1C">
        <w:rPr>
          <w:rFonts w:cstheme="minorHAnsi"/>
        </w:rPr>
        <w:t xml:space="preserve"> 23</w:t>
      </w:r>
      <w:bookmarkEnd w:id="133"/>
      <w:r w:rsidR="00B2367D">
        <w:rPr>
          <w:rFonts w:cstheme="minorHAnsi"/>
        </w:rPr>
        <w:t>.</w:t>
      </w:r>
    </w:p>
  </w:footnote>
  <w:footnote w:id="290">
    <w:p w14:paraId="36255D4B" w14:textId="2B2568A8" w:rsidR="006A544C" w:rsidRPr="000D5F1C" w:rsidRDefault="006A544C">
      <w:pPr>
        <w:pStyle w:val="FootnoteText"/>
        <w:rPr>
          <w:rFonts w:cstheme="minorHAnsi"/>
        </w:rPr>
      </w:pPr>
      <w:r w:rsidRPr="000D5F1C">
        <w:rPr>
          <w:rStyle w:val="FootnoteReference"/>
          <w:rFonts w:cstheme="minorHAnsi"/>
        </w:rPr>
        <w:footnoteRef/>
      </w:r>
      <w:r w:rsidRPr="000D5F1C">
        <w:rPr>
          <w:rFonts w:cstheme="minorHAnsi"/>
        </w:rPr>
        <w:t xml:space="preserve"> </w:t>
      </w:r>
      <w:r w:rsidR="00716071" w:rsidRPr="000D5F1C">
        <w:rPr>
          <w:rFonts w:cstheme="minorHAnsi"/>
        </w:rPr>
        <w:t>R</w:t>
      </w:r>
      <w:r w:rsidR="00716071">
        <w:rPr>
          <w:rFonts w:cstheme="minorHAnsi"/>
        </w:rPr>
        <w:t>ick</w:t>
      </w:r>
      <w:r w:rsidR="00261C7D" w:rsidRPr="000D5F1C">
        <w:rPr>
          <w:rFonts w:cstheme="minorHAnsi"/>
        </w:rPr>
        <w:t xml:space="preserve"> Cornelissen </w:t>
      </w:r>
      <w:r w:rsidR="007F3DAA">
        <w:rPr>
          <w:rFonts w:cstheme="minorHAnsi"/>
        </w:rPr>
        <w:t>and others</w:t>
      </w:r>
      <w:r w:rsidR="00261C7D" w:rsidRPr="000D5F1C">
        <w:rPr>
          <w:rFonts w:cstheme="minorHAnsi"/>
        </w:rPr>
        <w:t xml:space="preserve">, ‘Netherlands’ in Ilene K. Gotts and Kevin S. Schwartz (eds), </w:t>
      </w:r>
      <w:r w:rsidR="00261C7D" w:rsidRPr="000D5F1C">
        <w:rPr>
          <w:rFonts w:cstheme="minorHAnsi"/>
          <w:i/>
          <w:iCs/>
        </w:rPr>
        <w:t>Private Competition Enforcement Review</w:t>
      </w:r>
      <w:r w:rsidR="00261C7D" w:rsidRPr="000D5F1C">
        <w:rPr>
          <w:rFonts w:cstheme="minorHAnsi"/>
        </w:rPr>
        <w:t xml:space="preserve"> (Chapter 15, The </w:t>
      </w:r>
      <w:proofErr w:type="spellStart"/>
      <w:r w:rsidR="00261C7D" w:rsidRPr="000D5F1C">
        <w:rPr>
          <w:rFonts w:cstheme="minorHAnsi"/>
        </w:rPr>
        <w:t>LawReviews</w:t>
      </w:r>
      <w:proofErr w:type="spellEnd"/>
      <w:r w:rsidR="00261C7D" w:rsidRPr="000D5F1C">
        <w:rPr>
          <w:rFonts w:cstheme="minorHAnsi"/>
        </w:rPr>
        <w:t xml:space="preserve"> 2020), 191</w:t>
      </w:r>
      <w:r w:rsidR="00B2367D">
        <w:rPr>
          <w:rFonts w:cstheme="minorHAnsi"/>
        </w:rPr>
        <w:t>.</w:t>
      </w:r>
    </w:p>
  </w:footnote>
  <w:footnote w:id="291">
    <w:p w14:paraId="6488FD00" w14:textId="19FEBA58" w:rsidR="00E1204C" w:rsidRPr="000D5F1C" w:rsidRDefault="00E1204C" w:rsidP="00E1204C">
      <w:pPr>
        <w:pStyle w:val="FootnoteText"/>
        <w:rPr>
          <w:rFonts w:cstheme="minorHAnsi"/>
        </w:rPr>
      </w:pPr>
      <w:r w:rsidRPr="000D5F1C">
        <w:rPr>
          <w:rStyle w:val="FootnoteReference"/>
          <w:rFonts w:cstheme="minorHAnsi"/>
        </w:rPr>
        <w:footnoteRef/>
      </w:r>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w:t>
      </w:r>
      <w:r w:rsidR="009B2D18">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‘Cartel damages cases in the Netherlands’ (2018), 4 CLPD</w:t>
      </w:r>
      <w:r w:rsidR="00A86B94">
        <w:rPr>
          <w:rFonts w:cstheme="minorHAnsi"/>
        </w:rPr>
        <w:t xml:space="preserve"> 23,</w:t>
      </w:r>
      <w:r w:rsidRPr="000D5F1C">
        <w:rPr>
          <w:rFonts w:cstheme="minorHAnsi"/>
        </w:rPr>
        <w:t xml:space="preserve"> 2</w:t>
      </w:r>
      <w:r w:rsidR="0061096D" w:rsidRPr="000D5F1C">
        <w:rPr>
          <w:rFonts w:cstheme="minorHAnsi"/>
        </w:rPr>
        <w:t>5</w:t>
      </w:r>
      <w:r w:rsidR="00B2367D">
        <w:rPr>
          <w:rFonts w:cstheme="minorHAnsi"/>
        </w:rPr>
        <w:t>.</w:t>
      </w:r>
    </w:p>
  </w:footnote>
  <w:footnote w:id="292">
    <w:p w14:paraId="29B67D90" w14:textId="3F4D0A9F" w:rsidR="00E1204C" w:rsidRPr="000D5F1C" w:rsidRDefault="00E1204C">
      <w:pPr>
        <w:pStyle w:val="FootnoteText"/>
        <w:rPr>
          <w:rFonts w:cstheme="minorHAnsi"/>
        </w:rPr>
      </w:pPr>
      <w:r w:rsidRPr="000D5F1C">
        <w:rPr>
          <w:rStyle w:val="FootnoteReference"/>
          <w:rFonts w:cstheme="minorHAnsi"/>
        </w:rPr>
        <w:footnoteRef/>
      </w:r>
      <w:r w:rsidRPr="000D5F1C">
        <w:rPr>
          <w:rFonts w:cstheme="minorHAnsi"/>
        </w:rPr>
        <w:t xml:space="preserve"> </w:t>
      </w:r>
      <w:r w:rsidR="00716071" w:rsidRPr="000D5F1C">
        <w:rPr>
          <w:rFonts w:cstheme="minorHAnsi"/>
        </w:rPr>
        <w:t>R</w:t>
      </w:r>
      <w:r w:rsidR="00716071">
        <w:rPr>
          <w:rFonts w:cstheme="minorHAnsi"/>
        </w:rPr>
        <w:t>ick</w:t>
      </w:r>
      <w:r w:rsidRPr="000D5F1C">
        <w:rPr>
          <w:rFonts w:cstheme="minorHAnsi"/>
        </w:rPr>
        <w:t xml:space="preserve"> Cornelissen </w:t>
      </w:r>
      <w:r w:rsidR="007F3DAA">
        <w:rPr>
          <w:rFonts w:cstheme="minorHAnsi"/>
        </w:rPr>
        <w:t>and others</w:t>
      </w:r>
      <w:r w:rsidRPr="000D5F1C">
        <w:rPr>
          <w:rFonts w:cstheme="minorHAnsi"/>
        </w:rPr>
        <w:t xml:space="preserve">, ‘Netherlands’ in Ilene K. Gotts and Kevin S. Schwartz (eds), </w:t>
      </w:r>
      <w:r w:rsidRPr="000D5F1C">
        <w:rPr>
          <w:rFonts w:cstheme="minorHAnsi"/>
          <w:i/>
          <w:iCs/>
        </w:rPr>
        <w:t>Private Competition Enforcement Review</w:t>
      </w:r>
      <w:r w:rsidRPr="000D5F1C">
        <w:rPr>
          <w:rFonts w:cstheme="minorHAnsi"/>
        </w:rPr>
        <w:t xml:space="preserve"> (Chapter 15, The </w:t>
      </w:r>
      <w:proofErr w:type="spellStart"/>
      <w:r w:rsidRPr="000D5F1C">
        <w:rPr>
          <w:rFonts w:cstheme="minorHAnsi"/>
        </w:rPr>
        <w:t>LawReviews</w:t>
      </w:r>
      <w:proofErr w:type="spellEnd"/>
      <w:r w:rsidRPr="000D5F1C">
        <w:rPr>
          <w:rFonts w:cstheme="minorHAnsi"/>
        </w:rPr>
        <w:t xml:space="preserve"> 2020), 191; Rein </w:t>
      </w:r>
      <w:proofErr w:type="spellStart"/>
      <w:r w:rsidRPr="000D5F1C">
        <w:rPr>
          <w:rFonts w:cstheme="minorHAnsi"/>
        </w:rPr>
        <w:t>Wesseling</w:t>
      </w:r>
      <w:proofErr w:type="spellEnd"/>
      <w:r w:rsidRPr="000D5F1C">
        <w:rPr>
          <w:rFonts w:cstheme="minorHAnsi"/>
        </w:rPr>
        <w:t xml:space="preserve"> </w:t>
      </w:r>
      <w:r w:rsidR="00EF492B">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‘Cartel damages cases in the Netherlands’ (2018) 4</w:t>
      </w:r>
      <w:r w:rsidR="00EF492B">
        <w:rPr>
          <w:rFonts w:cstheme="minorHAnsi"/>
        </w:rPr>
        <w:t xml:space="preserve"> </w:t>
      </w:r>
      <w:r w:rsidRPr="000D5F1C">
        <w:rPr>
          <w:rFonts w:cstheme="minorHAnsi"/>
        </w:rPr>
        <w:t>CLPD</w:t>
      </w:r>
      <w:r w:rsidR="00EF492B">
        <w:rPr>
          <w:rFonts w:cstheme="minorHAnsi"/>
        </w:rPr>
        <w:t xml:space="preserve"> </w:t>
      </w:r>
      <w:r w:rsidRPr="000D5F1C">
        <w:rPr>
          <w:rFonts w:cstheme="minorHAnsi"/>
        </w:rPr>
        <w:t xml:space="preserve">23; </w:t>
      </w:r>
      <w:proofErr w:type="spellStart"/>
      <w:r w:rsidRPr="000D5F1C">
        <w:rPr>
          <w:rFonts w:cstheme="minorHAnsi"/>
        </w:rPr>
        <w:t>Rogier</w:t>
      </w:r>
      <w:proofErr w:type="spellEnd"/>
      <w:r w:rsidRPr="000D5F1C">
        <w:rPr>
          <w:rFonts w:cstheme="minorHAnsi"/>
        </w:rPr>
        <w:t xml:space="preserve"> Meijer </w:t>
      </w:r>
      <w:r w:rsidR="007F3DAA">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w:t>
      </w:r>
      <w:r w:rsidR="001A50B4">
        <w:rPr>
          <w:rFonts w:cstheme="minorHAnsi"/>
        </w:rPr>
        <w:t>,</w:t>
      </w:r>
      <w:r w:rsidRPr="000D5F1C">
        <w:rPr>
          <w:rFonts w:cstheme="minorHAnsi"/>
        </w:rPr>
        <w:t xml:space="preserve"> 159</w:t>
      </w:r>
      <w:r w:rsidR="00B2367D">
        <w:rPr>
          <w:rFonts w:cstheme="minorHAnsi"/>
        </w:rPr>
        <w:t>.</w:t>
      </w:r>
    </w:p>
  </w:footnote>
  <w:footnote w:id="293">
    <w:p w14:paraId="5BA7B7F2" w14:textId="4EA5BC77" w:rsidR="007A7865" w:rsidRPr="000D5F1C" w:rsidRDefault="007A7865">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151</w:t>
      </w:r>
      <w:r w:rsidR="00B2367D">
        <w:rPr>
          <w:rFonts w:cstheme="minorHAnsi"/>
        </w:rPr>
        <w:t>.</w:t>
      </w:r>
    </w:p>
  </w:footnote>
  <w:footnote w:id="294">
    <w:p w14:paraId="48582F18" w14:textId="5BFCC05D" w:rsidR="00BD3F66" w:rsidRPr="000D5F1C" w:rsidRDefault="00BD3F66" w:rsidP="00BD3F66">
      <w:pPr>
        <w:pStyle w:val="FootnoteText"/>
        <w:rPr>
          <w:rFonts w:cstheme="minorHAnsi"/>
        </w:rPr>
      </w:pPr>
      <w:r w:rsidRPr="000D5F1C">
        <w:rPr>
          <w:rStyle w:val="FootnoteReference"/>
          <w:rFonts w:cstheme="minorHAnsi"/>
        </w:rPr>
        <w:footnoteRef/>
      </w:r>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w:t>
      </w:r>
      <w:r w:rsidR="009B2D18">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‘Cartel damages cases in the Netherlands’ (2018) 4 CLPD 23</w:t>
      </w:r>
      <w:r w:rsidR="00B2367D">
        <w:rPr>
          <w:rFonts w:cstheme="minorHAnsi"/>
        </w:rPr>
        <w:t>.</w:t>
      </w:r>
    </w:p>
  </w:footnote>
  <w:footnote w:id="295">
    <w:p w14:paraId="0E4DCE54" w14:textId="5F08F78C" w:rsidR="00DC7E0C" w:rsidRPr="000D5F1C" w:rsidRDefault="00DC7E0C">
      <w:pPr>
        <w:pStyle w:val="FootnoteText"/>
        <w:rPr>
          <w:rFonts w:cstheme="minorHAnsi"/>
        </w:rPr>
      </w:pPr>
      <w:r w:rsidRPr="000D5F1C">
        <w:rPr>
          <w:rStyle w:val="FootnoteReference"/>
          <w:rFonts w:cstheme="minorHAnsi"/>
        </w:rPr>
        <w:footnoteRef/>
      </w:r>
      <w:r w:rsidRPr="000D5F1C">
        <w:rPr>
          <w:rFonts w:cstheme="minorHAnsi"/>
        </w:rPr>
        <w:t xml:space="preserve"> </w:t>
      </w:r>
      <w:bookmarkStart w:id="134" w:name="_Hlk107483966"/>
      <w:r w:rsidRPr="000D5F1C">
        <w:rPr>
          <w:rFonts w:cstheme="minorHAnsi"/>
        </w:rPr>
        <w:t xml:space="preserve">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w:t>
      </w:r>
      <w:bookmarkEnd w:id="134"/>
      <w:r w:rsidRPr="000D5F1C">
        <w:rPr>
          <w:rFonts w:cstheme="minorHAnsi"/>
        </w:rPr>
        <w:t>, 130</w:t>
      </w:r>
      <w:r w:rsidR="00B2367D">
        <w:rPr>
          <w:rFonts w:cstheme="minorHAnsi"/>
        </w:rPr>
        <w:t>.</w:t>
      </w:r>
    </w:p>
  </w:footnote>
  <w:footnote w:id="296">
    <w:p w14:paraId="7D0F9955" w14:textId="320977D6" w:rsidR="00DC7E0C" w:rsidRPr="000D5F1C" w:rsidRDefault="00DC7E0C" w:rsidP="00DC7E0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 xml:space="preserve">(Chapter 5, Kluwer Law International 2020), 151-152; </w:t>
      </w:r>
      <w:r w:rsidRPr="000D5F1C">
        <w:rPr>
          <w:rFonts w:cstheme="minorHAnsi"/>
          <w:lang w:val="en-GB"/>
        </w:rPr>
        <w:t>Stefan Vermeulen, ‘</w:t>
      </w:r>
      <w:r w:rsidRPr="000D5F1C">
        <w:rPr>
          <w:rFonts w:cstheme="minorHAnsi"/>
          <w:lang w:val="nl-NL"/>
        </w:rPr>
        <w:t xml:space="preserve">Vrees voor overbelasting rechtssysteem door hausse aan massaclaims van buitenlandse investeerders’ </w:t>
      </w:r>
      <w:r w:rsidRPr="000D5F1C">
        <w:rPr>
          <w:rFonts w:cstheme="minorHAnsi"/>
          <w:i/>
          <w:iCs/>
          <w:lang w:val="en-GB"/>
        </w:rPr>
        <w:t>NRC</w:t>
      </w:r>
      <w:r w:rsidRPr="000D5F1C">
        <w:rPr>
          <w:rFonts w:cstheme="minorHAnsi"/>
          <w:lang w:val="en-GB"/>
        </w:rPr>
        <w:t xml:space="preserve"> (16 February 2022) &lt;https://www.nrc.nl/nieuws/2022/02/16/buitenlandse-investeerders-veroorzaken-hausse-aan-massaclaims-vrees-voor-overbelasting-rechtssysteem-2-a4090501&gt; </w:t>
      </w:r>
      <w:proofErr w:type="spellStart"/>
      <w:r w:rsidRPr="000D5F1C">
        <w:rPr>
          <w:rFonts w:cstheme="minorHAnsi"/>
          <w:lang w:val="nl-NL"/>
        </w:rPr>
        <w:t>accessed</w:t>
      </w:r>
      <w:proofErr w:type="spellEnd"/>
      <w:r w:rsidRPr="000D5F1C">
        <w:rPr>
          <w:rFonts w:cstheme="minorHAnsi"/>
          <w:lang w:val="nl-NL"/>
        </w:rPr>
        <w:t xml:space="preserve"> 3 </w:t>
      </w:r>
      <w:proofErr w:type="spellStart"/>
      <w:r w:rsidRPr="000D5F1C">
        <w:rPr>
          <w:rFonts w:cstheme="minorHAnsi"/>
          <w:lang w:val="nl-NL"/>
        </w:rPr>
        <w:t>March</w:t>
      </w:r>
      <w:proofErr w:type="spellEnd"/>
      <w:r w:rsidRPr="000D5F1C">
        <w:rPr>
          <w:rFonts w:cstheme="minorHAnsi"/>
          <w:lang w:val="nl-NL"/>
        </w:rPr>
        <w:t xml:space="preserve"> 2022</w:t>
      </w:r>
      <w:r w:rsidR="00B2367D">
        <w:rPr>
          <w:rFonts w:cstheme="minorHAnsi"/>
          <w:lang w:val="nl-NL"/>
        </w:rPr>
        <w:t>.</w:t>
      </w:r>
    </w:p>
  </w:footnote>
  <w:footnote w:id="297">
    <w:p w14:paraId="1D570220" w14:textId="7441F3C9" w:rsidR="00FB6A3B" w:rsidRPr="000D5F1C" w:rsidRDefault="00FB6A3B">
      <w:pPr>
        <w:pStyle w:val="FootnoteText"/>
        <w:rPr>
          <w:rFonts w:cstheme="minorHAnsi"/>
        </w:rPr>
      </w:pPr>
      <w:r w:rsidRPr="000D5F1C">
        <w:rPr>
          <w:rStyle w:val="FootnoteReference"/>
          <w:rFonts w:cstheme="minorHAnsi"/>
        </w:rPr>
        <w:footnoteRef/>
      </w:r>
      <w:r w:rsidRPr="000D5F1C">
        <w:rPr>
          <w:rFonts w:cstheme="minorHAnsi"/>
        </w:rPr>
        <w:t xml:space="preserve"> </w:t>
      </w:r>
      <w:bookmarkStart w:id="135" w:name="_Hlk107446103"/>
      <w:proofErr w:type="spellStart"/>
      <w:r w:rsidRPr="000D5F1C">
        <w:rPr>
          <w:rFonts w:cstheme="minorHAnsi"/>
        </w:rPr>
        <w:t>Implementatiewet</w:t>
      </w:r>
      <w:proofErr w:type="spellEnd"/>
      <w:r w:rsidRPr="000D5F1C">
        <w:rPr>
          <w:rFonts w:cstheme="minorHAnsi"/>
        </w:rPr>
        <w:t xml:space="preserve"> </w:t>
      </w:r>
      <w:proofErr w:type="spellStart"/>
      <w:r w:rsidRPr="000D5F1C">
        <w:rPr>
          <w:rFonts w:cstheme="minorHAnsi"/>
        </w:rPr>
        <w:t>richtlijn</w:t>
      </w:r>
      <w:proofErr w:type="spellEnd"/>
      <w:r w:rsidRPr="000D5F1C">
        <w:rPr>
          <w:rFonts w:cstheme="minorHAnsi"/>
        </w:rPr>
        <w:t xml:space="preserve"> </w:t>
      </w:r>
      <w:proofErr w:type="spellStart"/>
      <w:r w:rsidRPr="000D5F1C">
        <w:rPr>
          <w:rFonts w:cstheme="minorHAnsi"/>
        </w:rPr>
        <w:t>privaatrechtelijke</w:t>
      </w:r>
      <w:proofErr w:type="spellEnd"/>
      <w:r w:rsidRPr="000D5F1C">
        <w:rPr>
          <w:rFonts w:cstheme="minorHAnsi"/>
        </w:rPr>
        <w:t xml:space="preserve"> </w:t>
      </w:r>
      <w:proofErr w:type="spellStart"/>
      <w:r w:rsidRPr="000D5F1C">
        <w:rPr>
          <w:rFonts w:cstheme="minorHAnsi"/>
        </w:rPr>
        <w:t>handhaving</w:t>
      </w:r>
      <w:proofErr w:type="spellEnd"/>
      <w:r w:rsidRPr="000D5F1C">
        <w:rPr>
          <w:rFonts w:cstheme="minorHAnsi"/>
        </w:rPr>
        <w:t xml:space="preserve"> </w:t>
      </w:r>
      <w:proofErr w:type="spellStart"/>
      <w:r w:rsidRPr="000D5F1C">
        <w:rPr>
          <w:rFonts w:cstheme="minorHAnsi"/>
        </w:rPr>
        <w:t>mededingingsrecht</w:t>
      </w:r>
      <w:proofErr w:type="spellEnd"/>
      <w:r w:rsidRPr="000D5F1C">
        <w:rPr>
          <w:rFonts w:cstheme="minorHAnsi"/>
        </w:rPr>
        <w:t xml:space="preserve">, </w:t>
      </w:r>
      <w:proofErr w:type="spellStart"/>
      <w:r w:rsidRPr="000D5F1C">
        <w:rPr>
          <w:rFonts w:cstheme="minorHAnsi"/>
        </w:rPr>
        <w:t>Staatsblad</w:t>
      </w:r>
      <w:proofErr w:type="spellEnd"/>
      <w:r w:rsidRPr="000D5F1C">
        <w:rPr>
          <w:rFonts w:cstheme="minorHAnsi"/>
        </w:rPr>
        <w:t xml:space="preserve"> 2017, 28 (Implementing Act)</w:t>
      </w:r>
      <w:bookmarkEnd w:id="135"/>
      <w:r w:rsidR="00B2367D">
        <w:rPr>
          <w:rFonts w:cstheme="minorHAnsi"/>
        </w:rPr>
        <w:t>.</w:t>
      </w:r>
    </w:p>
  </w:footnote>
  <w:footnote w:id="298">
    <w:p w14:paraId="6AE1F823" w14:textId="11D468D0" w:rsidR="00782B76" w:rsidRPr="000D5F1C" w:rsidRDefault="00782B76">
      <w:pPr>
        <w:pStyle w:val="FootnoteText"/>
        <w:rPr>
          <w:rFonts w:cstheme="minorHAnsi"/>
        </w:rPr>
      </w:pPr>
      <w:r w:rsidRPr="000D5F1C">
        <w:rPr>
          <w:rStyle w:val="FootnoteReference"/>
          <w:rFonts w:cstheme="minorHAnsi"/>
        </w:rPr>
        <w:footnoteRef/>
      </w:r>
      <w:r w:rsidRPr="000D5F1C">
        <w:rPr>
          <w:rFonts w:cstheme="minorHAnsi"/>
        </w:rPr>
        <w:t xml:space="preserve"> </w:t>
      </w:r>
      <w:r w:rsidR="00F13D79" w:rsidRPr="000D5F1C">
        <w:rPr>
          <w:rFonts w:cstheme="minorHAnsi"/>
        </w:rPr>
        <w:t xml:space="preserve">Jeroen </w:t>
      </w:r>
      <w:proofErr w:type="spellStart"/>
      <w:r w:rsidR="00F13D79" w:rsidRPr="000D5F1C">
        <w:rPr>
          <w:rFonts w:cstheme="minorHAnsi"/>
        </w:rPr>
        <w:t>Kortmann</w:t>
      </w:r>
      <w:proofErr w:type="spellEnd"/>
      <w:r w:rsidR="00F13D79" w:rsidRPr="000D5F1C">
        <w:rPr>
          <w:rFonts w:cstheme="minorHAnsi"/>
        </w:rPr>
        <w:t xml:space="preserve"> </w:t>
      </w:r>
      <w:r w:rsidR="007F3DAA">
        <w:rPr>
          <w:rFonts w:cstheme="minorHAnsi"/>
        </w:rPr>
        <w:t>and</w:t>
      </w:r>
      <w:r w:rsidR="00F13D79" w:rsidRPr="000D5F1C">
        <w:rPr>
          <w:rFonts w:cstheme="minorHAnsi"/>
        </w:rPr>
        <w:t xml:space="preserve"> Simon </w:t>
      </w:r>
      <w:proofErr w:type="spellStart"/>
      <w:r w:rsidR="00F13D79" w:rsidRPr="000D5F1C">
        <w:rPr>
          <w:rFonts w:cstheme="minorHAnsi"/>
        </w:rPr>
        <w:t>Mineur</w:t>
      </w:r>
      <w:proofErr w:type="spellEnd"/>
      <w:r w:rsidR="00F13D79" w:rsidRPr="000D5F1C">
        <w:rPr>
          <w:rFonts w:cstheme="minorHAnsi"/>
        </w:rPr>
        <w:t xml:space="preserve">, ‘The Netherlands’ in Barry Rodger, Francisco Marcos and Miguel S. Ferro (eds), </w:t>
      </w:r>
      <w:r w:rsidR="00F13D79" w:rsidRPr="000D5F1C">
        <w:rPr>
          <w:rFonts w:cstheme="minorHAnsi"/>
          <w:i/>
          <w:iCs/>
        </w:rPr>
        <w:t>The EU Antitrust Damages Directive: Transposition in the Member States</w:t>
      </w:r>
      <w:r w:rsidR="00F13D79" w:rsidRPr="000D5F1C">
        <w:rPr>
          <w:rFonts w:cstheme="minorHAnsi"/>
        </w:rPr>
        <w:t xml:space="preserve"> (Chapter 13, Oxford University Press 2019), 288</w:t>
      </w:r>
      <w:r w:rsidR="00B2367D">
        <w:rPr>
          <w:rFonts w:cstheme="minorHAnsi"/>
        </w:rPr>
        <w:t>.</w:t>
      </w:r>
    </w:p>
  </w:footnote>
  <w:footnote w:id="299">
    <w:p w14:paraId="758755A4" w14:textId="70D96954" w:rsidR="001B0DF9" w:rsidRPr="000D5F1C" w:rsidRDefault="001B0DF9">
      <w:pPr>
        <w:pStyle w:val="FootnoteText"/>
        <w:rPr>
          <w:rFonts w:cstheme="minorHAnsi"/>
        </w:rPr>
      </w:pPr>
      <w:r w:rsidRPr="000D5F1C">
        <w:rPr>
          <w:rStyle w:val="FootnoteReference"/>
          <w:rFonts w:cstheme="minorHAnsi"/>
        </w:rPr>
        <w:footnoteRef/>
      </w:r>
      <w:r w:rsidR="004A65F9">
        <w:rPr>
          <w:rFonts w:cstheme="minorHAnsi"/>
        </w:rPr>
        <w:t xml:space="preserve"> </w:t>
      </w:r>
      <w:r w:rsidR="007F3DAA" w:rsidRPr="007F3DAA">
        <w:rPr>
          <w:rFonts w:cstheme="minorHAnsi"/>
        </w:rPr>
        <w:t xml:space="preserve">Matthijs </w:t>
      </w:r>
      <w:proofErr w:type="spellStart"/>
      <w:r w:rsidR="007F3DAA" w:rsidRPr="007F3DAA">
        <w:rPr>
          <w:rFonts w:cstheme="minorHAnsi"/>
        </w:rPr>
        <w:t>Kuijpers</w:t>
      </w:r>
      <w:proofErr w:type="spellEnd"/>
      <w:r w:rsidR="007F3DAA" w:rsidRPr="007F3DAA">
        <w:rPr>
          <w:rFonts w:cstheme="minorHAnsi"/>
        </w:rPr>
        <w:t xml:space="preserve"> and others, ‘Actions for Damages in the Netherlands, the United Kingdom and Germany’ (2018) 9 Journal of European Competition Law &amp; Practice</w:t>
      </w:r>
      <w:r w:rsidR="00A86B94">
        <w:rPr>
          <w:rFonts w:cstheme="minorHAnsi"/>
        </w:rPr>
        <w:t xml:space="preserve"> 55,</w:t>
      </w:r>
      <w:r w:rsidR="007F3DAA">
        <w:rPr>
          <w:rFonts w:cstheme="minorHAnsi"/>
        </w:rPr>
        <w:t xml:space="preserve"> </w:t>
      </w:r>
      <w:r w:rsidR="00FA7FC4" w:rsidRPr="000D5F1C">
        <w:rPr>
          <w:rFonts w:cstheme="minorHAnsi"/>
        </w:rPr>
        <w:t>56</w:t>
      </w:r>
      <w:r w:rsidR="00B2367D">
        <w:rPr>
          <w:rFonts w:cstheme="minorHAnsi"/>
        </w:rPr>
        <w:t>.</w:t>
      </w:r>
    </w:p>
  </w:footnote>
  <w:footnote w:id="300">
    <w:p w14:paraId="69BE3902" w14:textId="52A4E6F6" w:rsidR="00AE43C0" w:rsidRPr="000D5F1C" w:rsidRDefault="00AE43C0" w:rsidP="00AE43C0">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143-144</w:t>
      </w:r>
      <w:r w:rsidR="00B2367D">
        <w:rPr>
          <w:rFonts w:cstheme="minorHAnsi"/>
        </w:rPr>
        <w:t>.</w:t>
      </w:r>
    </w:p>
  </w:footnote>
  <w:footnote w:id="301">
    <w:p w14:paraId="419DF797" w14:textId="6FA8DA88" w:rsidR="00AE43C0" w:rsidRPr="000D5F1C" w:rsidRDefault="00AE43C0" w:rsidP="00AE43C0">
      <w:pPr>
        <w:pStyle w:val="FootnoteText"/>
        <w:rPr>
          <w:rFonts w:cstheme="minorHAnsi"/>
        </w:rPr>
      </w:pPr>
      <w:r w:rsidRPr="000D5F1C">
        <w:rPr>
          <w:rStyle w:val="FootnoteReference"/>
          <w:rFonts w:cstheme="minorHAnsi"/>
        </w:rPr>
        <w:footnoteRef/>
      </w:r>
      <w:r w:rsidRPr="000D5F1C">
        <w:rPr>
          <w:rFonts w:cstheme="minorHAnsi"/>
        </w:rPr>
        <w:t xml:space="preserve"> </w:t>
      </w:r>
      <w:r w:rsidR="00716706" w:rsidRPr="00716706">
        <w:rPr>
          <w:rFonts w:cstheme="minorHAnsi"/>
        </w:rPr>
        <w:t>Jean-François Laborde, ‘Cartel damages actions in Europe: How courts have assessed cartel overcharges (2021 ed.)’ (2021) 3 Concurrences 232</w:t>
      </w:r>
      <w:r w:rsidR="00716706">
        <w:rPr>
          <w:rFonts w:cstheme="minorHAnsi"/>
        </w:rPr>
        <w:t xml:space="preserve">, </w:t>
      </w:r>
      <w:r w:rsidRPr="000D5F1C">
        <w:rPr>
          <w:rFonts w:cstheme="minorHAnsi"/>
        </w:rPr>
        <w:t>235</w:t>
      </w:r>
      <w:r w:rsidR="00B2367D">
        <w:rPr>
          <w:rFonts w:cstheme="minorHAnsi"/>
        </w:rPr>
        <w:t>.</w:t>
      </w:r>
    </w:p>
  </w:footnote>
  <w:footnote w:id="302">
    <w:p w14:paraId="3EA74751" w14:textId="176BF6C4"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r w:rsidR="00B2367D">
        <w:rPr>
          <w:rFonts w:cstheme="minorHAnsi"/>
        </w:rPr>
        <w:t>ibid</w:t>
      </w:r>
      <w:r w:rsidRPr="000D5F1C">
        <w:rPr>
          <w:rFonts w:cstheme="minorHAnsi"/>
        </w:rPr>
        <w:t xml:space="preserve"> footnote 21</w:t>
      </w:r>
      <w:r w:rsidR="00B2367D">
        <w:rPr>
          <w:rFonts w:cstheme="minorHAnsi"/>
        </w:rPr>
        <w:t>.</w:t>
      </w:r>
    </w:p>
  </w:footnote>
  <w:footnote w:id="303">
    <w:p w14:paraId="0849552F" w14:textId="77777777" w:rsidR="00B274B3" w:rsidRPr="000D5F1C" w:rsidRDefault="00B274B3" w:rsidP="00B274B3">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151</w:t>
      </w:r>
      <w:r>
        <w:rPr>
          <w:rFonts w:cstheme="minorHAnsi"/>
        </w:rPr>
        <w:t>.</w:t>
      </w:r>
    </w:p>
  </w:footnote>
  <w:footnote w:id="304">
    <w:p w14:paraId="6138B0DA" w14:textId="77777777" w:rsidR="00B274B3" w:rsidRPr="000D5F1C" w:rsidRDefault="00B274B3" w:rsidP="00B274B3">
      <w:pPr>
        <w:pStyle w:val="FootnoteText"/>
        <w:rPr>
          <w:rFonts w:cstheme="minorHAnsi"/>
        </w:rPr>
      </w:pPr>
      <w:r w:rsidRPr="000D5F1C">
        <w:rPr>
          <w:rStyle w:val="FootnoteReference"/>
          <w:rFonts w:cstheme="minorHAnsi"/>
        </w:rPr>
        <w:footnoteRef/>
      </w:r>
      <w:r w:rsidRPr="000D5F1C">
        <w:rPr>
          <w:rFonts w:cstheme="minorHAnsi"/>
        </w:rPr>
        <w:t xml:space="preserve"> </w:t>
      </w:r>
      <w:bookmarkStart w:id="137" w:name="_Hlk107446124"/>
      <w:proofErr w:type="spellStart"/>
      <w:r w:rsidRPr="000D5F1C">
        <w:rPr>
          <w:rFonts w:cstheme="minorHAnsi"/>
        </w:rPr>
        <w:t>Gerechtshof</w:t>
      </w:r>
      <w:proofErr w:type="spellEnd"/>
      <w:r w:rsidRPr="000D5F1C">
        <w:rPr>
          <w:rFonts w:cstheme="minorHAnsi"/>
        </w:rPr>
        <w:t xml:space="preserve"> Amsterdam 24 </w:t>
      </w:r>
      <w:r>
        <w:rPr>
          <w:rFonts w:cstheme="minorHAnsi"/>
        </w:rPr>
        <w:t>S</w:t>
      </w:r>
      <w:r w:rsidRPr="000D5F1C">
        <w:rPr>
          <w:rFonts w:cstheme="minorHAnsi"/>
        </w:rPr>
        <w:t>eptember 2013, ECLI:NL:GHAMS:2013:3013 (</w:t>
      </w:r>
      <w:proofErr w:type="spellStart"/>
      <w:r w:rsidRPr="000D5F1C">
        <w:rPr>
          <w:rFonts w:cstheme="minorHAnsi"/>
        </w:rPr>
        <w:t>Equilib</w:t>
      </w:r>
      <w:proofErr w:type="spellEnd"/>
      <w:r w:rsidRPr="000D5F1C">
        <w:rPr>
          <w:rFonts w:cstheme="minorHAnsi"/>
        </w:rPr>
        <w:t xml:space="preserve"> v KLM)</w:t>
      </w:r>
      <w:bookmarkEnd w:id="137"/>
      <w:r>
        <w:rPr>
          <w:rFonts w:cstheme="minorHAnsi"/>
        </w:rPr>
        <w:t>.</w:t>
      </w:r>
    </w:p>
  </w:footnote>
  <w:footnote w:id="305">
    <w:p w14:paraId="73C74FE4" w14:textId="0396ADA2" w:rsidR="00EE3236" w:rsidRPr="000D5F1C" w:rsidRDefault="00EE3236">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146</w:t>
      </w:r>
      <w:r w:rsidR="00B2367D">
        <w:rPr>
          <w:rFonts w:cstheme="minorHAnsi"/>
        </w:rPr>
        <w:t>.</w:t>
      </w:r>
    </w:p>
  </w:footnote>
  <w:footnote w:id="306">
    <w:p w14:paraId="725E3F62" w14:textId="16123A51" w:rsidR="001F1FC2" w:rsidRPr="000D5F1C" w:rsidRDefault="001F1FC2">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Gerechtshof</w:t>
      </w:r>
      <w:proofErr w:type="spellEnd"/>
      <w:r w:rsidRPr="000D5F1C">
        <w:rPr>
          <w:rFonts w:cstheme="minorHAnsi"/>
        </w:rPr>
        <w:t xml:space="preserve"> Amsterdam 24 </w:t>
      </w:r>
      <w:r w:rsidR="00690FA2">
        <w:rPr>
          <w:rFonts w:cstheme="minorHAnsi"/>
        </w:rPr>
        <w:t>S</w:t>
      </w:r>
      <w:r w:rsidRPr="000D5F1C">
        <w:rPr>
          <w:rFonts w:cstheme="minorHAnsi"/>
        </w:rPr>
        <w:t>eptember 2013, ECLI:NL:GHAMS:2013:3013 (</w:t>
      </w:r>
      <w:proofErr w:type="spellStart"/>
      <w:r w:rsidRPr="000D5F1C">
        <w:rPr>
          <w:rFonts w:cstheme="minorHAnsi"/>
        </w:rPr>
        <w:t>Equilib</w:t>
      </w:r>
      <w:proofErr w:type="spellEnd"/>
      <w:r w:rsidRPr="000D5F1C">
        <w:rPr>
          <w:rFonts w:cstheme="minorHAnsi"/>
        </w:rPr>
        <w:t xml:space="preserve"> v KLM), para 3.12</w:t>
      </w:r>
      <w:r w:rsidR="00B2367D">
        <w:rPr>
          <w:rFonts w:cstheme="minorHAnsi"/>
        </w:rPr>
        <w:t>.</w:t>
      </w:r>
    </w:p>
  </w:footnote>
  <w:footnote w:id="307">
    <w:p w14:paraId="10317598" w14:textId="5453F3FD" w:rsidR="00C212CE" w:rsidRPr="000D5F1C" w:rsidRDefault="00C212CE">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Gerechtshof</w:t>
      </w:r>
      <w:proofErr w:type="spellEnd"/>
      <w:r w:rsidRPr="000D5F1C">
        <w:rPr>
          <w:rFonts w:cstheme="minorHAnsi"/>
        </w:rPr>
        <w:t xml:space="preserve"> Amsterdam 24 </w:t>
      </w:r>
      <w:r w:rsidR="00690FA2">
        <w:rPr>
          <w:rFonts w:cstheme="minorHAnsi"/>
        </w:rPr>
        <w:t>S</w:t>
      </w:r>
      <w:r w:rsidRPr="000D5F1C">
        <w:rPr>
          <w:rFonts w:cstheme="minorHAnsi"/>
        </w:rPr>
        <w:t>eptember 2013, ECLI:NL:GHAMS:2013:3013 (</w:t>
      </w:r>
      <w:proofErr w:type="spellStart"/>
      <w:r w:rsidRPr="000D5F1C">
        <w:rPr>
          <w:rFonts w:cstheme="minorHAnsi"/>
        </w:rPr>
        <w:t>Equilib</w:t>
      </w:r>
      <w:proofErr w:type="spellEnd"/>
      <w:r w:rsidRPr="000D5F1C">
        <w:rPr>
          <w:rFonts w:cstheme="minorHAnsi"/>
        </w:rPr>
        <w:t xml:space="preserve"> v KLM), para 3.14</w:t>
      </w:r>
      <w:r w:rsidR="00B2367D">
        <w:rPr>
          <w:rFonts w:cstheme="minorHAnsi"/>
        </w:rPr>
        <w:t>.</w:t>
      </w:r>
    </w:p>
  </w:footnote>
  <w:footnote w:id="308">
    <w:p w14:paraId="3D7557FD" w14:textId="0C29E24A" w:rsidR="00475622" w:rsidRPr="000D5F1C" w:rsidRDefault="00475622">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146</w:t>
      </w:r>
      <w:r w:rsidR="00B2367D">
        <w:rPr>
          <w:rFonts w:cstheme="minorHAnsi"/>
        </w:rPr>
        <w:t>.</w:t>
      </w:r>
    </w:p>
  </w:footnote>
  <w:footnote w:id="309">
    <w:p w14:paraId="32F60390" w14:textId="2CF896F5" w:rsidR="004B6A1D" w:rsidRPr="000D5F1C" w:rsidRDefault="004B6A1D">
      <w:pPr>
        <w:pStyle w:val="FootnoteText"/>
        <w:rPr>
          <w:rFonts w:cstheme="minorHAnsi"/>
        </w:rPr>
      </w:pPr>
      <w:r w:rsidRPr="000D5F1C">
        <w:rPr>
          <w:rStyle w:val="FootnoteReference"/>
          <w:rFonts w:cstheme="minorHAnsi"/>
        </w:rPr>
        <w:footnoteRef/>
      </w:r>
      <w:r w:rsidRPr="000D5F1C">
        <w:rPr>
          <w:rFonts w:cstheme="minorHAnsi"/>
        </w:rPr>
        <w:t xml:space="preserve"> </w:t>
      </w:r>
      <w:r w:rsidR="00B2367D">
        <w:rPr>
          <w:rFonts w:cstheme="minorHAnsi"/>
        </w:rPr>
        <w:t>ibid.</w:t>
      </w:r>
    </w:p>
  </w:footnote>
  <w:footnote w:id="310">
    <w:p w14:paraId="376BE6E8" w14:textId="24A87862" w:rsidR="00093FA8" w:rsidRPr="000D5F1C" w:rsidRDefault="00093FA8" w:rsidP="00093FA8">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w:t>
      </w:r>
      <w:r w:rsidR="00B2367D">
        <w:rPr>
          <w:rFonts w:cstheme="minorHAnsi"/>
        </w:rPr>
        <w:t>.</w:t>
      </w:r>
    </w:p>
  </w:footnote>
  <w:footnote w:id="311">
    <w:p w14:paraId="51942B57" w14:textId="2279623D" w:rsidR="0061096D" w:rsidRPr="000D5F1C" w:rsidRDefault="0061096D">
      <w:pPr>
        <w:pStyle w:val="FootnoteText"/>
        <w:rPr>
          <w:rFonts w:cstheme="minorHAnsi"/>
        </w:rPr>
      </w:pPr>
      <w:r w:rsidRPr="000D5F1C">
        <w:rPr>
          <w:rStyle w:val="FootnoteReference"/>
          <w:rFonts w:cstheme="minorHAnsi"/>
        </w:rPr>
        <w:footnoteRef/>
      </w:r>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w:t>
      </w:r>
      <w:r w:rsidR="009B2D18">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xml:space="preserve">, ‘Cartel damages cases in the Netherlands’ (2018) 4 CLPD </w:t>
      </w:r>
      <w:r w:rsidR="00A86B94">
        <w:rPr>
          <w:rFonts w:cstheme="minorHAnsi"/>
        </w:rPr>
        <w:t xml:space="preserve">23, </w:t>
      </w:r>
      <w:r w:rsidRPr="000D5F1C">
        <w:rPr>
          <w:rFonts w:cstheme="minorHAnsi"/>
        </w:rPr>
        <w:t>25</w:t>
      </w:r>
      <w:r w:rsidR="00B2367D">
        <w:rPr>
          <w:rFonts w:cstheme="minorHAnsi"/>
        </w:rPr>
        <w:t>.</w:t>
      </w:r>
    </w:p>
  </w:footnote>
  <w:footnote w:id="312">
    <w:p w14:paraId="696C887A" w14:textId="064278A2" w:rsidR="00777A7C" w:rsidRPr="000D5F1C" w:rsidRDefault="00777A7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32-32</w:t>
      </w:r>
      <w:r w:rsidR="00B2367D">
        <w:rPr>
          <w:rFonts w:cstheme="minorHAnsi"/>
        </w:rPr>
        <w:t>.</w:t>
      </w:r>
    </w:p>
  </w:footnote>
  <w:footnote w:id="313">
    <w:p w14:paraId="4A135C95" w14:textId="1877DFE3" w:rsidR="00EF06E6" w:rsidRPr="000D5F1C" w:rsidRDefault="00EF06E6">
      <w:pPr>
        <w:pStyle w:val="FootnoteText"/>
        <w:rPr>
          <w:rFonts w:cstheme="minorHAnsi"/>
        </w:rPr>
      </w:pPr>
      <w:r w:rsidRPr="000D5F1C">
        <w:rPr>
          <w:rStyle w:val="FootnoteReference"/>
          <w:rFonts w:cstheme="minorHAnsi"/>
        </w:rPr>
        <w:footnoteRef/>
      </w:r>
      <w:r w:rsidRPr="000D5F1C">
        <w:rPr>
          <w:rFonts w:cstheme="minorHAnsi"/>
        </w:rPr>
        <w:t xml:space="preserve"> Jeroen </w:t>
      </w:r>
      <w:proofErr w:type="spellStart"/>
      <w:r w:rsidRPr="000D5F1C">
        <w:rPr>
          <w:rFonts w:cstheme="minorHAnsi"/>
        </w:rPr>
        <w:t>Kortmann</w:t>
      </w:r>
      <w:proofErr w:type="spellEnd"/>
      <w:r w:rsidRPr="000D5F1C">
        <w:rPr>
          <w:rFonts w:cstheme="minorHAnsi"/>
        </w:rPr>
        <w:t xml:space="preserve"> </w:t>
      </w:r>
      <w:r w:rsidR="007F3DAA">
        <w:rPr>
          <w:rFonts w:cstheme="minorHAnsi"/>
        </w:rPr>
        <w:t>and</w:t>
      </w:r>
      <w:r w:rsidRPr="000D5F1C">
        <w:rPr>
          <w:rFonts w:cstheme="minorHAnsi"/>
        </w:rPr>
        <w:t xml:space="preserve"> Simon </w:t>
      </w:r>
      <w:proofErr w:type="spellStart"/>
      <w:r w:rsidRPr="000D5F1C">
        <w:rPr>
          <w:rFonts w:cstheme="minorHAnsi"/>
        </w:rPr>
        <w:t>Mineur</w:t>
      </w:r>
      <w:proofErr w:type="spellEnd"/>
      <w:r w:rsidRPr="000D5F1C">
        <w:rPr>
          <w:rFonts w:cstheme="minorHAnsi"/>
        </w:rPr>
        <w:t xml:space="preserve">, ‘The Netherlands’ in Barry Rodger, Francisco Marcos and Miguel S. Ferro (eds), </w:t>
      </w:r>
      <w:r w:rsidRPr="000D5F1C">
        <w:rPr>
          <w:rFonts w:cstheme="minorHAnsi"/>
          <w:i/>
          <w:iCs/>
        </w:rPr>
        <w:t>The EU Antitrust Damages Directive: Transposition in the Member States</w:t>
      </w:r>
      <w:r w:rsidRPr="000D5F1C">
        <w:rPr>
          <w:rFonts w:cstheme="minorHAnsi"/>
        </w:rPr>
        <w:t xml:space="preserve"> (Chapter 13, Oxford University Press 2019), 287</w:t>
      </w:r>
      <w:r w:rsidR="00B2367D">
        <w:rPr>
          <w:rFonts w:cstheme="minorHAnsi"/>
        </w:rPr>
        <w:t>.</w:t>
      </w:r>
    </w:p>
  </w:footnote>
  <w:footnote w:id="314">
    <w:p w14:paraId="3DB831E0" w14:textId="35B93B7F" w:rsidR="00721AF6" w:rsidRPr="000D5F1C" w:rsidRDefault="00721AF6">
      <w:pPr>
        <w:pStyle w:val="FootnoteText"/>
        <w:rPr>
          <w:rFonts w:cstheme="minorHAnsi"/>
        </w:rPr>
      </w:pPr>
      <w:r w:rsidRPr="000D5F1C">
        <w:rPr>
          <w:rStyle w:val="FootnoteReference"/>
          <w:rFonts w:cstheme="minorHAnsi"/>
        </w:rPr>
        <w:footnoteRef/>
      </w:r>
      <w:r w:rsidRPr="000D5F1C">
        <w:rPr>
          <w:rFonts w:cstheme="minorHAnsi"/>
        </w:rPr>
        <w:t xml:space="preserve"> </w:t>
      </w:r>
      <w:r w:rsidR="00B2367D">
        <w:rPr>
          <w:rFonts w:cstheme="minorHAnsi"/>
        </w:rPr>
        <w:t>ibid</w:t>
      </w:r>
      <w:r w:rsidR="00F13D79" w:rsidRPr="000D5F1C">
        <w:rPr>
          <w:rFonts w:cstheme="minorHAnsi"/>
        </w:rPr>
        <w:t xml:space="preserve"> 287</w:t>
      </w:r>
      <w:r w:rsidR="00EF06E6" w:rsidRPr="000D5F1C">
        <w:rPr>
          <w:rFonts w:cstheme="minorHAnsi"/>
        </w:rPr>
        <w:t>-288</w:t>
      </w:r>
      <w:r w:rsidR="00B2367D">
        <w:rPr>
          <w:rFonts w:cstheme="minorHAnsi"/>
        </w:rPr>
        <w:t>.</w:t>
      </w:r>
    </w:p>
  </w:footnote>
  <w:footnote w:id="315">
    <w:p w14:paraId="0F992598" w14:textId="75A71BBF" w:rsidR="008A506B" w:rsidRPr="000D5F1C" w:rsidRDefault="008A506B">
      <w:pPr>
        <w:pStyle w:val="FootnoteText"/>
        <w:rPr>
          <w:rFonts w:cstheme="minorHAnsi"/>
        </w:rPr>
      </w:pPr>
      <w:r w:rsidRPr="000D5F1C">
        <w:rPr>
          <w:rStyle w:val="FootnoteReference"/>
          <w:rFonts w:cstheme="minorHAnsi"/>
        </w:rPr>
        <w:footnoteRef/>
      </w:r>
      <w:r w:rsidRPr="000D5F1C">
        <w:rPr>
          <w:rFonts w:cstheme="minorHAnsi"/>
        </w:rPr>
        <w:t xml:space="preserve"> </w:t>
      </w:r>
      <w:r w:rsidR="00F13D79" w:rsidRPr="000D5F1C">
        <w:rPr>
          <w:rFonts w:cstheme="minorHAnsi"/>
        </w:rPr>
        <w:t xml:space="preserve">Jeroen </w:t>
      </w:r>
      <w:proofErr w:type="spellStart"/>
      <w:r w:rsidR="00F13D79" w:rsidRPr="000D5F1C">
        <w:rPr>
          <w:rFonts w:cstheme="minorHAnsi"/>
        </w:rPr>
        <w:t>Kortmann</w:t>
      </w:r>
      <w:proofErr w:type="spellEnd"/>
      <w:r w:rsidR="00F13D79" w:rsidRPr="000D5F1C">
        <w:rPr>
          <w:rFonts w:cstheme="minorHAnsi"/>
        </w:rPr>
        <w:t xml:space="preserve"> </w:t>
      </w:r>
      <w:r w:rsidR="007F3DAA">
        <w:rPr>
          <w:rFonts w:cstheme="minorHAnsi"/>
        </w:rPr>
        <w:t>and</w:t>
      </w:r>
      <w:r w:rsidR="00F13D79" w:rsidRPr="000D5F1C">
        <w:rPr>
          <w:rFonts w:cstheme="minorHAnsi"/>
        </w:rPr>
        <w:t xml:space="preserve"> Simon </w:t>
      </w:r>
      <w:proofErr w:type="spellStart"/>
      <w:r w:rsidR="00F13D79" w:rsidRPr="000D5F1C">
        <w:rPr>
          <w:rFonts w:cstheme="minorHAnsi"/>
        </w:rPr>
        <w:t>Mineur</w:t>
      </w:r>
      <w:proofErr w:type="spellEnd"/>
      <w:r w:rsidR="00F13D79" w:rsidRPr="000D5F1C">
        <w:rPr>
          <w:rFonts w:cstheme="minorHAnsi"/>
        </w:rPr>
        <w:t xml:space="preserve">, ‘The Netherlands’ in Barry Rodger, Francisco Marcos and Miguel S. Ferro (eds), </w:t>
      </w:r>
      <w:r w:rsidR="00F13D79" w:rsidRPr="000D5F1C">
        <w:rPr>
          <w:rFonts w:cstheme="minorHAnsi"/>
          <w:i/>
          <w:iCs/>
        </w:rPr>
        <w:t>The EU Antitrust Damages Directive: Transposition in the Member States</w:t>
      </w:r>
      <w:r w:rsidR="00F13D79" w:rsidRPr="000D5F1C">
        <w:rPr>
          <w:rFonts w:cstheme="minorHAnsi"/>
        </w:rPr>
        <w:t xml:space="preserve"> (Chapter 13, Oxford University Press 2019), </w:t>
      </w:r>
      <w:r w:rsidRPr="000D5F1C">
        <w:rPr>
          <w:rFonts w:cstheme="minorHAnsi"/>
        </w:rPr>
        <w:t>28</w:t>
      </w:r>
      <w:r w:rsidR="00EF06E6" w:rsidRPr="000D5F1C">
        <w:rPr>
          <w:rFonts w:cstheme="minorHAnsi"/>
        </w:rPr>
        <w:t>8</w:t>
      </w:r>
      <w:r w:rsidRPr="000D5F1C">
        <w:rPr>
          <w:rFonts w:cstheme="minorHAnsi"/>
        </w:rPr>
        <w:t xml:space="preserve">; </w:t>
      </w:r>
      <w:bookmarkStart w:id="138" w:name="_Hlk107446152"/>
      <w:r w:rsidRPr="000D5F1C">
        <w:rPr>
          <w:rFonts w:cstheme="minorHAnsi"/>
        </w:rPr>
        <w:t xml:space="preserve">Rechtbank Oost-Brabant 29 </w:t>
      </w:r>
      <w:proofErr w:type="spellStart"/>
      <w:r w:rsidR="00F13D79" w:rsidRPr="000D5F1C">
        <w:rPr>
          <w:rFonts w:cstheme="minorHAnsi"/>
        </w:rPr>
        <w:t>J</w:t>
      </w:r>
      <w:r w:rsidRPr="000D5F1C">
        <w:rPr>
          <w:rFonts w:cstheme="minorHAnsi"/>
        </w:rPr>
        <w:t>uni</w:t>
      </w:r>
      <w:proofErr w:type="spellEnd"/>
      <w:r w:rsidRPr="000D5F1C">
        <w:rPr>
          <w:rFonts w:cstheme="minorHAnsi"/>
        </w:rPr>
        <w:t xml:space="preserve"> 2016, ECLI:NL:RBOBR:2016:3484</w:t>
      </w:r>
      <w:r w:rsidR="00F13D79" w:rsidRPr="000D5F1C">
        <w:rPr>
          <w:rFonts w:cstheme="minorHAnsi"/>
        </w:rPr>
        <w:t xml:space="preserve"> (</w:t>
      </w:r>
      <w:proofErr w:type="spellStart"/>
      <w:r w:rsidR="00F13D79" w:rsidRPr="000D5F1C">
        <w:rPr>
          <w:rFonts w:cstheme="minorHAnsi"/>
        </w:rPr>
        <w:t>Vestel</w:t>
      </w:r>
      <w:proofErr w:type="spellEnd"/>
      <w:r w:rsidR="00F13D79" w:rsidRPr="000D5F1C">
        <w:rPr>
          <w:rFonts w:cstheme="minorHAnsi"/>
        </w:rPr>
        <w:t xml:space="preserve"> v Philips </w:t>
      </w:r>
      <w:r w:rsidR="00CF3D8A">
        <w:rPr>
          <w:rFonts w:cstheme="minorHAnsi"/>
        </w:rPr>
        <w:t>and others</w:t>
      </w:r>
      <w:r w:rsidR="00F13D79" w:rsidRPr="000D5F1C">
        <w:rPr>
          <w:rFonts w:cstheme="minorHAnsi"/>
        </w:rPr>
        <w:t>)</w:t>
      </w:r>
      <w:bookmarkEnd w:id="138"/>
    </w:p>
  </w:footnote>
  <w:footnote w:id="316">
    <w:p w14:paraId="294D4B3F" w14:textId="49C0263E" w:rsidR="000C68E5" w:rsidRPr="000D5F1C" w:rsidRDefault="000C68E5" w:rsidP="000C68E5">
      <w:pPr>
        <w:pStyle w:val="FootnoteText"/>
        <w:rPr>
          <w:rFonts w:cstheme="minorHAnsi"/>
        </w:rPr>
      </w:pPr>
      <w:r w:rsidRPr="000D5F1C">
        <w:rPr>
          <w:rStyle w:val="FootnoteReference"/>
          <w:rFonts w:cstheme="minorHAnsi"/>
        </w:rPr>
        <w:footnoteRef/>
      </w:r>
      <w:r w:rsidRPr="000D5F1C">
        <w:rPr>
          <w:rFonts w:cstheme="minorHAnsi"/>
        </w:rPr>
        <w:t xml:space="preserve"> </w:t>
      </w:r>
      <w:bookmarkStart w:id="140" w:name="_Hlk107484197"/>
      <w:r w:rsidRPr="000D5F1C">
        <w:rPr>
          <w:rFonts w:cstheme="minorHAnsi"/>
        </w:rPr>
        <w:t>B</w:t>
      </w:r>
      <w:r w:rsidR="008F0CC1">
        <w:rPr>
          <w:rFonts w:cstheme="minorHAnsi"/>
        </w:rPr>
        <w:t>erend Jan</w:t>
      </w:r>
      <w:r w:rsidRPr="000D5F1C">
        <w:rPr>
          <w:rFonts w:cstheme="minorHAnsi"/>
        </w:rPr>
        <w:t xml:space="preserve"> </w:t>
      </w:r>
      <w:proofErr w:type="spellStart"/>
      <w:r w:rsidRPr="000D5F1C">
        <w:rPr>
          <w:rFonts w:cstheme="minorHAnsi"/>
        </w:rPr>
        <w:t>Drijber</w:t>
      </w:r>
      <w:proofErr w:type="spellEnd"/>
      <w:r w:rsidRPr="000D5F1C">
        <w:rPr>
          <w:rFonts w:cstheme="minorHAnsi"/>
        </w:rPr>
        <w:t>, ‘</w:t>
      </w:r>
      <w:proofErr w:type="spellStart"/>
      <w:r w:rsidRPr="000D5F1C">
        <w:rPr>
          <w:rFonts w:cstheme="minorHAnsi"/>
        </w:rPr>
        <w:t>Privaatrechtelijke</w:t>
      </w:r>
      <w:proofErr w:type="spellEnd"/>
      <w:r w:rsidRPr="000D5F1C">
        <w:rPr>
          <w:rFonts w:cstheme="minorHAnsi"/>
        </w:rPr>
        <w:t xml:space="preserve"> </w:t>
      </w:r>
      <w:proofErr w:type="spellStart"/>
      <w:r w:rsidRPr="000D5F1C">
        <w:rPr>
          <w:rFonts w:cstheme="minorHAnsi"/>
        </w:rPr>
        <w:t>handhaving</w:t>
      </w:r>
      <w:proofErr w:type="spellEnd"/>
      <w:r w:rsidRPr="000D5F1C">
        <w:rPr>
          <w:rFonts w:cstheme="minorHAnsi"/>
        </w:rPr>
        <w:t xml:space="preserve"> van het </w:t>
      </w:r>
      <w:proofErr w:type="spellStart"/>
      <w:r w:rsidRPr="000D5F1C">
        <w:rPr>
          <w:rFonts w:cstheme="minorHAnsi"/>
        </w:rPr>
        <w:t>mededingingsrecht</w:t>
      </w:r>
      <w:proofErr w:type="spellEnd"/>
      <w:r w:rsidRPr="000D5F1C">
        <w:rPr>
          <w:rFonts w:cstheme="minorHAnsi"/>
        </w:rPr>
        <w:t xml:space="preserve">: </w:t>
      </w:r>
      <w:proofErr w:type="spellStart"/>
      <w:r w:rsidRPr="000D5F1C">
        <w:rPr>
          <w:rFonts w:cstheme="minorHAnsi"/>
        </w:rPr>
        <w:t>nieuwe</w:t>
      </w:r>
      <w:proofErr w:type="spellEnd"/>
      <w:r w:rsidRPr="000D5F1C">
        <w:rPr>
          <w:rFonts w:cstheme="minorHAnsi"/>
        </w:rPr>
        <w:t xml:space="preserve"> </w:t>
      </w:r>
      <w:proofErr w:type="spellStart"/>
      <w:r w:rsidRPr="000D5F1C">
        <w:rPr>
          <w:rFonts w:cstheme="minorHAnsi"/>
        </w:rPr>
        <w:t>rechtspraak</w:t>
      </w:r>
      <w:proofErr w:type="spellEnd"/>
      <w:r w:rsidRPr="000D5F1C">
        <w:rPr>
          <w:rFonts w:cstheme="minorHAnsi"/>
        </w:rPr>
        <w:t xml:space="preserve"> </w:t>
      </w:r>
      <w:proofErr w:type="spellStart"/>
      <w:r w:rsidRPr="000D5F1C">
        <w:rPr>
          <w:rFonts w:cstheme="minorHAnsi"/>
        </w:rPr>
        <w:t>en</w:t>
      </w:r>
      <w:proofErr w:type="spellEnd"/>
      <w:r w:rsidRPr="000D5F1C">
        <w:rPr>
          <w:rFonts w:cstheme="minorHAnsi"/>
        </w:rPr>
        <w:t xml:space="preserve"> </w:t>
      </w:r>
      <w:proofErr w:type="spellStart"/>
      <w:r w:rsidRPr="000D5F1C">
        <w:rPr>
          <w:rFonts w:cstheme="minorHAnsi"/>
        </w:rPr>
        <w:t>nieuwe</w:t>
      </w:r>
      <w:proofErr w:type="spellEnd"/>
      <w:r w:rsidRPr="000D5F1C">
        <w:rPr>
          <w:rFonts w:cstheme="minorHAnsi"/>
        </w:rPr>
        <w:t xml:space="preserve"> </w:t>
      </w:r>
      <w:proofErr w:type="spellStart"/>
      <w:r w:rsidRPr="000D5F1C">
        <w:rPr>
          <w:rFonts w:cstheme="minorHAnsi"/>
        </w:rPr>
        <w:t>wetgeving</w:t>
      </w:r>
      <w:proofErr w:type="spellEnd"/>
      <w:r w:rsidRPr="000D5F1C">
        <w:rPr>
          <w:rFonts w:cstheme="minorHAnsi"/>
        </w:rPr>
        <w:t>’ (2016)</w:t>
      </w:r>
      <w:r w:rsidR="008F0CC1">
        <w:rPr>
          <w:rFonts w:cstheme="minorHAnsi"/>
        </w:rPr>
        <w:t xml:space="preserve"> 124</w:t>
      </w:r>
      <w:r w:rsidRPr="000D5F1C">
        <w:rPr>
          <w:rFonts w:cstheme="minorHAnsi"/>
        </w:rPr>
        <w:t xml:space="preserve"> </w:t>
      </w:r>
      <w:proofErr w:type="spellStart"/>
      <w:r w:rsidRPr="000D5F1C">
        <w:rPr>
          <w:rFonts w:cstheme="minorHAnsi"/>
        </w:rPr>
        <w:t>Ondernemingsrecht</w:t>
      </w:r>
      <w:bookmarkEnd w:id="140"/>
      <w:proofErr w:type="spellEnd"/>
      <w:r w:rsidR="008F0CC1">
        <w:rPr>
          <w:rFonts w:cstheme="minorHAnsi"/>
        </w:rPr>
        <w:t xml:space="preserve"> 620</w:t>
      </w:r>
    </w:p>
  </w:footnote>
  <w:footnote w:id="317">
    <w:p w14:paraId="70F0EBE5" w14:textId="0D5100D4" w:rsidR="000C68E5" w:rsidRPr="000D5F1C" w:rsidRDefault="000C68E5" w:rsidP="000C68E5">
      <w:pPr>
        <w:pStyle w:val="FootnoteText"/>
        <w:rPr>
          <w:rFonts w:cstheme="minorHAnsi"/>
        </w:rPr>
      </w:pPr>
      <w:r w:rsidRPr="000D5F1C">
        <w:rPr>
          <w:rStyle w:val="FootnoteReference"/>
          <w:rFonts w:cstheme="minorHAnsi"/>
        </w:rPr>
        <w:footnoteRef/>
      </w:r>
      <w:r w:rsidRPr="000D5F1C">
        <w:rPr>
          <w:rFonts w:cstheme="minorHAnsi"/>
        </w:rPr>
        <w:t xml:space="preserve"> </w:t>
      </w:r>
      <w:r w:rsidR="00B20A60" w:rsidRPr="00B20A60">
        <w:rPr>
          <w:rFonts w:cstheme="minorHAnsi"/>
        </w:rPr>
        <w:t>Sarah Beeston and Anouk Rutten, ‘The Dutch torpedo case’ (2015), 14 CLI 14.</w:t>
      </w:r>
    </w:p>
  </w:footnote>
  <w:footnote w:id="318">
    <w:p w14:paraId="72D62689" w14:textId="1C35CC23" w:rsidR="00CA34E7" w:rsidRPr="000D5F1C" w:rsidRDefault="00CA34E7">
      <w:pPr>
        <w:pStyle w:val="FootnoteText"/>
        <w:rPr>
          <w:rFonts w:cstheme="minorHAnsi"/>
        </w:rPr>
      </w:pPr>
      <w:r w:rsidRPr="000D5F1C">
        <w:rPr>
          <w:rStyle w:val="FootnoteReference"/>
          <w:rFonts w:cstheme="minorHAnsi"/>
        </w:rPr>
        <w:footnoteRef/>
      </w:r>
      <w:r w:rsidRPr="000D5F1C">
        <w:rPr>
          <w:rFonts w:cstheme="minorHAnsi"/>
        </w:rPr>
        <w:t xml:space="preserve"> </w:t>
      </w:r>
      <w:bookmarkStart w:id="141" w:name="_Hlk107484213"/>
      <w:r w:rsidRPr="000D5F1C">
        <w:rPr>
          <w:rFonts w:cstheme="minorHAnsi"/>
        </w:rPr>
        <w:t xml:space="preserve">Louis Berger &amp; Hans </w:t>
      </w:r>
      <w:proofErr w:type="spellStart"/>
      <w:r w:rsidRPr="000D5F1C">
        <w:rPr>
          <w:rFonts w:cstheme="minorHAnsi"/>
        </w:rPr>
        <w:t>Bousie</w:t>
      </w:r>
      <w:proofErr w:type="spellEnd"/>
      <w:r w:rsidRPr="000D5F1C">
        <w:rPr>
          <w:rFonts w:cstheme="minorHAnsi"/>
        </w:rPr>
        <w:t>, ‘</w:t>
      </w:r>
      <w:r w:rsidR="00C706C4" w:rsidRPr="000D5F1C">
        <w:rPr>
          <w:rFonts w:cstheme="minorHAnsi"/>
        </w:rPr>
        <w:t>The Netherlands as efficient jurisdiction for cartel damages claim litigation’ (International Bar Association, Legal Practice Division</w:t>
      </w:r>
      <w:r w:rsidR="00967C23">
        <w:rPr>
          <w:rFonts w:cstheme="minorHAnsi"/>
        </w:rPr>
        <w:t xml:space="preserve"> 2017</w:t>
      </w:r>
      <w:r w:rsidR="00C706C4" w:rsidRPr="000D5F1C">
        <w:rPr>
          <w:rFonts w:cstheme="minorHAnsi"/>
        </w:rPr>
        <w:t>), 39 &lt;https://www.bureaubrandeis.com/wp-content/uploads/2015/10/International-Litigation-May-2017-PDF.pdf&gt; accessed 31 May 2022</w:t>
      </w:r>
      <w:bookmarkEnd w:id="141"/>
      <w:r w:rsidR="00B2367D">
        <w:rPr>
          <w:rFonts w:cstheme="minorHAnsi"/>
        </w:rPr>
        <w:t>.</w:t>
      </w:r>
    </w:p>
  </w:footnote>
  <w:footnote w:id="319">
    <w:p w14:paraId="1AAE8A07" w14:textId="54B86EB4" w:rsidR="001A42FC" w:rsidRPr="000D5F1C" w:rsidRDefault="001A42FC" w:rsidP="001A42FC">
      <w:pPr>
        <w:pStyle w:val="FootnoteText"/>
        <w:rPr>
          <w:rFonts w:cstheme="minorHAnsi"/>
        </w:rPr>
      </w:pPr>
      <w:r w:rsidRPr="000D5F1C">
        <w:rPr>
          <w:rStyle w:val="FootnoteReference"/>
          <w:rFonts w:cstheme="minorHAnsi"/>
        </w:rPr>
        <w:footnoteRef/>
      </w:r>
      <w:r w:rsidRPr="000D5F1C">
        <w:rPr>
          <w:rFonts w:cstheme="minorHAnsi"/>
        </w:rPr>
        <w:t xml:space="preserve"> DCCP</w:t>
      </w:r>
      <w:r w:rsidR="00B748F9">
        <w:rPr>
          <w:rFonts w:cstheme="minorHAnsi"/>
        </w:rPr>
        <w:t>,</w:t>
      </w:r>
      <w:r w:rsidRPr="000D5F1C">
        <w:rPr>
          <w:rFonts w:cstheme="minorHAnsi"/>
        </w:rPr>
        <w:t xml:space="preserve"> Article 237(1)</w:t>
      </w:r>
      <w:r w:rsidR="00B2367D">
        <w:rPr>
          <w:rFonts w:cstheme="minorHAnsi"/>
        </w:rPr>
        <w:t>.</w:t>
      </w:r>
    </w:p>
  </w:footnote>
  <w:footnote w:id="320">
    <w:p w14:paraId="159CD5D8" w14:textId="177C435B" w:rsidR="000D521F" w:rsidRPr="000D5F1C" w:rsidRDefault="000D521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33</w:t>
      </w:r>
      <w:r w:rsidR="00B2367D">
        <w:rPr>
          <w:rFonts w:cstheme="minorHAnsi"/>
        </w:rPr>
        <w:t>.</w:t>
      </w:r>
    </w:p>
  </w:footnote>
  <w:footnote w:id="321">
    <w:p w14:paraId="63F54C51" w14:textId="369D47B2" w:rsidR="000D521F" w:rsidRPr="000D5F1C" w:rsidRDefault="000D521F">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33</w:t>
      </w:r>
      <w:r w:rsidR="00B2367D">
        <w:rPr>
          <w:rFonts w:cstheme="minorHAnsi"/>
        </w:rPr>
        <w:t>.</w:t>
      </w:r>
    </w:p>
  </w:footnote>
  <w:footnote w:id="322">
    <w:p w14:paraId="60DD6F7F" w14:textId="0C715E50" w:rsidR="001A42FC" w:rsidRPr="000D5F1C" w:rsidRDefault="001A42FC" w:rsidP="001A42F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000C68E5" w:rsidRPr="000D5F1C">
        <w:rPr>
          <w:rFonts w:cstheme="minorHAnsi"/>
        </w:rPr>
        <w:t>Jannik</w:t>
      </w:r>
      <w:proofErr w:type="spellEnd"/>
      <w:r w:rsidR="000C68E5" w:rsidRPr="000D5F1C">
        <w:rPr>
          <w:rFonts w:cstheme="minorHAnsi"/>
        </w:rPr>
        <w:t xml:space="preserve"> Otto, Patrick Hauser </w:t>
      </w:r>
      <w:r w:rsidR="00224D20">
        <w:rPr>
          <w:rFonts w:cstheme="minorHAnsi"/>
        </w:rPr>
        <w:t>and</w:t>
      </w:r>
      <w:r w:rsidR="000C68E5" w:rsidRPr="000D5F1C">
        <w:rPr>
          <w:rFonts w:cstheme="minorHAnsi"/>
        </w:rPr>
        <w:t xml:space="preserve"> Simon </w:t>
      </w:r>
      <w:proofErr w:type="spellStart"/>
      <w:r w:rsidR="000C68E5" w:rsidRPr="000D5F1C">
        <w:rPr>
          <w:rFonts w:cstheme="minorHAnsi"/>
        </w:rPr>
        <w:t>Vande</w:t>
      </w:r>
      <w:proofErr w:type="spellEnd"/>
      <w:r w:rsidR="000C68E5" w:rsidRPr="000D5F1C">
        <w:rPr>
          <w:rFonts w:cstheme="minorHAnsi"/>
        </w:rPr>
        <w:t xml:space="preserve"> </w:t>
      </w:r>
      <w:proofErr w:type="spellStart"/>
      <w:r w:rsidR="000C68E5" w:rsidRPr="000D5F1C">
        <w:rPr>
          <w:rFonts w:cstheme="minorHAnsi"/>
        </w:rPr>
        <w:t>Walle</w:t>
      </w:r>
      <w:proofErr w:type="spellEnd"/>
      <w:r w:rsidR="000C68E5" w:rsidRPr="000D5F1C">
        <w:rPr>
          <w:rFonts w:cstheme="minorHAnsi"/>
        </w:rPr>
        <w:t>, ‘Private enforcement of competition law in Germany and the Netherlands’ (2022) 33</w:t>
      </w:r>
      <w:r w:rsidR="00B2367D">
        <w:rPr>
          <w:rFonts w:cstheme="minorHAnsi"/>
        </w:rPr>
        <w:t>,</w:t>
      </w:r>
      <w:r w:rsidR="000C68E5" w:rsidRPr="000D5F1C">
        <w:rPr>
          <w:rFonts w:cstheme="minorHAnsi"/>
        </w:rPr>
        <w:t xml:space="preserve"> footnote 184</w:t>
      </w:r>
      <w:r w:rsidR="00EF130E" w:rsidRPr="000D5F1C">
        <w:rPr>
          <w:rFonts w:cstheme="minorHAnsi"/>
        </w:rPr>
        <w:t xml:space="preserve">; </w:t>
      </w:r>
      <w:r w:rsidR="00716071" w:rsidRPr="000D5F1C">
        <w:rPr>
          <w:rFonts w:cstheme="minorHAnsi"/>
        </w:rPr>
        <w:t>R</w:t>
      </w:r>
      <w:r w:rsidR="00716071">
        <w:rPr>
          <w:rFonts w:cstheme="minorHAnsi"/>
        </w:rPr>
        <w:t>ick</w:t>
      </w:r>
      <w:r w:rsidR="00EF130E" w:rsidRPr="000D5F1C">
        <w:rPr>
          <w:rFonts w:cstheme="minorHAnsi"/>
        </w:rPr>
        <w:t xml:space="preserve"> Cornelissen </w:t>
      </w:r>
      <w:r w:rsidR="007F3DAA">
        <w:rPr>
          <w:rFonts w:cstheme="minorHAnsi"/>
        </w:rPr>
        <w:t>and others</w:t>
      </w:r>
      <w:r w:rsidR="00EF130E" w:rsidRPr="000D5F1C">
        <w:rPr>
          <w:rFonts w:cstheme="minorHAnsi"/>
        </w:rPr>
        <w:t xml:space="preserve">, ‘Netherlands’ in Ilene K. Gotts and Kevin S. Schwartz (eds), </w:t>
      </w:r>
      <w:r w:rsidR="00EF130E" w:rsidRPr="000D5F1C">
        <w:rPr>
          <w:rFonts w:cstheme="minorHAnsi"/>
          <w:i/>
          <w:iCs/>
        </w:rPr>
        <w:t>Private Competition Enforcement Review</w:t>
      </w:r>
      <w:r w:rsidR="00EF130E" w:rsidRPr="000D5F1C">
        <w:rPr>
          <w:rFonts w:cstheme="minorHAnsi"/>
        </w:rPr>
        <w:t xml:space="preserve"> (Chapter 15, The </w:t>
      </w:r>
      <w:proofErr w:type="spellStart"/>
      <w:r w:rsidR="00EF130E" w:rsidRPr="000D5F1C">
        <w:rPr>
          <w:rFonts w:cstheme="minorHAnsi"/>
        </w:rPr>
        <w:t>LawReviews</w:t>
      </w:r>
      <w:proofErr w:type="spellEnd"/>
      <w:r w:rsidR="00EF130E" w:rsidRPr="000D5F1C">
        <w:rPr>
          <w:rFonts w:cstheme="minorHAnsi"/>
        </w:rPr>
        <w:t xml:space="preserve"> 2020),</w:t>
      </w:r>
      <w:r w:rsidR="00B2367D">
        <w:rPr>
          <w:rFonts w:cstheme="minorHAnsi"/>
        </w:rPr>
        <w:t xml:space="preserve"> </w:t>
      </w:r>
      <w:r w:rsidR="00EF130E" w:rsidRPr="000D5F1C">
        <w:rPr>
          <w:rFonts w:cstheme="minorHAnsi"/>
        </w:rPr>
        <w:t>191</w:t>
      </w:r>
      <w:r w:rsidR="00B2367D">
        <w:rPr>
          <w:rFonts w:cstheme="minorHAnsi"/>
        </w:rPr>
        <w:t>.</w:t>
      </w:r>
    </w:p>
  </w:footnote>
  <w:footnote w:id="323">
    <w:p w14:paraId="5CCBD7EA" w14:textId="3D7DDBD4" w:rsidR="005816BE" w:rsidRPr="000D5F1C" w:rsidRDefault="005816BE">
      <w:pPr>
        <w:pStyle w:val="FootnoteText"/>
        <w:rPr>
          <w:rFonts w:cstheme="minorHAnsi"/>
        </w:rPr>
      </w:pPr>
      <w:r w:rsidRPr="000D5F1C">
        <w:rPr>
          <w:rStyle w:val="FootnoteReference"/>
          <w:rFonts w:cstheme="minorHAnsi"/>
        </w:rPr>
        <w:footnoteRef/>
      </w:r>
      <w:r w:rsidRPr="000D5F1C">
        <w:rPr>
          <w:rFonts w:cstheme="minorHAnsi"/>
        </w:rPr>
        <w:t xml:space="preserve"> </w:t>
      </w:r>
      <w:bookmarkStart w:id="142" w:name="_Hlk107446193"/>
      <w:r w:rsidR="00EF130E" w:rsidRPr="000D5F1C">
        <w:rPr>
          <w:rFonts w:cstheme="minorHAnsi"/>
          <w:lang w:val="en-GB"/>
        </w:rPr>
        <w:t>DCC</w:t>
      </w:r>
      <w:r w:rsidR="003D28E6">
        <w:rPr>
          <w:rFonts w:cstheme="minorHAnsi"/>
          <w:lang w:val="en-GB"/>
        </w:rPr>
        <w:t>,</w:t>
      </w:r>
      <w:r w:rsidR="00EF130E" w:rsidRPr="000D5F1C">
        <w:rPr>
          <w:rFonts w:cstheme="minorHAnsi"/>
          <w:lang w:val="en-GB"/>
        </w:rPr>
        <w:t xml:space="preserve"> Article 6:96(2)(b)</w:t>
      </w:r>
      <w:bookmarkEnd w:id="142"/>
      <w:r w:rsidR="00B2367D">
        <w:rPr>
          <w:rFonts w:cstheme="minorHAnsi"/>
          <w:lang w:val="en-GB"/>
        </w:rPr>
        <w:t>.</w:t>
      </w:r>
    </w:p>
  </w:footnote>
  <w:footnote w:id="324">
    <w:p w14:paraId="4ACBD1CD" w14:textId="22CB73EE" w:rsidR="00E32306" w:rsidRPr="000D5F1C" w:rsidRDefault="00E32306">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34-35</w:t>
      </w:r>
      <w:r w:rsidR="00B2367D">
        <w:rPr>
          <w:rFonts w:cstheme="minorHAnsi"/>
        </w:rPr>
        <w:t>.</w:t>
      </w:r>
    </w:p>
  </w:footnote>
  <w:footnote w:id="325">
    <w:p w14:paraId="2FD561F9" w14:textId="06A16CD3" w:rsidR="00201F70" w:rsidRPr="000D5F1C" w:rsidRDefault="00201F70">
      <w:pPr>
        <w:pStyle w:val="FootnoteText"/>
        <w:rPr>
          <w:rFonts w:cstheme="minorHAnsi"/>
        </w:rPr>
      </w:pPr>
      <w:r w:rsidRPr="000D5F1C">
        <w:rPr>
          <w:rStyle w:val="FootnoteReference"/>
          <w:rFonts w:cstheme="minorHAnsi"/>
        </w:rPr>
        <w:footnoteRef/>
      </w:r>
      <w:r w:rsidRPr="000D5F1C">
        <w:rPr>
          <w:rFonts w:cstheme="minorHAnsi"/>
        </w:rPr>
        <w:t xml:space="preserve"> </w:t>
      </w:r>
      <w:r w:rsidR="00FB65D3" w:rsidRPr="00FB65D3">
        <w:rPr>
          <w:rFonts w:cstheme="minorHAnsi"/>
        </w:rPr>
        <w:t xml:space="preserve">B </w:t>
      </w:r>
      <w:proofErr w:type="spellStart"/>
      <w:r w:rsidR="00FB65D3" w:rsidRPr="00FB65D3">
        <w:rPr>
          <w:rFonts w:cstheme="minorHAnsi"/>
        </w:rPr>
        <w:t>Braat</w:t>
      </w:r>
      <w:proofErr w:type="spellEnd"/>
      <w:r w:rsidR="00FB65D3" w:rsidRPr="00FB65D3">
        <w:rPr>
          <w:rFonts w:cstheme="minorHAnsi"/>
        </w:rPr>
        <w:t xml:space="preserve"> and N </w:t>
      </w:r>
      <w:proofErr w:type="spellStart"/>
      <w:r w:rsidR="00FB65D3" w:rsidRPr="00FB65D3">
        <w:rPr>
          <w:rFonts w:cstheme="minorHAnsi"/>
        </w:rPr>
        <w:t>Rosenboom</w:t>
      </w:r>
      <w:proofErr w:type="spellEnd"/>
      <w:r w:rsidR="00FB65D3" w:rsidRPr="00FB65D3">
        <w:rPr>
          <w:rFonts w:cstheme="minorHAnsi"/>
        </w:rPr>
        <w:t>, ‘</w:t>
      </w:r>
      <w:proofErr w:type="spellStart"/>
      <w:r w:rsidR="00FB65D3" w:rsidRPr="00FB65D3">
        <w:rPr>
          <w:rFonts w:cstheme="minorHAnsi"/>
        </w:rPr>
        <w:t>Privaatrechtelijke</w:t>
      </w:r>
      <w:proofErr w:type="spellEnd"/>
      <w:r w:rsidR="00FB65D3" w:rsidRPr="00FB65D3">
        <w:rPr>
          <w:rFonts w:cstheme="minorHAnsi"/>
        </w:rPr>
        <w:t xml:space="preserve"> </w:t>
      </w:r>
      <w:proofErr w:type="spellStart"/>
      <w:r w:rsidR="00FB65D3" w:rsidRPr="00FB65D3">
        <w:rPr>
          <w:rFonts w:cstheme="minorHAnsi"/>
        </w:rPr>
        <w:t>handhaving</w:t>
      </w:r>
      <w:proofErr w:type="spellEnd"/>
      <w:r w:rsidR="00FB65D3" w:rsidRPr="00FB65D3">
        <w:rPr>
          <w:rFonts w:cstheme="minorHAnsi"/>
        </w:rPr>
        <w:t xml:space="preserve"> van het </w:t>
      </w:r>
      <w:proofErr w:type="spellStart"/>
      <w:r w:rsidR="00FB65D3" w:rsidRPr="00FB65D3">
        <w:rPr>
          <w:rFonts w:cstheme="minorHAnsi"/>
        </w:rPr>
        <w:t>mededingingsrecht</w:t>
      </w:r>
      <w:proofErr w:type="spellEnd"/>
      <w:r w:rsidR="00FB65D3" w:rsidRPr="00FB65D3">
        <w:rPr>
          <w:rFonts w:cstheme="minorHAnsi"/>
        </w:rPr>
        <w:t xml:space="preserve"> </w:t>
      </w:r>
      <w:proofErr w:type="spellStart"/>
      <w:r w:rsidR="00FB65D3" w:rsidRPr="00FB65D3">
        <w:rPr>
          <w:rFonts w:cstheme="minorHAnsi"/>
        </w:rPr>
        <w:t>en</w:t>
      </w:r>
      <w:proofErr w:type="spellEnd"/>
      <w:r w:rsidR="00FB65D3" w:rsidRPr="00FB65D3">
        <w:rPr>
          <w:rFonts w:cstheme="minorHAnsi"/>
        </w:rPr>
        <w:t xml:space="preserve"> de </w:t>
      </w:r>
      <w:proofErr w:type="spellStart"/>
      <w:r w:rsidR="00FB65D3" w:rsidRPr="00FB65D3">
        <w:rPr>
          <w:rFonts w:cstheme="minorHAnsi"/>
        </w:rPr>
        <w:t>collectieve</w:t>
      </w:r>
      <w:proofErr w:type="spellEnd"/>
      <w:r w:rsidR="00FB65D3" w:rsidRPr="00FB65D3">
        <w:rPr>
          <w:rFonts w:cstheme="minorHAnsi"/>
        </w:rPr>
        <w:t xml:space="preserve"> </w:t>
      </w:r>
      <w:proofErr w:type="spellStart"/>
      <w:r w:rsidR="00FB65D3" w:rsidRPr="00FB65D3">
        <w:rPr>
          <w:rFonts w:cstheme="minorHAnsi"/>
        </w:rPr>
        <w:t>schadeafwikkeling</w:t>
      </w:r>
      <w:proofErr w:type="spellEnd"/>
      <w:r w:rsidR="00FB65D3" w:rsidRPr="00FB65D3">
        <w:rPr>
          <w:rFonts w:cstheme="minorHAnsi"/>
        </w:rPr>
        <w:t xml:space="preserve">’ (2018) 66 </w:t>
      </w:r>
      <w:proofErr w:type="spellStart"/>
      <w:r w:rsidR="00FB65D3" w:rsidRPr="00FB65D3">
        <w:rPr>
          <w:rFonts w:cstheme="minorHAnsi"/>
        </w:rPr>
        <w:t>Sociaal-economische</w:t>
      </w:r>
      <w:proofErr w:type="spellEnd"/>
      <w:r w:rsidR="00FB65D3" w:rsidRPr="00FB65D3">
        <w:rPr>
          <w:rFonts w:cstheme="minorHAnsi"/>
        </w:rPr>
        <w:t xml:space="preserve"> </w:t>
      </w:r>
      <w:proofErr w:type="spellStart"/>
      <w:r w:rsidR="00FB65D3" w:rsidRPr="00FB65D3">
        <w:rPr>
          <w:rFonts w:cstheme="minorHAnsi"/>
        </w:rPr>
        <w:t>Wetgeving</w:t>
      </w:r>
      <w:proofErr w:type="spellEnd"/>
      <w:r w:rsidR="00FB65D3" w:rsidRPr="00FB65D3">
        <w:rPr>
          <w:rFonts w:cstheme="minorHAnsi"/>
        </w:rPr>
        <w:t xml:space="preserve">: </w:t>
      </w:r>
      <w:proofErr w:type="spellStart"/>
      <w:r w:rsidR="00FB65D3" w:rsidRPr="00FB65D3">
        <w:rPr>
          <w:rFonts w:cstheme="minorHAnsi"/>
        </w:rPr>
        <w:t>Tijdschrift</w:t>
      </w:r>
      <w:proofErr w:type="spellEnd"/>
      <w:r w:rsidR="00FB65D3" w:rsidRPr="00FB65D3">
        <w:rPr>
          <w:rFonts w:cstheme="minorHAnsi"/>
        </w:rPr>
        <w:t xml:space="preserve"> </w:t>
      </w:r>
      <w:proofErr w:type="spellStart"/>
      <w:r w:rsidR="00FB65D3" w:rsidRPr="00FB65D3">
        <w:rPr>
          <w:rFonts w:cstheme="minorHAnsi"/>
        </w:rPr>
        <w:t>voor</w:t>
      </w:r>
      <w:proofErr w:type="spellEnd"/>
      <w:r w:rsidR="00FB65D3" w:rsidRPr="00FB65D3">
        <w:rPr>
          <w:rFonts w:cstheme="minorHAnsi"/>
        </w:rPr>
        <w:t xml:space="preserve"> </w:t>
      </w:r>
      <w:proofErr w:type="spellStart"/>
      <w:r w:rsidR="00FB65D3" w:rsidRPr="00FB65D3">
        <w:rPr>
          <w:rFonts w:cstheme="minorHAnsi"/>
        </w:rPr>
        <w:t>Europees</w:t>
      </w:r>
      <w:proofErr w:type="spellEnd"/>
      <w:r w:rsidR="00FB65D3" w:rsidRPr="00FB65D3">
        <w:rPr>
          <w:rFonts w:cstheme="minorHAnsi"/>
        </w:rPr>
        <w:t xml:space="preserve"> </w:t>
      </w:r>
      <w:proofErr w:type="spellStart"/>
      <w:r w:rsidR="00FB65D3" w:rsidRPr="00FB65D3">
        <w:rPr>
          <w:rFonts w:cstheme="minorHAnsi"/>
        </w:rPr>
        <w:t>en</w:t>
      </w:r>
      <w:proofErr w:type="spellEnd"/>
      <w:r w:rsidR="00FB65D3" w:rsidRPr="00FB65D3">
        <w:rPr>
          <w:rFonts w:cstheme="minorHAnsi"/>
        </w:rPr>
        <w:t xml:space="preserve"> </w:t>
      </w:r>
      <w:proofErr w:type="spellStart"/>
      <w:r w:rsidR="00FB65D3" w:rsidRPr="00FB65D3">
        <w:rPr>
          <w:rFonts w:cstheme="minorHAnsi"/>
        </w:rPr>
        <w:t>economisch</w:t>
      </w:r>
      <w:proofErr w:type="spellEnd"/>
      <w:r w:rsidR="00FB65D3" w:rsidRPr="00FB65D3">
        <w:rPr>
          <w:rFonts w:cstheme="minorHAnsi"/>
        </w:rPr>
        <w:t xml:space="preserve"> </w:t>
      </w:r>
      <w:proofErr w:type="spellStart"/>
      <w:r w:rsidR="00FB65D3" w:rsidRPr="00FB65D3">
        <w:rPr>
          <w:rFonts w:cstheme="minorHAnsi"/>
        </w:rPr>
        <w:t>recht</w:t>
      </w:r>
      <w:proofErr w:type="spellEnd"/>
      <w:r w:rsidR="00FB65D3" w:rsidRPr="00FB65D3">
        <w:rPr>
          <w:rFonts w:cstheme="minorHAnsi"/>
        </w:rPr>
        <w:t xml:space="preserve"> 10</w:t>
      </w:r>
      <w:r w:rsidR="00FB65D3">
        <w:rPr>
          <w:rFonts w:cstheme="minorHAnsi"/>
        </w:rPr>
        <w:t xml:space="preserve">, </w:t>
      </w:r>
      <w:r w:rsidRPr="000D5F1C">
        <w:rPr>
          <w:rFonts w:cstheme="minorHAnsi"/>
        </w:rPr>
        <w:t>13</w:t>
      </w:r>
      <w:r w:rsidR="00B2367D">
        <w:rPr>
          <w:rFonts w:cstheme="minorHAnsi"/>
        </w:rPr>
        <w:t>.</w:t>
      </w:r>
    </w:p>
  </w:footnote>
  <w:footnote w:id="326">
    <w:p w14:paraId="05AB6CCC" w14:textId="0F66DDB1" w:rsidR="00866AA5" w:rsidRPr="000D5F1C" w:rsidRDefault="00866AA5" w:rsidP="00866AA5">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‘Private enforcement of competition law in Germany and the Netherlands’ (2022) 40; </w:t>
      </w:r>
      <w:r w:rsidR="00716071" w:rsidRPr="000D5F1C">
        <w:rPr>
          <w:rFonts w:cstheme="minorHAnsi"/>
        </w:rPr>
        <w:t>R</w:t>
      </w:r>
      <w:r w:rsidR="00716071">
        <w:rPr>
          <w:rFonts w:cstheme="minorHAnsi"/>
        </w:rPr>
        <w:t>ick</w:t>
      </w:r>
      <w:r w:rsidRPr="000D5F1C">
        <w:rPr>
          <w:rFonts w:cstheme="minorHAnsi"/>
        </w:rPr>
        <w:t xml:space="preserve"> Cornelissen </w:t>
      </w:r>
      <w:r w:rsidR="007F3DAA">
        <w:rPr>
          <w:rFonts w:cstheme="minorHAnsi"/>
        </w:rPr>
        <w:t>and others</w:t>
      </w:r>
      <w:r w:rsidRPr="000D5F1C">
        <w:rPr>
          <w:rFonts w:cstheme="minorHAnsi"/>
        </w:rPr>
        <w:t xml:space="preserve">, ‘Netherlands’ in Ilene K. Gotts and Kevin S. Schwartz (eds), </w:t>
      </w:r>
      <w:r w:rsidRPr="000D5F1C">
        <w:rPr>
          <w:rFonts w:cstheme="minorHAnsi"/>
          <w:i/>
          <w:iCs/>
        </w:rPr>
        <w:t>Private Competition Enforcement Review</w:t>
      </w:r>
      <w:r w:rsidRPr="000D5F1C">
        <w:rPr>
          <w:rFonts w:cstheme="minorHAnsi"/>
        </w:rPr>
        <w:t xml:space="preserve"> (Chapter 15, The </w:t>
      </w:r>
      <w:proofErr w:type="spellStart"/>
      <w:r w:rsidRPr="000D5F1C">
        <w:rPr>
          <w:rFonts w:cstheme="minorHAnsi"/>
        </w:rPr>
        <w:t>LawReviews</w:t>
      </w:r>
      <w:proofErr w:type="spellEnd"/>
      <w:r w:rsidRPr="000D5F1C">
        <w:rPr>
          <w:rFonts w:cstheme="minorHAnsi"/>
        </w:rPr>
        <w:t xml:space="preserve"> 2020), 175</w:t>
      </w:r>
      <w:r w:rsidR="00B2367D">
        <w:rPr>
          <w:rFonts w:cstheme="minorHAnsi"/>
        </w:rPr>
        <w:t>.</w:t>
      </w:r>
    </w:p>
  </w:footnote>
  <w:footnote w:id="327">
    <w:p w14:paraId="4527BF4B" w14:textId="0CD5EB8B" w:rsidR="003A429A" w:rsidRPr="000D5F1C" w:rsidRDefault="003A429A">
      <w:pPr>
        <w:pStyle w:val="FootnoteText"/>
        <w:rPr>
          <w:rFonts w:cstheme="minorHAnsi"/>
        </w:rPr>
      </w:pPr>
      <w:r w:rsidRPr="000D5F1C">
        <w:rPr>
          <w:rStyle w:val="FootnoteReference"/>
          <w:rFonts w:cstheme="minorHAnsi"/>
        </w:rPr>
        <w:footnoteRef/>
      </w:r>
      <w:r w:rsidRPr="000D5F1C">
        <w:rPr>
          <w:rFonts w:cstheme="minorHAnsi"/>
        </w:rPr>
        <w:t xml:space="preserve"> DCC Article 3:94(2)</w:t>
      </w:r>
      <w:r w:rsidR="00F36AB2">
        <w:rPr>
          <w:rFonts w:cstheme="minorHAnsi"/>
        </w:rPr>
        <w:t>.</w:t>
      </w:r>
    </w:p>
  </w:footnote>
  <w:footnote w:id="328">
    <w:p w14:paraId="6D10B952" w14:textId="0553751B"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w:t>
      </w:r>
      <w:r w:rsidR="00F36AB2">
        <w:rPr>
          <w:rFonts w:cstheme="minorHAnsi"/>
        </w:rPr>
        <w:t>.</w:t>
      </w:r>
    </w:p>
  </w:footnote>
  <w:footnote w:id="329">
    <w:p w14:paraId="35A26884" w14:textId="298A114F"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r w:rsidR="00F36AB2">
        <w:rPr>
          <w:rFonts w:cstheme="minorHAnsi"/>
        </w:rPr>
        <w:t xml:space="preserve">ibid </w:t>
      </w:r>
      <w:r w:rsidRPr="000D5F1C">
        <w:rPr>
          <w:rFonts w:cstheme="minorHAnsi"/>
        </w:rPr>
        <w:t>134</w:t>
      </w:r>
      <w:r w:rsidR="00F36AB2">
        <w:rPr>
          <w:rFonts w:cstheme="minorHAnsi"/>
        </w:rPr>
        <w:t>.</w:t>
      </w:r>
    </w:p>
  </w:footnote>
  <w:footnote w:id="330">
    <w:p w14:paraId="32904ED2" w14:textId="73550ECB"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39</w:t>
      </w:r>
      <w:r w:rsidR="00F36AB2">
        <w:rPr>
          <w:rFonts w:cstheme="minorHAnsi"/>
        </w:rPr>
        <w:t>.</w:t>
      </w:r>
    </w:p>
  </w:footnote>
  <w:footnote w:id="331">
    <w:p w14:paraId="652C90F9" w14:textId="6453E83A"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w:t>
      </w:r>
      <w:r w:rsidR="009B2D18">
        <w:rPr>
          <w:rFonts w:cstheme="minorHAnsi"/>
        </w:rPr>
        <w:t>and</w:t>
      </w:r>
      <w:r w:rsidRPr="000D5F1C">
        <w:rPr>
          <w:rFonts w:cstheme="minorHAnsi"/>
        </w:rPr>
        <w:t xml:space="preserve"> </w:t>
      </w:r>
      <w:proofErr w:type="spellStart"/>
      <w:r w:rsidRPr="000D5F1C">
        <w:rPr>
          <w:rFonts w:cstheme="minorHAnsi"/>
        </w:rPr>
        <w:t>Roos</w:t>
      </w:r>
      <w:proofErr w:type="spellEnd"/>
      <w:r w:rsidRPr="000D5F1C">
        <w:rPr>
          <w:rFonts w:cstheme="minorHAnsi"/>
        </w:rPr>
        <w:t xml:space="preserve"> </w:t>
      </w:r>
      <w:proofErr w:type="spellStart"/>
      <w:r w:rsidRPr="000D5F1C">
        <w:rPr>
          <w:rFonts w:cstheme="minorHAnsi"/>
        </w:rPr>
        <w:t>Elemans</w:t>
      </w:r>
      <w:proofErr w:type="spellEnd"/>
      <w:r w:rsidRPr="000D5F1C">
        <w:rPr>
          <w:rFonts w:cstheme="minorHAnsi"/>
        </w:rPr>
        <w:t>, ‘Cartel damages cases in the Netherlands’ (2018) 4 CLPD</w:t>
      </w:r>
      <w:r w:rsidR="00A86B94">
        <w:rPr>
          <w:rFonts w:cstheme="minorHAnsi"/>
        </w:rPr>
        <w:t xml:space="preserve"> 23,</w:t>
      </w:r>
      <w:r w:rsidRPr="000D5F1C">
        <w:rPr>
          <w:rFonts w:cstheme="minorHAnsi"/>
        </w:rPr>
        <w:t xml:space="preserve"> 25;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134</w:t>
      </w:r>
      <w:r w:rsidR="00F36AB2">
        <w:rPr>
          <w:rFonts w:cstheme="minorHAnsi"/>
        </w:rPr>
        <w:t>.</w:t>
      </w:r>
    </w:p>
  </w:footnote>
  <w:footnote w:id="332">
    <w:p w14:paraId="79C2939E" w14:textId="37118486"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r w:rsidR="000D3AAA" w:rsidRPr="000D3AAA">
        <w:rPr>
          <w:rFonts w:cstheme="minorHAnsi"/>
        </w:rPr>
        <w:t>Editorial, ‘</w:t>
      </w:r>
      <w:proofErr w:type="spellStart"/>
      <w:r w:rsidR="000D3AAA" w:rsidRPr="000D3AAA">
        <w:rPr>
          <w:rFonts w:cstheme="minorHAnsi"/>
        </w:rPr>
        <w:t>Massaclaim</w:t>
      </w:r>
      <w:proofErr w:type="spellEnd"/>
      <w:r w:rsidR="000D3AAA" w:rsidRPr="000D3AAA">
        <w:rPr>
          <w:rFonts w:cstheme="minorHAnsi"/>
        </w:rPr>
        <w:t xml:space="preserve"> </w:t>
      </w:r>
      <w:proofErr w:type="spellStart"/>
      <w:r w:rsidR="000D3AAA" w:rsidRPr="000D3AAA">
        <w:rPr>
          <w:rFonts w:cstheme="minorHAnsi"/>
        </w:rPr>
        <w:t>tegen</w:t>
      </w:r>
      <w:proofErr w:type="spellEnd"/>
      <w:r w:rsidR="000D3AAA" w:rsidRPr="000D3AAA">
        <w:rPr>
          <w:rFonts w:cstheme="minorHAnsi"/>
        </w:rPr>
        <w:t xml:space="preserve"> </w:t>
      </w:r>
      <w:proofErr w:type="spellStart"/>
      <w:r w:rsidR="000D3AAA" w:rsidRPr="000D3AAA">
        <w:rPr>
          <w:rFonts w:cstheme="minorHAnsi"/>
        </w:rPr>
        <w:t>grote</w:t>
      </w:r>
      <w:proofErr w:type="spellEnd"/>
      <w:r w:rsidR="000D3AAA" w:rsidRPr="000D3AAA">
        <w:rPr>
          <w:rFonts w:cstheme="minorHAnsi"/>
        </w:rPr>
        <w:t xml:space="preserve"> </w:t>
      </w:r>
      <w:proofErr w:type="spellStart"/>
      <w:r w:rsidR="000D3AAA" w:rsidRPr="000D3AAA">
        <w:rPr>
          <w:rFonts w:cstheme="minorHAnsi"/>
        </w:rPr>
        <w:t>truckfabrikanten</w:t>
      </w:r>
      <w:proofErr w:type="spellEnd"/>
      <w:r w:rsidR="000D3AAA" w:rsidRPr="000D3AAA">
        <w:rPr>
          <w:rFonts w:cstheme="minorHAnsi"/>
        </w:rPr>
        <w:t xml:space="preserve">’ </w:t>
      </w:r>
      <w:r w:rsidR="000D3AAA" w:rsidRPr="000D3AAA">
        <w:rPr>
          <w:rFonts w:cstheme="minorHAnsi"/>
          <w:i/>
          <w:iCs/>
        </w:rPr>
        <w:t xml:space="preserve">Het </w:t>
      </w:r>
      <w:proofErr w:type="spellStart"/>
      <w:r w:rsidR="000D3AAA" w:rsidRPr="000D3AAA">
        <w:rPr>
          <w:rFonts w:cstheme="minorHAnsi"/>
          <w:i/>
          <w:iCs/>
        </w:rPr>
        <w:t>Financieele</w:t>
      </w:r>
      <w:proofErr w:type="spellEnd"/>
      <w:r w:rsidR="000D3AAA" w:rsidRPr="000D3AAA">
        <w:rPr>
          <w:rFonts w:cstheme="minorHAnsi"/>
          <w:i/>
          <w:iCs/>
        </w:rPr>
        <w:t xml:space="preserve"> </w:t>
      </w:r>
      <w:proofErr w:type="spellStart"/>
      <w:r w:rsidR="000D3AAA" w:rsidRPr="000D3AAA">
        <w:rPr>
          <w:rFonts w:cstheme="minorHAnsi"/>
          <w:i/>
          <w:iCs/>
        </w:rPr>
        <w:t>Dagblad</w:t>
      </w:r>
      <w:proofErr w:type="spellEnd"/>
      <w:r w:rsidR="000D3AAA" w:rsidRPr="000D3AAA">
        <w:rPr>
          <w:rFonts w:cstheme="minorHAnsi"/>
        </w:rPr>
        <w:t xml:space="preserve"> (3 June 2016), &lt;https://fd.nl/economie-politiek/1154500/massaclaim-tegen-truckfabrikanten&gt; accessed 31 May 2022.</w:t>
      </w:r>
    </w:p>
  </w:footnote>
  <w:footnote w:id="333">
    <w:p w14:paraId="3F13CB8B" w14:textId="4BC520F4" w:rsidR="00036EDC" w:rsidRPr="000D5F1C" w:rsidRDefault="00036EDC" w:rsidP="00036ED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41</w:t>
      </w:r>
      <w:r>
        <w:rPr>
          <w:rFonts w:cstheme="minorHAnsi"/>
        </w:rPr>
        <w:t>.</w:t>
      </w:r>
    </w:p>
  </w:footnote>
  <w:footnote w:id="334">
    <w:p w14:paraId="75746158" w14:textId="77777777" w:rsidR="00036EDC" w:rsidRPr="000D5F1C" w:rsidRDefault="00036EDC" w:rsidP="00036EDC">
      <w:pPr>
        <w:pStyle w:val="FootnoteText"/>
        <w:rPr>
          <w:rFonts w:cstheme="minorHAnsi"/>
        </w:rPr>
      </w:pPr>
      <w:r w:rsidRPr="000D5F1C">
        <w:rPr>
          <w:rStyle w:val="FootnoteReference"/>
          <w:rFonts w:cstheme="minorHAnsi"/>
        </w:rPr>
        <w:footnoteRef/>
      </w:r>
      <w:r w:rsidRPr="000D5F1C">
        <w:rPr>
          <w:rFonts w:cstheme="minorHAnsi"/>
        </w:rPr>
        <w:t xml:space="preserve"> </w:t>
      </w:r>
      <w:bookmarkStart w:id="144" w:name="_Hlk107484406"/>
      <w:r w:rsidRPr="00B33A02">
        <w:rPr>
          <w:rFonts w:cstheme="minorHAnsi"/>
        </w:rPr>
        <w:t xml:space="preserve">Damien </w:t>
      </w:r>
      <w:proofErr w:type="spellStart"/>
      <w:r w:rsidRPr="00B33A02">
        <w:rPr>
          <w:rFonts w:cstheme="minorHAnsi"/>
        </w:rPr>
        <w:t>Geradin</w:t>
      </w:r>
      <w:proofErr w:type="spellEnd"/>
      <w:r w:rsidRPr="00B33A02">
        <w:rPr>
          <w:rFonts w:cstheme="minorHAnsi"/>
        </w:rPr>
        <w:t xml:space="preserve"> and Laurie-Anne </w:t>
      </w:r>
      <w:proofErr w:type="spellStart"/>
      <w:r w:rsidRPr="00B33A02">
        <w:rPr>
          <w:rFonts w:cstheme="minorHAnsi"/>
        </w:rPr>
        <w:t>Grelier</w:t>
      </w:r>
      <w:proofErr w:type="spellEnd"/>
      <w:r w:rsidRPr="00B33A02">
        <w:rPr>
          <w:rFonts w:cstheme="minorHAnsi"/>
        </w:rPr>
        <w:t>, ‘Cartel damages claims in the European Union: Have we only seen the tip of the iceberg?’ (2013)</w:t>
      </w:r>
      <w:r>
        <w:rPr>
          <w:rFonts w:cstheme="minorHAnsi"/>
        </w:rPr>
        <w:t xml:space="preserve"> 1,</w:t>
      </w:r>
      <w:r w:rsidRPr="00B33A02">
        <w:rPr>
          <w:rFonts w:cstheme="minorHAnsi"/>
        </w:rPr>
        <w:t xml:space="preserve"> </w:t>
      </w:r>
      <w:r>
        <w:rPr>
          <w:rFonts w:cstheme="minorHAnsi"/>
        </w:rPr>
        <w:t>6.</w:t>
      </w:r>
      <w:bookmarkEnd w:id="144"/>
    </w:p>
  </w:footnote>
  <w:footnote w:id="335">
    <w:p w14:paraId="0CC7629C" w14:textId="77777777" w:rsidR="00036EDC" w:rsidRPr="000D5F1C" w:rsidRDefault="00036EDC" w:rsidP="00036ED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40</w:t>
      </w:r>
      <w:r>
        <w:rPr>
          <w:rFonts w:cstheme="minorHAnsi"/>
        </w:rPr>
        <w:t>.</w:t>
      </w:r>
    </w:p>
  </w:footnote>
  <w:footnote w:id="336">
    <w:p w14:paraId="172B1578" w14:textId="6F5BB9AD"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bookmarkStart w:id="145" w:name="_Hlk107446360"/>
      <w:r w:rsidRPr="000D5F1C">
        <w:rPr>
          <w:rFonts w:cstheme="minorHAnsi"/>
        </w:rPr>
        <w:t xml:space="preserve">Rechtbank Rotterdam 23 </w:t>
      </w:r>
      <w:proofErr w:type="spellStart"/>
      <w:r w:rsidRPr="000D5F1C">
        <w:rPr>
          <w:rFonts w:cstheme="minorHAnsi"/>
        </w:rPr>
        <w:t>Oktober</w:t>
      </w:r>
      <w:proofErr w:type="spellEnd"/>
      <w:r w:rsidRPr="000D5F1C">
        <w:rPr>
          <w:rFonts w:cstheme="minorHAnsi"/>
        </w:rPr>
        <w:t xml:space="preserve"> 2019, ECLI:NL:RBROT:2019:8230 (SECC v Kone), para 9.31; Rechtbank Amsterdam 13 September 2017, ECLI:NL:RBAMS:2017:6607 (</w:t>
      </w:r>
      <w:proofErr w:type="spellStart"/>
      <w:r w:rsidRPr="000D5F1C">
        <w:rPr>
          <w:rFonts w:cstheme="minorHAnsi"/>
        </w:rPr>
        <w:t>Equilib</w:t>
      </w:r>
      <w:proofErr w:type="spellEnd"/>
      <w:r w:rsidRPr="000D5F1C">
        <w:rPr>
          <w:rFonts w:cstheme="minorHAnsi"/>
        </w:rPr>
        <w:t xml:space="preserve"> v KLM); </w:t>
      </w:r>
      <w:proofErr w:type="spellStart"/>
      <w:r w:rsidRPr="000D5F1C">
        <w:rPr>
          <w:rFonts w:cstheme="minorHAnsi"/>
        </w:rPr>
        <w:t>Gerechtshof</w:t>
      </w:r>
      <w:proofErr w:type="spellEnd"/>
      <w:r w:rsidRPr="000D5F1C">
        <w:rPr>
          <w:rFonts w:cstheme="minorHAnsi"/>
        </w:rPr>
        <w:t xml:space="preserve"> Amsterdam 4 </w:t>
      </w:r>
      <w:proofErr w:type="spellStart"/>
      <w:r w:rsidR="00690FA2">
        <w:rPr>
          <w:rFonts w:cstheme="minorHAnsi"/>
        </w:rPr>
        <w:t>F</w:t>
      </w:r>
      <w:r w:rsidRPr="000D5F1C">
        <w:rPr>
          <w:rFonts w:cstheme="minorHAnsi"/>
        </w:rPr>
        <w:t>ebruari</w:t>
      </w:r>
      <w:proofErr w:type="spellEnd"/>
      <w:r w:rsidRPr="000D5F1C">
        <w:rPr>
          <w:rFonts w:cstheme="minorHAnsi"/>
        </w:rPr>
        <w:t xml:space="preserve"> 2020, ECLI:NL:GHAMS:2020:194 (Kemira v. CDC), paras 3.14.1-3.14.5; </w:t>
      </w:r>
      <w:proofErr w:type="spellStart"/>
      <w:r w:rsidRPr="000D5F1C">
        <w:rPr>
          <w:rFonts w:cstheme="minorHAnsi"/>
        </w:rPr>
        <w:t>Gerechtshof</w:t>
      </w:r>
      <w:proofErr w:type="spellEnd"/>
      <w:r w:rsidRPr="000D5F1C">
        <w:rPr>
          <w:rFonts w:cstheme="minorHAnsi"/>
        </w:rPr>
        <w:t xml:space="preserve"> Amsterdam 10 </w:t>
      </w:r>
      <w:proofErr w:type="spellStart"/>
      <w:r w:rsidR="00D52377">
        <w:rPr>
          <w:rFonts w:cstheme="minorHAnsi"/>
        </w:rPr>
        <w:t>M</w:t>
      </w:r>
      <w:r w:rsidRPr="000D5F1C">
        <w:rPr>
          <w:rFonts w:cstheme="minorHAnsi"/>
        </w:rPr>
        <w:t>aart</w:t>
      </w:r>
      <w:proofErr w:type="spellEnd"/>
      <w:r w:rsidRPr="000D5F1C">
        <w:rPr>
          <w:rFonts w:cstheme="minorHAnsi"/>
        </w:rPr>
        <w:t xml:space="preserve"> 2020, ECLI:NL:GHAMS:2020:714 (</w:t>
      </w:r>
      <w:proofErr w:type="spellStart"/>
      <w:r w:rsidRPr="000D5F1C">
        <w:rPr>
          <w:rFonts w:cstheme="minorHAnsi"/>
        </w:rPr>
        <w:t>Equilib</w:t>
      </w:r>
      <w:proofErr w:type="spellEnd"/>
      <w:r w:rsidRPr="000D5F1C">
        <w:rPr>
          <w:rFonts w:cstheme="minorHAnsi"/>
        </w:rPr>
        <w:t xml:space="preserve"> v KLM), para 2.2</w:t>
      </w:r>
      <w:bookmarkEnd w:id="145"/>
      <w:r w:rsidR="00F36AB2">
        <w:rPr>
          <w:rFonts w:cstheme="minorHAnsi"/>
        </w:rPr>
        <w:t>.</w:t>
      </w:r>
    </w:p>
  </w:footnote>
  <w:footnote w:id="337">
    <w:p w14:paraId="6AE353BD" w14:textId="6AA9B53C"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w:t>
      </w:r>
      <w:r w:rsidR="00F36AB2">
        <w:rPr>
          <w:rFonts w:cstheme="minorHAnsi"/>
        </w:rPr>
        <w:t>.</w:t>
      </w:r>
    </w:p>
  </w:footnote>
  <w:footnote w:id="338">
    <w:p w14:paraId="2E106DE0" w14:textId="22EEEB14" w:rsidR="00037026" w:rsidRPr="000D5F1C" w:rsidRDefault="00037026" w:rsidP="00037026">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Jannik</w:t>
      </w:r>
      <w:proofErr w:type="spellEnd"/>
      <w:r w:rsidRPr="000D5F1C">
        <w:rPr>
          <w:rFonts w:cstheme="minorHAnsi"/>
        </w:rPr>
        <w:t xml:space="preserve"> Otto, Patrick Hauser </w:t>
      </w:r>
      <w:r w:rsidR="00224D20">
        <w:rPr>
          <w:rFonts w:cstheme="minorHAnsi"/>
        </w:rPr>
        <w:t>and</w:t>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‘Private enforcement of competition law in Germany and the Netherlands’ (2022) 2</w:t>
      </w:r>
      <w:r w:rsidR="00F36AB2">
        <w:rPr>
          <w:rFonts w:cstheme="minorHAnsi"/>
        </w:rPr>
        <w:t>.</w:t>
      </w:r>
    </w:p>
  </w:footnote>
  <w:footnote w:id="339">
    <w:p w14:paraId="2ABDCFB4" w14:textId="65E3B564" w:rsidR="00991958" w:rsidRPr="000D5F1C" w:rsidRDefault="00991958">
      <w:pPr>
        <w:pStyle w:val="FootnoteText"/>
        <w:rPr>
          <w:rFonts w:cstheme="minorHAnsi"/>
        </w:rPr>
      </w:pPr>
      <w:r w:rsidRPr="000D5F1C">
        <w:rPr>
          <w:rStyle w:val="FootnoteReference"/>
          <w:rFonts w:cstheme="minorHAnsi"/>
        </w:rPr>
        <w:footnoteRef/>
      </w:r>
      <w:r w:rsidRPr="000D5F1C">
        <w:rPr>
          <w:rFonts w:cstheme="minorHAnsi"/>
        </w:rPr>
        <w:t xml:space="preserve">  </w:t>
      </w:r>
      <w:bookmarkStart w:id="146" w:name="_Hlk107484461"/>
      <w:r w:rsidRPr="000D5F1C">
        <w:rPr>
          <w:rFonts w:cstheme="minorHAnsi"/>
        </w:rPr>
        <w:t xml:space="preserve">Willem H van Boom, ‘Collective Settlement of Mass Claims in The Netherlands’ (2009), in Matthias Casper, André Janssen, Petra </w:t>
      </w:r>
      <w:proofErr w:type="spellStart"/>
      <w:r w:rsidRPr="000D5F1C">
        <w:rPr>
          <w:rFonts w:cstheme="minorHAnsi"/>
        </w:rPr>
        <w:t>Pohlmann</w:t>
      </w:r>
      <w:proofErr w:type="spellEnd"/>
      <w:r w:rsidRPr="000D5F1C">
        <w:rPr>
          <w:rFonts w:cstheme="minorHAnsi"/>
        </w:rPr>
        <w:t>, Reiner Schulze (eds.),</w:t>
      </w:r>
      <w:r w:rsidR="00CA114A" w:rsidRPr="000D5F1C">
        <w:rPr>
          <w:rFonts w:cstheme="minorHAnsi"/>
        </w:rPr>
        <w:t xml:space="preserve"> </w:t>
      </w:r>
      <w:r w:rsidR="00CA114A" w:rsidRPr="000D5F1C">
        <w:rPr>
          <w:rFonts w:cstheme="minorHAnsi"/>
          <w:i/>
          <w:iCs/>
        </w:rPr>
        <w:t xml:space="preserve">Auf dem </w:t>
      </w:r>
      <w:proofErr w:type="spellStart"/>
      <w:r w:rsidR="00CA114A" w:rsidRPr="000D5F1C">
        <w:rPr>
          <w:rFonts w:cstheme="minorHAnsi"/>
          <w:i/>
          <w:iCs/>
        </w:rPr>
        <w:t>Weg</w:t>
      </w:r>
      <w:proofErr w:type="spellEnd"/>
      <w:r w:rsidR="00CA114A" w:rsidRPr="000D5F1C">
        <w:rPr>
          <w:rFonts w:cstheme="minorHAnsi"/>
          <w:i/>
          <w:iCs/>
        </w:rPr>
        <w:t xml:space="preserve"> </w:t>
      </w:r>
      <w:proofErr w:type="spellStart"/>
      <w:r w:rsidR="00CA114A" w:rsidRPr="000D5F1C">
        <w:rPr>
          <w:rFonts w:cstheme="minorHAnsi"/>
          <w:i/>
          <w:iCs/>
        </w:rPr>
        <w:t>zu</w:t>
      </w:r>
      <w:proofErr w:type="spellEnd"/>
      <w:r w:rsidR="00CA114A" w:rsidRPr="000D5F1C">
        <w:rPr>
          <w:rFonts w:cstheme="minorHAnsi"/>
          <w:i/>
          <w:iCs/>
        </w:rPr>
        <w:t xml:space="preserve"> </w:t>
      </w:r>
      <w:proofErr w:type="spellStart"/>
      <w:r w:rsidR="00CA114A" w:rsidRPr="000D5F1C">
        <w:rPr>
          <w:rFonts w:cstheme="minorHAnsi"/>
          <w:i/>
          <w:iCs/>
        </w:rPr>
        <w:t>einer</w:t>
      </w:r>
      <w:proofErr w:type="spellEnd"/>
      <w:r w:rsidR="00CA114A" w:rsidRPr="000D5F1C">
        <w:rPr>
          <w:rFonts w:cstheme="minorHAnsi"/>
          <w:i/>
          <w:iCs/>
        </w:rPr>
        <w:t xml:space="preserve"> </w:t>
      </w:r>
      <w:proofErr w:type="spellStart"/>
      <w:r w:rsidR="00CA114A" w:rsidRPr="000D5F1C">
        <w:rPr>
          <w:rFonts w:cstheme="minorHAnsi"/>
          <w:i/>
          <w:iCs/>
        </w:rPr>
        <w:t>europäischen</w:t>
      </w:r>
      <w:proofErr w:type="spellEnd"/>
      <w:r w:rsidR="00CA114A" w:rsidRPr="000D5F1C">
        <w:rPr>
          <w:rFonts w:cstheme="minorHAnsi"/>
          <w:i/>
          <w:iCs/>
        </w:rPr>
        <w:t xml:space="preserve"> </w:t>
      </w:r>
      <w:proofErr w:type="spellStart"/>
      <w:r w:rsidR="00CA114A" w:rsidRPr="000D5F1C">
        <w:rPr>
          <w:rFonts w:cstheme="minorHAnsi"/>
          <w:i/>
          <w:iCs/>
        </w:rPr>
        <w:t>Sammelklage</w:t>
      </w:r>
      <w:proofErr w:type="spellEnd"/>
      <w:r w:rsidR="00CA114A" w:rsidRPr="000D5F1C">
        <w:rPr>
          <w:rFonts w:cstheme="minorHAnsi"/>
          <w:i/>
          <w:iCs/>
        </w:rPr>
        <w:t>?</w:t>
      </w:r>
      <w:r w:rsidR="00CA114A" w:rsidRPr="000D5F1C">
        <w:rPr>
          <w:rFonts w:cstheme="minorHAnsi"/>
        </w:rPr>
        <w:t xml:space="preserve"> (Munich: Sellier 2009)</w:t>
      </w:r>
      <w:bookmarkEnd w:id="146"/>
      <w:r w:rsidR="00CA114A" w:rsidRPr="000D5F1C">
        <w:rPr>
          <w:rFonts w:cstheme="minorHAnsi"/>
        </w:rPr>
        <w:t xml:space="preserve"> </w:t>
      </w:r>
      <w:r w:rsidRPr="000D5F1C">
        <w:rPr>
          <w:rFonts w:cstheme="minorHAnsi"/>
        </w:rPr>
        <w:t>177</w:t>
      </w:r>
      <w:r w:rsidR="000F2D71">
        <w:rPr>
          <w:rFonts w:cstheme="minorHAnsi"/>
        </w:rPr>
        <w:t>.</w:t>
      </w:r>
    </w:p>
  </w:footnote>
  <w:footnote w:id="340">
    <w:p w14:paraId="5A9CDDE6" w14:textId="791A6F17" w:rsidR="007048B7" w:rsidRPr="000D5F1C" w:rsidRDefault="007048B7">
      <w:pPr>
        <w:pStyle w:val="FootnoteText"/>
        <w:rPr>
          <w:rFonts w:cstheme="minorHAnsi"/>
        </w:rPr>
      </w:pPr>
      <w:r w:rsidRPr="000D5F1C">
        <w:rPr>
          <w:rStyle w:val="FootnoteReference"/>
          <w:rFonts w:cstheme="minorHAnsi"/>
        </w:rPr>
        <w:footnoteRef/>
      </w:r>
      <w:r w:rsidRPr="000D5F1C">
        <w:rPr>
          <w:rFonts w:cstheme="minorHAnsi"/>
        </w:rPr>
        <w:t xml:space="preserve"> </w:t>
      </w:r>
      <w:r w:rsidR="00B33A02" w:rsidRPr="00B33A02">
        <w:rPr>
          <w:rFonts w:cstheme="minorHAnsi"/>
        </w:rPr>
        <w:t xml:space="preserve">Damien </w:t>
      </w:r>
      <w:proofErr w:type="spellStart"/>
      <w:r w:rsidR="00B33A02" w:rsidRPr="00B33A02">
        <w:rPr>
          <w:rFonts w:cstheme="minorHAnsi"/>
        </w:rPr>
        <w:t>Geradin</w:t>
      </w:r>
      <w:proofErr w:type="spellEnd"/>
      <w:r w:rsidR="00B33A02" w:rsidRPr="00B33A02">
        <w:rPr>
          <w:rFonts w:cstheme="minorHAnsi"/>
        </w:rPr>
        <w:t xml:space="preserve"> and Laurie-Anne </w:t>
      </w:r>
      <w:proofErr w:type="spellStart"/>
      <w:r w:rsidR="00B33A02" w:rsidRPr="00B33A02">
        <w:rPr>
          <w:rFonts w:cstheme="minorHAnsi"/>
        </w:rPr>
        <w:t>Grelier</w:t>
      </w:r>
      <w:proofErr w:type="spellEnd"/>
      <w:r w:rsidR="00B33A02" w:rsidRPr="00B33A02">
        <w:rPr>
          <w:rFonts w:cstheme="minorHAnsi"/>
        </w:rPr>
        <w:t>, ‘Cartel damages claims in the European Union: Have we only seen the tip of the iceberg?’ (2013)</w:t>
      </w:r>
      <w:r w:rsidR="00B33A02">
        <w:rPr>
          <w:rFonts w:cstheme="minorHAnsi"/>
        </w:rPr>
        <w:t xml:space="preserve"> 1,</w:t>
      </w:r>
      <w:r w:rsidR="00B33A02" w:rsidRPr="00B33A02">
        <w:rPr>
          <w:rFonts w:cstheme="minorHAnsi"/>
        </w:rPr>
        <w:t xml:space="preserve"> </w:t>
      </w:r>
      <w:r w:rsidR="00E539B6" w:rsidRPr="000D5F1C">
        <w:rPr>
          <w:rFonts w:cstheme="minorHAnsi"/>
        </w:rPr>
        <w:t>6</w:t>
      </w:r>
      <w:r w:rsidR="000F2D71">
        <w:rPr>
          <w:rFonts w:cstheme="minorHAnsi"/>
        </w:rPr>
        <w:t>.</w:t>
      </w:r>
    </w:p>
  </w:footnote>
  <w:footnote w:id="341">
    <w:p w14:paraId="0120ABA9" w14:textId="113FBF31" w:rsidR="00EE1EE3" w:rsidRPr="000D5F1C" w:rsidRDefault="00EE1EE3" w:rsidP="00EE1EE3">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156-157</w:t>
      </w:r>
      <w:r w:rsidR="000F2D71">
        <w:rPr>
          <w:rFonts w:cstheme="minorHAnsi"/>
        </w:rPr>
        <w:t>.</w:t>
      </w:r>
    </w:p>
  </w:footnote>
  <w:footnote w:id="342">
    <w:p w14:paraId="6A17A9BD" w14:textId="7B6ACB44" w:rsidR="008D77BE" w:rsidRPr="000D5F1C" w:rsidRDefault="008D77BE">
      <w:pPr>
        <w:pStyle w:val="FootnoteText"/>
        <w:rPr>
          <w:rFonts w:cstheme="minorHAnsi"/>
        </w:rPr>
      </w:pPr>
      <w:r w:rsidRPr="000D5F1C">
        <w:rPr>
          <w:rStyle w:val="FootnoteReference"/>
          <w:rFonts w:cstheme="minorHAnsi"/>
        </w:rPr>
        <w:footnoteRef/>
      </w:r>
      <w:r w:rsidRPr="000D5F1C">
        <w:rPr>
          <w:rFonts w:cstheme="minorHAnsi"/>
        </w:rPr>
        <w:t xml:space="preserve"> </w:t>
      </w:r>
      <w:r w:rsidR="00FB65D3" w:rsidRPr="00FB65D3">
        <w:rPr>
          <w:rFonts w:cstheme="minorHAnsi"/>
        </w:rPr>
        <w:t xml:space="preserve">B </w:t>
      </w:r>
      <w:proofErr w:type="spellStart"/>
      <w:r w:rsidR="00FB65D3" w:rsidRPr="00FB65D3">
        <w:rPr>
          <w:rFonts w:cstheme="minorHAnsi"/>
        </w:rPr>
        <w:t>Braat</w:t>
      </w:r>
      <w:proofErr w:type="spellEnd"/>
      <w:r w:rsidR="00FB65D3" w:rsidRPr="00FB65D3">
        <w:rPr>
          <w:rFonts w:cstheme="minorHAnsi"/>
        </w:rPr>
        <w:t xml:space="preserve"> and N </w:t>
      </w:r>
      <w:proofErr w:type="spellStart"/>
      <w:r w:rsidR="00FB65D3" w:rsidRPr="00FB65D3">
        <w:rPr>
          <w:rFonts w:cstheme="minorHAnsi"/>
        </w:rPr>
        <w:t>Rosenboom</w:t>
      </w:r>
      <w:proofErr w:type="spellEnd"/>
      <w:r w:rsidR="00FB65D3" w:rsidRPr="00FB65D3">
        <w:rPr>
          <w:rFonts w:cstheme="minorHAnsi"/>
        </w:rPr>
        <w:t>, ‘</w:t>
      </w:r>
      <w:proofErr w:type="spellStart"/>
      <w:r w:rsidR="00FB65D3" w:rsidRPr="00FB65D3">
        <w:rPr>
          <w:rFonts w:cstheme="minorHAnsi"/>
        </w:rPr>
        <w:t>Privaatrechtelijke</w:t>
      </w:r>
      <w:proofErr w:type="spellEnd"/>
      <w:r w:rsidR="00FB65D3" w:rsidRPr="00FB65D3">
        <w:rPr>
          <w:rFonts w:cstheme="minorHAnsi"/>
        </w:rPr>
        <w:t xml:space="preserve"> </w:t>
      </w:r>
      <w:proofErr w:type="spellStart"/>
      <w:r w:rsidR="00FB65D3" w:rsidRPr="00FB65D3">
        <w:rPr>
          <w:rFonts w:cstheme="minorHAnsi"/>
        </w:rPr>
        <w:t>handhaving</w:t>
      </w:r>
      <w:proofErr w:type="spellEnd"/>
      <w:r w:rsidR="00FB65D3" w:rsidRPr="00FB65D3">
        <w:rPr>
          <w:rFonts w:cstheme="minorHAnsi"/>
        </w:rPr>
        <w:t xml:space="preserve"> van het </w:t>
      </w:r>
      <w:proofErr w:type="spellStart"/>
      <w:r w:rsidR="00FB65D3" w:rsidRPr="00FB65D3">
        <w:rPr>
          <w:rFonts w:cstheme="minorHAnsi"/>
        </w:rPr>
        <w:t>mededingingsrecht</w:t>
      </w:r>
      <w:proofErr w:type="spellEnd"/>
      <w:r w:rsidR="00FB65D3" w:rsidRPr="00FB65D3">
        <w:rPr>
          <w:rFonts w:cstheme="minorHAnsi"/>
        </w:rPr>
        <w:t xml:space="preserve"> </w:t>
      </w:r>
      <w:proofErr w:type="spellStart"/>
      <w:r w:rsidR="00FB65D3" w:rsidRPr="00FB65D3">
        <w:rPr>
          <w:rFonts w:cstheme="minorHAnsi"/>
        </w:rPr>
        <w:t>en</w:t>
      </w:r>
      <w:proofErr w:type="spellEnd"/>
      <w:r w:rsidR="00FB65D3" w:rsidRPr="00FB65D3">
        <w:rPr>
          <w:rFonts w:cstheme="minorHAnsi"/>
        </w:rPr>
        <w:t xml:space="preserve"> de </w:t>
      </w:r>
      <w:proofErr w:type="spellStart"/>
      <w:r w:rsidR="00FB65D3" w:rsidRPr="00FB65D3">
        <w:rPr>
          <w:rFonts w:cstheme="minorHAnsi"/>
        </w:rPr>
        <w:t>collectieve</w:t>
      </w:r>
      <w:proofErr w:type="spellEnd"/>
      <w:r w:rsidR="00FB65D3" w:rsidRPr="00FB65D3">
        <w:rPr>
          <w:rFonts w:cstheme="minorHAnsi"/>
        </w:rPr>
        <w:t xml:space="preserve"> </w:t>
      </w:r>
      <w:proofErr w:type="spellStart"/>
      <w:r w:rsidR="00FB65D3" w:rsidRPr="00FB65D3">
        <w:rPr>
          <w:rFonts w:cstheme="minorHAnsi"/>
        </w:rPr>
        <w:t>schadeafwikkeling</w:t>
      </w:r>
      <w:proofErr w:type="spellEnd"/>
      <w:r w:rsidR="00FB65D3" w:rsidRPr="00FB65D3">
        <w:rPr>
          <w:rFonts w:cstheme="minorHAnsi"/>
        </w:rPr>
        <w:t xml:space="preserve">’ (2018) 66 </w:t>
      </w:r>
      <w:proofErr w:type="spellStart"/>
      <w:r w:rsidR="00FB65D3" w:rsidRPr="00FB65D3">
        <w:rPr>
          <w:rFonts w:cstheme="minorHAnsi"/>
        </w:rPr>
        <w:t>Sociaal-economische</w:t>
      </w:r>
      <w:proofErr w:type="spellEnd"/>
      <w:r w:rsidR="00FB65D3" w:rsidRPr="00FB65D3">
        <w:rPr>
          <w:rFonts w:cstheme="minorHAnsi"/>
        </w:rPr>
        <w:t xml:space="preserve"> </w:t>
      </w:r>
      <w:proofErr w:type="spellStart"/>
      <w:r w:rsidR="00FB65D3" w:rsidRPr="00FB65D3">
        <w:rPr>
          <w:rFonts w:cstheme="minorHAnsi"/>
        </w:rPr>
        <w:t>Wetgeving</w:t>
      </w:r>
      <w:proofErr w:type="spellEnd"/>
      <w:r w:rsidR="00FB65D3" w:rsidRPr="00FB65D3">
        <w:rPr>
          <w:rFonts w:cstheme="minorHAnsi"/>
        </w:rPr>
        <w:t xml:space="preserve">: </w:t>
      </w:r>
      <w:proofErr w:type="spellStart"/>
      <w:r w:rsidR="00FB65D3" w:rsidRPr="00FB65D3">
        <w:rPr>
          <w:rFonts w:cstheme="minorHAnsi"/>
        </w:rPr>
        <w:t>Tijdschrift</w:t>
      </w:r>
      <w:proofErr w:type="spellEnd"/>
      <w:r w:rsidR="00FB65D3" w:rsidRPr="00FB65D3">
        <w:rPr>
          <w:rFonts w:cstheme="minorHAnsi"/>
        </w:rPr>
        <w:t xml:space="preserve"> </w:t>
      </w:r>
      <w:proofErr w:type="spellStart"/>
      <w:r w:rsidR="00FB65D3" w:rsidRPr="00FB65D3">
        <w:rPr>
          <w:rFonts w:cstheme="minorHAnsi"/>
        </w:rPr>
        <w:t>voor</w:t>
      </w:r>
      <w:proofErr w:type="spellEnd"/>
      <w:r w:rsidR="00FB65D3" w:rsidRPr="00FB65D3">
        <w:rPr>
          <w:rFonts w:cstheme="minorHAnsi"/>
        </w:rPr>
        <w:t xml:space="preserve"> </w:t>
      </w:r>
      <w:proofErr w:type="spellStart"/>
      <w:r w:rsidR="00FB65D3" w:rsidRPr="00FB65D3">
        <w:rPr>
          <w:rFonts w:cstheme="minorHAnsi"/>
        </w:rPr>
        <w:t>Europees</w:t>
      </w:r>
      <w:proofErr w:type="spellEnd"/>
      <w:r w:rsidR="00FB65D3" w:rsidRPr="00FB65D3">
        <w:rPr>
          <w:rFonts w:cstheme="minorHAnsi"/>
        </w:rPr>
        <w:t xml:space="preserve"> </w:t>
      </w:r>
      <w:proofErr w:type="spellStart"/>
      <w:r w:rsidR="00FB65D3" w:rsidRPr="00FB65D3">
        <w:rPr>
          <w:rFonts w:cstheme="minorHAnsi"/>
        </w:rPr>
        <w:t>en</w:t>
      </w:r>
      <w:proofErr w:type="spellEnd"/>
      <w:r w:rsidR="00FB65D3" w:rsidRPr="00FB65D3">
        <w:rPr>
          <w:rFonts w:cstheme="minorHAnsi"/>
        </w:rPr>
        <w:t xml:space="preserve"> </w:t>
      </w:r>
      <w:proofErr w:type="spellStart"/>
      <w:r w:rsidR="00FB65D3" w:rsidRPr="00FB65D3">
        <w:rPr>
          <w:rFonts w:cstheme="minorHAnsi"/>
        </w:rPr>
        <w:t>economisch</w:t>
      </w:r>
      <w:proofErr w:type="spellEnd"/>
      <w:r w:rsidR="00FB65D3" w:rsidRPr="00FB65D3">
        <w:rPr>
          <w:rFonts w:cstheme="minorHAnsi"/>
        </w:rPr>
        <w:t xml:space="preserve"> </w:t>
      </w:r>
      <w:proofErr w:type="spellStart"/>
      <w:r w:rsidR="00FB65D3" w:rsidRPr="00FB65D3">
        <w:rPr>
          <w:rFonts w:cstheme="minorHAnsi"/>
        </w:rPr>
        <w:t>recht</w:t>
      </w:r>
      <w:proofErr w:type="spellEnd"/>
      <w:r w:rsidR="00FB65D3" w:rsidRPr="00FB65D3">
        <w:rPr>
          <w:rFonts w:cstheme="minorHAnsi"/>
        </w:rPr>
        <w:t xml:space="preserve"> 10</w:t>
      </w:r>
      <w:r w:rsidR="005D7180" w:rsidRPr="000D5F1C">
        <w:rPr>
          <w:rFonts w:cstheme="minorHAnsi"/>
        </w:rPr>
        <w:t>,</w:t>
      </w:r>
      <w:r w:rsidR="00FB65D3">
        <w:rPr>
          <w:rFonts w:cstheme="minorHAnsi"/>
        </w:rPr>
        <w:t xml:space="preserve"> </w:t>
      </w:r>
      <w:r w:rsidR="005D7180" w:rsidRPr="000D5F1C">
        <w:rPr>
          <w:rFonts w:cstheme="minorHAnsi"/>
        </w:rPr>
        <w:t>15</w:t>
      </w:r>
      <w:r w:rsidR="000F2D71">
        <w:rPr>
          <w:rFonts w:cstheme="minorHAnsi"/>
        </w:rPr>
        <w:t>.</w:t>
      </w:r>
    </w:p>
  </w:footnote>
  <w:footnote w:id="343">
    <w:p w14:paraId="116CAE65" w14:textId="37AFE80A" w:rsidR="00C61D86" w:rsidRPr="000D5F1C" w:rsidRDefault="00C61D86">
      <w:pPr>
        <w:pStyle w:val="FootnoteText"/>
        <w:rPr>
          <w:rFonts w:cstheme="minorHAnsi"/>
        </w:rPr>
      </w:pPr>
      <w:r w:rsidRPr="000D5F1C">
        <w:rPr>
          <w:rStyle w:val="FootnoteReference"/>
          <w:rFonts w:cstheme="minorHAnsi"/>
        </w:rPr>
        <w:footnoteRef/>
      </w:r>
      <w:r w:rsidRPr="000D5F1C">
        <w:rPr>
          <w:rFonts w:cstheme="minorHAnsi"/>
        </w:rPr>
        <w:t xml:space="preserve"> </w:t>
      </w:r>
      <w:r w:rsidR="00B33A02" w:rsidRPr="00B33A02">
        <w:rPr>
          <w:rFonts w:cstheme="minorHAnsi"/>
        </w:rPr>
        <w:t xml:space="preserve">Damien </w:t>
      </w:r>
      <w:proofErr w:type="spellStart"/>
      <w:r w:rsidR="00B33A02" w:rsidRPr="00B33A02">
        <w:rPr>
          <w:rFonts w:cstheme="minorHAnsi"/>
        </w:rPr>
        <w:t>Geradin</w:t>
      </w:r>
      <w:proofErr w:type="spellEnd"/>
      <w:r w:rsidR="00B33A02" w:rsidRPr="00B33A02">
        <w:rPr>
          <w:rFonts w:cstheme="minorHAnsi"/>
        </w:rPr>
        <w:t xml:space="preserve"> and Laurie-Anne </w:t>
      </w:r>
      <w:proofErr w:type="spellStart"/>
      <w:r w:rsidR="00B33A02" w:rsidRPr="00B33A02">
        <w:rPr>
          <w:rFonts w:cstheme="minorHAnsi"/>
        </w:rPr>
        <w:t>Grelier</w:t>
      </w:r>
      <w:proofErr w:type="spellEnd"/>
      <w:r w:rsidR="00B33A02" w:rsidRPr="00B33A02">
        <w:rPr>
          <w:rFonts w:cstheme="minorHAnsi"/>
        </w:rPr>
        <w:t>, ‘Cartel damages claims in the European Union: Have we only seen the tip of the iceberg?’ (2013)</w:t>
      </w:r>
      <w:r w:rsidR="00B33A02">
        <w:rPr>
          <w:rFonts w:cstheme="minorHAnsi"/>
        </w:rPr>
        <w:t xml:space="preserve"> 1</w:t>
      </w:r>
      <w:r w:rsidRPr="000D5F1C">
        <w:rPr>
          <w:rFonts w:cstheme="minorHAnsi"/>
        </w:rPr>
        <w:t>, 7</w:t>
      </w:r>
      <w:r w:rsidR="000F2D71">
        <w:rPr>
          <w:rFonts w:cstheme="minorHAnsi"/>
        </w:rPr>
        <w:t>.</w:t>
      </w:r>
    </w:p>
  </w:footnote>
  <w:footnote w:id="344">
    <w:p w14:paraId="1C9858DC" w14:textId="0561C1CF" w:rsidR="00CD1394" w:rsidRPr="000D5F1C" w:rsidRDefault="00CD1394">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Gerechtshof</w:t>
      </w:r>
      <w:proofErr w:type="spellEnd"/>
      <w:r w:rsidRPr="000D5F1C">
        <w:rPr>
          <w:rFonts w:cstheme="minorHAnsi"/>
        </w:rPr>
        <w:t xml:space="preserve"> Amsterdam 29 </w:t>
      </w:r>
      <w:r w:rsidR="00D52377">
        <w:rPr>
          <w:rFonts w:cstheme="minorHAnsi"/>
        </w:rPr>
        <w:t>M</w:t>
      </w:r>
      <w:r w:rsidRPr="000D5F1C">
        <w:rPr>
          <w:rFonts w:cstheme="minorHAnsi"/>
        </w:rPr>
        <w:t xml:space="preserve">ei 2009, ECLI:NL:GHAMS:2009:BI5744 (Shell v </w:t>
      </w:r>
      <w:proofErr w:type="spellStart"/>
      <w:r w:rsidRPr="000D5F1C">
        <w:rPr>
          <w:rFonts w:cstheme="minorHAnsi"/>
        </w:rPr>
        <w:t>Dexia</w:t>
      </w:r>
      <w:proofErr w:type="spellEnd"/>
      <w:r w:rsidRPr="000D5F1C">
        <w:rPr>
          <w:rFonts w:cstheme="minorHAnsi"/>
        </w:rPr>
        <w:t>)</w:t>
      </w:r>
      <w:r w:rsidR="000F2D71">
        <w:rPr>
          <w:rFonts w:cstheme="minorHAnsi"/>
        </w:rPr>
        <w:t>.</w:t>
      </w:r>
    </w:p>
  </w:footnote>
  <w:footnote w:id="345">
    <w:p w14:paraId="16CA7D8F" w14:textId="1254D288" w:rsidR="002C5E85" w:rsidRPr="000D5F1C" w:rsidRDefault="002C5E85">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00EE1EE3" w:rsidRPr="000D5F1C">
        <w:rPr>
          <w:rFonts w:cstheme="minorHAnsi"/>
        </w:rPr>
        <w:t>Gerechtshof</w:t>
      </w:r>
      <w:proofErr w:type="spellEnd"/>
      <w:r w:rsidR="00EE1EE3" w:rsidRPr="000D5F1C">
        <w:rPr>
          <w:rFonts w:cstheme="minorHAnsi"/>
        </w:rPr>
        <w:t xml:space="preserve"> Amsterdam 17 </w:t>
      </w:r>
      <w:proofErr w:type="spellStart"/>
      <w:r w:rsidR="00D52377">
        <w:rPr>
          <w:rFonts w:cstheme="minorHAnsi"/>
        </w:rPr>
        <w:t>J</w:t>
      </w:r>
      <w:r w:rsidR="00EE1EE3" w:rsidRPr="000D5F1C">
        <w:rPr>
          <w:rFonts w:cstheme="minorHAnsi"/>
        </w:rPr>
        <w:t>anuari</w:t>
      </w:r>
      <w:proofErr w:type="spellEnd"/>
      <w:r w:rsidR="00EE1EE3" w:rsidRPr="000D5F1C">
        <w:rPr>
          <w:rFonts w:cstheme="minorHAnsi"/>
        </w:rPr>
        <w:t xml:space="preserve"> 2012, ECLI:NL:GHAMS:2012:BV1026 (</w:t>
      </w:r>
      <w:proofErr w:type="spellStart"/>
      <w:r w:rsidR="00EE1EE3" w:rsidRPr="000D5F1C">
        <w:rPr>
          <w:rFonts w:cstheme="minorHAnsi"/>
        </w:rPr>
        <w:t>Converium</w:t>
      </w:r>
      <w:proofErr w:type="spellEnd"/>
      <w:r w:rsidR="00EE1EE3" w:rsidRPr="000D5F1C">
        <w:rPr>
          <w:rFonts w:cstheme="minorHAnsi"/>
        </w:rPr>
        <w:t xml:space="preserve"> v </w:t>
      </w:r>
      <w:proofErr w:type="spellStart"/>
      <w:r w:rsidR="00EE1EE3" w:rsidRPr="000D5F1C">
        <w:rPr>
          <w:rFonts w:cstheme="minorHAnsi"/>
          <w:shd w:val="clear" w:color="auto" w:fill="FFFFFF"/>
        </w:rPr>
        <w:t>Liechtensteinische</w:t>
      </w:r>
      <w:proofErr w:type="spellEnd"/>
      <w:r w:rsidR="00EE1EE3" w:rsidRPr="000D5F1C">
        <w:rPr>
          <w:rFonts w:cstheme="minorHAnsi"/>
          <w:shd w:val="clear" w:color="auto" w:fill="FFFFFF"/>
        </w:rPr>
        <w:t xml:space="preserve"> </w:t>
      </w:r>
      <w:proofErr w:type="spellStart"/>
      <w:r w:rsidR="00EE1EE3" w:rsidRPr="000D5F1C">
        <w:rPr>
          <w:rFonts w:cstheme="minorHAnsi"/>
          <w:shd w:val="clear" w:color="auto" w:fill="FFFFFF"/>
        </w:rPr>
        <w:t>Landesbank</w:t>
      </w:r>
      <w:proofErr w:type="spellEnd"/>
      <w:r w:rsidR="00EE1EE3" w:rsidRPr="000D5F1C">
        <w:rPr>
          <w:rFonts w:cstheme="minorHAnsi"/>
          <w:shd w:val="clear" w:color="auto" w:fill="FFFFFF"/>
        </w:rPr>
        <w:t xml:space="preserve"> AG)</w:t>
      </w:r>
      <w:r w:rsidR="000F2D71">
        <w:rPr>
          <w:rFonts w:cstheme="minorHAnsi"/>
          <w:shd w:val="clear" w:color="auto" w:fill="FFFFFF"/>
        </w:rPr>
        <w:t>.</w:t>
      </w:r>
    </w:p>
  </w:footnote>
  <w:footnote w:id="346">
    <w:p w14:paraId="14AEC4A9" w14:textId="1B3D0CEE" w:rsidR="009D776F" w:rsidRPr="000D5F1C" w:rsidRDefault="009D776F">
      <w:pPr>
        <w:pStyle w:val="FootnoteText"/>
        <w:rPr>
          <w:rFonts w:cstheme="minorHAnsi"/>
        </w:rPr>
      </w:pPr>
      <w:r w:rsidRPr="000D5F1C">
        <w:rPr>
          <w:rStyle w:val="FootnoteReference"/>
          <w:rFonts w:cstheme="minorHAnsi"/>
        </w:rPr>
        <w:footnoteRef/>
      </w:r>
      <w:r w:rsidRPr="000D5F1C">
        <w:rPr>
          <w:rFonts w:cstheme="minorHAnsi"/>
        </w:rPr>
        <w:t xml:space="preserve"> </w:t>
      </w:r>
      <w:r w:rsidR="00716071" w:rsidRPr="000D5F1C">
        <w:rPr>
          <w:rFonts w:cstheme="minorHAnsi"/>
        </w:rPr>
        <w:t>R</w:t>
      </w:r>
      <w:r w:rsidR="00716071">
        <w:rPr>
          <w:rFonts w:cstheme="minorHAnsi"/>
        </w:rPr>
        <w:t>ick</w:t>
      </w:r>
      <w:r w:rsidR="00DF364A" w:rsidRPr="000D5F1C">
        <w:rPr>
          <w:rFonts w:cstheme="minorHAnsi"/>
        </w:rPr>
        <w:t xml:space="preserve"> Cornelissen </w:t>
      </w:r>
      <w:r w:rsidR="007F3DAA">
        <w:rPr>
          <w:rFonts w:cstheme="minorHAnsi"/>
        </w:rPr>
        <w:t>and others</w:t>
      </w:r>
      <w:r w:rsidR="00DF364A" w:rsidRPr="000D5F1C">
        <w:rPr>
          <w:rFonts w:cstheme="minorHAnsi"/>
        </w:rPr>
        <w:t xml:space="preserve">, ‘Netherlands’ in Ilene K. Gotts and Kevin S. Schwartz (eds), </w:t>
      </w:r>
      <w:r w:rsidR="00DF364A" w:rsidRPr="000D5F1C">
        <w:rPr>
          <w:rFonts w:cstheme="minorHAnsi"/>
          <w:i/>
          <w:iCs/>
        </w:rPr>
        <w:t>Private Competition Enforcement Review</w:t>
      </w:r>
      <w:r w:rsidR="00DF364A" w:rsidRPr="000D5F1C">
        <w:rPr>
          <w:rFonts w:cstheme="minorHAnsi"/>
        </w:rPr>
        <w:t xml:space="preserve"> (Chapter 15, The </w:t>
      </w:r>
      <w:proofErr w:type="spellStart"/>
      <w:r w:rsidR="00DF364A" w:rsidRPr="000D5F1C">
        <w:rPr>
          <w:rFonts w:cstheme="minorHAnsi"/>
        </w:rPr>
        <w:t>LawReviews</w:t>
      </w:r>
      <w:proofErr w:type="spellEnd"/>
      <w:r w:rsidR="00DF364A" w:rsidRPr="000D5F1C">
        <w:rPr>
          <w:rFonts w:cstheme="minorHAnsi"/>
        </w:rPr>
        <w:t xml:space="preserve"> 2020), 191</w:t>
      </w:r>
      <w:r w:rsidR="00FB407A" w:rsidRPr="000D5F1C">
        <w:rPr>
          <w:rFonts w:cstheme="minorHAnsi"/>
        </w:rPr>
        <w:t xml:space="preserve">; Rein </w:t>
      </w:r>
      <w:proofErr w:type="spellStart"/>
      <w:r w:rsidR="00FB407A" w:rsidRPr="000D5F1C">
        <w:rPr>
          <w:rFonts w:cstheme="minorHAnsi"/>
        </w:rPr>
        <w:t>Wesseling</w:t>
      </w:r>
      <w:proofErr w:type="spellEnd"/>
      <w:r w:rsidR="00FB407A" w:rsidRPr="000D5F1C">
        <w:rPr>
          <w:rFonts w:cstheme="minorHAnsi"/>
        </w:rPr>
        <w:t xml:space="preserve"> </w:t>
      </w:r>
      <w:r w:rsidR="00716071">
        <w:rPr>
          <w:rFonts w:cstheme="minorHAnsi"/>
        </w:rPr>
        <w:t>and</w:t>
      </w:r>
      <w:r w:rsidR="00FB407A" w:rsidRPr="000D5F1C">
        <w:rPr>
          <w:rFonts w:cstheme="minorHAnsi"/>
        </w:rPr>
        <w:t xml:space="preserve"> </w:t>
      </w:r>
      <w:proofErr w:type="spellStart"/>
      <w:r w:rsidR="00FB407A" w:rsidRPr="000D5F1C">
        <w:rPr>
          <w:rFonts w:cstheme="minorHAnsi"/>
        </w:rPr>
        <w:t>Roos</w:t>
      </w:r>
      <w:proofErr w:type="spellEnd"/>
      <w:r w:rsidR="00FB407A" w:rsidRPr="000D5F1C">
        <w:rPr>
          <w:rFonts w:cstheme="minorHAnsi"/>
        </w:rPr>
        <w:t xml:space="preserve"> </w:t>
      </w:r>
      <w:proofErr w:type="spellStart"/>
      <w:r w:rsidR="00FB407A" w:rsidRPr="000D5F1C">
        <w:rPr>
          <w:rFonts w:cstheme="minorHAnsi"/>
        </w:rPr>
        <w:t>Elemans</w:t>
      </w:r>
      <w:proofErr w:type="spellEnd"/>
      <w:r w:rsidR="00FB407A" w:rsidRPr="000D5F1C">
        <w:rPr>
          <w:rFonts w:cstheme="minorHAnsi"/>
        </w:rPr>
        <w:t xml:space="preserve">, ‘Cartel damages cases in the Netherlands’ (2018) 4 CLPD 23; </w:t>
      </w:r>
      <w:proofErr w:type="spellStart"/>
      <w:r w:rsidR="00FB407A" w:rsidRPr="000D5F1C">
        <w:rPr>
          <w:rFonts w:cstheme="minorHAnsi"/>
        </w:rPr>
        <w:t>Rogier</w:t>
      </w:r>
      <w:proofErr w:type="spellEnd"/>
      <w:r w:rsidR="00FB407A" w:rsidRPr="000D5F1C">
        <w:rPr>
          <w:rFonts w:cstheme="minorHAnsi"/>
        </w:rPr>
        <w:t xml:space="preserve"> Meijer </w:t>
      </w:r>
      <w:r w:rsidR="009B2D18">
        <w:rPr>
          <w:rFonts w:cstheme="minorHAnsi"/>
        </w:rPr>
        <w:t>and</w:t>
      </w:r>
      <w:r w:rsidR="00FB407A" w:rsidRPr="000D5F1C">
        <w:rPr>
          <w:rFonts w:cstheme="minorHAnsi"/>
        </w:rPr>
        <w:t xml:space="preserve"> Erik-Jan </w:t>
      </w:r>
      <w:proofErr w:type="spellStart"/>
      <w:r w:rsidR="00FB407A" w:rsidRPr="000D5F1C">
        <w:rPr>
          <w:rFonts w:cstheme="minorHAnsi"/>
        </w:rPr>
        <w:t>Zippro</w:t>
      </w:r>
      <w:proofErr w:type="spellEnd"/>
      <w:r w:rsidR="00FB407A" w:rsidRPr="000D5F1C">
        <w:rPr>
          <w:rFonts w:cstheme="minorHAnsi"/>
        </w:rPr>
        <w:t xml:space="preserve">, Chapter 5: Private Enforcement in the Netherlands’ in Ferdinand </w:t>
      </w:r>
      <w:proofErr w:type="spellStart"/>
      <w:r w:rsidR="00FB407A" w:rsidRPr="000D5F1C">
        <w:rPr>
          <w:rFonts w:cstheme="minorHAnsi"/>
        </w:rPr>
        <w:t>Wollenschläger</w:t>
      </w:r>
      <w:proofErr w:type="spellEnd"/>
      <w:r w:rsidR="00FB407A" w:rsidRPr="000D5F1C">
        <w:rPr>
          <w:rFonts w:cstheme="minorHAnsi"/>
        </w:rPr>
        <w:t xml:space="preserve">, Wolfgang </w:t>
      </w:r>
      <w:proofErr w:type="spellStart"/>
      <w:r w:rsidR="00FB407A" w:rsidRPr="000D5F1C">
        <w:rPr>
          <w:rFonts w:cstheme="minorHAnsi"/>
        </w:rPr>
        <w:t>Wurmnest</w:t>
      </w:r>
      <w:proofErr w:type="spellEnd"/>
      <w:r w:rsidR="00FB407A" w:rsidRPr="000D5F1C">
        <w:rPr>
          <w:rFonts w:cstheme="minorHAnsi"/>
        </w:rPr>
        <w:t xml:space="preserve"> &amp; Thomas M. J. </w:t>
      </w:r>
      <w:proofErr w:type="spellStart"/>
      <w:r w:rsidR="00FB407A" w:rsidRPr="000D5F1C">
        <w:rPr>
          <w:rFonts w:cstheme="minorHAnsi"/>
        </w:rPr>
        <w:t>Möllers</w:t>
      </w:r>
      <w:proofErr w:type="spellEnd"/>
      <w:r w:rsidR="00FB407A" w:rsidRPr="000D5F1C">
        <w:rPr>
          <w:rFonts w:cstheme="minorHAnsi"/>
        </w:rPr>
        <w:t xml:space="preserve"> (eds), </w:t>
      </w:r>
      <w:r w:rsidR="00FB407A" w:rsidRPr="000D5F1C">
        <w:rPr>
          <w:rFonts w:cstheme="minorHAnsi"/>
          <w:i/>
          <w:iCs/>
        </w:rPr>
        <w:t xml:space="preserve">Private Enforcement of European Competition and State Aid Law: Current Challenges and the Way Forward </w:t>
      </w:r>
      <w:r w:rsidR="00FB407A" w:rsidRPr="000D5F1C">
        <w:rPr>
          <w:rFonts w:cstheme="minorHAnsi"/>
        </w:rPr>
        <w:t>(Chapter 5, Kluwer Law International 2020), 159</w:t>
      </w:r>
      <w:r w:rsidR="000F2D71">
        <w:rPr>
          <w:rFonts w:cstheme="minorHAnsi"/>
        </w:rPr>
        <w:t>.</w:t>
      </w:r>
    </w:p>
  </w:footnote>
  <w:footnote w:id="347">
    <w:p w14:paraId="0DAE957B" w14:textId="20954EFF" w:rsidR="00F374A0" w:rsidRPr="000D5F1C" w:rsidRDefault="00F374A0">
      <w:pPr>
        <w:pStyle w:val="FootnoteText"/>
        <w:rPr>
          <w:rFonts w:cstheme="minorHAnsi"/>
        </w:rPr>
      </w:pPr>
      <w:r w:rsidRPr="000D5F1C">
        <w:rPr>
          <w:rStyle w:val="FootnoteReference"/>
          <w:rFonts w:cstheme="minorHAnsi"/>
        </w:rPr>
        <w:footnoteRef/>
      </w:r>
      <w:r w:rsidRPr="000D5F1C">
        <w:rPr>
          <w:rFonts w:cstheme="minorHAnsi"/>
        </w:rPr>
        <w:t xml:space="preserve"> </w:t>
      </w:r>
      <w:r w:rsidR="005539F2" w:rsidRPr="000D5F1C">
        <w:rPr>
          <w:rFonts w:cstheme="minorHAnsi"/>
        </w:rPr>
        <w:t xml:space="preserve">Rupert </w:t>
      </w:r>
      <w:proofErr w:type="spellStart"/>
      <w:r w:rsidR="005539F2" w:rsidRPr="000D5F1C">
        <w:rPr>
          <w:rFonts w:cstheme="minorHAnsi"/>
        </w:rPr>
        <w:t>Bellinghausen</w:t>
      </w:r>
      <w:proofErr w:type="spellEnd"/>
      <w:r w:rsidR="005539F2" w:rsidRPr="000D5F1C">
        <w:rPr>
          <w:rFonts w:cstheme="minorHAnsi"/>
        </w:rPr>
        <w:t xml:space="preserve"> </w:t>
      </w:r>
      <w:r w:rsidR="005539F2">
        <w:rPr>
          <w:rFonts w:cstheme="minorHAnsi"/>
        </w:rPr>
        <w:t>and others</w:t>
      </w:r>
      <w:r w:rsidR="005539F2" w:rsidRPr="000D5F1C">
        <w:rPr>
          <w:rFonts w:cstheme="minorHAnsi"/>
        </w:rPr>
        <w:t>, ‘The future of cartel damages litigation in the UK, the Netherlands and Germany after the implementation of the Damages Directive’ (2017)</w:t>
      </w:r>
      <w:r w:rsidR="005539F2">
        <w:rPr>
          <w:rFonts w:cstheme="minorHAnsi"/>
        </w:rPr>
        <w:t xml:space="preserve"> 10</w:t>
      </w:r>
      <w:r w:rsidR="005539F2" w:rsidRPr="000D5F1C">
        <w:rPr>
          <w:rFonts w:cstheme="minorHAnsi"/>
        </w:rPr>
        <w:t xml:space="preserve"> GCLR </w:t>
      </w:r>
      <w:r w:rsidR="005539F2">
        <w:rPr>
          <w:rFonts w:cstheme="minorHAnsi"/>
        </w:rPr>
        <w:t>103</w:t>
      </w:r>
      <w:r w:rsidRPr="000D5F1C">
        <w:rPr>
          <w:rFonts w:cstheme="minorHAnsi"/>
        </w:rPr>
        <w:t>, 112</w:t>
      </w:r>
      <w:r w:rsidR="000F2D71">
        <w:rPr>
          <w:rFonts w:cstheme="minorHAnsi"/>
        </w:rPr>
        <w:t>.</w:t>
      </w:r>
    </w:p>
  </w:footnote>
  <w:footnote w:id="348">
    <w:p w14:paraId="07B17664" w14:textId="6A9FD818" w:rsidR="00A67D56" w:rsidRPr="000D5F1C" w:rsidRDefault="00A67D56">
      <w:pPr>
        <w:pStyle w:val="FootnoteText"/>
        <w:rPr>
          <w:rFonts w:cstheme="minorHAnsi"/>
        </w:rPr>
      </w:pPr>
      <w:r w:rsidRPr="000D5F1C">
        <w:rPr>
          <w:rStyle w:val="FootnoteReference"/>
          <w:rFonts w:cstheme="minorHAnsi"/>
        </w:rPr>
        <w:footnoteRef/>
      </w:r>
      <w:r w:rsidRPr="000D5F1C">
        <w:rPr>
          <w:rFonts w:cstheme="minorHAnsi"/>
        </w:rPr>
        <w:t xml:space="preserve"> DCC Article 3:305a</w:t>
      </w:r>
      <w:r w:rsidR="000F2D71">
        <w:rPr>
          <w:rFonts w:cstheme="minorHAnsi"/>
        </w:rPr>
        <w:t>.</w:t>
      </w:r>
    </w:p>
  </w:footnote>
  <w:footnote w:id="349">
    <w:p w14:paraId="1FA9FED2" w14:textId="1FA7AD5A" w:rsidR="00161A1C" w:rsidRPr="000D5F1C" w:rsidRDefault="00161A1C" w:rsidP="00161A1C">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157</w:t>
      </w:r>
      <w:r w:rsidR="000F2D71">
        <w:rPr>
          <w:rFonts w:cstheme="minorHAnsi"/>
        </w:rPr>
        <w:t>.</w:t>
      </w:r>
    </w:p>
  </w:footnote>
  <w:footnote w:id="350">
    <w:p w14:paraId="0F2424BA" w14:textId="038D8B8A" w:rsidR="00B93814" w:rsidRPr="000D5F1C" w:rsidRDefault="00B93814">
      <w:pPr>
        <w:pStyle w:val="FootnoteText"/>
        <w:rPr>
          <w:rFonts w:cstheme="minorHAnsi"/>
        </w:rPr>
      </w:pPr>
      <w:r w:rsidRPr="000D5F1C">
        <w:rPr>
          <w:rStyle w:val="FootnoteReference"/>
          <w:rFonts w:cstheme="minorHAnsi"/>
        </w:rPr>
        <w:footnoteRef/>
      </w:r>
      <w:r w:rsidRPr="000D5F1C">
        <w:rPr>
          <w:rFonts w:cstheme="minorHAnsi"/>
        </w:rPr>
        <w:t xml:space="preserve"> DCC Article 3:305a(2)</w:t>
      </w:r>
      <w:r w:rsidR="000F2D71">
        <w:rPr>
          <w:rFonts w:cstheme="minorHAnsi"/>
        </w:rPr>
        <w:t>.</w:t>
      </w:r>
    </w:p>
  </w:footnote>
  <w:footnote w:id="351">
    <w:p w14:paraId="0248049C" w14:textId="17395220" w:rsidR="00644800" w:rsidRPr="000D5F1C" w:rsidRDefault="00644800">
      <w:pPr>
        <w:pStyle w:val="FootnoteText"/>
        <w:rPr>
          <w:rFonts w:cstheme="minorHAnsi"/>
        </w:rPr>
      </w:pPr>
      <w:r w:rsidRPr="000D5F1C">
        <w:rPr>
          <w:rStyle w:val="FootnoteReference"/>
          <w:rFonts w:cstheme="minorHAnsi"/>
        </w:rPr>
        <w:footnoteRef/>
      </w:r>
      <w:r w:rsidRPr="000D5F1C">
        <w:rPr>
          <w:rFonts w:cstheme="minorHAnsi"/>
        </w:rPr>
        <w:t xml:space="preserve"> </w:t>
      </w: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157, footnote 56</w:t>
      </w:r>
      <w:r w:rsidR="000F2D71">
        <w:rPr>
          <w:rFonts w:cstheme="minorHAnsi"/>
        </w:rPr>
        <w:t>.</w:t>
      </w:r>
    </w:p>
  </w:footnote>
  <w:footnote w:id="352">
    <w:p w14:paraId="6E09E235" w14:textId="138A14D5" w:rsidR="00C91BE3" w:rsidRPr="000D5F1C" w:rsidRDefault="00C91BE3">
      <w:pPr>
        <w:pStyle w:val="FootnoteText"/>
        <w:rPr>
          <w:rFonts w:cstheme="minorHAnsi"/>
        </w:rPr>
      </w:pPr>
      <w:r w:rsidRPr="000D5F1C">
        <w:rPr>
          <w:rStyle w:val="FootnoteReference"/>
          <w:rFonts w:cstheme="minorHAnsi"/>
        </w:rPr>
        <w:footnoteRef/>
      </w:r>
      <w:r w:rsidRPr="000D5F1C">
        <w:rPr>
          <w:rFonts w:cstheme="minorHAnsi"/>
        </w:rPr>
        <w:t xml:space="preserve"> DCCP Article 1018c(5)(b)</w:t>
      </w:r>
      <w:r w:rsidR="000F2D71">
        <w:rPr>
          <w:rFonts w:cstheme="minorHAnsi"/>
        </w:rPr>
        <w:t>.</w:t>
      </w:r>
    </w:p>
  </w:footnote>
  <w:footnote w:id="353">
    <w:p w14:paraId="1EDCBD27" w14:textId="12496DED" w:rsidR="00097F39" w:rsidRPr="000D5F1C" w:rsidRDefault="00097F39">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Rogier</w:t>
      </w:r>
      <w:proofErr w:type="spellEnd"/>
      <w:r w:rsidRPr="000D5F1C">
        <w:rPr>
          <w:rFonts w:cstheme="minorHAnsi"/>
        </w:rPr>
        <w:t xml:space="preserve"> Meijer </w:t>
      </w:r>
      <w:r w:rsidR="009B2D18">
        <w:rPr>
          <w:rFonts w:cstheme="minorHAnsi"/>
        </w:rPr>
        <w:t>and</w:t>
      </w:r>
      <w:r w:rsidRPr="000D5F1C">
        <w:rPr>
          <w:rFonts w:cstheme="minorHAnsi"/>
        </w:rPr>
        <w:t xml:space="preserve"> Erik-Jan </w:t>
      </w:r>
      <w:proofErr w:type="spellStart"/>
      <w:r w:rsidRPr="000D5F1C">
        <w:rPr>
          <w:rFonts w:cstheme="minorHAnsi"/>
        </w:rPr>
        <w:t>Zippro</w:t>
      </w:r>
      <w:proofErr w:type="spellEnd"/>
      <w:r w:rsidRPr="000D5F1C">
        <w:rPr>
          <w:rFonts w:cstheme="minorHAnsi"/>
        </w:rPr>
        <w:t xml:space="preserve">, Chapter 5: Private Enforcement in the Netherlands’ in Ferdinand </w:t>
      </w:r>
      <w:proofErr w:type="spellStart"/>
      <w:r w:rsidRPr="000D5F1C">
        <w:rPr>
          <w:rFonts w:cstheme="minorHAnsi"/>
        </w:rPr>
        <w:t>Wollenschläger</w:t>
      </w:r>
      <w:proofErr w:type="spellEnd"/>
      <w:r w:rsidRPr="000D5F1C">
        <w:rPr>
          <w:rFonts w:cstheme="minorHAnsi"/>
        </w:rPr>
        <w:t xml:space="preserve">, Wolfgang </w:t>
      </w:r>
      <w:proofErr w:type="spellStart"/>
      <w:r w:rsidRPr="000D5F1C">
        <w:rPr>
          <w:rFonts w:cstheme="minorHAnsi"/>
        </w:rPr>
        <w:t>Wurmnest</w:t>
      </w:r>
      <w:proofErr w:type="spellEnd"/>
      <w:r w:rsidRPr="000D5F1C">
        <w:rPr>
          <w:rFonts w:cstheme="minorHAnsi"/>
        </w:rPr>
        <w:t xml:space="preserve"> &amp; Thomas M. J. </w:t>
      </w:r>
      <w:proofErr w:type="spellStart"/>
      <w:r w:rsidRPr="000D5F1C">
        <w:rPr>
          <w:rFonts w:cstheme="minorHAnsi"/>
        </w:rPr>
        <w:t>Möllers</w:t>
      </w:r>
      <w:proofErr w:type="spellEnd"/>
      <w:r w:rsidRPr="000D5F1C">
        <w:rPr>
          <w:rFonts w:cstheme="minorHAnsi"/>
        </w:rPr>
        <w:t xml:space="preserve"> (eds), </w:t>
      </w:r>
      <w:r w:rsidRPr="000D5F1C">
        <w:rPr>
          <w:rFonts w:cstheme="minorHAnsi"/>
          <w:i/>
          <w:iCs/>
        </w:rPr>
        <w:t xml:space="preserve">Private Enforcement of European Competition and State Aid Law: Current Challenges and the Way Forward </w:t>
      </w:r>
      <w:r w:rsidRPr="000D5F1C">
        <w:rPr>
          <w:rFonts w:cstheme="minorHAnsi"/>
        </w:rPr>
        <w:t>(Chapter 5, Kluwer Law International 2020), 158</w:t>
      </w:r>
      <w:r w:rsidR="000F2D71">
        <w:rPr>
          <w:rFonts w:cstheme="minorHAnsi"/>
        </w:rPr>
        <w:t>.</w:t>
      </w:r>
    </w:p>
  </w:footnote>
  <w:footnote w:id="354">
    <w:p w14:paraId="0F277A0D" w14:textId="154CBFBB" w:rsidR="00ED2DA6" w:rsidRPr="000D5F1C" w:rsidRDefault="00ED2DA6">
      <w:pPr>
        <w:pStyle w:val="FootnoteText"/>
        <w:rPr>
          <w:rFonts w:cstheme="minorHAnsi"/>
        </w:rPr>
      </w:pPr>
      <w:r w:rsidRPr="000D5F1C">
        <w:rPr>
          <w:rStyle w:val="FootnoteReference"/>
          <w:rFonts w:cstheme="minorHAnsi"/>
        </w:rPr>
        <w:footnoteRef/>
      </w:r>
      <w:r w:rsidRPr="000D5F1C">
        <w:rPr>
          <w:rFonts w:cstheme="minorHAnsi"/>
        </w:rPr>
        <w:t xml:space="preserve"> </w:t>
      </w:r>
      <w:r w:rsidR="000F2D71">
        <w:rPr>
          <w:rFonts w:cstheme="minorHAnsi"/>
        </w:rPr>
        <w:t>ibid.</w:t>
      </w:r>
    </w:p>
  </w:footnote>
  <w:footnote w:id="355">
    <w:p w14:paraId="030FF0CD" w14:textId="13E4CC25" w:rsidR="005E2AA1" w:rsidRPr="000D5F1C" w:rsidRDefault="005E2AA1">
      <w:pPr>
        <w:pStyle w:val="FootnoteText"/>
        <w:rPr>
          <w:rFonts w:cstheme="minorHAnsi"/>
        </w:rPr>
      </w:pPr>
      <w:r w:rsidRPr="000D5F1C">
        <w:rPr>
          <w:rStyle w:val="FootnoteReference"/>
          <w:rFonts w:cstheme="minorHAnsi"/>
        </w:rPr>
        <w:footnoteRef/>
      </w:r>
      <w:r w:rsidRPr="000D5F1C">
        <w:rPr>
          <w:rFonts w:cstheme="minorHAnsi"/>
        </w:rPr>
        <w:t xml:space="preserve"> </w:t>
      </w:r>
      <w:r w:rsidR="00716071" w:rsidRPr="000D5F1C">
        <w:rPr>
          <w:rFonts w:cstheme="minorHAnsi"/>
        </w:rPr>
        <w:t>R</w:t>
      </w:r>
      <w:r w:rsidR="00716071">
        <w:rPr>
          <w:rFonts w:cstheme="minorHAnsi"/>
        </w:rPr>
        <w:t>ick</w:t>
      </w:r>
      <w:r w:rsidRPr="000D5F1C">
        <w:rPr>
          <w:rFonts w:cstheme="minorHAnsi"/>
        </w:rPr>
        <w:t xml:space="preserve"> Cornelissen </w:t>
      </w:r>
      <w:r w:rsidR="007F3DAA">
        <w:rPr>
          <w:rFonts w:cstheme="minorHAnsi"/>
        </w:rPr>
        <w:t>and others</w:t>
      </w:r>
      <w:r w:rsidRPr="000D5F1C">
        <w:rPr>
          <w:rFonts w:cstheme="minorHAnsi"/>
        </w:rPr>
        <w:t xml:space="preserve">, ‘Netherlands’ in Ilene K. Gotts and Kevin S. Schwartz (eds), </w:t>
      </w:r>
      <w:r w:rsidRPr="000D5F1C">
        <w:rPr>
          <w:rFonts w:cstheme="minorHAnsi"/>
          <w:i/>
          <w:iCs/>
        </w:rPr>
        <w:t>Private Competition Enforcement Review</w:t>
      </w:r>
      <w:r w:rsidRPr="000D5F1C">
        <w:rPr>
          <w:rFonts w:cstheme="minorHAnsi"/>
        </w:rPr>
        <w:t xml:space="preserve"> (Chapter 15, The </w:t>
      </w:r>
      <w:proofErr w:type="spellStart"/>
      <w:r w:rsidRPr="000D5F1C">
        <w:rPr>
          <w:rFonts w:cstheme="minorHAnsi"/>
        </w:rPr>
        <w:t>LawReviews</w:t>
      </w:r>
      <w:proofErr w:type="spellEnd"/>
      <w:r w:rsidRPr="000D5F1C">
        <w:rPr>
          <w:rFonts w:cstheme="minorHAnsi"/>
        </w:rPr>
        <w:t xml:space="preserve"> 2020),</w:t>
      </w:r>
      <w:r w:rsidR="000F2D71">
        <w:rPr>
          <w:rFonts w:cstheme="minorHAnsi"/>
        </w:rPr>
        <w:t xml:space="preserve"> </w:t>
      </w:r>
      <w:r w:rsidRPr="000D5F1C">
        <w:rPr>
          <w:rFonts w:cstheme="minorHAnsi"/>
        </w:rPr>
        <w:t>176</w:t>
      </w:r>
      <w:r w:rsidR="000F2D71">
        <w:rPr>
          <w:rFonts w:cstheme="minorHAnsi"/>
        </w:rPr>
        <w:t>.</w:t>
      </w:r>
    </w:p>
  </w:footnote>
  <w:footnote w:id="356">
    <w:p w14:paraId="52130883" w14:textId="339C309C"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REGULATION (EU) No 1215/2012 OF THE EUROPEAN PARLIAMENT AND OF THE COUNCIL of 12 December 2012 on jurisdiction and the recognition and enforcement of judgments in civil and commercial matters (recast), OJ L351/1, Article 4</w:t>
      </w:r>
      <w:r w:rsidR="000F2D71">
        <w:rPr>
          <w:rFonts w:cstheme="minorHAnsi"/>
        </w:rPr>
        <w:t>.</w:t>
      </w:r>
    </w:p>
  </w:footnote>
  <w:footnote w:id="357">
    <w:p w14:paraId="3F3A57E4" w14:textId="128B33C2"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r w:rsidR="000F2D71">
        <w:rPr>
          <w:rFonts w:cstheme="minorHAnsi"/>
        </w:rPr>
        <w:t>ibid</w:t>
      </w:r>
      <w:r w:rsidRPr="000D5F1C">
        <w:rPr>
          <w:rFonts w:cstheme="minorHAnsi"/>
        </w:rPr>
        <w:t xml:space="preserve"> Article 63</w:t>
      </w:r>
      <w:r w:rsidR="000F2D71">
        <w:rPr>
          <w:rFonts w:cstheme="minorHAnsi"/>
        </w:rPr>
        <w:t>.</w:t>
      </w:r>
    </w:p>
  </w:footnote>
  <w:footnote w:id="358">
    <w:p w14:paraId="3C4A988D" w14:textId="230BFEE0"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and Marieke </w:t>
      </w:r>
      <w:proofErr w:type="spellStart"/>
      <w:r w:rsidRPr="000D5F1C">
        <w:rPr>
          <w:rFonts w:cstheme="minorHAnsi"/>
        </w:rPr>
        <w:t>Bredenoord-Spoek</w:t>
      </w:r>
      <w:proofErr w:type="spellEnd"/>
      <w:r w:rsidRPr="000D5F1C">
        <w:rPr>
          <w:rFonts w:cstheme="minorHAnsi"/>
        </w:rPr>
        <w:t xml:space="preserve">, ‘Jurisdiction issues in civil litigation cases in the European union: Dutch courts readily assume jurisdiction on basis of EU framework’ in James Keyte (ed), </w:t>
      </w:r>
      <w:r w:rsidRPr="000D5F1C">
        <w:rPr>
          <w:rFonts w:cstheme="minorHAnsi"/>
          <w:i/>
          <w:iCs/>
        </w:rPr>
        <w:t>Annual Proceedings of the Fordham Competition Law Institute</w:t>
      </w:r>
      <w:r w:rsidRPr="000D5F1C">
        <w:rPr>
          <w:rFonts w:cstheme="minorHAnsi"/>
        </w:rPr>
        <w:t xml:space="preserve"> (Chapter 12, Juris Publishing, 2016) 184</w:t>
      </w:r>
      <w:r w:rsidR="000F2D71">
        <w:rPr>
          <w:rFonts w:cstheme="minorHAnsi"/>
        </w:rPr>
        <w:t>.</w:t>
      </w:r>
    </w:p>
  </w:footnote>
  <w:footnote w:id="359">
    <w:p w14:paraId="14CB2115" w14:textId="1E3D932C"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48" w:name="_Hlk107446563"/>
      <w:r w:rsidRPr="000D5F1C">
        <w:rPr>
          <w:rFonts w:cstheme="minorHAnsi"/>
        </w:rPr>
        <w:t xml:space="preserve">Rechtbank Arnhem 26 </w:t>
      </w:r>
      <w:proofErr w:type="spellStart"/>
      <w:r w:rsidRPr="000D5F1C">
        <w:rPr>
          <w:rFonts w:cstheme="minorHAnsi"/>
        </w:rPr>
        <w:t>Oktober</w:t>
      </w:r>
      <w:proofErr w:type="spellEnd"/>
      <w:r w:rsidRPr="000D5F1C">
        <w:rPr>
          <w:rFonts w:cstheme="minorHAnsi"/>
        </w:rPr>
        <w:t xml:space="preserve"> 2011, ECLI:NL:RBARN:2011:BU3548 (</w:t>
      </w:r>
      <w:proofErr w:type="spellStart"/>
      <w:r w:rsidRPr="000D5F1C">
        <w:rPr>
          <w:rFonts w:cstheme="minorHAnsi"/>
        </w:rPr>
        <w:t>TenneT</w:t>
      </w:r>
      <w:proofErr w:type="spellEnd"/>
      <w:r w:rsidRPr="000D5F1C">
        <w:rPr>
          <w:rFonts w:cstheme="minorHAnsi"/>
        </w:rPr>
        <w:t xml:space="preserve"> v Alstom)</w:t>
      </w:r>
      <w:bookmarkEnd w:id="148"/>
      <w:r w:rsidRPr="000D5F1C">
        <w:rPr>
          <w:rFonts w:cstheme="minorHAnsi"/>
        </w:rPr>
        <w:t xml:space="preserve">; Rein </w:t>
      </w:r>
      <w:proofErr w:type="spellStart"/>
      <w:r w:rsidRPr="000D5F1C">
        <w:rPr>
          <w:rFonts w:cstheme="minorHAnsi"/>
        </w:rPr>
        <w:t>Wesseling</w:t>
      </w:r>
      <w:proofErr w:type="spellEnd"/>
      <w:r w:rsidRPr="000D5F1C">
        <w:rPr>
          <w:rFonts w:cstheme="minorHAnsi"/>
        </w:rPr>
        <w:t xml:space="preserve"> and Marieke </w:t>
      </w:r>
      <w:proofErr w:type="spellStart"/>
      <w:r w:rsidRPr="000D5F1C">
        <w:rPr>
          <w:rFonts w:cstheme="minorHAnsi"/>
        </w:rPr>
        <w:t>Bredenoord-Spoek</w:t>
      </w:r>
      <w:proofErr w:type="spellEnd"/>
      <w:r w:rsidRPr="000D5F1C">
        <w:rPr>
          <w:rFonts w:cstheme="minorHAnsi"/>
        </w:rPr>
        <w:t xml:space="preserve">, ‘Jurisdiction issues in civil litigation cases in the European union: Dutch courts readily assume jurisdiction on basis of EU framework’ in James Keyte (ed), </w:t>
      </w:r>
      <w:r w:rsidRPr="000D5F1C">
        <w:rPr>
          <w:rFonts w:cstheme="minorHAnsi"/>
          <w:i/>
          <w:iCs/>
        </w:rPr>
        <w:t>Annual Proceedings of the Fordham Competition Law Institute</w:t>
      </w:r>
      <w:r w:rsidRPr="000D5F1C">
        <w:rPr>
          <w:rFonts w:cstheme="minorHAnsi"/>
        </w:rPr>
        <w:t xml:space="preserve"> (Chapter 12, Juris Publishing, 2016) 184;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130</w:t>
      </w:r>
      <w:r w:rsidR="000F2D71">
        <w:rPr>
          <w:rFonts w:cstheme="minorHAnsi"/>
        </w:rPr>
        <w:t>.</w:t>
      </w:r>
    </w:p>
  </w:footnote>
  <w:footnote w:id="360">
    <w:p w14:paraId="4FC0DD86" w14:textId="6E0F294C"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49" w:name="_Hlk107446576"/>
      <w:proofErr w:type="spellStart"/>
      <w:r w:rsidRPr="000D5F1C">
        <w:rPr>
          <w:rFonts w:cstheme="minorHAnsi"/>
        </w:rPr>
        <w:t>Gerechtshof</w:t>
      </w:r>
      <w:proofErr w:type="spellEnd"/>
      <w:r w:rsidRPr="000D5F1C">
        <w:rPr>
          <w:rFonts w:cstheme="minorHAnsi"/>
        </w:rPr>
        <w:t xml:space="preserve"> Arnhem-Leeuwarden 2 September 2014, ECLI:NL:GHARL:2014:6766</w:t>
      </w:r>
      <w:r w:rsidR="00D52377" w:rsidRPr="000D5F1C">
        <w:rPr>
          <w:rFonts w:cstheme="minorHAnsi"/>
        </w:rPr>
        <w:t xml:space="preserve"> (</w:t>
      </w:r>
      <w:proofErr w:type="spellStart"/>
      <w:r w:rsidR="00D52377" w:rsidRPr="000D5F1C">
        <w:rPr>
          <w:rFonts w:cstheme="minorHAnsi"/>
        </w:rPr>
        <w:t>Tennet</w:t>
      </w:r>
      <w:proofErr w:type="spellEnd"/>
      <w:r w:rsidR="00D52377" w:rsidRPr="000D5F1C">
        <w:rPr>
          <w:rFonts w:cstheme="minorHAnsi"/>
        </w:rPr>
        <w:t xml:space="preserve"> v ABB)</w:t>
      </w:r>
      <w:r w:rsidRPr="000D5F1C">
        <w:rPr>
          <w:rFonts w:cstheme="minorHAnsi"/>
        </w:rPr>
        <w:t xml:space="preserve">, </w:t>
      </w:r>
      <w:bookmarkEnd w:id="149"/>
      <w:r w:rsidRPr="000D5F1C">
        <w:rPr>
          <w:rFonts w:cstheme="minorHAnsi"/>
        </w:rPr>
        <w:t>para</w:t>
      </w:r>
      <w:r w:rsidR="005D18AB">
        <w:rPr>
          <w:rFonts w:cstheme="minorHAnsi"/>
        </w:rPr>
        <w:t>s</w:t>
      </w:r>
      <w:r w:rsidRPr="000D5F1C">
        <w:rPr>
          <w:rFonts w:cstheme="minorHAnsi"/>
        </w:rPr>
        <w:t xml:space="preserve"> 3.8</w:t>
      </w:r>
      <w:r w:rsidR="000F2D71">
        <w:rPr>
          <w:rFonts w:cstheme="minorHAnsi"/>
        </w:rPr>
        <w:t>-</w:t>
      </w:r>
      <w:r w:rsidRPr="000D5F1C">
        <w:rPr>
          <w:rFonts w:cstheme="minorHAnsi"/>
        </w:rPr>
        <w:t>3.9</w:t>
      </w:r>
      <w:r w:rsidR="000F2D71">
        <w:rPr>
          <w:rFonts w:cstheme="minorHAnsi"/>
        </w:rPr>
        <w:t>.</w:t>
      </w:r>
    </w:p>
  </w:footnote>
  <w:footnote w:id="361">
    <w:p w14:paraId="34FF2EAE" w14:textId="56B04DC2"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50" w:name="_Hlk107446586"/>
      <w:r w:rsidRPr="000D5F1C">
        <w:rPr>
          <w:rFonts w:cstheme="minorHAnsi"/>
        </w:rPr>
        <w:t xml:space="preserve">Rechtbank Amsterdam 7 </w:t>
      </w:r>
      <w:proofErr w:type="spellStart"/>
      <w:r w:rsidR="001B7195">
        <w:rPr>
          <w:rFonts w:cstheme="minorHAnsi"/>
        </w:rPr>
        <w:t>J</w:t>
      </w:r>
      <w:r w:rsidRPr="000D5F1C">
        <w:rPr>
          <w:rFonts w:cstheme="minorHAnsi"/>
        </w:rPr>
        <w:t>anuari</w:t>
      </w:r>
      <w:proofErr w:type="spellEnd"/>
      <w:r w:rsidRPr="000D5F1C">
        <w:rPr>
          <w:rFonts w:cstheme="minorHAnsi"/>
        </w:rPr>
        <w:t xml:space="preserve"> 2015, ECLI:NL:RBAMS:2015:94</w:t>
      </w:r>
      <w:bookmarkEnd w:id="150"/>
      <w:r w:rsidR="000F2D71">
        <w:rPr>
          <w:rFonts w:cstheme="minorHAnsi"/>
        </w:rPr>
        <w:t>.</w:t>
      </w:r>
    </w:p>
  </w:footnote>
  <w:footnote w:id="362">
    <w:p w14:paraId="3CAE8A40" w14:textId="0E4F4712"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130</w:t>
      </w:r>
      <w:r w:rsidR="000F2D71">
        <w:rPr>
          <w:rFonts w:cstheme="minorHAnsi"/>
        </w:rPr>
        <w:t>.</w:t>
      </w:r>
    </w:p>
  </w:footnote>
  <w:footnote w:id="363">
    <w:p w14:paraId="0EFA8634" w14:textId="5F97A3AE"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r w:rsidR="000F2D71">
        <w:rPr>
          <w:rFonts w:cstheme="minorHAnsi"/>
        </w:rPr>
        <w:t xml:space="preserve">ibid </w:t>
      </w:r>
      <w:r w:rsidRPr="000D5F1C">
        <w:rPr>
          <w:rFonts w:cstheme="minorHAnsi"/>
        </w:rPr>
        <w:t>132</w:t>
      </w:r>
      <w:r w:rsidR="000F2D71">
        <w:rPr>
          <w:rFonts w:cstheme="minorHAnsi"/>
        </w:rPr>
        <w:t>.</w:t>
      </w:r>
    </w:p>
  </w:footnote>
  <w:footnote w:id="364">
    <w:p w14:paraId="3BFB4146" w14:textId="154D538F"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51" w:name="_Hlk107446616"/>
      <w:r w:rsidRPr="000D5F1C">
        <w:rPr>
          <w:rFonts w:cstheme="minorHAnsi"/>
        </w:rPr>
        <w:t xml:space="preserve">Rechtbank Arnhem 26 </w:t>
      </w:r>
      <w:proofErr w:type="spellStart"/>
      <w:r w:rsidRPr="000D5F1C">
        <w:rPr>
          <w:rFonts w:cstheme="minorHAnsi"/>
        </w:rPr>
        <w:t>Oktober</w:t>
      </w:r>
      <w:proofErr w:type="spellEnd"/>
      <w:r w:rsidRPr="000D5F1C">
        <w:rPr>
          <w:rFonts w:cstheme="minorHAnsi"/>
        </w:rPr>
        <w:t xml:space="preserve"> 2011, ECLI:NL:RBARN:2011:BU3548 (</w:t>
      </w:r>
      <w:proofErr w:type="spellStart"/>
      <w:r w:rsidRPr="000D5F1C">
        <w:rPr>
          <w:rFonts w:cstheme="minorHAnsi"/>
        </w:rPr>
        <w:t>TenneT</w:t>
      </w:r>
      <w:proofErr w:type="spellEnd"/>
      <w:r w:rsidRPr="000D5F1C">
        <w:rPr>
          <w:rFonts w:cstheme="minorHAnsi"/>
        </w:rPr>
        <w:t xml:space="preserve"> v Alstom)</w:t>
      </w:r>
      <w:bookmarkEnd w:id="151"/>
      <w:r w:rsidRPr="000D5F1C">
        <w:rPr>
          <w:rFonts w:cstheme="minorHAnsi"/>
        </w:rPr>
        <w:t>, para 4.6</w:t>
      </w:r>
      <w:r w:rsidR="000F2D71">
        <w:rPr>
          <w:rFonts w:cstheme="minorHAnsi"/>
        </w:rPr>
        <w:t>.</w:t>
      </w:r>
    </w:p>
  </w:footnote>
  <w:footnote w:id="365">
    <w:p w14:paraId="3103DFBD" w14:textId="528B40B5"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Rechtbank Arnhem 26 </w:t>
      </w:r>
      <w:proofErr w:type="spellStart"/>
      <w:r w:rsidRPr="000D5F1C">
        <w:rPr>
          <w:rFonts w:cstheme="minorHAnsi"/>
        </w:rPr>
        <w:t>Oktober</w:t>
      </w:r>
      <w:proofErr w:type="spellEnd"/>
      <w:r w:rsidRPr="000D5F1C">
        <w:rPr>
          <w:rFonts w:cstheme="minorHAnsi"/>
        </w:rPr>
        <w:t xml:space="preserve"> 2011, ECLI:NL:RBARN:2011:BU3548 (</w:t>
      </w:r>
      <w:proofErr w:type="spellStart"/>
      <w:r w:rsidRPr="000D5F1C">
        <w:rPr>
          <w:rFonts w:cstheme="minorHAnsi"/>
        </w:rPr>
        <w:t>TenneT</w:t>
      </w:r>
      <w:proofErr w:type="spellEnd"/>
      <w:r w:rsidRPr="000D5F1C">
        <w:rPr>
          <w:rFonts w:cstheme="minorHAnsi"/>
        </w:rPr>
        <w:t xml:space="preserve"> v Alstom), para 4.9</w:t>
      </w:r>
      <w:r w:rsidR="000F2D71">
        <w:rPr>
          <w:rFonts w:cstheme="minorHAnsi"/>
        </w:rPr>
        <w:t>.</w:t>
      </w:r>
    </w:p>
  </w:footnote>
  <w:footnote w:id="366">
    <w:p w14:paraId="7CAB302C" w14:textId="7EBDECC5"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52" w:name="_Hlk107446688"/>
      <w:r w:rsidRPr="000D5F1C">
        <w:rPr>
          <w:rFonts w:cstheme="minorHAnsi"/>
        </w:rPr>
        <w:t xml:space="preserve">Rechtbank Arnhem 26 </w:t>
      </w:r>
      <w:proofErr w:type="spellStart"/>
      <w:r w:rsidRPr="000D5F1C">
        <w:rPr>
          <w:rFonts w:cstheme="minorHAnsi"/>
        </w:rPr>
        <w:t>Oktober</w:t>
      </w:r>
      <w:proofErr w:type="spellEnd"/>
      <w:r w:rsidRPr="000D5F1C">
        <w:rPr>
          <w:rFonts w:cstheme="minorHAnsi"/>
        </w:rPr>
        <w:t xml:space="preserve"> 2011, ECLI:NL:RBARN:2011:BU3546 (</w:t>
      </w:r>
      <w:proofErr w:type="spellStart"/>
      <w:r w:rsidRPr="000D5F1C">
        <w:rPr>
          <w:rFonts w:cstheme="minorHAnsi"/>
        </w:rPr>
        <w:t>TenneT</w:t>
      </w:r>
      <w:proofErr w:type="spellEnd"/>
      <w:r w:rsidRPr="000D5F1C">
        <w:rPr>
          <w:rFonts w:cstheme="minorHAnsi"/>
        </w:rPr>
        <w:t xml:space="preserve"> v ABB)</w:t>
      </w:r>
      <w:bookmarkEnd w:id="152"/>
      <w:r w:rsidR="000F2D71">
        <w:rPr>
          <w:rFonts w:cstheme="minorHAnsi"/>
        </w:rPr>
        <w:t>.</w:t>
      </w:r>
    </w:p>
  </w:footnote>
  <w:footnote w:id="367">
    <w:p w14:paraId="4E63F202" w14:textId="57312EE3"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bookmarkStart w:id="153" w:name="_Hlk107446698"/>
      <w:proofErr w:type="spellStart"/>
      <w:r w:rsidRPr="000D5F1C">
        <w:rPr>
          <w:rFonts w:cstheme="minorHAnsi"/>
        </w:rPr>
        <w:t>Gerechtshof</w:t>
      </w:r>
      <w:proofErr w:type="spellEnd"/>
      <w:r w:rsidRPr="000D5F1C">
        <w:rPr>
          <w:rFonts w:cstheme="minorHAnsi"/>
        </w:rPr>
        <w:t xml:space="preserve"> Arnhem-Leeuwarden 2 September 2014</w:t>
      </w:r>
      <w:r w:rsidR="00D52377">
        <w:rPr>
          <w:rFonts w:cstheme="minorHAnsi"/>
        </w:rPr>
        <w:t xml:space="preserve">, </w:t>
      </w:r>
      <w:r w:rsidRPr="000D5F1C">
        <w:rPr>
          <w:rFonts w:cstheme="minorHAnsi"/>
        </w:rPr>
        <w:t>ECLI:NL:GHARL:2014:6766</w:t>
      </w:r>
      <w:bookmarkEnd w:id="153"/>
      <w:r w:rsidR="00D52377" w:rsidRPr="000D5F1C">
        <w:rPr>
          <w:rFonts w:cstheme="minorHAnsi"/>
        </w:rPr>
        <w:t xml:space="preserve"> (</w:t>
      </w:r>
      <w:proofErr w:type="spellStart"/>
      <w:r w:rsidR="00D52377" w:rsidRPr="000D5F1C">
        <w:rPr>
          <w:rFonts w:cstheme="minorHAnsi"/>
        </w:rPr>
        <w:t>Tennet</w:t>
      </w:r>
      <w:proofErr w:type="spellEnd"/>
      <w:r w:rsidR="00D52377" w:rsidRPr="000D5F1C">
        <w:rPr>
          <w:rFonts w:cstheme="minorHAnsi"/>
        </w:rPr>
        <w:t xml:space="preserve"> v ABB)</w:t>
      </w:r>
      <w:r w:rsidRPr="000D5F1C">
        <w:rPr>
          <w:rFonts w:cstheme="minorHAnsi"/>
        </w:rPr>
        <w:t>, para 3.8</w:t>
      </w:r>
      <w:r w:rsidR="000F2D71">
        <w:rPr>
          <w:rFonts w:cstheme="minorHAnsi"/>
        </w:rPr>
        <w:t>.</w:t>
      </w:r>
    </w:p>
  </w:footnote>
  <w:footnote w:id="368">
    <w:p w14:paraId="6B481176" w14:textId="14E094E8"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proofErr w:type="spellStart"/>
      <w:r w:rsidRPr="000D5F1C">
        <w:rPr>
          <w:rFonts w:cstheme="minorHAnsi"/>
        </w:rPr>
        <w:t>Gerechtshof</w:t>
      </w:r>
      <w:proofErr w:type="spellEnd"/>
      <w:r w:rsidRPr="000D5F1C">
        <w:rPr>
          <w:rFonts w:cstheme="minorHAnsi"/>
        </w:rPr>
        <w:t xml:space="preserve"> Arnhem-Leeuwarden 2 September 2014 (</w:t>
      </w:r>
      <w:proofErr w:type="spellStart"/>
      <w:r w:rsidRPr="000D5F1C">
        <w:rPr>
          <w:rFonts w:cstheme="minorHAnsi"/>
        </w:rPr>
        <w:t>Tennet</w:t>
      </w:r>
      <w:proofErr w:type="spellEnd"/>
      <w:r w:rsidRPr="000D5F1C">
        <w:rPr>
          <w:rFonts w:cstheme="minorHAnsi"/>
        </w:rPr>
        <w:t xml:space="preserve"> v ABB), ECLI:NL:GHARL:2014:6766, para 3.17</w:t>
      </w:r>
      <w:r w:rsidR="000F2D71">
        <w:rPr>
          <w:rFonts w:cstheme="minorHAnsi"/>
        </w:rPr>
        <w:t>.</w:t>
      </w:r>
    </w:p>
  </w:footnote>
  <w:footnote w:id="369">
    <w:p w14:paraId="46D2DACC" w14:textId="7F70C602"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w:t>
      </w:r>
      <w:r w:rsidR="000F2D71">
        <w:rPr>
          <w:rFonts w:cstheme="minorHAnsi"/>
        </w:rPr>
        <w:t>.</w:t>
      </w:r>
    </w:p>
  </w:footnote>
  <w:footnote w:id="370">
    <w:p w14:paraId="22209290" w14:textId="0D31C44F"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w:t>
      </w:r>
      <w:r w:rsidR="000F2D71">
        <w:rPr>
          <w:rFonts w:cstheme="minorHAnsi"/>
        </w:rPr>
        <w:t xml:space="preserve">ibid </w:t>
      </w:r>
      <w:r w:rsidRPr="000D5F1C">
        <w:rPr>
          <w:rFonts w:cstheme="minorHAnsi"/>
        </w:rPr>
        <w:t>130</w:t>
      </w:r>
      <w:r w:rsidR="000F2D71">
        <w:rPr>
          <w:rFonts w:cstheme="minorHAnsi"/>
        </w:rPr>
        <w:t>.</w:t>
      </w:r>
    </w:p>
  </w:footnote>
  <w:footnote w:id="371">
    <w:p w14:paraId="56A3589B" w14:textId="3B43B083"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 Rein </w:t>
      </w:r>
      <w:proofErr w:type="spellStart"/>
      <w:r w:rsidRPr="000D5F1C">
        <w:rPr>
          <w:rFonts w:cstheme="minorHAnsi"/>
        </w:rPr>
        <w:t>Wesseling</w:t>
      </w:r>
      <w:proofErr w:type="spellEnd"/>
      <w:r w:rsidRPr="000D5F1C">
        <w:rPr>
          <w:rFonts w:cstheme="minorHAnsi"/>
        </w:rPr>
        <w:t xml:space="preserve"> and Marieke </w:t>
      </w:r>
      <w:proofErr w:type="spellStart"/>
      <w:r w:rsidRPr="000D5F1C">
        <w:rPr>
          <w:rFonts w:cstheme="minorHAnsi"/>
        </w:rPr>
        <w:t>Bredenoord-Spoek</w:t>
      </w:r>
      <w:proofErr w:type="spellEnd"/>
      <w:r w:rsidRPr="000D5F1C">
        <w:rPr>
          <w:rFonts w:cstheme="minorHAnsi"/>
        </w:rPr>
        <w:t xml:space="preserve">, ‘Jurisdiction issues in civil litigation cases in the European union: Dutch courts readily assume jurisdiction on basis of EU framework’ in James Keyte (ed), </w:t>
      </w:r>
      <w:r w:rsidRPr="000D5F1C">
        <w:rPr>
          <w:rFonts w:cstheme="minorHAnsi"/>
          <w:i/>
          <w:iCs/>
        </w:rPr>
        <w:t>Annual Proceedings of the Fordham Competition Law Institute</w:t>
      </w:r>
      <w:r w:rsidRPr="000D5F1C">
        <w:rPr>
          <w:rFonts w:cstheme="minorHAnsi"/>
        </w:rPr>
        <w:t xml:space="preserve"> (Chapter 12, Juris Publishing, 2016) 184</w:t>
      </w:r>
      <w:r w:rsidR="000F2D71">
        <w:rPr>
          <w:rFonts w:cstheme="minorHAnsi"/>
        </w:rPr>
        <w:t>.</w:t>
      </w:r>
    </w:p>
  </w:footnote>
  <w:footnote w:id="372">
    <w:p w14:paraId="538B1849" w14:textId="593AF792" w:rsidR="00080DC8" w:rsidRPr="000D5F1C" w:rsidRDefault="00080DC8" w:rsidP="00080DC8">
      <w:pPr>
        <w:pStyle w:val="FootnoteText"/>
        <w:rPr>
          <w:rFonts w:cstheme="minorHAnsi"/>
        </w:rPr>
      </w:pPr>
      <w:r w:rsidRPr="000D5F1C">
        <w:rPr>
          <w:rStyle w:val="FootnoteReference"/>
          <w:rFonts w:cstheme="minorHAnsi"/>
        </w:rPr>
        <w:footnoteRef/>
      </w:r>
      <w:r w:rsidRPr="000D5F1C">
        <w:rPr>
          <w:rFonts w:cstheme="minorHAnsi"/>
        </w:rPr>
        <w:t xml:space="preserve"> Simon </w:t>
      </w:r>
      <w:proofErr w:type="spellStart"/>
      <w:r w:rsidRPr="000D5F1C">
        <w:rPr>
          <w:rFonts w:cstheme="minorHAnsi"/>
        </w:rPr>
        <w:t>Vande</w:t>
      </w:r>
      <w:proofErr w:type="spellEnd"/>
      <w:r w:rsidRPr="000D5F1C">
        <w:rPr>
          <w:rFonts w:cstheme="minorHAnsi"/>
        </w:rPr>
        <w:t xml:space="preserve"> </w:t>
      </w:r>
      <w:proofErr w:type="spellStart"/>
      <w:r w:rsidRPr="000D5F1C">
        <w:rPr>
          <w:rFonts w:cstheme="minorHAnsi"/>
        </w:rPr>
        <w:t>Walle</w:t>
      </w:r>
      <w:proofErr w:type="spellEnd"/>
      <w:r w:rsidRPr="000D5F1C">
        <w:rPr>
          <w:rFonts w:cstheme="minorHAnsi"/>
        </w:rPr>
        <w:t xml:space="preserve">, ‘Chapter 6: Private antitrust law in Belgium and the Netherlands- is there a race to attract antitrust damages actions?’ in Pier L. </w:t>
      </w:r>
      <w:proofErr w:type="spellStart"/>
      <w:r w:rsidRPr="000D5F1C">
        <w:rPr>
          <w:rFonts w:cstheme="minorHAnsi"/>
        </w:rPr>
        <w:t>Parcu</w:t>
      </w:r>
      <w:proofErr w:type="spellEnd"/>
      <w:r w:rsidRPr="000D5F1C">
        <w:rPr>
          <w:rFonts w:cstheme="minorHAnsi"/>
        </w:rPr>
        <w:t xml:space="preserve">, Giorgio Monti &amp; Marco </w:t>
      </w:r>
      <w:proofErr w:type="spellStart"/>
      <w:r w:rsidRPr="000D5F1C">
        <w:rPr>
          <w:rFonts w:cstheme="minorHAnsi"/>
        </w:rPr>
        <w:t>Botta</w:t>
      </w:r>
      <w:proofErr w:type="spellEnd"/>
      <w:r w:rsidRPr="000D5F1C">
        <w:rPr>
          <w:rFonts w:cstheme="minorHAnsi"/>
        </w:rPr>
        <w:t xml:space="preserve"> (eds), </w:t>
      </w:r>
      <w:r w:rsidRPr="000D5F1C">
        <w:rPr>
          <w:rFonts w:cstheme="minorHAnsi"/>
          <w:i/>
          <w:iCs/>
        </w:rPr>
        <w:t>Private Enforcement of EU Competition Law : The Impact of the Damages Directive</w:t>
      </w:r>
      <w:r w:rsidRPr="000D5F1C">
        <w:rPr>
          <w:rFonts w:cstheme="minorHAnsi"/>
        </w:rPr>
        <w:t xml:space="preserve"> (Chapter 6, Edward Elgar Publishing Limited, 2018), 133</w:t>
      </w:r>
      <w:r w:rsidR="000F2D71">
        <w:rPr>
          <w:rFonts w:cstheme="minorHAnsi"/>
        </w:rPr>
        <w:t>.</w:t>
      </w:r>
    </w:p>
  </w:footnote>
  <w:footnote w:id="373">
    <w:p w14:paraId="26B65664" w14:textId="77777777" w:rsidR="00985B84" w:rsidRDefault="00985B84" w:rsidP="00985B84">
      <w:pPr>
        <w:pStyle w:val="FootnoteText"/>
      </w:pPr>
      <w:r>
        <w:rPr>
          <w:rStyle w:val="FootnoteReference"/>
        </w:rPr>
        <w:footnoteRef/>
      </w:r>
      <w:r>
        <w:t xml:space="preserve"> </w:t>
      </w:r>
      <w:r w:rsidRPr="00D55C20">
        <w:t xml:space="preserve">Rechtbank Amsterdam 9 </w:t>
      </w:r>
      <w:r>
        <w:t>M</w:t>
      </w:r>
      <w:r w:rsidRPr="00D55C20">
        <w:t>ei 2018, ECLI:NL:RBAMS:2018:3203</w:t>
      </w:r>
      <w:r>
        <w:t xml:space="preserve"> (MTB v AB and Heineken)</w:t>
      </w:r>
    </w:p>
  </w:footnote>
  <w:footnote w:id="374">
    <w:p w14:paraId="3C1D0F86" w14:textId="77777777" w:rsidR="00985B84" w:rsidRDefault="00985B84" w:rsidP="00985B84">
      <w:pPr>
        <w:pStyle w:val="FootnoteText"/>
      </w:pPr>
      <w:r>
        <w:rPr>
          <w:rStyle w:val="FootnoteReference"/>
        </w:rPr>
        <w:footnoteRef/>
      </w:r>
      <w:r>
        <w:t xml:space="preserve"> </w:t>
      </w:r>
      <w:proofErr w:type="spellStart"/>
      <w:r w:rsidRPr="00052A34">
        <w:t>Gerechtshof</w:t>
      </w:r>
      <w:proofErr w:type="spellEnd"/>
      <w:r w:rsidRPr="00052A34">
        <w:t xml:space="preserve"> Amsterdam 16 </w:t>
      </w:r>
      <w:proofErr w:type="spellStart"/>
      <w:r>
        <w:t>F</w:t>
      </w:r>
      <w:r w:rsidRPr="00052A34">
        <w:t>ebruari</w:t>
      </w:r>
      <w:proofErr w:type="spellEnd"/>
      <w:r w:rsidRPr="00052A34">
        <w:t xml:space="preserve"> 2021, ECLI:NL:GHAMS:2021:509</w:t>
      </w:r>
      <w:r>
        <w:t xml:space="preserve"> (MTB v AB and Heineken)</w:t>
      </w:r>
    </w:p>
  </w:footnote>
  <w:footnote w:id="375">
    <w:p w14:paraId="41E94F50" w14:textId="77777777" w:rsidR="00985B84" w:rsidRDefault="00985B84" w:rsidP="00985B84">
      <w:pPr>
        <w:pStyle w:val="FootnoteText"/>
      </w:pPr>
      <w:r>
        <w:rPr>
          <w:rStyle w:val="FootnoteReference"/>
        </w:rPr>
        <w:footnoteRef/>
      </w:r>
      <w:r>
        <w:t xml:space="preserve"> </w:t>
      </w:r>
      <w:r w:rsidRPr="00052A34">
        <w:t xml:space="preserve">Rechtbank Amsterdam 25 </w:t>
      </w:r>
      <w:r>
        <w:t>N</w:t>
      </w:r>
      <w:r w:rsidRPr="00052A34">
        <w:t>ovember 2020, ECLI:NL:RBAMS:2020:5882</w:t>
      </w:r>
    </w:p>
  </w:footnote>
  <w:footnote w:id="376">
    <w:p w14:paraId="7664FE14" w14:textId="77777777" w:rsidR="00177015" w:rsidRPr="000D5F1C" w:rsidRDefault="00177015" w:rsidP="00177015">
      <w:pPr>
        <w:pStyle w:val="FootnoteText"/>
        <w:rPr>
          <w:rFonts w:cstheme="minorHAnsi"/>
        </w:rPr>
      </w:pPr>
      <w:r w:rsidRPr="000D5F1C">
        <w:rPr>
          <w:rStyle w:val="FootnoteReference"/>
          <w:rFonts w:cstheme="minorHAnsi"/>
        </w:rPr>
        <w:footnoteRef/>
      </w:r>
      <w:r w:rsidRPr="000D5F1C">
        <w:rPr>
          <w:rFonts w:cstheme="minorHAnsi"/>
        </w:rPr>
        <w:t xml:space="preserve"> DIRECTIVE (EU) 2020/1828 OF THE EUROPEAN PARLIAMENT AND OF THE COUNCIL of 25 November 2020 on representative actions for the protection of the collective interests of consumers and repealing Directive 2009/22/EC, OJ L409/1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6DA"/>
    <w:multiLevelType w:val="hybridMultilevel"/>
    <w:tmpl w:val="1F9C0C22"/>
    <w:lvl w:ilvl="0" w:tplc="79726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37E5"/>
    <w:multiLevelType w:val="hybridMultilevel"/>
    <w:tmpl w:val="27568960"/>
    <w:lvl w:ilvl="0" w:tplc="9B8860B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4291C"/>
    <w:multiLevelType w:val="hybridMultilevel"/>
    <w:tmpl w:val="D0701480"/>
    <w:lvl w:ilvl="0" w:tplc="1A0CA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0350E"/>
    <w:multiLevelType w:val="hybridMultilevel"/>
    <w:tmpl w:val="155CE508"/>
    <w:lvl w:ilvl="0" w:tplc="063C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46716"/>
    <w:multiLevelType w:val="hybridMultilevel"/>
    <w:tmpl w:val="64162B2E"/>
    <w:lvl w:ilvl="0" w:tplc="B7A02B0A">
      <w:start w:val="6"/>
      <w:numFmt w:val="bullet"/>
      <w:lvlText w:val=""/>
      <w:lvlJc w:val="left"/>
      <w:pPr>
        <w:ind w:left="720" w:hanging="360"/>
      </w:pPr>
      <w:rPr>
        <w:rFonts w:ascii="Wingdings" w:eastAsiaTheme="minorHAnsi" w:hAnsi="Wingdings" w:cstheme="minorBidi" w:hint="default"/>
        <w:color w:val="4747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A76E7"/>
    <w:multiLevelType w:val="hybridMultilevel"/>
    <w:tmpl w:val="2A0A08AA"/>
    <w:lvl w:ilvl="0" w:tplc="36688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6550E5"/>
    <w:multiLevelType w:val="hybridMultilevel"/>
    <w:tmpl w:val="CAF6E370"/>
    <w:lvl w:ilvl="0" w:tplc="92B0E946">
      <w:start w:val="6"/>
      <w:numFmt w:val="bullet"/>
      <w:lvlText w:val=""/>
      <w:lvlJc w:val="left"/>
      <w:pPr>
        <w:ind w:left="720" w:hanging="360"/>
      </w:pPr>
      <w:rPr>
        <w:rFonts w:ascii="Wingdings" w:eastAsiaTheme="minorHAnsi" w:hAnsi="Wingdings"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2027C"/>
    <w:multiLevelType w:val="hybridMultilevel"/>
    <w:tmpl w:val="B5AAE308"/>
    <w:lvl w:ilvl="0" w:tplc="292CE4AC">
      <w:start w:val="1"/>
      <w:numFmt w:val="decimal"/>
      <w:lvlText w:val="(%1)"/>
      <w:lvlJc w:val="left"/>
      <w:pPr>
        <w:ind w:left="720" w:hanging="360"/>
      </w:pPr>
      <w:rPr>
        <w:rFonts w:asciiTheme="minorHAnsi" w:eastAsia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C0AD5"/>
    <w:multiLevelType w:val="hybridMultilevel"/>
    <w:tmpl w:val="B5261186"/>
    <w:lvl w:ilvl="0" w:tplc="3C50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B17E8"/>
    <w:multiLevelType w:val="hybridMultilevel"/>
    <w:tmpl w:val="5B543FAE"/>
    <w:lvl w:ilvl="0" w:tplc="6C5A287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1032E"/>
    <w:multiLevelType w:val="hybridMultilevel"/>
    <w:tmpl w:val="CA9A262A"/>
    <w:lvl w:ilvl="0" w:tplc="FFFFFFFF">
      <w:start w:val="1"/>
      <w:numFmt w:val="decimal"/>
      <w:lvlText w:val="(%1)"/>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46700E"/>
    <w:multiLevelType w:val="hybridMultilevel"/>
    <w:tmpl w:val="E16215EA"/>
    <w:lvl w:ilvl="0" w:tplc="530A23E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71057"/>
    <w:multiLevelType w:val="hybridMultilevel"/>
    <w:tmpl w:val="18E20214"/>
    <w:lvl w:ilvl="0" w:tplc="CB169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033286">
    <w:abstractNumId w:val="3"/>
  </w:num>
  <w:num w:numId="2" w16cid:durableId="1908807367">
    <w:abstractNumId w:val="2"/>
  </w:num>
  <w:num w:numId="3" w16cid:durableId="777794230">
    <w:abstractNumId w:val="9"/>
  </w:num>
  <w:num w:numId="4" w16cid:durableId="236017966">
    <w:abstractNumId w:val="7"/>
  </w:num>
  <w:num w:numId="5" w16cid:durableId="935215760">
    <w:abstractNumId w:val="6"/>
  </w:num>
  <w:num w:numId="6" w16cid:durableId="968050631">
    <w:abstractNumId w:val="4"/>
  </w:num>
  <w:num w:numId="7" w16cid:durableId="1059792186">
    <w:abstractNumId w:val="1"/>
  </w:num>
  <w:num w:numId="8" w16cid:durableId="537819439">
    <w:abstractNumId w:val="12"/>
  </w:num>
  <w:num w:numId="9" w16cid:durableId="283318283">
    <w:abstractNumId w:val="5"/>
  </w:num>
  <w:num w:numId="10" w16cid:durableId="778792668">
    <w:abstractNumId w:val="8"/>
  </w:num>
  <w:num w:numId="11" w16cid:durableId="1424451629">
    <w:abstractNumId w:val="0"/>
  </w:num>
  <w:num w:numId="12" w16cid:durableId="1025250146">
    <w:abstractNumId w:val="10"/>
  </w:num>
  <w:num w:numId="13" w16cid:durableId="1530265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33"/>
    <w:rsid w:val="00000095"/>
    <w:rsid w:val="0000089E"/>
    <w:rsid w:val="0000250D"/>
    <w:rsid w:val="000049B6"/>
    <w:rsid w:val="000056B2"/>
    <w:rsid w:val="00005CC7"/>
    <w:rsid w:val="00006284"/>
    <w:rsid w:val="00006A25"/>
    <w:rsid w:val="00006EDD"/>
    <w:rsid w:val="0000733B"/>
    <w:rsid w:val="000079EC"/>
    <w:rsid w:val="00007A5F"/>
    <w:rsid w:val="00010A14"/>
    <w:rsid w:val="0001124A"/>
    <w:rsid w:val="00013CCF"/>
    <w:rsid w:val="00015801"/>
    <w:rsid w:val="00015A46"/>
    <w:rsid w:val="00015C11"/>
    <w:rsid w:val="00016018"/>
    <w:rsid w:val="000166B0"/>
    <w:rsid w:val="00017924"/>
    <w:rsid w:val="00020987"/>
    <w:rsid w:val="000210EB"/>
    <w:rsid w:val="00021E27"/>
    <w:rsid w:val="00021E8C"/>
    <w:rsid w:val="000223B9"/>
    <w:rsid w:val="000228D1"/>
    <w:rsid w:val="00022AD2"/>
    <w:rsid w:val="00022F41"/>
    <w:rsid w:val="00023A54"/>
    <w:rsid w:val="00023FF4"/>
    <w:rsid w:val="0002402F"/>
    <w:rsid w:val="0002430A"/>
    <w:rsid w:val="00025D3D"/>
    <w:rsid w:val="000264FC"/>
    <w:rsid w:val="00030ACD"/>
    <w:rsid w:val="00030BB2"/>
    <w:rsid w:val="000324AA"/>
    <w:rsid w:val="00032E73"/>
    <w:rsid w:val="00033F8B"/>
    <w:rsid w:val="000358E6"/>
    <w:rsid w:val="00035C13"/>
    <w:rsid w:val="00035EAD"/>
    <w:rsid w:val="00036EDC"/>
    <w:rsid w:val="00037026"/>
    <w:rsid w:val="00037E4B"/>
    <w:rsid w:val="00040E7A"/>
    <w:rsid w:val="00041B67"/>
    <w:rsid w:val="0004321B"/>
    <w:rsid w:val="00043C0D"/>
    <w:rsid w:val="00043C82"/>
    <w:rsid w:val="0004474D"/>
    <w:rsid w:val="00045207"/>
    <w:rsid w:val="000472FF"/>
    <w:rsid w:val="00052123"/>
    <w:rsid w:val="000521C5"/>
    <w:rsid w:val="00052375"/>
    <w:rsid w:val="00052A34"/>
    <w:rsid w:val="00052C48"/>
    <w:rsid w:val="00052D67"/>
    <w:rsid w:val="000545D5"/>
    <w:rsid w:val="00055671"/>
    <w:rsid w:val="00055E1C"/>
    <w:rsid w:val="000567A1"/>
    <w:rsid w:val="00056CC6"/>
    <w:rsid w:val="00057DED"/>
    <w:rsid w:val="00057F91"/>
    <w:rsid w:val="0006067B"/>
    <w:rsid w:val="00060E7B"/>
    <w:rsid w:val="0006277F"/>
    <w:rsid w:val="00063910"/>
    <w:rsid w:val="00064CC1"/>
    <w:rsid w:val="00065141"/>
    <w:rsid w:val="00065805"/>
    <w:rsid w:val="00066287"/>
    <w:rsid w:val="000672CB"/>
    <w:rsid w:val="0006785E"/>
    <w:rsid w:val="00070F7B"/>
    <w:rsid w:val="00071C36"/>
    <w:rsid w:val="0007203C"/>
    <w:rsid w:val="00072135"/>
    <w:rsid w:val="000727D9"/>
    <w:rsid w:val="00072DB9"/>
    <w:rsid w:val="00073732"/>
    <w:rsid w:val="00075292"/>
    <w:rsid w:val="00076356"/>
    <w:rsid w:val="000764C1"/>
    <w:rsid w:val="00077573"/>
    <w:rsid w:val="0007757A"/>
    <w:rsid w:val="00080DC8"/>
    <w:rsid w:val="00081674"/>
    <w:rsid w:val="000838AC"/>
    <w:rsid w:val="0008517E"/>
    <w:rsid w:val="00086442"/>
    <w:rsid w:val="000865E3"/>
    <w:rsid w:val="00086C45"/>
    <w:rsid w:val="00087202"/>
    <w:rsid w:val="000877B4"/>
    <w:rsid w:val="00090E3B"/>
    <w:rsid w:val="00091352"/>
    <w:rsid w:val="000917A0"/>
    <w:rsid w:val="00091E56"/>
    <w:rsid w:val="000939A3"/>
    <w:rsid w:val="00093FA8"/>
    <w:rsid w:val="00094266"/>
    <w:rsid w:val="000945E9"/>
    <w:rsid w:val="0009578A"/>
    <w:rsid w:val="00095840"/>
    <w:rsid w:val="00095D47"/>
    <w:rsid w:val="00097593"/>
    <w:rsid w:val="00097F39"/>
    <w:rsid w:val="000A0A03"/>
    <w:rsid w:val="000A1BB9"/>
    <w:rsid w:val="000A2014"/>
    <w:rsid w:val="000A2857"/>
    <w:rsid w:val="000A3356"/>
    <w:rsid w:val="000A4B7D"/>
    <w:rsid w:val="000A537D"/>
    <w:rsid w:val="000A744E"/>
    <w:rsid w:val="000A7B4C"/>
    <w:rsid w:val="000B042F"/>
    <w:rsid w:val="000B112F"/>
    <w:rsid w:val="000B3677"/>
    <w:rsid w:val="000B3A15"/>
    <w:rsid w:val="000B4E65"/>
    <w:rsid w:val="000B50CB"/>
    <w:rsid w:val="000B5334"/>
    <w:rsid w:val="000B56F6"/>
    <w:rsid w:val="000C03A3"/>
    <w:rsid w:val="000C144C"/>
    <w:rsid w:val="000C197F"/>
    <w:rsid w:val="000C1FB0"/>
    <w:rsid w:val="000C274C"/>
    <w:rsid w:val="000C2E3D"/>
    <w:rsid w:val="000C32D8"/>
    <w:rsid w:val="000C39A9"/>
    <w:rsid w:val="000C447D"/>
    <w:rsid w:val="000C4549"/>
    <w:rsid w:val="000C4EAE"/>
    <w:rsid w:val="000C5712"/>
    <w:rsid w:val="000C68E5"/>
    <w:rsid w:val="000C6B2B"/>
    <w:rsid w:val="000C74FE"/>
    <w:rsid w:val="000C7819"/>
    <w:rsid w:val="000C7DF4"/>
    <w:rsid w:val="000D021D"/>
    <w:rsid w:val="000D0869"/>
    <w:rsid w:val="000D0FA3"/>
    <w:rsid w:val="000D1574"/>
    <w:rsid w:val="000D16F5"/>
    <w:rsid w:val="000D1FBF"/>
    <w:rsid w:val="000D3AAA"/>
    <w:rsid w:val="000D3F51"/>
    <w:rsid w:val="000D42C0"/>
    <w:rsid w:val="000D521F"/>
    <w:rsid w:val="000D5F1C"/>
    <w:rsid w:val="000D634A"/>
    <w:rsid w:val="000D65FB"/>
    <w:rsid w:val="000D700B"/>
    <w:rsid w:val="000D72B7"/>
    <w:rsid w:val="000D77E8"/>
    <w:rsid w:val="000D7A5C"/>
    <w:rsid w:val="000E0CF9"/>
    <w:rsid w:val="000E1104"/>
    <w:rsid w:val="000E1594"/>
    <w:rsid w:val="000E2274"/>
    <w:rsid w:val="000E2411"/>
    <w:rsid w:val="000E263B"/>
    <w:rsid w:val="000E51B8"/>
    <w:rsid w:val="000E5443"/>
    <w:rsid w:val="000E5D06"/>
    <w:rsid w:val="000E614A"/>
    <w:rsid w:val="000E6E34"/>
    <w:rsid w:val="000E6F3A"/>
    <w:rsid w:val="000F04EA"/>
    <w:rsid w:val="000F05B8"/>
    <w:rsid w:val="000F175F"/>
    <w:rsid w:val="000F2D71"/>
    <w:rsid w:val="000F3870"/>
    <w:rsid w:val="000F4148"/>
    <w:rsid w:val="000F4777"/>
    <w:rsid w:val="000F4A66"/>
    <w:rsid w:val="000F58BE"/>
    <w:rsid w:val="000F60E6"/>
    <w:rsid w:val="000F73A5"/>
    <w:rsid w:val="000F7A20"/>
    <w:rsid w:val="00100453"/>
    <w:rsid w:val="0010086F"/>
    <w:rsid w:val="0010096B"/>
    <w:rsid w:val="00101143"/>
    <w:rsid w:val="00101EC6"/>
    <w:rsid w:val="001024B1"/>
    <w:rsid w:val="00103878"/>
    <w:rsid w:val="00104AF9"/>
    <w:rsid w:val="001051DF"/>
    <w:rsid w:val="00107555"/>
    <w:rsid w:val="001127C5"/>
    <w:rsid w:val="00115B82"/>
    <w:rsid w:val="00117F21"/>
    <w:rsid w:val="00120DA9"/>
    <w:rsid w:val="00121D4E"/>
    <w:rsid w:val="00122819"/>
    <w:rsid w:val="0012312B"/>
    <w:rsid w:val="0012363F"/>
    <w:rsid w:val="00123B95"/>
    <w:rsid w:val="00125AD5"/>
    <w:rsid w:val="00125C48"/>
    <w:rsid w:val="0013009A"/>
    <w:rsid w:val="00130A3F"/>
    <w:rsid w:val="00131EAC"/>
    <w:rsid w:val="0013282D"/>
    <w:rsid w:val="00133BA5"/>
    <w:rsid w:val="00136092"/>
    <w:rsid w:val="00137302"/>
    <w:rsid w:val="00140955"/>
    <w:rsid w:val="00140F02"/>
    <w:rsid w:val="00141202"/>
    <w:rsid w:val="00141A0E"/>
    <w:rsid w:val="00143C7E"/>
    <w:rsid w:val="001441D5"/>
    <w:rsid w:val="00144D51"/>
    <w:rsid w:val="00145CCC"/>
    <w:rsid w:val="00146F9A"/>
    <w:rsid w:val="001474F5"/>
    <w:rsid w:val="001502F8"/>
    <w:rsid w:val="0015051E"/>
    <w:rsid w:val="00150C45"/>
    <w:rsid w:val="00151496"/>
    <w:rsid w:val="00151995"/>
    <w:rsid w:val="00152638"/>
    <w:rsid w:val="00152E1A"/>
    <w:rsid w:val="00153506"/>
    <w:rsid w:val="00154DBA"/>
    <w:rsid w:val="001616DA"/>
    <w:rsid w:val="00161A1C"/>
    <w:rsid w:val="00161BEB"/>
    <w:rsid w:val="001623EF"/>
    <w:rsid w:val="00164335"/>
    <w:rsid w:val="00164E3B"/>
    <w:rsid w:val="00167344"/>
    <w:rsid w:val="001679F9"/>
    <w:rsid w:val="00167CB9"/>
    <w:rsid w:val="00167DCF"/>
    <w:rsid w:val="00170180"/>
    <w:rsid w:val="001706C6"/>
    <w:rsid w:val="00170D56"/>
    <w:rsid w:val="001710CD"/>
    <w:rsid w:val="001732ED"/>
    <w:rsid w:val="001766CA"/>
    <w:rsid w:val="00176F35"/>
    <w:rsid w:val="00177015"/>
    <w:rsid w:val="00180A4E"/>
    <w:rsid w:val="00180E19"/>
    <w:rsid w:val="00181F13"/>
    <w:rsid w:val="00182682"/>
    <w:rsid w:val="001848FC"/>
    <w:rsid w:val="0018527D"/>
    <w:rsid w:val="00185B7E"/>
    <w:rsid w:val="001864BD"/>
    <w:rsid w:val="00186A32"/>
    <w:rsid w:val="001878E2"/>
    <w:rsid w:val="00190354"/>
    <w:rsid w:val="00190573"/>
    <w:rsid w:val="001918E2"/>
    <w:rsid w:val="00191D78"/>
    <w:rsid w:val="00192406"/>
    <w:rsid w:val="0019349E"/>
    <w:rsid w:val="00193996"/>
    <w:rsid w:val="00193AC6"/>
    <w:rsid w:val="00194375"/>
    <w:rsid w:val="00197142"/>
    <w:rsid w:val="00197700"/>
    <w:rsid w:val="001A0E43"/>
    <w:rsid w:val="001A0FF3"/>
    <w:rsid w:val="001A1212"/>
    <w:rsid w:val="001A1471"/>
    <w:rsid w:val="001A1D07"/>
    <w:rsid w:val="001A2C41"/>
    <w:rsid w:val="001A42FC"/>
    <w:rsid w:val="001A50B4"/>
    <w:rsid w:val="001A5B4A"/>
    <w:rsid w:val="001A6035"/>
    <w:rsid w:val="001A7243"/>
    <w:rsid w:val="001A7E5F"/>
    <w:rsid w:val="001B0776"/>
    <w:rsid w:val="001B0DF9"/>
    <w:rsid w:val="001B10FE"/>
    <w:rsid w:val="001B379C"/>
    <w:rsid w:val="001B3BCE"/>
    <w:rsid w:val="001B6023"/>
    <w:rsid w:val="001B643D"/>
    <w:rsid w:val="001B6694"/>
    <w:rsid w:val="001B6B4C"/>
    <w:rsid w:val="001B6E44"/>
    <w:rsid w:val="001B6FBC"/>
    <w:rsid w:val="001B7195"/>
    <w:rsid w:val="001B73FD"/>
    <w:rsid w:val="001C2A56"/>
    <w:rsid w:val="001C2AD8"/>
    <w:rsid w:val="001C2CE4"/>
    <w:rsid w:val="001C3CD1"/>
    <w:rsid w:val="001C451D"/>
    <w:rsid w:val="001C4E44"/>
    <w:rsid w:val="001C7396"/>
    <w:rsid w:val="001D0C7F"/>
    <w:rsid w:val="001D2AF9"/>
    <w:rsid w:val="001D32C3"/>
    <w:rsid w:val="001D4D95"/>
    <w:rsid w:val="001D5E70"/>
    <w:rsid w:val="001D7692"/>
    <w:rsid w:val="001D7723"/>
    <w:rsid w:val="001E0F67"/>
    <w:rsid w:val="001E159B"/>
    <w:rsid w:val="001E34B8"/>
    <w:rsid w:val="001E5A5B"/>
    <w:rsid w:val="001E701B"/>
    <w:rsid w:val="001F001E"/>
    <w:rsid w:val="001F00E9"/>
    <w:rsid w:val="001F0DDD"/>
    <w:rsid w:val="001F1FC2"/>
    <w:rsid w:val="001F214D"/>
    <w:rsid w:val="001F2520"/>
    <w:rsid w:val="001F2910"/>
    <w:rsid w:val="001F39DE"/>
    <w:rsid w:val="001F4B0C"/>
    <w:rsid w:val="001F5333"/>
    <w:rsid w:val="001F6322"/>
    <w:rsid w:val="00201981"/>
    <w:rsid w:val="00201F03"/>
    <w:rsid w:val="00201F70"/>
    <w:rsid w:val="002028F8"/>
    <w:rsid w:val="00203768"/>
    <w:rsid w:val="0020469A"/>
    <w:rsid w:val="0020517E"/>
    <w:rsid w:val="002062BA"/>
    <w:rsid w:val="002064F8"/>
    <w:rsid w:val="00206FA3"/>
    <w:rsid w:val="00207FAA"/>
    <w:rsid w:val="0021025F"/>
    <w:rsid w:val="002108D0"/>
    <w:rsid w:val="00211AB2"/>
    <w:rsid w:val="0021331D"/>
    <w:rsid w:val="00214520"/>
    <w:rsid w:val="002149FB"/>
    <w:rsid w:val="0021531C"/>
    <w:rsid w:val="00216A94"/>
    <w:rsid w:val="002177D0"/>
    <w:rsid w:val="00217C70"/>
    <w:rsid w:val="0022089C"/>
    <w:rsid w:val="00220936"/>
    <w:rsid w:val="00222AC0"/>
    <w:rsid w:val="00224D20"/>
    <w:rsid w:val="00224DD3"/>
    <w:rsid w:val="00224F85"/>
    <w:rsid w:val="0022563D"/>
    <w:rsid w:val="002261BF"/>
    <w:rsid w:val="0023091E"/>
    <w:rsid w:val="00230C3F"/>
    <w:rsid w:val="00230E10"/>
    <w:rsid w:val="00231469"/>
    <w:rsid w:val="00231CF8"/>
    <w:rsid w:val="00233598"/>
    <w:rsid w:val="00233F78"/>
    <w:rsid w:val="00235020"/>
    <w:rsid w:val="00235593"/>
    <w:rsid w:val="00235A5A"/>
    <w:rsid w:val="00236485"/>
    <w:rsid w:val="0023692E"/>
    <w:rsid w:val="002405B1"/>
    <w:rsid w:val="00241187"/>
    <w:rsid w:val="0024129B"/>
    <w:rsid w:val="00241649"/>
    <w:rsid w:val="00245A77"/>
    <w:rsid w:val="002461A6"/>
    <w:rsid w:val="0024679F"/>
    <w:rsid w:val="00246A6D"/>
    <w:rsid w:val="00246D42"/>
    <w:rsid w:val="00247BFB"/>
    <w:rsid w:val="00247EDE"/>
    <w:rsid w:val="00250EBD"/>
    <w:rsid w:val="00251C4F"/>
    <w:rsid w:val="00252002"/>
    <w:rsid w:val="002523E2"/>
    <w:rsid w:val="00254232"/>
    <w:rsid w:val="00254346"/>
    <w:rsid w:val="002549C3"/>
    <w:rsid w:val="00257440"/>
    <w:rsid w:val="002600B1"/>
    <w:rsid w:val="002600E7"/>
    <w:rsid w:val="00261287"/>
    <w:rsid w:val="00261674"/>
    <w:rsid w:val="00261C7D"/>
    <w:rsid w:val="00261D97"/>
    <w:rsid w:val="00264BEF"/>
    <w:rsid w:val="00264E17"/>
    <w:rsid w:val="00265DE1"/>
    <w:rsid w:val="00266BEC"/>
    <w:rsid w:val="00266E33"/>
    <w:rsid w:val="002708F1"/>
    <w:rsid w:val="0027090B"/>
    <w:rsid w:val="00271038"/>
    <w:rsid w:val="00271B9B"/>
    <w:rsid w:val="002723CE"/>
    <w:rsid w:val="00273C08"/>
    <w:rsid w:val="00274E15"/>
    <w:rsid w:val="00275236"/>
    <w:rsid w:val="00275FB8"/>
    <w:rsid w:val="0027655F"/>
    <w:rsid w:val="00276A3D"/>
    <w:rsid w:val="002800A5"/>
    <w:rsid w:val="002839E8"/>
    <w:rsid w:val="0028518E"/>
    <w:rsid w:val="002854BE"/>
    <w:rsid w:val="00285589"/>
    <w:rsid w:val="002858A2"/>
    <w:rsid w:val="002863AD"/>
    <w:rsid w:val="0028678B"/>
    <w:rsid w:val="00286879"/>
    <w:rsid w:val="002874C2"/>
    <w:rsid w:val="0028751B"/>
    <w:rsid w:val="00287D48"/>
    <w:rsid w:val="00292A32"/>
    <w:rsid w:val="00293090"/>
    <w:rsid w:val="00294120"/>
    <w:rsid w:val="002951B8"/>
    <w:rsid w:val="002951C6"/>
    <w:rsid w:val="0029624B"/>
    <w:rsid w:val="00296DC8"/>
    <w:rsid w:val="002A07D1"/>
    <w:rsid w:val="002A0862"/>
    <w:rsid w:val="002A345C"/>
    <w:rsid w:val="002A355F"/>
    <w:rsid w:val="002A3768"/>
    <w:rsid w:val="002A3D34"/>
    <w:rsid w:val="002A5F04"/>
    <w:rsid w:val="002B12E7"/>
    <w:rsid w:val="002B25F9"/>
    <w:rsid w:val="002B35BC"/>
    <w:rsid w:val="002B4FE0"/>
    <w:rsid w:val="002B51D4"/>
    <w:rsid w:val="002B55EB"/>
    <w:rsid w:val="002B6844"/>
    <w:rsid w:val="002B702D"/>
    <w:rsid w:val="002B752B"/>
    <w:rsid w:val="002C0214"/>
    <w:rsid w:val="002C061D"/>
    <w:rsid w:val="002C1EAE"/>
    <w:rsid w:val="002C35E2"/>
    <w:rsid w:val="002C36CD"/>
    <w:rsid w:val="002C38C3"/>
    <w:rsid w:val="002C3AC7"/>
    <w:rsid w:val="002C45BA"/>
    <w:rsid w:val="002C464E"/>
    <w:rsid w:val="002C47D6"/>
    <w:rsid w:val="002C5948"/>
    <w:rsid w:val="002C5E85"/>
    <w:rsid w:val="002C750C"/>
    <w:rsid w:val="002C7D55"/>
    <w:rsid w:val="002D0F9D"/>
    <w:rsid w:val="002D22D0"/>
    <w:rsid w:val="002D2AB1"/>
    <w:rsid w:val="002D3430"/>
    <w:rsid w:val="002D3BEB"/>
    <w:rsid w:val="002D3E7C"/>
    <w:rsid w:val="002D4117"/>
    <w:rsid w:val="002D495A"/>
    <w:rsid w:val="002D4E62"/>
    <w:rsid w:val="002D5392"/>
    <w:rsid w:val="002D5EF6"/>
    <w:rsid w:val="002D729E"/>
    <w:rsid w:val="002D7D7C"/>
    <w:rsid w:val="002D7E34"/>
    <w:rsid w:val="002E070A"/>
    <w:rsid w:val="002E0928"/>
    <w:rsid w:val="002E0A2C"/>
    <w:rsid w:val="002E1277"/>
    <w:rsid w:val="002E1AE2"/>
    <w:rsid w:val="002E1D5A"/>
    <w:rsid w:val="002E24BA"/>
    <w:rsid w:val="002E27FC"/>
    <w:rsid w:val="002E46E5"/>
    <w:rsid w:val="002E50EA"/>
    <w:rsid w:val="002E5335"/>
    <w:rsid w:val="002E5A54"/>
    <w:rsid w:val="002E5E8E"/>
    <w:rsid w:val="002E6994"/>
    <w:rsid w:val="002E7096"/>
    <w:rsid w:val="002F1A7C"/>
    <w:rsid w:val="002F1CEA"/>
    <w:rsid w:val="002F3093"/>
    <w:rsid w:val="002F3DBF"/>
    <w:rsid w:val="002F42FA"/>
    <w:rsid w:val="002F5B79"/>
    <w:rsid w:val="002F74E3"/>
    <w:rsid w:val="002F7A08"/>
    <w:rsid w:val="00300D0C"/>
    <w:rsid w:val="0030175A"/>
    <w:rsid w:val="00301D51"/>
    <w:rsid w:val="00301D5C"/>
    <w:rsid w:val="00302BB8"/>
    <w:rsid w:val="00304873"/>
    <w:rsid w:val="00304ABF"/>
    <w:rsid w:val="003050D7"/>
    <w:rsid w:val="003058F2"/>
    <w:rsid w:val="00305AB1"/>
    <w:rsid w:val="00306747"/>
    <w:rsid w:val="00312275"/>
    <w:rsid w:val="003127CE"/>
    <w:rsid w:val="003129E3"/>
    <w:rsid w:val="00312F1D"/>
    <w:rsid w:val="0031456D"/>
    <w:rsid w:val="003161E5"/>
    <w:rsid w:val="00316B67"/>
    <w:rsid w:val="00317190"/>
    <w:rsid w:val="00317A51"/>
    <w:rsid w:val="003222C4"/>
    <w:rsid w:val="00322941"/>
    <w:rsid w:val="003261AF"/>
    <w:rsid w:val="00330CE6"/>
    <w:rsid w:val="00332C83"/>
    <w:rsid w:val="00332E2D"/>
    <w:rsid w:val="00334254"/>
    <w:rsid w:val="00334FC8"/>
    <w:rsid w:val="0033545F"/>
    <w:rsid w:val="0033604E"/>
    <w:rsid w:val="00336400"/>
    <w:rsid w:val="00337237"/>
    <w:rsid w:val="00337C25"/>
    <w:rsid w:val="0034039B"/>
    <w:rsid w:val="003412A4"/>
    <w:rsid w:val="00341305"/>
    <w:rsid w:val="00342937"/>
    <w:rsid w:val="00344743"/>
    <w:rsid w:val="00344AA0"/>
    <w:rsid w:val="00344C9D"/>
    <w:rsid w:val="00344E22"/>
    <w:rsid w:val="00345120"/>
    <w:rsid w:val="00345533"/>
    <w:rsid w:val="00345F90"/>
    <w:rsid w:val="003465E7"/>
    <w:rsid w:val="00346655"/>
    <w:rsid w:val="00350D3B"/>
    <w:rsid w:val="003512BA"/>
    <w:rsid w:val="00351F54"/>
    <w:rsid w:val="003561C0"/>
    <w:rsid w:val="0035669A"/>
    <w:rsid w:val="00356E41"/>
    <w:rsid w:val="00360EA4"/>
    <w:rsid w:val="00362B87"/>
    <w:rsid w:val="0036368F"/>
    <w:rsid w:val="00363722"/>
    <w:rsid w:val="00363B06"/>
    <w:rsid w:val="00364540"/>
    <w:rsid w:val="00364D07"/>
    <w:rsid w:val="00364F49"/>
    <w:rsid w:val="00366307"/>
    <w:rsid w:val="0036648A"/>
    <w:rsid w:val="003667E3"/>
    <w:rsid w:val="00366BA6"/>
    <w:rsid w:val="00366C51"/>
    <w:rsid w:val="00367027"/>
    <w:rsid w:val="003675FA"/>
    <w:rsid w:val="00367913"/>
    <w:rsid w:val="00370445"/>
    <w:rsid w:val="00370C68"/>
    <w:rsid w:val="0037193B"/>
    <w:rsid w:val="00372306"/>
    <w:rsid w:val="00372D61"/>
    <w:rsid w:val="00374D18"/>
    <w:rsid w:val="00375D1D"/>
    <w:rsid w:val="00375D8E"/>
    <w:rsid w:val="00376AD5"/>
    <w:rsid w:val="003779AF"/>
    <w:rsid w:val="0038386B"/>
    <w:rsid w:val="00383AA3"/>
    <w:rsid w:val="00383CF0"/>
    <w:rsid w:val="00383F20"/>
    <w:rsid w:val="003843EB"/>
    <w:rsid w:val="003845D6"/>
    <w:rsid w:val="00384D8F"/>
    <w:rsid w:val="00385DE2"/>
    <w:rsid w:val="00386166"/>
    <w:rsid w:val="003863B7"/>
    <w:rsid w:val="00387118"/>
    <w:rsid w:val="00390691"/>
    <w:rsid w:val="00391EF2"/>
    <w:rsid w:val="0039212F"/>
    <w:rsid w:val="003933AB"/>
    <w:rsid w:val="00395A85"/>
    <w:rsid w:val="00396205"/>
    <w:rsid w:val="003977F1"/>
    <w:rsid w:val="003A0031"/>
    <w:rsid w:val="003A0CB0"/>
    <w:rsid w:val="003A0E54"/>
    <w:rsid w:val="003A1958"/>
    <w:rsid w:val="003A2A20"/>
    <w:rsid w:val="003A2F5F"/>
    <w:rsid w:val="003A328C"/>
    <w:rsid w:val="003A4238"/>
    <w:rsid w:val="003A429A"/>
    <w:rsid w:val="003A4ECF"/>
    <w:rsid w:val="003A50B5"/>
    <w:rsid w:val="003A52A9"/>
    <w:rsid w:val="003A547C"/>
    <w:rsid w:val="003A68C8"/>
    <w:rsid w:val="003A7152"/>
    <w:rsid w:val="003A7380"/>
    <w:rsid w:val="003A7F64"/>
    <w:rsid w:val="003B0387"/>
    <w:rsid w:val="003B06D9"/>
    <w:rsid w:val="003B27C7"/>
    <w:rsid w:val="003B27D8"/>
    <w:rsid w:val="003B2985"/>
    <w:rsid w:val="003B324E"/>
    <w:rsid w:val="003B36F2"/>
    <w:rsid w:val="003B5979"/>
    <w:rsid w:val="003B5EF2"/>
    <w:rsid w:val="003B6E8E"/>
    <w:rsid w:val="003B78F5"/>
    <w:rsid w:val="003B7AF2"/>
    <w:rsid w:val="003C0BBA"/>
    <w:rsid w:val="003C2851"/>
    <w:rsid w:val="003C360F"/>
    <w:rsid w:val="003C3F38"/>
    <w:rsid w:val="003C46D8"/>
    <w:rsid w:val="003C4744"/>
    <w:rsid w:val="003C5963"/>
    <w:rsid w:val="003C5BF7"/>
    <w:rsid w:val="003C7BD4"/>
    <w:rsid w:val="003C7D64"/>
    <w:rsid w:val="003D0864"/>
    <w:rsid w:val="003D1309"/>
    <w:rsid w:val="003D18CF"/>
    <w:rsid w:val="003D1EC1"/>
    <w:rsid w:val="003D28E6"/>
    <w:rsid w:val="003D294D"/>
    <w:rsid w:val="003D29DF"/>
    <w:rsid w:val="003D2A05"/>
    <w:rsid w:val="003D2F4F"/>
    <w:rsid w:val="003D31C9"/>
    <w:rsid w:val="003D37CB"/>
    <w:rsid w:val="003D38AC"/>
    <w:rsid w:val="003D4178"/>
    <w:rsid w:val="003D4B79"/>
    <w:rsid w:val="003D4BD7"/>
    <w:rsid w:val="003D76D6"/>
    <w:rsid w:val="003E0AD6"/>
    <w:rsid w:val="003E0BB4"/>
    <w:rsid w:val="003E1CC5"/>
    <w:rsid w:val="003E1CE4"/>
    <w:rsid w:val="003E2AB9"/>
    <w:rsid w:val="003E34BE"/>
    <w:rsid w:val="003E50C3"/>
    <w:rsid w:val="003E59F8"/>
    <w:rsid w:val="003E6B8D"/>
    <w:rsid w:val="003F09B8"/>
    <w:rsid w:val="003F1235"/>
    <w:rsid w:val="003F257E"/>
    <w:rsid w:val="003F30D6"/>
    <w:rsid w:val="003F3A8D"/>
    <w:rsid w:val="003F3F4C"/>
    <w:rsid w:val="003F47C2"/>
    <w:rsid w:val="003F5C1D"/>
    <w:rsid w:val="003F679A"/>
    <w:rsid w:val="003F6A97"/>
    <w:rsid w:val="00400376"/>
    <w:rsid w:val="004003EB"/>
    <w:rsid w:val="00401B38"/>
    <w:rsid w:val="00401DA5"/>
    <w:rsid w:val="00402EF2"/>
    <w:rsid w:val="00403070"/>
    <w:rsid w:val="00403F52"/>
    <w:rsid w:val="004044B7"/>
    <w:rsid w:val="00404BA4"/>
    <w:rsid w:val="00405D02"/>
    <w:rsid w:val="004065FE"/>
    <w:rsid w:val="004071D8"/>
    <w:rsid w:val="00410256"/>
    <w:rsid w:val="004108B4"/>
    <w:rsid w:val="00410B33"/>
    <w:rsid w:val="00410C8F"/>
    <w:rsid w:val="004129FA"/>
    <w:rsid w:val="00413014"/>
    <w:rsid w:val="004153FD"/>
    <w:rsid w:val="00415E41"/>
    <w:rsid w:val="00416EB6"/>
    <w:rsid w:val="0041705A"/>
    <w:rsid w:val="004205A4"/>
    <w:rsid w:val="00420B34"/>
    <w:rsid w:val="00421018"/>
    <w:rsid w:val="004215FD"/>
    <w:rsid w:val="004218CE"/>
    <w:rsid w:val="004221B1"/>
    <w:rsid w:val="0042458F"/>
    <w:rsid w:val="00425022"/>
    <w:rsid w:val="0042589D"/>
    <w:rsid w:val="0043040E"/>
    <w:rsid w:val="00430BF0"/>
    <w:rsid w:val="00430F68"/>
    <w:rsid w:val="00432116"/>
    <w:rsid w:val="0043372E"/>
    <w:rsid w:val="00433880"/>
    <w:rsid w:val="00433E87"/>
    <w:rsid w:val="00435FEF"/>
    <w:rsid w:val="004379F4"/>
    <w:rsid w:val="00437E77"/>
    <w:rsid w:val="00441222"/>
    <w:rsid w:val="00441332"/>
    <w:rsid w:val="00441B74"/>
    <w:rsid w:val="00441D24"/>
    <w:rsid w:val="004425E9"/>
    <w:rsid w:val="00442AA2"/>
    <w:rsid w:val="00442E1B"/>
    <w:rsid w:val="004445AC"/>
    <w:rsid w:val="004455AC"/>
    <w:rsid w:val="0044582C"/>
    <w:rsid w:val="0044795F"/>
    <w:rsid w:val="004479F0"/>
    <w:rsid w:val="00450377"/>
    <w:rsid w:val="0045133F"/>
    <w:rsid w:val="00451973"/>
    <w:rsid w:val="00453286"/>
    <w:rsid w:val="00453FB5"/>
    <w:rsid w:val="0045419E"/>
    <w:rsid w:val="0045482A"/>
    <w:rsid w:val="00454D8E"/>
    <w:rsid w:val="004559A6"/>
    <w:rsid w:val="00455C6D"/>
    <w:rsid w:val="0045663E"/>
    <w:rsid w:val="00456937"/>
    <w:rsid w:val="00456FA9"/>
    <w:rsid w:val="0045741D"/>
    <w:rsid w:val="00457682"/>
    <w:rsid w:val="004576D9"/>
    <w:rsid w:val="00457713"/>
    <w:rsid w:val="00457F73"/>
    <w:rsid w:val="00460102"/>
    <w:rsid w:val="004604C2"/>
    <w:rsid w:val="00460955"/>
    <w:rsid w:val="004616E8"/>
    <w:rsid w:val="00461764"/>
    <w:rsid w:val="0046256E"/>
    <w:rsid w:val="00462A61"/>
    <w:rsid w:val="00463D8B"/>
    <w:rsid w:val="00464247"/>
    <w:rsid w:val="0046655E"/>
    <w:rsid w:val="0046677F"/>
    <w:rsid w:val="00466EF3"/>
    <w:rsid w:val="00467614"/>
    <w:rsid w:val="0046764A"/>
    <w:rsid w:val="0047003E"/>
    <w:rsid w:val="004702B2"/>
    <w:rsid w:val="004707FA"/>
    <w:rsid w:val="00471C3A"/>
    <w:rsid w:val="004730C5"/>
    <w:rsid w:val="00473D82"/>
    <w:rsid w:val="0047406D"/>
    <w:rsid w:val="00475508"/>
    <w:rsid w:val="00475622"/>
    <w:rsid w:val="0047572F"/>
    <w:rsid w:val="00475B4B"/>
    <w:rsid w:val="00482D8B"/>
    <w:rsid w:val="004831AD"/>
    <w:rsid w:val="00483935"/>
    <w:rsid w:val="00483DCB"/>
    <w:rsid w:val="0048461E"/>
    <w:rsid w:val="00485068"/>
    <w:rsid w:val="00485443"/>
    <w:rsid w:val="00486436"/>
    <w:rsid w:val="0048673F"/>
    <w:rsid w:val="00487FA9"/>
    <w:rsid w:val="004921DE"/>
    <w:rsid w:val="004977F9"/>
    <w:rsid w:val="00497FE7"/>
    <w:rsid w:val="004A080C"/>
    <w:rsid w:val="004A0B89"/>
    <w:rsid w:val="004A105E"/>
    <w:rsid w:val="004A24AB"/>
    <w:rsid w:val="004A2C34"/>
    <w:rsid w:val="004A3757"/>
    <w:rsid w:val="004A43FB"/>
    <w:rsid w:val="004A4B16"/>
    <w:rsid w:val="004A5D40"/>
    <w:rsid w:val="004A65F9"/>
    <w:rsid w:val="004A7A4F"/>
    <w:rsid w:val="004B16C1"/>
    <w:rsid w:val="004B1B9A"/>
    <w:rsid w:val="004B2B97"/>
    <w:rsid w:val="004B30FF"/>
    <w:rsid w:val="004B39AB"/>
    <w:rsid w:val="004B4324"/>
    <w:rsid w:val="004B4537"/>
    <w:rsid w:val="004B549E"/>
    <w:rsid w:val="004B5FE8"/>
    <w:rsid w:val="004B6A1D"/>
    <w:rsid w:val="004B6A49"/>
    <w:rsid w:val="004B71F0"/>
    <w:rsid w:val="004B7B74"/>
    <w:rsid w:val="004B7FAA"/>
    <w:rsid w:val="004C0A49"/>
    <w:rsid w:val="004C4C35"/>
    <w:rsid w:val="004C5065"/>
    <w:rsid w:val="004C5B4E"/>
    <w:rsid w:val="004C5E27"/>
    <w:rsid w:val="004C62FA"/>
    <w:rsid w:val="004C6C91"/>
    <w:rsid w:val="004C6DBF"/>
    <w:rsid w:val="004C7221"/>
    <w:rsid w:val="004C72CF"/>
    <w:rsid w:val="004D0996"/>
    <w:rsid w:val="004D0BD0"/>
    <w:rsid w:val="004D3077"/>
    <w:rsid w:val="004D31D1"/>
    <w:rsid w:val="004D4688"/>
    <w:rsid w:val="004D4BF9"/>
    <w:rsid w:val="004D50DE"/>
    <w:rsid w:val="004D52A1"/>
    <w:rsid w:val="004D603A"/>
    <w:rsid w:val="004D62C1"/>
    <w:rsid w:val="004D7DC6"/>
    <w:rsid w:val="004E241B"/>
    <w:rsid w:val="004E3F6C"/>
    <w:rsid w:val="004E4447"/>
    <w:rsid w:val="004E4638"/>
    <w:rsid w:val="004E5E22"/>
    <w:rsid w:val="004E7364"/>
    <w:rsid w:val="004E7C92"/>
    <w:rsid w:val="004F0CC4"/>
    <w:rsid w:val="004F207F"/>
    <w:rsid w:val="004F2DAD"/>
    <w:rsid w:val="004F335E"/>
    <w:rsid w:val="004F38C4"/>
    <w:rsid w:val="004F4C68"/>
    <w:rsid w:val="004F54D3"/>
    <w:rsid w:val="004F5DD5"/>
    <w:rsid w:val="004F5FCC"/>
    <w:rsid w:val="004F674D"/>
    <w:rsid w:val="004F6B69"/>
    <w:rsid w:val="00501BBB"/>
    <w:rsid w:val="00502E64"/>
    <w:rsid w:val="00504182"/>
    <w:rsid w:val="005053A4"/>
    <w:rsid w:val="00506AB5"/>
    <w:rsid w:val="00506FF4"/>
    <w:rsid w:val="00507BCC"/>
    <w:rsid w:val="0051136D"/>
    <w:rsid w:val="00511C57"/>
    <w:rsid w:val="0051230F"/>
    <w:rsid w:val="005128CA"/>
    <w:rsid w:val="0051343E"/>
    <w:rsid w:val="00513D75"/>
    <w:rsid w:val="005140E4"/>
    <w:rsid w:val="005144D0"/>
    <w:rsid w:val="00514876"/>
    <w:rsid w:val="00514B09"/>
    <w:rsid w:val="005205D2"/>
    <w:rsid w:val="005217E5"/>
    <w:rsid w:val="00523112"/>
    <w:rsid w:val="0052394A"/>
    <w:rsid w:val="005245E3"/>
    <w:rsid w:val="005247E7"/>
    <w:rsid w:val="00525392"/>
    <w:rsid w:val="00531013"/>
    <w:rsid w:val="005312A9"/>
    <w:rsid w:val="00531696"/>
    <w:rsid w:val="0053203C"/>
    <w:rsid w:val="00532CA5"/>
    <w:rsid w:val="00535EEA"/>
    <w:rsid w:val="005367B8"/>
    <w:rsid w:val="0053693A"/>
    <w:rsid w:val="005374DD"/>
    <w:rsid w:val="0054092D"/>
    <w:rsid w:val="0054152F"/>
    <w:rsid w:val="005415DC"/>
    <w:rsid w:val="00542978"/>
    <w:rsid w:val="00545DA2"/>
    <w:rsid w:val="00545DF3"/>
    <w:rsid w:val="005464A9"/>
    <w:rsid w:val="00550E02"/>
    <w:rsid w:val="005535A6"/>
    <w:rsid w:val="005539F2"/>
    <w:rsid w:val="005551E7"/>
    <w:rsid w:val="00560CF0"/>
    <w:rsid w:val="005611D1"/>
    <w:rsid w:val="00562142"/>
    <w:rsid w:val="00563001"/>
    <w:rsid w:val="00563DA1"/>
    <w:rsid w:val="00564256"/>
    <w:rsid w:val="00565541"/>
    <w:rsid w:val="00566CC8"/>
    <w:rsid w:val="005672E7"/>
    <w:rsid w:val="00567602"/>
    <w:rsid w:val="00570843"/>
    <w:rsid w:val="00570A5C"/>
    <w:rsid w:val="0057252A"/>
    <w:rsid w:val="005725AF"/>
    <w:rsid w:val="00572A27"/>
    <w:rsid w:val="005736EE"/>
    <w:rsid w:val="0057373F"/>
    <w:rsid w:val="00574208"/>
    <w:rsid w:val="00574F48"/>
    <w:rsid w:val="00576D19"/>
    <w:rsid w:val="00577B82"/>
    <w:rsid w:val="005816BE"/>
    <w:rsid w:val="00583B2E"/>
    <w:rsid w:val="00584316"/>
    <w:rsid w:val="00585415"/>
    <w:rsid w:val="00585B31"/>
    <w:rsid w:val="005869C6"/>
    <w:rsid w:val="00587A8C"/>
    <w:rsid w:val="00592CE0"/>
    <w:rsid w:val="00592D2B"/>
    <w:rsid w:val="005932C2"/>
    <w:rsid w:val="00593E72"/>
    <w:rsid w:val="005944D6"/>
    <w:rsid w:val="00596D86"/>
    <w:rsid w:val="005A091E"/>
    <w:rsid w:val="005A0BA9"/>
    <w:rsid w:val="005A0CFE"/>
    <w:rsid w:val="005A1087"/>
    <w:rsid w:val="005A1D31"/>
    <w:rsid w:val="005A1D64"/>
    <w:rsid w:val="005A3A7B"/>
    <w:rsid w:val="005A4114"/>
    <w:rsid w:val="005A4294"/>
    <w:rsid w:val="005A5619"/>
    <w:rsid w:val="005B017C"/>
    <w:rsid w:val="005B089C"/>
    <w:rsid w:val="005B1C41"/>
    <w:rsid w:val="005B1D6B"/>
    <w:rsid w:val="005B3884"/>
    <w:rsid w:val="005B44FB"/>
    <w:rsid w:val="005B52AF"/>
    <w:rsid w:val="005B595F"/>
    <w:rsid w:val="005B5D8F"/>
    <w:rsid w:val="005B5E7B"/>
    <w:rsid w:val="005B61F4"/>
    <w:rsid w:val="005B647B"/>
    <w:rsid w:val="005B6DC5"/>
    <w:rsid w:val="005B7ED5"/>
    <w:rsid w:val="005C0003"/>
    <w:rsid w:val="005C38A6"/>
    <w:rsid w:val="005C6277"/>
    <w:rsid w:val="005C7BEC"/>
    <w:rsid w:val="005C7D60"/>
    <w:rsid w:val="005D049C"/>
    <w:rsid w:val="005D0A12"/>
    <w:rsid w:val="005D109D"/>
    <w:rsid w:val="005D18AB"/>
    <w:rsid w:val="005D2973"/>
    <w:rsid w:val="005D323E"/>
    <w:rsid w:val="005D3E67"/>
    <w:rsid w:val="005D447B"/>
    <w:rsid w:val="005D546D"/>
    <w:rsid w:val="005D589E"/>
    <w:rsid w:val="005D5C21"/>
    <w:rsid w:val="005D5E2F"/>
    <w:rsid w:val="005D7180"/>
    <w:rsid w:val="005D73B7"/>
    <w:rsid w:val="005D7968"/>
    <w:rsid w:val="005E00B6"/>
    <w:rsid w:val="005E046F"/>
    <w:rsid w:val="005E06DA"/>
    <w:rsid w:val="005E083B"/>
    <w:rsid w:val="005E2029"/>
    <w:rsid w:val="005E2AA1"/>
    <w:rsid w:val="005E48FC"/>
    <w:rsid w:val="005F170E"/>
    <w:rsid w:val="005F24BF"/>
    <w:rsid w:val="005F33DF"/>
    <w:rsid w:val="005F3666"/>
    <w:rsid w:val="00600AC4"/>
    <w:rsid w:val="006023BF"/>
    <w:rsid w:val="00602BA1"/>
    <w:rsid w:val="0060317E"/>
    <w:rsid w:val="00604AD5"/>
    <w:rsid w:val="006050DD"/>
    <w:rsid w:val="00605A1F"/>
    <w:rsid w:val="00605F10"/>
    <w:rsid w:val="00606511"/>
    <w:rsid w:val="0061096D"/>
    <w:rsid w:val="006119F0"/>
    <w:rsid w:val="00614115"/>
    <w:rsid w:val="006141DD"/>
    <w:rsid w:val="0061674D"/>
    <w:rsid w:val="006169DB"/>
    <w:rsid w:val="00616C28"/>
    <w:rsid w:val="00617381"/>
    <w:rsid w:val="006177E6"/>
    <w:rsid w:val="00617C14"/>
    <w:rsid w:val="00622C57"/>
    <w:rsid w:val="00625E9E"/>
    <w:rsid w:val="006271C6"/>
    <w:rsid w:val="0063070C"/>
    <w:rsid w:val="00630A27"/>
    <w:rsid w:val="00630BAE"/>
    <w:rsid w:val="006321D1"/>
    <w:rsid w:val="00632A1C"/>
    <w:rsid w:val="0063385C"/>
    <w:rsid w:val="00634321"/>
    <w:rsid w:val="00634F7E"/>
    <w:rsid w:val="0063787B"/>
    <w:rsid w:val="0064137C"/>
    <w:rsid w:val="006421F5"/>
    <w:rsid w:val="006433E0"/>
    <w:rsid w:val="00643492"/>
    <w:rsid w:val="0064431F"/>
    <w:rsid w:val="00644800"/>
    <w:rsid w:val="00644DBB"/>
    <w:rsid w:val="006456BE"/>
    <w:rsid w:val="00645946"/>
    <w:rsid w:val="006477ED"/>
    <w:rsid w:val="00651DCD"/>
    <w:rsid w:val="00652C52"/>
    <w:rsid w:val="00653620"/>
    <w:rsid w:val="00653671"/>
    <w:rsid w:val="00654262"/>
    <w:rsid w:val="006550E7"/>
    <w:rsid w:val="00656790"/>
    <w:rsid w:val="00656D5A"/>
    <w:rsid w:val="00656DF9"/>
    <w:rsid w:val="00661CC5"/>
    <w:rsid w:val="00662173"/>
    <w:rsid w:val="00663812"/>
    <w:rsid w:val="00663939"/>
    <w:rsid w:val="00664709"/>
    <w:rsid w:val="0066470A"/>
    <w:rsid w:val="00664CDF"/>
    <w:rsid w:val="006701A8"/>
    <w:rsid w:val="00670232"/>
    <w:rsid w:val="00670B03"/>
    <w:rsid w:val="00670E70"/>
    <w:rsid w:val="00671A8F"/>
    <w:rsid w:val="00673DC4"/>
    <w:rsid w:val="00673FDC"/>
    <w:rsid w:val="00680AA8"/>
    <w:rsid w:val="006811D4"/>
    <w:rsid w:val="00683256"/>
    <w:rsid w:val="0068338F"/>
    <w:rsid w:val="006846C2"/>
    <w:rsid w:val="0068659A"/>
    <w:rsid w:val="00686E75"/>
    <w:rsid w:val="00690A4E"/>
    <w:rsid w:val="00690FA2"/>
    <w:rsid w:val="00691179"/>
    <w:rsid w:val="00691366"/>
    <w:rsid w:val="00691FCA"/>
    <w:rsid w:val="00692748"/>
    <w:rsid w:val="00693F9B"/>
    <w:rsid w:val="00696B9A"/>
    <w:rsid w:val="006A1686"/>
    <w:rsid w:val="006A1768"/>
    <w:rsid w:val="006A3F07"/>
    <w:rsid w:val="006A4015"/>
    <w:rsid w:val="006A4184"/>
    <w:rsid w:val="006A4379"/>
    <w:rsid w:val="006A544C"/>
    <w:rsid w:val="006A5A5B"/>
    <w:rsid w:val="006A6D95"/>
    <w:rsid w:val="006B0461"/>
    <w:rsid w:val="006B1E52"/>
    <w:rsid w:val="006B2153"/>
    <w:rsid w:val="006B2AD6"/>
    <w:rsid w:val="006B4BCA"/>
    <w:rsid w:val="006B64B2"/>
    <w:rsid w:val="006B65E8"/>
    <w:rsid w:val="006B6A74"/>
    <w:rsid w:val="006B7877"/>
    <w:rsid w:val="006C03E5"/>
    <w:rsid w:val="006C23B2"/>
    <w:rsid w:val="006C2491"/>
    <w:rsid w:val="006C344E"/>
    <w:rsid w:val="006C3962"/>
    <w:rsid w:val="006C4779"/>
    <w:rsid w:val="006C5E83"/>
    <w:rsid w:val="006C680A"/>
    <w:rsid w:val="006C68F4"/>
    <w:rsid w:val="006C7D09"/>
    <w:rsid w:val="006D0363"/>
    <w:rsid w:val="006D03A6"/>
    <w:rsid w:val="006D0603"/>
    <w:rsid w:val="006D10AC"/>
    <w:rsid w:val="006D2330"/>
    <w:rsid w:val="006D2664"/>
    <w:rsid w:val="006D2D35"/>
    <w:rsid w:val="006D3BA1"/>
    <w:rsid w:val="006D67F3"/>
    <w:rsid w:val="006D695A"/>
    <w:rsid w:val="006E0384"/>
    <w:rsid w:val="006E123E"/>
    <w:rsid w:val="006E15A3"/>
    <w:rsid w:val="006E18D8"/>
    <w:rsid w:val="006E1E98"/>
    <w:rsid w:val="006E26C1"/>
    <w:rsid w:val="006E3603"/>
    <w:rsid w:val="006E517B"/>
    <w:rsid w:val="006E5358"/>
    <w:rsid w:val="006E56D0"/>
    <w:rsid w:val="006E6049"/>
    <w:rsid w:val="006E6B02"/>
    <w:rsid w:val="006E6B2D"/>
    <w:rsid w:val="006E6F11"/>
    <w:rsid w:val="006E7271"/>
    <w:rsid w:val="006F152A"/>
    <w:rsid w:val="006F3585"/>
    <w:rsid w:val="006F4C26"/>
    <w:rsid w:val="006F57A8"/>
    <w:rsid w:val="006F6447"/>
    <w:rsid w:val="006F6578"/>
    <w:rsid w:val="006F7832"/>
    <w:rsid w:val="007009A7"/>
    <w:rsid w:val="0070146B"/>
    <w:rsid w:val="00701AC3"/>
    <w:rsid w:val="00702596"/>
    <w:rsid w:val="0070377D"/>
    <w:rsid w:val="007048B7"/>
    <w:rsid w:val="00704A03"/>
    <w:rsid w:val="00704CF9"/>
    <w:rsid w:val="00705E55"/>
    <w:rsid w:val="0071113C"/>
    <w:rsid w:val="00711206"/>
    <w:rsid w:val="00711AD0"/>
    <w:rsid w:val="00712646"/>
    <w:rsid w:val="00712D2F"/>
    <w:rsid w:val="007136D9"/>
    <w:rsid w:val="0071481A"/>
    <w:rsid w:val="00714FB8"/>
    <w:rsid w:val="00715347"/>
    <w:rsid w:val="00716071"/>
    <w:rsid w:val="00716706"/>
    <w:rsid w:val="007203AA"/>
    <w:rsid w:val="00721401"/>
    <w:rsid w:val="00721AF6"/>
    <w:rsid w:val="00721BE0"/>
    <w:rsid w:val="00722142"/>
    <w:rsid w:val="00722865"/>
    <w:rsid w:val="00722AD7"/>
    <w:rsid w:val="00723B1B"/>
    <w:rsid w:val="007250B0"/>
    <w:rsid w:val="00726251"/>
    <w:rsid w:val="00726479"/>
    <w:rsid w:val="007265DC"/>
    <w:rsid w:val="00732BFA"/>
    <w:rsid w:val="0073311D"/>
    <w:rsid w:val="007336AA"/>
    <w:rsid w:val="00733843"/>
    <w:rsid w:val="00733B09"/>
    <w:rsid w:val="00733C57"/>
    <w:rsid w:val="007342A1"/>
    <w:rsid w:val="007343F1"/>
    <w:rsid w:val="00735610"/>
    <w:rsid w:val="0073563E"/>
    <w:rsid w:val="00736CC6"/>
    <w:rsid w:val="00737BC3"/>
    <w:rsid w:val="00737F51"/>
    <w:rsid w:val="00740047"/>
    <w:rsid w:val="00740063"/>
    <w:rsid w:val="0074170A"/>
    <w:rsid w:val="00741876"/>
    <w:rsid w:val="00741CD2"/>
    <w:rsid w:val="007424C9"/>
    <w:rsid w:val="007433D3"/>
    <w:rsid w:val="007442FA"/>
    <w:rsid w:val="00745713"/>
    <w:rsid w:val="007464F8"/>
    <w:rsid w:val="007510A7"/>
    <w:rsid w:val="00751E73"/>
    <w:rsid w:val="00752314"/>
    <w:rsid w:val="0075246A"/>
    <w:rsid w:val="00752D25"/>
    <w:rsid w:val="007535D8"/>
    <w:rsid w:val="00753B59"/>
    <w:rsid w:val="00753C98"/>
    <w:rsid w:val="0075458D"/>
    <w:rsid w:val="00755536"/>
    <w:rsid w:val="0075674D"/>
    <w:rsid w:val="00757375"/>
    <w:rsid w:val="00760A9F"/>
    <w:rsid w:val="0076292C"/>
    <w:rsid w:val="0076328C"/>
    <w:rsid w:val="007636C1"/>
    <w:rsid w:val="00763EB6"/>
    <w:rsid w:val="007641FA"/>
    <w:rsid w:val="00770648"/>
    <w:rsid w:val="00770D90"/>
    <w:rsid w:val="00771155"/>
    <w:rsid w:val="00771218"/>
    <w:rsid w:val="00771BB0"/>
    <w:rsid w:val="00773432"/>
    <w:rsid w:val="0077395D"/>
    <w:rsid w:val="00774933"/>
    <w:rsid w:val="0077503F"/>
    <w:rsid w:val="0077574C"/>
    <w:rsid w:val="00775819"/>
    <w:rsid w:val="00775A69"/>
    <w:rsid w:val="00775CF8"/>
    <w:rsid w:val="0077734C"/>
    <w:rsid w:val="00777A7C"/>
    <w:rsid w:val="00777E82"/>
    <w:rsid w:val="00777F29"/>
    <w:rsid w:val="007809C6"/>
    <w:rsid w:val="00781528"/>
    <w:rsid w:val="00781EAB"/>
    <w:rsid w:val="00782138"/>
    <w:rsid w:val="00782902"/>
    <w:rsid w:val="00782A9D"/>
    <w:rsid w:val="00782B76"/>
    <w:rsid w:val="00784A7C"/>
    <w:rsid w:val="007853DD"/>
    <w:rsid w:val="00785C79"/>
    <w:rsid w:val="00785FC6"/>
    <w:rsid w:val="0078603A"/>
    <w:rsid w:val="00786081"/>
    <w:rsid w:val="007861A2"/>
    <w:rsid w:val="00786272"/>
    <w:rsid w:val="007875B6"/>
    <w:rsid w:val="007878BB"/>
    <w:rsid w:val="00787A46"/>
    <w:rsid w:val="0079098F"/>
    <w:rsid w:val="00791DBF"/>
    <w:rsid w:val="00792B93"/>
    <w:rsid w:val="00793076"/>
    <w:rsid w:val="00793DD2"/>
    <w:rsid w:val="007949BF"/>
    <w:rsid w:val="00794B9C"/>
    <w:rsid w:val="00795F51"/>
    <w:rsid w:val="0079641A"/>
    <w:rsid w:val="007A263E"/>
    <w:rsid w:val="007A2F8E"/>
    <w:rsid w:val="007A3D7E"/>
    <w:rsid w:val="007A411F"/>
    <w:rsid w:val="007A4D61"/>
    <w:rsid w:val="007A529B"/>
    <w:rsid w:val="007A66DE"/>
    <w:rsid w:val="007A7005"/>
    <w:rsid w:val="007A7865"/>
    <w:rsid w:val="007A7F2B"/>
    <w:rsid w:val="007B070F"/>
    <w:rsid w:val="007B083F"/>
    <w:rsid w:val="007B0A61"/>
    <w:rsid w:val="007B1222"/>
    <w:rsid w:val="007B12F8"/>
    <w:rsid w:val="007B17E1"/>
    <w:rsid w:val="007B194D"/>
    <w:rsid w:val="007B34A9"/>
    <w:rsid w:val="007B3E59"/>
    <w:rsid w:val="007B4CAA"/>
    <w:rsid w:val="007B4EFD"/>
    <w:rsid w:val="007B54E9"/>
    <w:rsid w:val="007B6A73"/>
    <w:rsid w:val="007B6BC6"/>
    <w:rsid w:val="007B6C94"/>
    <w:rsid w:val="007B6DED"/>
    <w:rsid w:val="007B6DF2"/>
    <w:rsid w:val="007B7C72"/>
    <w:rsid w:val="007C09C8"/>
    <w:rsid w:val="007C0A6C"/>
    <w:rsid w:val="007C0BDF"/>
    <w:rsid w:val="007C394B"/>
    <w:rsid w:val="007C46BA"/>
    <w:rsid w:val="007C53F6"/>
    <w:rsid w:val="007C60CB"/>
    <w:rsid w:val="007C6195"/>
    <w:rsid w:val="007C660E"/>
    <w:rsid w:val="007D0CEA"/>
    <w:rsid w:val="007D15D4"/>
    <w:rsid w:val="007D2AFF"/>
    <w:rsid w:val="007D350C"/>
    <w:rsid w:val="007D398E"/>
    <w:rsid w:val="007D3C1E"/>
    <w:rsid w:val="007D4886"/>
    <w:rsid w:val="007D547C"/>
    <w:rsid w:val="007D5638"/>
    <w:rsid w:val="007D6D58"/>
    <w:rsid w:val="007E085D"/>
    <w:rsid w:val="007E0FDA"/>
    <w:rsid w:val="007E15B0"/>
    <w:rsid w:val="007E353F"/>
    <w:rsid w:val="007E5D15"/>
    <w:rsid w:val="007E61A5"/>
    <w:rsid w:val="007E6AFD"/>
    <w:rsid w:val="007F02E6"/>
    <w:rsid w:val="007F05CD"/>
    <w:rsid w:val="007F0861"/>
    <w:rsid w:val="007F0EF6"/>
    <w:rsid w:val="007F24DE"/>
    <w:rsid w:val="007F3086"/>
    <w:rsid w:val="007F3644"/>
    <w:rsid w:val="007F3DAA"/>
    <w:rsid w:val="007F40E3"/>
    <w:rsid w:val="007F589B"/>
    <w:rsid w:val="007F640E"/>
    <w:rsid w:val="007F6B66"/>
    <w:rsid w:val="00801122"/>
    <w:rsid w:val="00801C2B"/>
    <w:rsid w:val="00802E5C"/>
    <w:rsid w:val="00802FB4"/>
    <w:rsid w:val="0080460D"/>
    <w:rsid w:val="008055A7"/>
    <w:rsid w:val="00806843"/>
    <w:rsid w:val="00806BDD"/>
    <w:rsid w:val="00807169"/>
    <w:rsid w:val="008073DF"/>
    <w:rsid w:val="008100DA"/>
    <w:rsid w:val="00810C79"/>
    <w:rsid w:val="00811229"/>
    <w:rsid w:val="00811BAC"/>
    <w:rsid w:val="00812BDC"/>
    <w:rsid w:val="00813D85"/>
    <w:rsid w:val="008158E2"/>
    <w:rsid w:val="00815C4E"/>
    <w:rsid w:val="00816E0C"/>
    <w:rsid w:val="00816E53"/>
    <w:rsid w:val="00817221"/>
    <w:rsid w:val="00817405"/>
    <w:rsid w:val="00820A86"/>
    <w:rsid w:val="00821C8D"/>
    <w:rsid w:val="00821E03"/>
    <w:rsid w:val="00822877"/>
    <w:rsid w:val="00823E2D"/>
    <w:rsid w:val="00824CEB"/>
    <w:rsid w:val="00825B27"/>
    <w:rsid w:val="00826579"/>
    <w:rsid w:val="00830B0E"/>
    <w:rsid w:val="00830C7A"/>
    <w:rsid w:val="00831A62"/>
    <w:rsid w:val="00832AE2"/>
    <w:rsid w:val="00832F09"/>
    <w:rsid w:val="008346DD"/>
    <w:rsid w:val="008351F3"/>
    <w:rsid w:val="0083531B"/>
    <w:rsid w:val="00836152"/>
    <w:rsid w:val="0083615B"/>
    <w:rsid w:val="00836B2C"/>
    <w:rsid w:val="00836C25"/>
    <w:rsid w:val="00836C86"/>
    <w:rsid w:val="00836E46"/>
    <w:rsid w:val="00841DF8"/>
    <w:rsid w:val="00842443"/>
    <w:rsid w:val="008437A5"/>
    <w:rsid w:val="00844B81"/>
    <w:rsid w:val="00844B82"/>
    <w:rsid w:val="00845017"/>
    <w:rsid w:val="0084652E"/>
    <w:rsid w:val="00847204"/>
    <w:rsid w:val="0085023B"/>
    <w:rsid w:val="00850A4C"/>
    <w:rsid w:val="008532E0"/>
    <w:rsid w:val="00853852"/>
    <w:rsid w:val="00854263"/>
    <w:rsid w:val="00854A8A"/>
    <w:rsid w:val="0085606D"/>
    <w:rsid w:val="008569F7"/>
    <w:rsid w:val="00857083"/>
    <w:rsid w:val="00857143"/>
    <w:rsid w:val="00860F7A"/>
    <w:rsid w:val="008611DE"/>
    <w:rsid w:val="00861C15"/>
    <w:rsid w:val="008624DD"/>
    <w:rsid w:val="00863332"/>
    <w:rsid w:val="00863EFF"/>
    <w:rsid w:val="008640B8"/>
    <w:rsid w:val="008648B4"/>
    <w:rsid w:val="008667C4"/>
    <w:rsid w:val="00866AA5"/>
    <w:rsid w:val="00867FB5"/>
    <w:rsid w:val="00870ED0"/>
    <w:rsid w:val="008722B9"/>
    <w:rsid w:val="0087242B"/>
    <w:rsid w:val="008724D3"/>
    <w:rsid w:val="008728AC"/>
    <w:rsid w:val="00873D35"/>
    <w:rsid w:val="0087499A"/>
    <w:rsid w:val="00874B0C"/>
    <w:rsid w:val="00874CEF"/>
    <w:rsid w:val="00875228"/>
    <w:rsid w:val="00875DC1"/>
    <w:rsid w:val="00875F15"/>
    <w:rsid w:val="00875F33"/>
    <w:rsid w:val="00876792"/>
    <w:rsid w:val="008803E2"/>
    <w:rsid w:val="00880CC2"/>
    <w:rsid w:val="00881480"/>
    <w:rsid w:val="00881544"/>
    <w:rsid w:val="00883C6B"/>
    <w:rsid w:val="008848C0"/>
    <w:rsid w:val="00884DE7"/>
    <w:rsid w:val="008878D6"/>
    <w:rsid w:val="008879DF"/>
    <w:rsid w:val="00887ED5"/>
    <w:rsid w:val="00892B09"/>
    <w:rsid w:val="008934D8"/>
    <w:rsid w:val="00893754"/>
    <w:rsid w:val="00893F93"/>
    <w:rsid w:val="00894C73"/>
    <w:rsid w:val="00896FF4"/>
    <w:rsid w:val="008A0F23"/>
    <w:rsid w:val="008A1509"/>
    <w:rsid w:val="008A1E3F"/>
    <w:rsid w:val="008A2BBF"/>
    <w:rsid w:val="008A3CA4"/>
    <w:rsid w:val="008A4016"/>
    <w:rsid w:val="008A49B9"/>
    <w:rsid w:val="008A49BF"/>
    <w:rsid w:val="008A506B"/>
    <w:rsid w:val="008A666D"/>
    <w:rsid w:val="008A6704"/>
    <w:rsid w:val="008A7044"/>
    <w:rsid w:val="008B2128"/>
    <w:rsid w:val="008B212D"/>
    <w:rsid w:val="008B7B2B"/>
    <w:rsid w:val="008B7BD4"/>
    <w:rsid w:val="008B7C7D"/>
    <w:rsid w:val="008C0D70"/>
    <w:rsid w:val="008C0F5B"/>
    <w:rsid w:val="008C1BBD"/>
    <w:rsid w:val="008C3091"/>
    <w:rsid w:val="008C43C2"/>
    <w:rsid w:val="008C4F5F"/>
    <w:rsid w:val="008C5347"/>
    <w:rsid w:val="008C67A6"/>
    <w:rsid w:val="008C6B35"/>
    <w:rsid w:val="008C6E4C"/>
    <w:rsid w:val="008C759F"/>
    <w:rsid w:val="008D16CC"/>
    <w:rsid w:val="008D1D80"/>
    <w:rsid w:val="008D1EA0"/>
    <w:rsid w:val="008D23D1"/>
    <w:rsid w:val="008D3435"/>
    <w:rsid w:val="008D3EF8"/>
    <w:rsid w:val="008D40A5"/>
    <w:rsid w:val="008D43EB"/>
    <w:rsid w:val="008D4404"/>
    <w:rsid w:val="008D5A6A"/>
    <w:rsid w:val="008D5B46"/>
    <w:rsid w:val="008D6203"/>
    <w:rsid w:val="008D721A"/>
    <w:rsid w:val="008D77BE"/>
    <w:rsid w:val="008D77E8"/>
    <w:rsid w:val="008D7C14"/>
    <w:rsid w:val="008E078B"/>
    <w:rsid w:val="008E0A3B"/>
    <w:rsid w:val="008E2261"/>
    <w:rsid w:val="008E69EB"/>
    <w:rsid w:val="008E6B93"/>
    <w:rsid w:val="008E7542"/>
    <w:rsid w:val="008E766C"/>
    <w:rsid w:val="008F0318"/>
    <w:rsid w:val="008F0C33"/>
    <w:rsid w:val="008F0CC1"/>
    <w:rsid w:val="008F2C83"/>
    <w:rsid w:val="008F2FF6"/>
    <w:rsid w:val="008F34C8"/>
    <w:rsid w:val="008F37F8"/>
    <w:rsid w:val="008F3EA7"/>
    <w:rsid w:val="008F561F"/>
    <w:rsid w:val="008F6BBC"/>
    <w:rsid w:val="008F7003"/>
    <w:rsid w:val="008F78C9"/>
    <w:rsid w:val="008F7E20"/>
    <w:rsid w:val="009011AB"/>
    <w:rsid w:val="009014AC"/>
    <w:rsid w:val="00902D2C"/>
    <w:rsid w:val="00903A0B"/>
    <w:rsid w:val="00903BDB"/>
    <w:rsid w:val="00904E33"/>
    <w:rsid w:val="00905841"/>
    <w:rsid w:val="00905958"/>
    <w:rsid w:val="009068EA"/>
    <w:rsid w:val="00907195"/>
    <w:rsid w:val="00907247"/>
    <w:rsid w:val="00910342"/>
    <w:rsid w:val="009129AE"/>
    <w:rsid w:val="00913498"/>
    <w:rsid w:val="00913C8B"/>
    <w:rsid w:val="00915107"/>
    <w:rsid w:val="0091699E"/>
    <w:rsid w:val="00916E7C"/>
    <w:rsid w:val="009175D0"/>
    <w:rsid w:val="009209AC"/>
    <w:rsid w:val="00922015"/>
    <w:rsid w:val="0092236F"/>
    <w:rsid w:val="00922578"/>
    <w:rsid w:val="00922931"/>
    <w:rsid w:val="00923EFF"/>
    <w:rsid w:val="009257C7"/>
    <w:rsid w:val="00925ABA"/>
    <w:rsid w:val="00925EE0"/>
    <w:rsid w:val="0093069C"/>
    <w:rsid w:val="00930DC6"/>
    <w:rsid w:val="00930F17"/>
    <w:rsid w:val="00930F18"/>
    <w:rsid w:val="00931838"/>
    <w:rsid w:val="00932AE9"/>
    <w:rsid w:val="00932D12"/>
    <w:rsid w:val="0093326E"/>
    <w:rsid w:val="00934DFF"/>
    <w:rsid w:val="00935333"/>
    <w:rsid w:val="00935C52"/>
    <w:rsid w:val="00937BE7"/>
    <w:rsid w:val="00937DC5"/>
    <w:rsid w:val="0094028E"/>
    <w:rsid w:val="009417A0"/>
    <w:rsid w:val="00943912"/>
    <w:rsid w:val="009441E2"/>
    <w:rsid w:val="0094424E"/>
    <w:rsid w:val="009458F9"/>
    <w:rsid w:val="00947387"/>
    <w:rsid w:val="00950C2D"/>
    <w:rsid w:val="00952F2E"/>
    <w:rsid w:val="009531D9"/>
    <w:rsid w:val="0095338E"/>
    <w:rsid w:val="0095379E"/>
    <w:rsid w:val="00953858"/>
    <w:rsid w:val="009543BD"/>
    <w:rsid w:val="00954B16"/>
    <w:rsid w:val="0095508D"/>
    <w:rsid w:val="00957C4F"/>
    <w:rsid w:val="00957DF6"/>
    <w:rsid w:val="00960CB0"/>
    <w:rsid w:val="00961114"/>
    <w:rsid w:val="00963559"/>
    <w:rsid w:val="00963860"/>
    <w:rsid w:val="009650C0"/>
    <w:rsid w:val="00965759"/>
    <w:rsid w:val="00965EEC"/>
    <w:rsid w:val="009663A0"/>
    <w:rsid w:val="0096646C"/>
    <w:rsid w:val="009665F8"/>
    <w:rsid w:val="00966EF9"/>
    <w:rsid w:val="0096749B"/>
    <w:rsid w:val="00967C23"/>
    <w:rsid w:val="00970288"/>
    <w:rsid w:val="00971452"/>
    <w:rsid w:val="0097251F"/>
    <w:rsid w:val="00972EEF"/>
    <w:rsid w:val="0097419F"/>
    <w:rsid w:val="009742BD"/>
    <w:rsid w:val="00974EB9"/>
    <w:rsid w:val="00974FFA"/>
    <w:rsid w:val="0097523C"/>
    <w:rsid w:val="00977DEB"/>
    <w:rsid w:val="00977FEA"/>
    <w:rsid w:val="0098071F"/>
    <w:rsid w:val="009808DC"/>
    <w:rsid w:val="00980B44"/>
    <w:rsid w:val="00980EF9"/>
    <w:rsid w:val="00981A0F"/>
    <w:rsid w:val="00984089"/>
    <w:rsid w:val="00984A44"/>
    <w:rsid w:val="00984A9A"/>
    <w:rsid w:val="00984E66"/>
    <w:rsid w:val="00985463"/>
    <w:rsid w:val="00985B84"/>
    <w:rsid w:val="00986727"/>
    <w:rsid w:val="00986936"/>
    <w:rsid w:val="00987191"/>
    <w:rsid w:val="0098727A"/>
    <w:rsid w:val="0098787D"/>
    <w:rsid w:val="00990EAC"/>
    <w:rsid w:val="00991419"/>
    <w:rsid w:val="00991958"/>
    <w:rsid w:val="0099208B"/>
    <w:rsid w:val="0099235E"/>
    <w:rsid w:val="0099287B"/>
    <w:rsid w:val="0099380D"/>
    <w:rsid w:val="009945B6"/>
    <w:rsid w:val="00994820"/>
    <w:rsid w:val="00994993"/>
    <w:rsid w:val="009971E6"/>
    <w:rsid w:val="00997CEC"/>
    <w:rsid w:val="009A05B3"/>
    <w:rsid w:val="009A0A9A"/>
    <w:rsid w:val="009A28B0"/>
    <w:rsid w:val="009A33EF"/>
    <w:rsid w:val="009A4367"/>
    <w:rsid w:val="009A47DB"/>
    <w:rsid w:val="009A56CB"/>
    <w:rsid w:val="009A58AC"/>
    <w:rsid w:val="009A5A8D"/>
    <w:rsid w:val="009A67DD"/>
    <w:rsid w:val="009A6B7A"/>
    <w:rsid w:val="009B1F4E"/>
    <w:rsid w:val="009B2B4B"/>
    <w:rsid w:val="009B2D18"/>
    <w:rsid w:val="009B415A"/>
    <w:rsid w:val="009B42FC"/>
    <w:rsid w:val="009B493C"/>
    <w:rsid w:val="009B581D"/>
    <w:rsid w:val="009B5F61"/>
    <w:rsid w:val="009B64A1"/>
    <w:rsid w:val="009B66B9"/>
    <w:rsid w:val="009B6E25"/>
    <w:rsid w:val="009B6F58"/>
    <w:rsid w:val="009B7B54"/>
    <w:rsid w:val="009C0699"/>
    <w:rsid w:val="009C0B33"/>
    <w:rsid w:val="009C3A81"/>
    <w:rsid w:val="009C4A58"/>
    <w:rsid w:val="009C506F"/>
    <w:rsid w:val="009C7344"/>
    <w:rsid w:val="009C74D3"/>
    <w:rsid w:val="009D04DE"/>
    <w:rsid w:val="009D3160"/>
    <w:rsid w:val="009D388E"/>
    <w:rsid w:val="009D3A06"/>
    <w:rsid w:val="009D543F"/>
    <w:rsid w:val="009D776F"/>
    <w:rsid w:val="009E0039"/>
    <w:rsid w:val="009E27EB"/>
    <w:rsid w:val="009E3BEA"/>
    <w:rsid w:val="009E3DD4"/>
    <w:rsid w:val="009E44E2"/>
    <w:rsid w:val="009E7460"/>
    <w:rsid w:val="009E7B63"/>
    <w:rsid w:val="009F0C66"/>
    <w:rsid w:val="009F1A21"/>
    <w:rsid w:val="009F381E"/>
    <w:rsid w:val="009F4562"/>
    <w:rsid w:val="009F464E"/>
    <w:rsid w:val="009F6EBB"/>
    <w:rsid w:val="00A0056E"/>
    <w:rsid w:val="00A0068C"/>
    <w:rsid w:val="00A01983"/>
    <w:rsid w:val="00A01EC5"/>
    <w:rsid w:val="00A01F26"/>
    <w:rsid w:val="00A02A8E"/>
    <w:rsid w:val="00A030FB"/>
    <w:rsid w:val="00A031C0"/>
    <w:rsid w:val="00A04157"/>
    <w:rsid w:val="00A05B33"/>
    <w:rsid w:val="00A05FF6"/>
    <w:rsid w:val="00A060D0"/>
    <w:rsid w:val="00A061CC"/>
    <w:rsid w:val="00A06634"/>
    <w:rsid w:val="00A10544"/>
    <w:rsid w:val="00A11273"/>
    <w:rsid w:val="00A116F7"/>
    <w:rsid w:val="00A1176F"/>
    <w:rsid w:val="00A1187B"/>
    <w:rsid w:val="00A11E64"/>
    <w:rsid w:val="00A12054"/>
    <w:rsid w:val="00A1317B"/>
    <w:rsid w:val="00A15769"/>
    <w:rsid w:val="00A15CE8"/>
    <w:rsid w:val="00A20C0B"/>
    <w:rsid w:val="00A213E4"/>
    <w:rsid w:val="00A2141B"/>
    <w:rsid w:val="00A222D7"/>
    <w:rsid w:val="00A227A4"/>
    <w:rsid w:val="00A227BC"/>
    <w:rsid w:val="00A22863"/>
    <w:rsid w:val="00A238FC"/>
    <w:rsid w:val="00A25EF5"/>
    <w:rsid w:val="00A27643"/>
    <w:rsid w:val="00A30103"/>
    <w:rsid w:val="00A309D6"/>
    <w:rsid w:val="00A316F8"/>
    <w:rsid w:val="00A31809"/>
    <w:rsid w:val="00A321C9"/>
    <w:rsid w:val="00A3453E"/>
    <w:rsid w:val="00A34ED0"/>
    <w:rsid w:val="00A35425"/>
    <w:rsid w:val="00A3609D"/>
    <w:rsid w:val="00A3619E"/>
    <w:rsid w:val="00A3727B"/>
    <w:rsid w:val="00A37EFD"/>
    <w:rsid w:val="00A37F20"/>
    <w:rsid w:val="00A41DCE"/>
    <w:rsid w:val="00A41F39"/>
    <w:rsid w:val="00A42864"/>
    <w:rsid w:val="00A43EF3"/>
    <w:rsid w:val="00A44EE8"/>
    <w:rsid w:val="00A5038F"/>
    <w:rsid w:val="00A50EAD"/>
    <w:rsid w:val="00A51111"/>
    <w:rsid w:val="00A52D6A"/>
    <w:rsid w:val="00A53228"/>
    <w:rsid w:val="00A556C6"/>
    <w:rsid w:val="00A55C1C"/>
    <w:rsid w:val="00A569A7"/>
    <w:rsid w:val="00A57614"/>
    <w:rsid w:val="00A5774B"/>
    <w:rsid w:val="00A57B13"/>
    <w:rsid w:val="00A57C45"/>
    <w:rsid w:val="00A60415"/>
    <w:rsid w:val="00A615EF"/>
    <w:rsid w:val="00A61708"/>
    <w:rsid w:val="00A620FA"/>
    <w:rsid w:val="00A62733"/>
    <w:rsid w:val="00A64745"/>
    <w:rsid w:val="00A64822"/>
    <w:rsid w:val="00A64EB2"/>
    <w:rsid w:val="00A67D56"/>
    <w:rsid w:val="00A67F98"/>
    <w:rsid w:val="00A71107"/>
    <w:rsid w:val="00A71B24"/>
    <w:rsid w:val="00A72B8D"/>
    <w:rsid w:val="00A72B9A"/>
    <w:rsid w:val="00A7405F"/>
    <w:rsid w:val="00A748FA"/>
    <w:rsid w:val="00A75D08"/>
    <w:rsid w:val="00A76390"/>
    <w:rsid w:val="00A76413"/>
    <w:rsid w:val="00A76976"/>
    <w:rsid w:val="00A76B2F"/>
    <w:rsid w:val="00A779AB"/>
    <w:rsid w:val="00A8034C"/>
    <w:rsid w:val="00A82125"/>
    <w:rsid w:val="00A83DCF"/>
    <w:rsid w:val="00A84145"/>
    <w:rsid w:val="00A844A0"/>
    <w:rsid w:val="00A84638"/>
    <w:rsid w:val="00A8692A"/>
    <w:rsid w:val="00A86B94"/>
    <w:rsid w:val="00A90189"/>
    <w:rsid w:val="00A902E7"/>
    <w:rsid w:val="00A905A3"/>
    <w:rsid w:val="00A90686"/>
    <w:rsid w:val="00A92677"/>
    <w:rsid w:val="00A92A05"/>
    <w:rsid w:val="00A933C5"/>
    <w:rsid w:val="00A938B6"/>
    <w:rsid w:val="00A944F8"/>
    <w:rsid w:val="00A96DEE"/>
    <w:rsid w:val="00A97063"/>
    <w:rsid w:val="00A975E7"/>
    <w:rsid w:val="00A97B50"/>
    <w:rsid w:val="00AA0BFB"/>
    <w:rsid w:val="00AA0C4F"/>
    <w:rsid w:val="00AA0E16"/>
    <w:rsid w:val="00AA13B8"/>
    <w:rsid w:val="00AA1A97"/>
    <w:rsid w:val="00AA1CF7"/>
    <w:rsid w:val="00AA21B4"/>
    <w:rsid w:val="00AA3172"/>
    <w:rsid w:val="00AA46C7"/>
    <w:rsid w:val="00AA4F21"/>
    <w:rsid w:val="00AA5055"/>
    <w:rsid w:val="00AA5D07"/>
    <w:rsid w:val="00AA7AD7"/>
    <w:rsid w:val="00AA7D37"/>
    <w:rsid w:val="00AA7F7E"/>
    <w:rsid w:val="00AB08F3"/>
    <w:rsid w:val="00AB0E8C"/>
    <w:rsid w:val="00AB0F24"/>
    <w:rsid w:val="00AB0F26"/>
    <w:rsid w:val="00AB2387"/>
    <w:rsid w:val="00AB29F5"/>
    <w:rsid w:val="00AB39B2"/>
    <w:rsid w:val="00AB3F55"/>
    <w:rsid w:val="00AB4BB0"/>
    <w:rsid w:val="00AB6085"/>
    <w:rsid w:val="00AB6282"/>
    <w:rsid w:val="00AB64F8"/>
    <w:rsid w:val="00AB6EB0"/>
    <w:rsid w:val="00AC0217"/>
    <w:rsid w:val="00AC0A18"/>
    <w:rsid w:val="00AC14B2"/>
    <w:rsid w:val="00AC14C9"/>
    <w:rsid w:val="00AC1CA5"/>
    <w:rsid w:val="00AC226E"/>
    <w:rsid w:val="00AC2FED"/>
    <w:rsid w:val="00AC3589"/>
    <w:rsid w:val="00AC40D7"/>
    <w:rsid w:val="00AC442E"/>
    <w:rsid w:val="00AC4E74"/>
    <w:rsid w:val="00AC53F6"/>
    <w:rsid w:val="00AC5FF6"/>
    <w:rsid w:val="00AC6141"/>
    <w:rsid w:val="00AC6BFF"/>
    <w:rsid w:val="00AC7667"/>
    <w:rsid w:val="00AC7CA6"/>
    <w:rsid w:val="00AD054E"/>
    <w:rsid w:val="00AD1502"/>
    <w:rsid w:val="00AD1FC2"/>
    <w:rsid w:val="00AD2BB8"/>
    <w:rsid w:val="00AD2C6C"/>
    <w:rsid w:val="00AD3BBE"/>
    <w:rsid w:val="00AD4403"/>
    <w:rsid w:val="00AD4942"/>
    <w:rsid w:val="00AD4AE6"/>
    <w:rsid w:val="00AD4FA3"/>
    <w:rsid w:val="00AD59BC"/>
    <w:rsid w:val="00AD672C"/>
    <w:rsid w:val="00AD6C99"/>
    <w:rsid w:val="00AD7814"/>
    <w:rsid w:val="00AD7F0D"/>
    <w:rsid w:val="00AE054E"/>
    <w:rsid w:val="00AE063F"/>
    <w:rsid w:val="00AE1233"/>
    <w:rsid w:val="00AE131B"/>
    <w:rsid w:val="00AE17A9"/>
    <w:rsid w:val="00AE2722"/>
    <w:rsid w:val="00AE2ED3"/>
    <w:rsid w:val="00AE3772"/>
    <w:rsid w:val="00AE3B88"/>
    <w:rsid w:val="00AE43C0"/>
    <w:rsid w:val="00AE4E95"/>
    <w:rsid w:val="00AE4EAE"/>
    <w:rsid w:val="00AE71C5"/>
    <w:rsid w:val="00AF0B27"/>
    <w:rsid w:val="00AF0CDA"/>
    <w:rsid w:val="00AF1181"/>
    <w:rsid w:val="00AF19A0"/>
    <w:rsid w:val="00AF2C06"/>
    <w:rsid w:val="00AF3C16"/>
    <w:rsid w:val="00AF3F1B"/>
    <w:rsid w:val="00AF7A28"/>
    <w:rsid w:val="00AF7D89"/>
    <w:rsid w:val="00B00825"/>
    <w:rsid w:val="00B008AE"/>
    <w:rsid w:val="00B00CC1"/>
    <w:rsid w:val="00B01A38"/>
    <w:rsid w:val="00B02A44"/>
    <w:rsid w:val="00B05DD2"/>
    <w:rsid w:val="00B0761B"/>
    <w:rsid w:val="00B10643"/>
    <w:rsid w:val="00B10A22"/>
    <w:rsid w:val="00B112C6"/>
    <w:rsid w:val="00B112D2"/>
    <w:rsid w:val="00B11FA2"/>
    <w:rsid w:val="00B121CB"/>
    <w:rsid w:val="00B12AD9"/>
    <w:rsid w:val="00B14070"/>
    <w:rsid w:val="00B14082"/>
    <w:rsid w:val="00B1438A"/>
    <w:rsid w:val="00B14546"/>
    <w:rsid w:val="00B16751"/>
    <w:rsid w:val="00B16941"/>
    <w:rsid w:val="00B16FAD"/>
    <w:rsid w:val="00B171FD"/>
    <w:rsid w:val="00B172D4"/>
    <w:rsid w:val="00B20A60"/>
    <w:rsid w:val="00B2102D"/>
    <w:rsid w:val="00B21351"/>
    <w:rsid w:val="00B222D6"/>
    <w:rsid w:val="00B2367D"/>
    <w:rsid w:val="00B23719"/>
    <w:rsid w:val="00B23A59"/>
    <w:rsid w:val="00B24572"/>
    <w:rsid w:val="00B24739"/>
    <w:rsid w:val="00B2597B"/>
    <w:rsid w:val="00B26865"/>
    <w:rsid w:val="00B26A18"/>
    <w:rsid w:val="00B26D73"/>
    <w:rsid w:val="00B274B3"/>
    <w:rsid w:val="00B33186"/>
    <w:rsid w:val="00B33A02"/>
    <w:rsid w:val="00B343D1"/>
    <w:rsid w:val="00B34408"/>
    <w:rsid w:val="00B34B59"/>
    <w:rsid w:val="00B352D7"/>
    <w:rsid w:val="00B357FC"/>
    <w:rsid w:val="00B37128"/>
    <w:rsid w:val="00B371CA"/>
    <w:rsid w:val="00B37266"/>
    <w:rsid w:val="00B37291"/>
    <w:rsid w:val="00B4018C"/>
    <w:rsid w:val="00B40714"/>
    <w:rsid w:val="00B410F7"/>
    <w:rsid w:val="00B41E42"/>
    <w:rsid w:val="00B421CD"/>
    <w:rsid w:val="00B424E9"/>
    <w:rsid w:val="00B4397B"/>
    <w:rsid w:val="00B43E06"/>
    <w:rsid w:val="00B442DA"/>
    <w:rsid w:val="00B44544"/>
    <w:rsid w:val="00B44F8B"/>
    <w:rsid w:val="00B45B69"/>
    <w:rsid w:val="00B46B6F"/>
    <w:rsid w:val="00B47C2A"/>
    <w:rsid w:val="00B47FD4"/>
    <w:rsid w:val="00B51D16"/>
    <w:rsid w:val="00B5420C"/>
    <w:rsid w:val="00B5500F"/>
    <w:rsid w:val="00B551A9"/>
    <w:rsid w:val="00B5541D"/>
    <w:rsid w:val="00B55475"/>
    <w:rsid w:val="00B55952"/>
    <w:rsid w:val="00B5635B"/>
    <w:rsid w:val="00B56A60"/>
    <w:rsid w:val="00B60D98"/>
    <w:rsid w:val="00B611DF"/>
    <w:rsid w:val="00B618BA"/>
    <w:rsid w:val="00B61A3A"/>
    <w:rsid w:val="00B61AD9"/>
    <w:rsid w:val="00B61C02"/>
    <w:rsid w:val="00B61DEC"/>
    <w:rsid w:val="00B62265"/>
    <w:rsid w:val="00B6299B"/>
    <w:rsid w:val="00B6371C"/>
    <w:rsid w:val="00B644C9"/>
    <w:rsid w:val="00B66124"/>
    <w:rsid w:val="00B66172"/>
    <w:rsid w:val="00B6694F"/>
    <w:rsid w:val="00B70B7A"/>
    <w:rsid w:val="00B71B23"/>
    <w:rsid w:val="00B72239"/>
    <w:rsid w:val="00B73CAC"/>
    <w:rsid w:val="00B748F9"/>
    <w:rsid w:val="00B76790"/>
    <w:rsid w:val="00B76DEB"/>
    <w:rsid w:val="00B772AF"/>
    <w:rsid w:val="00B77660"/>
    <w:rsid w:val="00B80F3D"/>
    <w:rsid w:val="00B8211B"/>
    <w:rsid w:val="00B8240D"/>
    <w:rsid w:val="00B83338"/>
    <w:rsid w:val="00B84119"/>
    <w:rsid w:val="00B87795"/>
    <w:rsid w:val="00B8779B"/>
    <w:rsid w:val="00B9003B"/>
    <w:rsid w:val="00B918A5"/>
    <w:rsid w:val="00B9360F"/>
    <w:rsid w:val="00B93814"/>
    <w:rsid w:val="00B93F8C"/>
    <w:rsid w:val="00B943E1"/>
    <w:rsid w:val="00B94A86"/>
    <w:rsid w:val="00B95204"/>
    <w:rsid w:val="00B95546"/>
    <w:rsid w:val="00B96845"/>
    <w:rsid w:val="00B976B3"/>
    <w:rsid w:val="00B97FD7"/>
    <w:rsid w:val="00BA02AC"/>
    <w:rsid w:val="00BA07E0"/>
    <w:rsid w:val="00BA1FF9"/>
    <w:rsid w:val="00BA30E1"/>
    <w:rsid w:val="00BA3732"/>
    <w:rsid w:val="00BA39FE"/>
    <w:rsid w:val="00BA3D2D"/>
    <w:rsid w:val="00BA463A"/>
    <w:rsid w:val="00BA51F7"/>
    <w:rsid w:val="00BA57B1"/>
    <w:rsid w:val="00BA585D"/>
    <w:rsid w:val="00BA5D5B"/>
    <w:rsid w:val="00BA620B"/>
    <w:rsid w:val="00BA64D3"/>
    <w:rsid w:val="00BB068E"/>
    <w:rsid w:val="00BB36B5"/>
    <w:rsid w:val="00BB46BB"/>
    <w:rsid w:val="00BB4D7D"/>
    <w:rsid w:val="00BB71E4"/>
    <w:rsid w:val="00BB757D"/>
    <w:rsid w:val="00BB7CB6"/>
    <w:rsid w:val="00BC00D8"/>
    <w:rsid w:val="00BC05E4"/>
    <w:rsid w:val="00BC08AD"/>
    <w:rsid w:val="00BC0A09"/>
    <w:rsid w:val="00BC10D8"/>
    <w:rsid w:val="00BC11D3"/>
    <w:rsid w:val="00BC2E10"/>
    <w:rsid w:val="00BC322A"/>
    <w:rsid w:val="00BC3BFF"/>
    <w:rsid w:val="00BC4CAE"/>
    <w:rsid w:val="00BC511A"/>
    <w:rsid w:val="00BC5B24"/>
    <w:rsid w:val="00BC623A"/>
    <w:rsid w:val="00BC63AF"/>
    <w:rsid w:val="00BC677E"/>
    <w:rsid w:val="00BD17FD"/>
    <w:rsid w:val="00BD1AFE"/>
    <w:rsid w:val="00BD353C"/>
    <w:rsid w:val="00BD3F66"/>
    <w:rsid w:val="00BD44D6"/>
    <w:rsid w:val="00BD4B86"/>
    <w:rsid w:val="00BD4FE3"/>
    <w:rsid w:val="00BD6402"/>
    <w:rsid w:val="00BE06E0"/>
    <w:rsid w:val="00BE0ABF"/>
    <w:rsid w:val="00BE10E9"/>
    <w:rsid w:val="00BE12F1"/>
    <w:rsid w:val="00BE2060"/>
    <w:rsid w:val="00BE229E"/>
    <w:rsid w:val="00BE2CC1"/>
    <w:rsid w:val="00BE30DA"/>
    <w:rsid w:val="00BE4122"/>
    <w:rsid w:val="00BE437B"/>
    <w:rsid w:val="00BE5223"/>
    <w:rsid w:val="00BE5ED5"/>
    <w:rsid w:val="00BE6370"/>
    <w:rsid w:val="00BE6B2A"/>
    <w:rsid w:val="00BE7F33"/>
    <w:rsid w:val="00BF00B4"/>
    <w:rsid w:val="00BF07BC"/>
    <w:rsid w:val="00BF0882"/>
    <w:rsid w:val="00BF135C"/>
    <w:rsid w:val="00BF4776"/>
    <w:rsid w:val="00BF601D"/>
    <w:rsid w:val="00BF692E"/>
    <w:rsid w:val="00BF71FC"/>
    <w:rsid w:val="00BF7A73"/>
    <w:rsid w:val="00C00163"/>
    <w:rsid w:val="00C00810"/>
    <w:rsid w:val="00C01423"/>
    <w:rsid w:val="00C01B45"/>
    <w:rsid w:val="00C02C47"/>
    <w:rsid w:val="00C02D6D"/>
    <w:rsid w:val="00C03E37"/>
    <w:rsid w:val="00C04189"/>
    <w:rsid w:val="00C04CD4"/>
    <w:rsid w:val="00C055F7"/>
    <w:rsid w:val="00C06BA5"/>
    <w:rsid w:val="00C0706E"/>
    <w:rsid w:val="00C12619"/>
    <w:rsid w:val="00C12EF6"/>
    <w:rsid w:val="00C13797"/>
    <w:rsid w:val="00C1391B"/>
    <w:rsid w:val="00C14436"/>
    <w:rsid w:val="00C14C17"/>
    <w:rsid w:val="00C14E86"/>
    <w:rsid w:val="00C1584E"/>
    <w:rsid w:val="00C160BA"/>
    <w:rsid w:val="00C16D08"/>
    <w:rsid w:val="00C16E9F"/>
    <w:rsid w:val="00C17EE8"/>
    <w:rsid w:val="00C17FDA"/>
    <w:rsid w:val="00C17FFA"/>
    <w:rsid w:val="00C2016A"/>
    <w:rsid w:val="00C202A3"/>
    <w:rsid w:val="00C212CE"/>
    <w:rsid w:val="00C22F67"/>
    <w:rsid w:val="00C23A05"/>
    <w:rsid w:val="00C23C89"/>
    <w:rsid w:val="00C25010"/>
    <w:rsid w:val="00C25BB6"/>
    <w:rsid w:val="00C26A9C"/>
    <w:rsid w:val="00C27FED"/>
    <w:rsid w:val="00C304A2"/>
    <w:rsid w:val="00C312C3"/>
    <w:rsid w:val="00C31F4B"/>
    <w:rsid w:val="00C322C6"/>
    <w:rsid w:val="00C32801"/>
    <w:rsid w:val="00C33899"/>
    <w:rsid w:val="00C350E4"/>
    <w:rsid w:val="00C35674"/>
    <w:rsid w:val="00C365D1"/>
    <w:rsid w:val="00C40139"/>
    <w:rsid w:val="00C4262F"/>
    <w:rsid w:val="00C426D9"/>
    <w:rsid w:val="00C4312B"/>
    <w:rsid w:val="00C43720"/>
    <w:rsid w:val="00C442DD"/>
    <w:rsid w:val="00C51785"/>
    <w:rsid w:val="00C52028"/>
    <w:rsid w:val="00C52E7D"/>
    <w:rsid w:val="00C52ED3"/>
    <w:rsid w:val="00C52F55"/>
    <w:rsid w:val="00C53602"/>
    <w:rsid w:val="00C551A2"/>
    <w:rsid w:val="00C55F46"/>
    <w:rsid w:val="00C56282"/>
    <w:rsid w:val="00C60002"/>
    <w:rsid w:val="00C6015A"/>
    <w:rsid w:val="00C6076A"/>
    <w:rsid w:val="00C60F0A"/>
    <w:rsid w:val="00C61D86"/>
    <w:rsid w:val="00C631B5"/>
    <w:rsid w:val="00C63A4F"/>
    <w:rsid w:val="00C6465C"/>
    <w:rsid w:val="00C65C64"/>
    <w:rsid w:val="00C66E19"/>
    <w:rsid w:val="00C706C4"/>
    <w:rsid w:val="00C714DF"/>
    <w:rsid w:val="00C71BF0"/>
    <w:rsid w:val="00C71E8E"/>
    <w:rsid w:val="00C729E7"/>
    <w:rsid w:val="00C72DBF"/>
    <w:rsid w:val="00C73D6B"/>
    <w:rsid w:val="00C74BEA"/>
    <w:rsid w:val="00C7523A"/>
    <w:rsid w:val="00C77608"/>
    <w:rsid w:val="00C8080C"/>
    <w:rsid w:val="00C81A11"/>
    <w:rsid w:val="00C847F9"/>
    <w:rsid w:val="00C85BE8"/>
    <w:rsid w:val="00C85E02"/>
    <w:rsid w:val="00C87969"/>
    <w:rsid w:val="00C87DE0"/>
    <w:rsid w:val="00C902A1"/>
    <w:rsid w:val="00C90E62"/>
    <w:rsid w:val="00C914D1"/>
    <w:rsid w:val="00C91BAF"/>
    <w:rsid w:val="00C91BE3"/>
    <w:rsid w:val="00C92110"/>
    <w:rsid w:val="00C93A01"/>
    <w:rsid w:val="00C93BFE"/>
    <w:rsid w:val="00C93D76"/>
    <w:rsid w:val="00C955E3"/>
    <w:rsid w:val="00C95623"/>
    <w:rsid w:val="00C961A4"/>
    <w:rsid w:val="00C969EA"/>
    <w:rsid w:val="00C9736D"/>
    <w:rsid w:val="00CA047F"/>
    <w:rsid w:val="00CA0BEC"/>
    <w:rsid w:val="00CA114A"/>
    <w:rsid w:val="00CA1557"/>
    <w:rsid w:val="00CA182D"/>
    <w:rsid w:val="00CA18E3"/>
    <w:rsid w:val="00CA29E9"/>
    <w:rsid w:val="00CA3487"/>
    <w:rsid w:val="00CA34E7"/>
    <w:rsid w:val="00CA3C70"/>
    <w:rsid w:val="00CA4DBA"/>
    <w:rsid w:val="00CA5183"/>
    <w:rsid w:val="00CA5BBB"/>
    <w:rsid w:val="00CB18C0"/>
    <w:rsid w:val="00CB24F8"/>
    <w:rsid w:val="00CB2773"/>
    <w:rsid w:val="00CB2A14"/>
    <w:rsid w:val="00CB46A3"/>
    <w:rsid w:val="00CB5E10"/>
    <w:rsid w:val="00CB6360"/>
    <w:rsid w:val="00CB68A5"/>
    <w:rsid w:val="00CB7612"/>
    <w:rsid w:val="00CC08D3"/>
    <w:rsid w:val="00CC2FF4"/>
    <w:rsid w:val="00CC4712"/>
    <w:rsid w:val="00CC57A7"/>
    <w:rsid w:val="00CC5E66"/>
    <w:rsid w:val="00CC6A58"/>
    <w:rsid w:val="00CC6AA5"/>
    <w:rsid w:val="00CC6FED"/>
    <w:rsid w:val="00CC7DB6"/>
    <w:rsid w:val="00CD072F"/>
    <w:rsid w:val="00CD11C6"/>
    <w:rsid w:val="00CD1394"/>
    <w:rsid w:val="00CD291B"/>
    <w:rsid w:val="00CD2E28"/>
    <w:rsid w:val="00CD4C47"/>
    <w:rsid w:val="00CD5A21"/>
    <w:rsid w:val="00CD5C2F"/>
    <w:rsid w:val="00CD65CC"/>
    <w:rsid w:val="00CD704E"/>
    <w:rsid w:val="00CD70A7"/>
    <w:rsid w:val="00CE007E"/>
    <w:rsid w:val="00CE0363"/>
    <w:rsid w:val="00CE2A19"/>
    <w:rsid w:val="00CE34C0"/>
    <w:rsid w:val="00CE3A14"/>
    <w:rsid w:val="00CE4497"/>
    <w:rsid w:val="00CE5284"/>
    <w:rsid w:val="00CE5596"/>
    <w:rsid w:val="00CE5FA4"/>
    <w:rsid w:val="00CE62CC"/>
    <w:rsid w:val="00CE62FD"/>
    <w:rsid w:val="00CE6D99"/>
    <w:rsid w:val="00CE7F2D"/>
    <w:rsid w:val="00CF1162"/>
    <w:rsid w:val="00CF245B"/>
    <w:rsid w:val="00CF27CA"/>
    <w:rsid w:val="00CF33B1"/>
    <w:rsid w:val="00CF3D8A"/>
    <w:rsid w:val="00CF4477"/>
    <w:rsid w:val="00CF4B98"/>
    <w:rsid w:val="00CF5C07"/>
    <w:rsid w:val="00CF5F15"/>
    <w:rsid w:val="00CF6609"/>
    <w:rsid w:val="00CF6765"/>
    <w:rsid w:val="00CF6CBC"/>
    <w:rsid w:val="00CF7518"/>
    <w:rsid w:val="00CF78D7"/>
    <w:rsid w:val="00D002F6"/>
    <w:rsid w:val="00D00D69"/>
    <w:rsid w:val="00D01364"/>
    <w:rsid w:val="00D019FB"/>
    <w:rsid w:val="00D02CB2"/>
    <w:rsid w:val="00D0320D"/>
    <w:rsid w:val="00D036A7"/>
    <w:rsid w:val="00D066B9"/>
    <w:rsid w:val="00D07176"/>
    <w:rsid w:val="00D07AE2"/>
    <w:rsid w:val="00D07DCD"/>
    <w:rsid w:val="00D11A59"/>
    <w:rsid w:val="00D11BCE"/>
    <w:rsid w:val="00D12C66"/>
    <w:rsid w:val="00D131DE"/>
    <w:rsid w:val="00D1350B"/>
    <w:rsid w:val="00D140B0"/>
    <w:rsid w:val="00D1471D"/>
    <w:rsid w:val="00D14EFB"/>
    <w:rsid w:val="00D16D75"/>
    <w:rsid w:val="00D200FA"/>
    <w:rsid w:val="00D22403"/>
    <w:rsid w:val="00D225D3"/>
    <w:rsid w:val="00D243E8"/>
    <w:rsid w:val="00D24A08"/>
    <w:rsid w:val="00D25BAC"/>
    <w:rsid w:val="00D27CCB"/>
    <w:rsid w:val="00D303B2"/>
    <w:rsid w:val="00D304D3"/>
    <w:rsid w:val="00D313FB"/>
    <w:rsid w:val="00D31798"/>
    <w:rsid w:val="00D31B24"/>
    <w:rsid w:val="00D32A46"/>
    <w:rsid w:val="00D34770"/>
    <w:rsid w:val="00D36661"/>
    <w:rsid w:val="00D4000A"/>
    <w:rsid w:val="00D409D2"/>
    <w:rsid w:val="00D43803"/>
    <w:rsid w:val="00D44766"/>
    <w:rsid w:val="00D44B4B"/>
    <w:rsid w:val="00D50013"/>
    <w:rsid w:val="00D5043A"/>
    <w:rsid w:val="00D505E3"/>
    <w:rsid w:val="00D50FD1"/>
    <w:rsid w:val="00D52377"/>
    <w:rsid w:val="00D53777"/>
    <w:rsid w:val="00D53D8F"/>
    <w:rsid w:val="00D54A31"/>
    <w:rsid w:val="00D55C20"/>
    <w:rsid w:val="00D56183"/>
    <w:rsid w:val="00D5769B"/>
    <w:rsid w:val="00D57C8A"/>
    <w:rsid w:val="00D603BD"/>
    <w:rsid w:val="00D60BCD"/>
    <w:rsid w:val="00D628BE"/>
    <w:rsid w:val="00D631C8"/>
    <w:rsid w:val="00D65F5F"/>
    <w:rsid w:val="00D667A5"/>
    <w:rsid w:val="00D66C7D"/>
    <w:rsid w:val="00D67983"/>
    <w:rsid w:val="00D67C6B"/>
    <w:rsid w:val="00D67C9E"/>
    <w:rsid w:val="00D7013F"/>
    <w:rsid w:val="00D71039"/>
    <w:rsid w:val="00D7249E"/>
    <w:rsid w:val="00D726BC"/>
    <w:rsid w:val="00D72857"/>
    <w:rsid w:val="00D7375A"/>
    <w:rsid w:val="00D7688C"/>
    <w:rsid w:val="00D77CCF"/>
    <w:rsid w:val="00D800FB"/>
    <w:rsid w:val="00D80157"/>
    <w:rsid w:val="00D81103"/>
    <w:rsid w:val="00D81380"/>
    <w:rsid w:val="00D81E84"/>
    <w:rsid w:val="00D8288F"/>
    <w:rsid w:val="00D84D56"/>
    <w:rsid w:val="00D855A1"/>
    <w:rsid w:val="00D864A0"/>
    <w:rsid w:val="00D868D1"/>
    <w:rsid w:val="00D86F0A"/>
    <w:rsid w:val="00D8722C"/>
    <w:rsid w:val="00D872A7"/>
    <w:rsid w:val="00D874E3"/>
    <w:rsid w:val="00D87AC2"/>
    <w:rsid w:val="00D91B34"/>
    <w:rsid w:val="00D929E8"/>
    <w:rsid w:val="00D939C3"/>
    <w:rsid w:val="00D93E07"/>
    <w:rsid w:val="00D94B66"/>
    <w:rsid w:val="00D95B4B"/>
    <w:rsid w:val="00D96BB8"/>
    <w:rsid w:val="00D973D1"/>
    <w:rsid w:val="00DA053E"/>
    <w:rsid w:val="00DA4A6E"/>
    <w:rsid w:val="00DA4BFF"/>
    <w:rsid w:val="00DA7924"/>
    <w:rsid w:val="00DB0964"/>
    <w:rsid w:val="00DB106E"/>
    <w:rsid w:val="00DB289F"/>
    <w:rsid w:val="00DB2C85"/>
    <w:rsid w:val="00DB3C6E"/>
    <w:rsid w:val="00DB4ABA"/>
    <w:rsid w:val="00DB52EC"/>
    <w:rsid w:val="00DB5EEA"/>
    <w:rsid w:val="00DC0235"/>
    <w:rsid w:val="00DC0F30"/>
    <w:rsid w:val="00DC2073"/>
    <w:rsid w:val="00DC2076"/>
    <w:rsid w:val="00DC2571"/>
    <w:rsid w:val="00DC295B"/>
    <w:rsid w:val="00DC2DC8"/>
    <w:rsid w:val="00DC3B61"/>
    <w:rsid w:val="00DC5506"/>
    <w:rsid w:val="00DC7E0C"/>
    <w:rsid w:val="00DD0885"/>
    <w:rsid w:val="00DD12E5"/>
    <w:rsid w:val="00DD3F79"/>
    <w:rsid w:val="00DD450C"/>
    <w:rsid w:val="00DD4B4C"/>
    <w:rsid w:val="00DD57E8"/>
    <w:rsid w:val="00DD6561"/>
    <w:rsid w:val="00DD664B"/>
    <w:rsid w:val="00DD7280"/>
    <w:rsid w:val="00DD7BE6"/>
    <w:rsid w:val="00DE10E8"/>
    <w:rsid w:val="00DE2D9D"/>
    <w:rsid w:val="00DE3B43"/>
    <w:rsid w:val="00DE3DC3"/>
    <w:rsid w:val="00DE6764"/>
    <w:rsid w:val="00DE71E3"/>
    <w:rsid w:val="00DE7BE5"/>
    <w:rsid w:val="00DF114F"/>
    <w:rsid w:val="00DF1699"/>
    <w:rsid w:val="00DF1DD8"/>
    <w:rsid w:val="00DF3008"/>
    <w:rsid w:val="00DF364A"/>
    <w:rsid w:val="00DF5A51"/>
    <w:rsid w:val="00DF5AC8"/>
    <w:rsid w:val="00DF5F94"/>
    <w:rsid w:val="00DF6E20"/>
    <w:rsid w:val="00DF7318"/>
    <w:rsid w:val="00DF7533"/>
    <w:rsid w:val="00DF7B6D"/>
    <w:rsid w:val="00DF7D00"/>
    <w:rsid w:val="00E016E6"/>
    <w:rsid w:val="00E01CBE"/>
    <w:rsid w:val="00E022D9"/>
    <w:rsid w:val="00E0287E"/>
    <w:rsid w:val="00E02EC0"/>
    <w:rsid w:val="00E03356"/>
    <w:rsid w:val="00E04262"/>
    <w:rsid w:val="00E04D3B"/>
    <w:rsid w:val="00E050E0"/>
    <w:rsid w:val="00E0646D"/>
    <w:rsid w:val="00E06526"/>
    <w:rsid w:val="00E105B8"/>
    <w:rsid w:val="00E10957"/>
    <w:rsid w:val="00E1137D"/>
    <w:rsid w:val="00E113B7"/>
    <w:rsid w:val="00E118E8"/>
    <w:rsid w:val="00E1204C"/>
    <w:rsid w:val="00E13EB0"/>
    <w:rsid w:val="00E140F8"/>
    <w:rsid w:val="00E15C3C"/>
    <w:rsid w:val="00E15F90"/>
    <w:rsid w:val="00E15FB2"/>
    <w:rsid w:val="00E16009"/>
    <w:rsid w:val="00E16A4A"/>
    <w:rsid w:val="00E170DA"/>
    <w:rsid w:val="00E20282"/>
    <w:rsid w:val="00E214A5"/>
    <w:rsid w:val="00E21BB5"/>
    <w:rsid w:val="00E22C04"/>
    <w:rsid w:val="00E23817"/>
    <w:rsid w:val="00E25E69"/>
    <w:rsid w:val="00E26760"/>
    <w:rsid w:val="00E2681D"/>
    <w:rsid w:val="00E2702C"/>
    <w:rsid w:val="00E27656"/>
    <w:rsid w:val="00E30DB2"/>
    <w:rsid w:val="00E311CF"/>
    <w:rsid w:val="00E31F8D"/>
    <w:rsid w:val="00E32306"/>
    <w:rsid w:val="00E35DBB"/>
    <w:rsid w:val="00E35E62"/>
    <w:rsid w:val="00E36AEA"/>
    <w:rsid w:val="00E374F0"/>
    <w:rsid w:val="00E415A5"/>
    <w:rsid w:val="00E426D3"/>
    <w:rsid w:val="00E43289"/>
    <w:rsid w:val="00E438CD"/>
    <w:rsid w:val="00E43FC1"/>
    <w:rsid w:val="00E44661"/>
    <w:rsid w:val="00E44FD6"/>
    <w:rsid w:val="00E45306"/>
    <w:rsid w:val="00E45642"/>
    <w:rsid w:val="00E4575E"/>
    <w:rsid w:val="00E4627E"/>
    <w:rsid w:val="00E46E7F"/>
    <w:rsid w:val="00E50764"/>
    <w:rsid w:val="00E51E1B"/>
    <w:rsid w:val="00E52681"/>
    <w:rsid w:val="00E52B9A"/>
    <w:rsid w:val="00E539B6"/>
    <w:rsid w:val="00E53A28"/>
    <w:rsid w:val="00E546A1"/>
    <w:rsid w:val="00E54858"/>
    <w:rsid w:val="00E54A74"/>
    <w:rsid w:val="00E54A8C"/>
    <w:rsid w:val="00E55461"/>
    <w:rsid w:val="00E55805"/>
    <w:rsid w:val="00E56FD7"/>
    <w:rsid w:val="00E57885"/>
    <w:rsid w:val="00E608E7"/>
    <w:rsid w:val="00E60AF9"/>
    <w:rsid w:val="00E6124E"/>
    <w:rsid w:val="00E62681"/>
    <w:rsid w:val="00E62C11"/>
    <w:rsid w:val="00E635AE"/>
    <w:rsid w:val="00E63AE5"/>
    <w:rsid w:val="00E63F13"/>
    <w:rsid w:val="00E66439"/>
    <w:rsid w:val="00E66F27"/>
    <w:rsid w:val="00E675FC"/>
    <w:rsid w:val="00E6792E"/>
    <w:rsid w:val="00E67BB2"/>
    <w:rsid w:val="00E67D9D"/>
    <w:rsid w:val="00E702B8"/>
    <w:rsid w:val="00E7184F"/>
    <w:rsid w:val="00E73FF8"/>
    <w:rsid w:val="00E74403"/>
    <w:rsid w:val="00E7489C"/>
    <w:rsid w:val="00E75FE4"/>
    <w:rsid w:val="00E764CB"/>
    <w:rsid w:val="00E7797A"/>
    <w:rsid w:val="00E779BA"/>
    <w:rsid w:val="00E81481"/>
    <w:rsid w:val="00E826B1"/>
    <w:rsid w:val="00E83505"/>
    <w:rsid w:val="00E8664E"/>
    <w:rsid w:val="00E86743"/>
    <w:rsid w:val="00E867F0"/>
    <w:rsid w:val="00E87117"/>
    <w:rsid w:val="00E87580"/>
    <w:rsid w:val="00E921C5"/>
    <w:rsid w:val="00E92927"/>
    <w:rsid w:val="00E929EB"/>
    <w:rsid w:val="00E92E7C"/>
    <w:rsid w:val="00E94596"/>
    <w:rsid w:val="00E947DC"/>
    <w:rsid w:val="00E951BE"/>
    <w:rsid w:val="00E96B54"/>
    <w:rsid w:val="00EA0B06"/>
    <w:rsid w:val="00EA2B53"/>
    <w:rsid w:val="00EA3E1E"/>
    <w:rsid w:val="00EA4397"/>
    <w:rsid w:val="00EA5202"/>
    <w:rsid w:val="00EB0D6B"/>
    <w:rsid w:val="00EB0FAE"/>
    <w:rsid w:val="00EB10A1"/>
    <w:rsid w:val="00EB114E"/>
    <w:rsid w:val="00EB1A37"/>
    <w:rsid w:val="00EB236B"/>
    <w:rsid w:val="00EB38E7"/>
    <w:rsid w:val="00EB3AB3"/>
    <w:rsid w:val="00EB62C9"/>
    <w:rsid w:val="00EB6331"/>
    <w:rsid w:val="00EB63A5"/>
    <w:rsid w:val="00EB695D"/>
    <w:rsid w:val="00EB73C7"/>
    <w:rsid w:val="00EC10BE"/>
    <w:rsid w:val="00EC1C89"/>
    <w:rsid w:val="00EC2495"/>
    <w:rsid w:val="00EC298D"/>
    <w:rsid w:val="00EC2AF3"/>
    <w:rsid w:val="00EC3930"/>
    <w:rsid w:val="00EC3DE3"/>
    <w:rsid w:val="00EC49D0"/>
    <w:rsid w:val="00EC74C7"/>
    <w:rsid w:val="00ED1E88"/>
    <w:rsid w:val="00ED279C"/>
    <w:rsid w:val="00ED2DA6"/>
    <w:rsid w:val="00ED4089"/>
    <w:rsid w:val="00ED41B3"/>
    <w:rsid w:val="00ED4906"/>
    <w:rsid w:val="00ED5A02"/>
    <w:rsid w:val="00ED5C83"/>
    <w:rsid w:val="00ED60C2"/>
    <w:rsid w:val="00ED6417"/>
    <w:rsid w:val="00ED65C1"/>
    <w:rsid w:val="00EE07BF"/>
    <w:rsid w:val="00EE0A5F"/>
    <w:rsid w:val="00EE16F7"/>
    <w:rsid w:val="00EE1D13"/>
    <w:rsid w:val="00EE1EE3"/>
    <w:rsid w:val="00EE1FA3"/>
    <w:rsid w:val="00EE2711"/>
    <w:rsid w:val="00EE2766"/>
    <w:rsid w:val="00EE2E7A"/>
    <w:rsid w:val="00EE3229"/>
    <w:rsid w:val="00EE3236"/>
    <w:rsid w:val="00EE3415"/>
    <w:rsid w:val="00EE524A"/>
    <w:rsid w:val="00EE541B"/>
    <w:rsid w:val="00EE69D4"/>
    <w:rsid w:val="00EF06E6"/>
    <w:rsid w:val="00EF130E"/>
    <w:rsid w:val="00EF1B1F"/>
    <w:rsid w:val="00EF1C78"/>
    <w:rsid w:val="00EF2FD0"/>
    <w:rsid w:val="00EF4191"/>
    <w:rsid w:val="00EF492B"/>
    <w:rsid w:val="00EF4DE4"/>
    <w:rsid w:val="00EF6A58"/>
    <w:rsid w:val="00EF6DB9"/>
    <w:rsid w:val="00EF7845"/>
    <w:rsid w:val="00F00439"/>
    <w:rsid w:val="00F00BB2"/>
    <w:rsid w:val="00F01306"/>
    <w:rsid w:val="00F025B0"/>
    <w:rsid w:val="00F02FD5"/>
    <w:rsid w:val="00F0376F"/>
    <w:rsid w:val="00F03C3B"/>
    <w:rsid w:val="00F04AD6"/>
    <w:rsid w:val="00F04F68"/>
    <w:rsid w:val="00F05699"/>
    <w:rsid w:val="00F073CA"/>
    <w:rsid w:val="00F10BCB"/>
    <w:rsid w:val="00F11AE5"/>
    <w:rsid w:val="00F138E8"/>
    <w:rsid w:val="00F13D79"/>
    <w:rsid w:val="00F14014"/>
    <w:rsid w:val="00F15A54"/>
    <w:rsid w:val="00F2003B"/>
    <w:rsid w:val="00F20C2C"/>
    <w:rsid w:val="00F20F1D"/>
    <w:rsid w:val="00F21873"/>
    <w:rsid w:val="00F22704"/>
    <w:rsid w:val="00F22A72"/>
    <w:rsid w:val="00F236B0"/>
    <w:rsid w:val="00F23751"/>
    <w:rsid w:val="00F252F0"/>
    <w:rsid w:val="00F25DCD"/>
    <w:rsid w:val="00F260A3"/>
    <w:rsid w:val="00F277C5"/>
    <w:rsid w:val="00F30141"/>
    <w:rsid w:val="00F312A5"/>
    <w:rsid w:val="00F319F6"/>
    <w:rsid w:val="00F347EC"/>
    <w:rsid w:val="00F35590"/>
    <w:rsid w:val="00F359BA"/>
    <w:rsid w:val="00F3622F"/>
    <w:rsid w:val="00F36769"/>
    <w:rsid w:val="00F36AB2"/>
    <w:rsid w:val="00F37418"/>
    <w:rsid w:val="00F374A0"/>
    <w:rsid w:val="00F37789"/>
    <w:rsid w:val="00F411DB"/>
    <w:rsid w:val="00F41C18"/>
    <w:rsid w:val="00F4267C"/>
    <w:rsid w:val="00F42B36"/>
    <w:rsid w:val="00F43500"/>
    <w:rsid w:val="00F4396D"/>
    <w:rsid w:val="00F43BAA"/>
    <w:rsid w:val="00F43CAB"/>
    <w:rsid w:val="00F447B3"/>
    <w:rsid w:val="00F44BB4"/>
    <w:rsid w:val="00F45C15"/>
    <w:rsid w:val="00F46D78"/>
    <w:rsid w:val="00F472F2"/>
    <w:rsid w:val="00F475A1"/>
    <w:rsid w:val="00F50992"/>
    <w:rsid w:val="00F512A6"/>
    <w:rsid w:val="00F52209"/>
    <w:rsid w:val="00F52B11"/>
    <w:rsid w:val="00F54106"/>
    <w:rsid w:val="00F5427E"/>
    <w:rsid w:val="00F54336"/>
    <w:rsid w:val="00F548CA"/>
    <w:rsid w:val="00F552FC"/>
    <w:rsid w:val="00F556FF"/>
    <w:rsid w:val="00F57118"/>
    <w:rsid w:val="00F576DB"/>
    <w:rsid w:val="00F60439"/>
    <w:rsid w:val="00F60981"/>
    <w:rsid w:val="00F60D4A"/>
    <w:rsid w:val="00F61AEC"/>
    <w:rsid w:val="00F61E4C"/>
    <w:rsid w:val="00F6249B"/>
    <w:rsid w:val="00F6298D"/>
    <w:rsid w:val="00F63C25"/>
    <w:rsid w:val="00F66785"/>
    <w:rsid w:val="00F667B2"/>
    <w:rsid w:val="00F67475"/>
    <w:rsid w:val="00F678BE"/>
    <w:rsid w:val="00F67E08"/>
    <w:rsid w:val="00F67F64"/>
    <w:rsid w:val="00F7018E"/>
    <w:rsid w:val="00F72AD2"/>
    <w:rsid w:val="00F7331D"/>
    <w:rsid w:val="00F736A5"/>
    <w:rsid w:val="00F74159"/>
    <w:rsid w:val="00F74513"/>
    <w:rsid w:val="00F76D00"/>
    <w:rsid w:val="00F80DD2"/>
    <w:rsid w:val="00F82139"/>
    <w:rsid w:val="00F8425C"/>
    <w:rsid w:val="00F845D7"/>
    <w:rsid w:val="00F850B0"/>
    <w:rsid w:val="00F8618F"/>
    <w:rsid w:val="00F87D5F"/>
    <w:rsid w:val="00F904F7"/>
    <w:rsid w:val="00F912BB"/>
    <w:rsid w:val="00F91FC3"/>
    <w:rsid w:val="00F9238D"/>
    <w:rsid w:val="00F92444"/>
    <w:rsid w:val="00F931EE"/>
    <w:rsid w:val="00F93D69"/>
    <w:rsid w:val="00F94418"/>
    <w:rsid w:val="00F94523"/>
    <w:rsid w:val="00F95F65"/>
    <w:rsid w:val="00F96FB9"/>
    <w:rsid w:val="00F97AD6"/>
    <w:rsid w:val="00F97C10"/>
    <w:rsid w:val="00FA0513"/>
    <w:rsid w:val="00FA0603"/>
    <w:rsid w:val="00FA065A"/>
    <w:rsid w:val="00FA0F96"/>
    <w:rsid w:val="00FA183F"/>
    <w:rsid w:val="00FA273A"/>
    <w:rsid w:val="00FA28D6"/>
    <w:rsid w:val="00FA319A"/>
    <w:rsid w:val="00FA353D"/>
    <w:rsid w:val="00FA3E06"/>
    <w:rsid w:val="00FA48BC"/>
    <w:rsid w:val="00FA4B98"/>
    <w:rsid w:val="00FA5C5C"/>
    <w:rsid w:val="00FA7248"/>
    <w:rsid w:val="00FA7FC4"/>
    <w:rsid w:val="00FB04C2"/>
    <w:rsid w:val="00FB04DE"/>
    <w:rsid w:val="00FB1898"/>
    <w:rsid w:val="00FB1C55"/>
    <w:rsid w:val="00FB407A"/>
    <w:rsid w:val="00FB4090"/>
    <w:rsid w:val="00FB48DC"/>
    <w:rsid w:val="00FB496B"/>
    <w:rsid w:val="00FB65D3"/>
    <w:rsid w:val="00FB6918"/>
    <w:rsid w:val="00FB6A3B"/>
    <w:rsid w:val="00FB7F13"/>
    <w:rsid w:val="00FC055C"/>
    <w:rsid w:val="00FC0E1C"/>
    <w:rsid w:val="00FC0E95"/>
    <w:rsid w:val="00FC2E31"/>
    <w:rsid w:val="00FC31D7"/>
    <w:rsid w:val="00FC3F7E"/>
    <w:rsid w:val="00FC4276"/>
    <w:rsid w:val="00FC45BD"/>
    <w:rsid w:val="00FC506C"/>
    <w:rsid w:val="00FC7633"/>
    <w:rsid w:val="00FC7E16"/>
    <w:rsid w:val="00FD22FD"/>
    <w:rsid w:val="00FD5F3B"/>
    <w:rsid w:val="00FD642F"/>
    <w:rsid w:val="00FD65D1"/>
    <w:rsid w:val="00FE0207"/>
    <w:rsid w:val="00FE0250"/>
    <w:rsid w:val="00FE0AEC"/>
    <w:rsid w:val="00FE1A46"/>
    <w:rsid w:val="00FE265E"/>
    <w:rsid w:val="00FE29B9"/>
    <w:rsid w:val="00FE3914"/>
    <w:rsid w:val="00FE39AE"/>
    <w:rsid w:val="00FE4564"/>
    <w:rsid w:val="00FE4D1E"/>
    <w:rsid w:val="00FE6163"/>
    <w:rsid w:val="00FE6A93"/>
    <w:rsid w:val="00FF058F"/>
    <w:rsid w:val="00FF0B80"/>
    <w:rsid w:val="00FF1F77"/>
    <w:rsid w:val="00FF2029"/>
    <w:rsid w:val="00FF3413"/>
    <w:rsid w:val="00FF4D1B"/>
    <w:rsid w:val="00FF5613"/>
    <w:rsid w:val="00FF58B7"/>
    <w:rsid w:val="00FF73BE"/>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BDE36"/>
  <w15:docId w15:val="{9CD2DB1E-13FB-4244-A886-63C79615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152"/>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A7152"/>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108B4"/>
    <w:pPr>
      <w:keepNext/>
      <w:keepLines/>
      <w:spacing w:before="280" w:after="24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C2491"/>
    <w:pPr>
      <w:keepNext/>
      <w:keepLines/>
      <w:spacing w:before="280" w:after="2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33"/>
    <w:pPr>
      <w:ind w:left="720"/>
      <w:contextualSpacing/>
    </w:pPr>
  </w:style>
  <w:style w:type="paragraph" w:styleId="FootnoteText">
    <w:name w:val="footnote text"/>
    <w:basedOn w:val="Normal"/>
    <w:link w:val="FootnoteTextChar"/>
    <w:uiPriority w:val="99"/>
    <w:unhideWhenUsed/>
    <w:rsid w:val="00317A51"/>
    <w:pPr>
      <w:spacing w:after="0" w:line="240" w:lineRule="auto"/>
    </w:pPr>
    <w:rPr>
      <w:sz w:val="20"/>
      <w:szCs w:val="20"/>
    </w:rPr>
  </w:style>
  <w:style w:type="character" w:customStyle="1" w:styleId="FootnoteTextChar">
    <w:name w:val="Footnote Text Char"/>
    <w:basedOn w:val="DefaultParagraphFont"/>
    <w:link w:val="FootnoteText"/>
    <w:uiPriority w:val="99"/>
    <w:rsid w:val="00317A51"/>
    <w:rPr>
      <w:sz w:val="20"/>
      <w:szCs w:val="20"/>
    </w:rPr>
  </w:style>
  <w:style w:type="character" w:styleId="FootnoteReference">
    <w:name w:val="footnote reference"/>
    <w:basedOn w:val="DefaultParagraphFont"/>
    <w:uiPriority w:val="99"/>
    <w:semiHidden/>
    <w:unhideWhenUsed/>
    <w:rsid w:val="00317A51"/>
    <w:rPr>
      <w:vertAlign w:val="superscript"/>
    </w:rPr>
  </w:style>
  <w:style w:type="character" w:styleId="CommentReference">
    <w:name w:val="annotation reference"/>
    <w:basedOn w:val="DefaultParagraphFont"/>
    <w:uiPriority w:val="99"/>
    <w:semiHidden/>
    <w:unhideWhenUsed/>
    <w:rsid w:val="004576D9"/>
    <w:rPr>
      <w:sz w:val="16"/>
      <w:szCs w:val="16"/>
    </w:rPr>
  </w:style>
  <w:style w:type="paragraph" w:styleId="CommentText">
    <w:name w:val="annotation text"/>
    <w:basedOn w:val="Normal"/>
    <w:link w:val="CommentTextChar"/>
    <w:uiPriority w:val="99"/>
    <w:semiHidden/>
    <w:unhideWhenUsed/>
    <w:rsid w:val="004576D9"/>
    <w:pPr>
      <w:spacing w:line="240" w:lineRule="auto"/>
    </w:pPr>
    <w:rPr>
      <w:sz w:val="20"/>
      <w:szCs w:val="20"/>
    </w:rPr>
  </w:style>
  <w:style w:type="character" w:customStyle="1" w:styleId="CommentTextChar">
    <w:name w:val="Comment Text Char"/>
    <w:basedOn w:val="DefaultParagraphFont"/>
    <w:link w:val="CommentText"/>
    <w:uiPriority w:val="99"/>
    <w:semiHidden/>
    <w:rsid w:val="004576D9"/>
    <w:rPr>
      <w:sz w:val="20"/>
      <w:szCs w:val="20"/>
    </w:rPr>
  </w:style>
  <w:style w:type="paragraph" w:styleId="CommentSubject">
    <w:name w:val="annotation subject"/>
    <w:basedOn w:val="CommentText"/>
    <w:next w:val="CommentText"/>
    <w:link w:val="CommentSubjectChar"/>
    <w:uiPriority w:val="99"/>
    <w:semiHidden/>
    <w:unhideWhenUsed/>
    <w:rsid w:val="004576D9"/>
    <w:rPr>
      <w:b/>
      <w:bCs/>
    </w:rPr>
  </w:style>
  <w:style w:type="character" w:customStyle="1" w:styleId="CommentSubjectChar">
    <w:name w:val="Comment Subject Char"/>
    <w:basedOn w:val="CommentTextChar"/>
    <w:link w:val="CommentSubject"/>
    <w:uiPriority w:val="99"/>
    <w:semiHidden/>
    <w:rsid w:val="004576D9"/>
    <w:rPr>
      <w:b/>
      <w:bCs/>
      <w:sz w:val="20"/>
      <w:szCs w:val="20"/>
    </w:rPr>
  </w:style>
  <w:style w:type="character" w:styleId="Hyperlink">
    <w:name w:val="Hyperlink"/>
    <w:basedOn w:val="DefaultParagraphFont"/>
    <w:uiPriority w:val="99"/>
    <w:unhideWhenUsed/>
    <w:rsid w:val="00894C73"/>
    <w:rPr>
      <w:color w:val="0000FF"/>
      <w:u w:val="single"/>
    </w:rPr>
  </w:style>
  <w:style w:type="character" w:styleId="UnresolvedMention">
    <w:name w:val="Unresolved Mention"/>
    <w:basedOn w:val="DefaultParagraphFont"/>
    <w:uiPriority w:val="99"/>
    <w:semiHidden/>
    <w:unhideWhenUsed/>
    <w:rsid w:val="00190354"/>
    <w:rPr>
      <w:color w:val="605E5C"/>
      <w:shd w:val="clear" w:color="auto" w:fill="E1DFDD"/>
    </w:rPr>
  </w:style>
  <w:style w:type="character" w:styleId="FollowedHyperlink">
    <w:name w:val="FollowedHyperlink"/>
    <w:basedOn w:val="DefaultParagraphFont"/>
    <w:uiPriority w:val="99"/>
    <w:semiHidden/>
    <w:unhideWhenUsed/>
    <w:rsid w:val="00383AA3"/>
    <w:rPr>
      <w:color w:val="954F72" w:themeColor="followedHyperlink"/>
      <w:u w:val="single"/>
    </w:rPr>
  </w:style>
  <w:style w:type="character" w:styleId="Emphasis">
    <w:name w:val="Emphasis"/>
    <w:basedOn w:val="DefaultParagraphFont"/>
    <w:uiPriority w:val="20"/>
    <w:qFormat/>
    <w:rsid w:val="00190573"/>
    <w:rPr>
      <w:i/>
      <w:iCs/>
    </w:rPr>
  </w:style>
  <w:style w:type="character" w:customStyle="1" w:styleId="cosearchterm">
    <w:name w:val="co_searchterm"/>
    <w:basedOn w:val="DefaultParagraphFont"/>
    <w:rsid w:val="00BE12F1"/>
  </w:style>
  <w:style w:type="character" w:customStyle="1" w:styleId="Heading1Char">
    <w:name w:val="Heading 1 Char"/>
    <w:basedOn w:val="DefaultParagraphFont"/>
    <w:link w:val="Heading1"/>
    <w:uiPriority w:val="9"/>
    <w:rsid w:val="003A7152"/>
    <w:rPr>
      <w:rFonts w:eastAsiaTheme="majorEastAsia" w:cstheme="majorBidi"/>
      <w:b/>
      <w:sz w:val="32"/>
      <w:szCs w:val="32"/>
    </w:rPr>
  </w:style>
  <w:style w:type="paragraph" w:styleId="TOCHeading">
    <w:name w:val="TOC Heading"/>
    <w:basedOn w:val="Heading1"/>
    <w:next w:val="Normal"/>
    <w:uiPriority w:val="39"/>
    <w:unhideWhenUsed/>
    <w:qFormat/>
    <w:rsid w:val="00811BAC"/>
    <w:pPr>
      <w:outlineLvl w:val="9"/>
    </w:pPr>
  </w:style>
  <w:style w:type="paragraph" w:styleId="Title">
    <w:name w:val="Title"/>
    <w:basedOn w:val="Normal"/>
    <w:next w:val="Normal"/>
    <w:link w:val="TitleChar"/>
    <w:uiPriority w:val="10"/>
    <w:qFormat/>
    <w:rsid w:val="00B00CC1"/>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00CC1"/>
    <w:rPr>
      <w:rFonts w:eastAsiaTheme="majorEastAsia" w:cstheme="majorBidi"/>
      <w:b/>
      <w:spacing w:val="-10"/>
      <w:kern w:val="28"/>
      <w:sz w:val="32"/>
      <w:szCs w:val="56"/>
    </w:rPr>
  </w:style>
  <w:style w:type="paragraph" w:customStyle="1" w:styleId="Title1">
    <w:name w:val="Title 1"/>
    <w:basedOn w:val="Title"/>
    <w:next w:val="Title"/>
    <w:link w:val="Title1Char"/>
    <w:qFormat/>
    <w:rsid w:val="00E6124E"/>
    <w:rPr>
      <w:lang w:val="en-GB"/>
    </w:rPr>
  </w:style>
  <w:style w:type="character" w:customStyle="1" w:styleId="Heading2Char">
    <w:name w:val="Heading 2 Char"/>
    <w:basedOn w:val="DefaultParagraphFont"/>
    <w:link w:val="Heading2"/>
    <w:uiPriority w:val="9"/>
    <w:rsid w:val="003A7152"/>
    <w:rPr>
      <w:rFonts w:eastAsiaTheme="majorEastAsia" w:cstheme="majorBidi"/>
      <w:b/>
      <w:sz w:val="28"/>
      <w:szCs w:val="26"/>
    </w:rPr>
  </w:style>
  <w:style w:type="character" w:customStyle="1" w:styleId="Title1Char">
    <w:name w:val="Title 1 Char"/>
    <w:basedOn w:val="TitleChar"/>
    <w:link w:val="Title1"/>
    <w:rsid w:val="00E6124E"/>
    <w:rPr>
      <w:rFonts w:eastAsiaTheme="majorEastAsia" w:cstheme="majorBidi"/>
      <w:b/>
      <w:spacing w:val="-10"/>
      <w:kern w:val="28"/>
      <w:sz w:val="32"/>
      <w:szCs w:val="56"/>
      <w:lang w:val="en-GB"/>
    </w:rPr>
  </w:style>
  <w:style w:type="character" w:customStyle="1" w:styleId="Heading3Char">
    <w:name w:val="Heading 3 Char"/>
    <w:basedOn w:val="DefaultParagraphFont"/>
    <w:link w:val="Heading3"/>
    <w:uiPriority w:val="9"/>
    <w:rsid w:val="004108B4"/>
    <w:rPr>
      <w:rFonts w:eastAsiaTheme="majorEastAsia" w:cstheme="majorBidi"/>
      <w:b/>
      <w:i/>
      <w:szCs w:val="24"/>
    </w:rPr>
  </w:style>
  <w:style w:type="paragraph" w:styleId="TOC1">
    <w:name w:val="toc 1"/>
    <w:basedOn w:val="Normal"/>
    <w:next w:val="Normal"/>
    <w:autoRedefine/>
    <w:uiPriority w:val="39"/>
    <w:unhideWhenUsed/>
    <w:rsid w:val="00E16009"/>
    <w:pPr>
      <w:spacing w:before="120" w:after="120"/>
    </w:pPr>
    <w:rPr>
      <w:rFonts w:cstheme="minorHAnsi"/>
      <w:b/>
      <w:bCs/>
      <w:caps/>
      <w:sz w:val="20"/>
      <w:szCs w:val="20"/>
    </w:rPr>
  </w:style>
  <w:style w:type="paragraph" w:styleId="TOC2">
    <w:name w:val="toc 2"/>
    <w:basedOn w:val="Normal"/>
    <w:next w:val="Normal"/>
    <w:autoRedefine/>
    <w:uiPriority w:val="39"/>
    <w:unhideWhenUsed/>
    <w:rsid w:val="00E16009"/>
    <w:pPr>
      <w:spacing w:after="0"/>
      <w:ind w:left="220"/>
    </w:pPr>
    <w:rPr>
      <w:rFonts w:cstheme="minorHAnsi"/>
      <w:smallCaps/>
      <w:sz w:val="20"/>
      <w:szCs w:val="20"/>
    </w:rPr>
  </w:style>
  <w:style w:type="paragraph" w:styleId="TOC3">
    <w:name w:val="toc 3"/>
    <w:basedOn w:val="Normal"/>
    <w:next w:val="Normal"/>
    <w:autoRedefine/>
    <w:uiPriority w:val="39"/>
    <w:unhideWhenUsed/>
    <w:rsid w:val="00E16009"/>
    <w:pPr>
      <w:spacing w:after="0"/>
      <w:ind w:left="440"/>
    </w:pPr>
    <w:rPr>
      <w:rFonts w:cstheme="minorHAnsi"/>
      <w:i/>
      <w:iCs/>
      <w:sz w:val="20"/>
      <w:szCs w:val="20"/>
    </w:rPr>
  </w:style>
  <w:style w:type="paragraph" w:styleId="TOC4">
    <w:name w:val="toc 4"/>
    <w:basedOn w:val="Normal"/>
    <w:next w:val="Normal"/>
    <w:autoRedefine/>
    <w:uiPriority w:val="39"/>
    <w:unhideWhenUsed/>
    <w:rsid w:val="00E16009"/>
    <w:pPr>
      <w:spacing w:after="0"/>
      <w:ind w:left="660"/>
    </w:pPr>
    <w:rPr>
      <w:rFonts w:cstheme="minorHAnsi"/>
      <w:sz w:val="18"/>
      <w:szCs w:val="18"/>
    </w:rPr>
  </w:style>
  <w:style w:type="paragraph" w:styleId="TOC5">
    <w:name w:val="toc 5"/>
    <w:basedOn w:val="Normal"/>
    <w:next w:val="Normal"/>
    <w:autoRedefine/>
    <w:uiPriority w:val="39"/>
    <w:unhideWhenUsed/>
    <w:rsid w:val="00E16009"/>
    <w:pPr>
      <w:spacing w:after="0"/>
      <w:ind w:left="880"/>
    </w:pPr>
    <w:rPr>
      <w:rFonts w:cstheme="minorHAnsi"/>
      <w:sz w:val="18"/>
      <w:szCs w:val="18"/>
    </w:rPr>
  </w:style>
  <w:style w:type="paragraph" w:styleId="TOC6">
    <w:name w:val="toc 6"/>
    <w:basedOn w:val="Normal"/>
    <w:next w:val="Normal"/>
    <w:autoRedefine/>
    <w:uiPriority w:val="39"/>
    <w:unhideWhenUsed/>
    <w:rsid w:val="00E16009"/>
    <w:pPr>
      <w:spacing w:after="0"/>
      <w:ind w:left="1100"/>
    </w:pPr>
    <w:rPr>
      <w:rFonts w:cstheme="minorHAnsi"/>
      <w:sz w:val="18"/>
      <w:szCs w:val="18"/>
    </w:rPr>
  </w:style>
  <w:style w:type="paragraph" w:styleId="TOC7">
    <w:name w:val="toc 7"/>
    <w:basedOn w:val="Normal"/>
    <w:next w:val="Normal"/>
    <w:autoRedefine/>
    <w:uiPriority w:val="39"/>
    <w:unhideWhenUsed/>
    <w:rsid w:val="00E16009"/>
    <w:pPr>
      <w:spacing w:after="0"/>
      <w:ind w:left="1320"/>
    </w:pPr>
    <w:rPr>
      <w:rFonts w:cstheme="minorHAnsi"/>
      <w:sz w:val="18"/>
      <w:szCs w:val="18"/>
    </w:rPr>
  </w:style>
  <w:style w:type="paragraph" w:styleId="TOC8">
    <w:name w:val="toc 8"/>
    <w:basedOn w:val="Normal"/>
    <w:next w:val="Normal"/>
    <w:autoRedefine/>
    <w:uiPriority w:val="39"/>
    <w:unhideWhenUsed/>
    <w:rsid w:val="00E16009"/>
    <w:pPr>
      <w:spacing w:after="0"/>
      <w:ind w:left="1540"/>
    </w:pPr>
    <w:rPr>
      <w:rFonts w:cstheme="minorHAnsi"/>
      <w:sz w:val="18"/>
      <w:szCs w:val="18"/>
    </w:rPr>
  </w:style>
  <w:style w:type="paragraph" w:styleId="TOC9">
    <w:name w:val="toc 9"/>
    <w:basedOn w:val="Normal"/>
    <w:next w:val="Normal"/>
    <w:autoRedefine/>
    <w:uiPriority w:val="39"/>
    <w:unhideWhenUsed/>
    <w:rsid w:val="00E16009"/>
    <w:pPr>
      <w:spacing w:after="0"/>
      <w:ind w:left="1760"/>
    </w:pPr>
    <w:rPr>
      <w:rFonts w:cstheme="minorHAnsi"/>
      <w:sz w:val="18"/>
      <w:szCs w:val="18"/>
    </w:rPr>
  </w:style>
  <w:style w:type="character" w:customStyle="1" w:styleId="Heading4Char">
    <w:name w:val="Heading 4 Char"/>
    <w:basedOn w:val="DefaultParagraphFont"/>
    <w:link w:val="Heading4"/>
    <w:uiPriority w:val="9"/>
    <w:rsid w:val="006C2491"/>
    <w:rPr>
      <w:rFonts w:eastAsiaTheme="majorEastAsia" w:cstheme="majorBidi"/>
      <w:i/>
      <w:iCs/>
    </w:rPr>
  </w:style>
  <w:style w:type="paragraph" w:styleId="Header">
    <w:name w:val="header"/>
    <w:basedOn w:val="Normal"/>
    <w:link w:val="HeaderChar"/>
    <w:uiPriority w:val="99"/>
    <w:unhideWhenUsed/>
    <w:rsid w:val="003F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4C"/>
  </w:style>
  <w:style w:type="paragraph" w:styleId="Footer">
    <w:name w:val="footer"/>
    <w:basedOn w:val="Normal"/>
    <w:link w:val="FooterChar"/>
    <w:uiPriority w:val="99"/>
    <w:unhideWhenUsed/>
    <w:rsid w:val="003F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4C"/>
  </w:style>
  <w:style w:type="paragraph" w:styleId="NormalWeb">
    <w:name w:val="Normal (Web)"/>
    <w:basedOn w:val="Normal"/>
    <w:uiPriority w:val="99"/>
    <w:semiHidden/>
    <w:unhideWhenUsed/>
    <w:rsid w:val="00E74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number"/>
    <w:basedOn w:val="DefaultParagraphFont"/>
    <w:rsid w:val="00E7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7686">
      <w:bodyDiv w:val="1"/>
      <w:marLeft w:val="0"/>
      <w:marRight w:val="0"/>
      <w:marTop w:val="0"/>
      <w:marBottom w:val="0"/>
      <w:divBdr>
        <w:top w:val="none" w:sz="0" w:space="0" w:color="auto"/>
        <w:left w:val="none" w:sz="0" w:space="0" w:color="auto"/>
        <w:bottom w:val="none" w:sz="0" w:space="0" w:color="auto"/>
        <w:right w:val="none" w:sz="0" w:space="0" w:color="auto"/>
      </w:divBdr>
    </w:div>
    <w:div w:id="1010253488">
      <w:bodyDiv w:val="1"/>
      <w:marLeft w:val="0"/>
      <w:marRight w:val="0"/>
      <w:marTop w:val="0"/>
      <w:marBottom w:val="0"/>
      <w:divBdr>
        <w:top w:val="none" w:sz="0" w:space="0" w:color="auto"/>
        <w:left w:val="none" w:sz="0" w:space="0" w:color="auto"/>
        <w:bottom w:val="none" w:sz="0" w:space="0" w:color="auto"/>
        <w:right w:val="none" w:sz="0" w:space="0" w:color="auto"/>
      </w:divBdr>
    </w:div>
    <w:div w:id="1209879464">
      <w:bodyDiv w:val="1"/>
      <w:marLeft w:val="0"/>
      <w:marRight w:val="0"/>
      <w:marTop w:val="0"/>
      <w:marBottom w:val="0"/>
      <w:divBdr>
        <w:top w:val="none" w:sz="0" w:space="0" w:color="auto"/>
        <w:left w:val="none" w:sz="0" w:space="0" w:color="auto"/>
        <w:bottom w:val="none" w:sz="0" w:space="0" w:color="auto"/>
        <w:right w:val="none" w:sz="0" w:space="0" w:color="auto"/>
      </w:divBdr>
    </w:div>
    <w:div w:id="1293176214">
      <w:bodyDiv w:val="1"/>
      <w:marLeft w:val="0"/>
      <w:marRight w:val="0"/>
      <w:marTop w:val="0"/>
      <w:marBottom w:val="0"/>
      <w:divBdr>
        <w:top w:val="none" w:sz="0" w:space="0" w:color="auto"/>
        <w:left w:val="none" w:sz="0" w:space="0" w:color="auto"/>
        <w:bottom w:val="none" w:sz="0" w:space="0" w:color="auto"/>
        <w:right w:val="none" w:sz="0" w:space="0" w:color="auto"/>
      </w:divBdr>
      <w:divsChild>
        <w:div w:id="1849830442">
          <w:marLeft w:val="0"/>
          <w:marRight w:val="0"/>
          <w:marTop w:val="0"/>
          <w:marBottom w:val="300"/>
          <w:divBdr>
            <w:top w:val="none" w:sz="0" w:space="0" w:color="auto"/>
            <w:left w:val="none" w:sz="0" w:space="0" w:color="auto"/>
            <w:bottom w:val="none" w:sz="0" w:space="0" w:color="auto"/>
            <w:right w:val="none" w:sz="0" w:space="0" w:color="auto"/>
          </w:divBdr>
          <w:divsChild>
            <w:div w:id="664474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1928975">
      <w:bodyDiv w:val="1"/>
      <w:marLeft w:val="0"/>
      <w:marRight w:val="0"/>
      <w:marTop w:val="0"/>
      <w:marBottom w:val="0"/>
      <w:divBdr>
        <w:top w:val="none" w:sz="0" w:space="0" w:color="auto"/>
        <w:left w:val="none" w:sz="0" w:space="0" w:color="auto"/>
        <w:bottom w:val="none" w:sz="0" w:space="0" w:color="auto"/>
        <w:right w:val="none" w:sz="0" w:space="0" w:color="auto"/>
      </w:divBdr>
      <w:divsChild>
        <w:div w:id="1257179782">
          <w:marLeft w:val="0"/>
          <w:marRight w:val="0"/>
          <w:marTop w:val="240"/>
          <w:marBottom w:val="0"/>
          <w:divBdr>
            <w:top w:val="none" w:sz="0" w:space="0" w:color="auto"/>
            <w:left w:val="none" w:sz="0" w:space="0" w:color="auto"/>
            <w:bottom w:val="none" w:sz="0" w:space="0" w:color="auto"/>
            <w:right w:val="none" w:sz="0" w:space="0" w:color="auto"/>
          </w:divBdr>
        </w:div>
        <w:div w:id="1305159078">
          <w:marLeft w:val="0"/>
          <w:marRight w:val="0"/>
          <w:marTop w:val="240"/>
          <w:marBottom w:val="0"/>
          <w:divBdr>
            <w:top w:val="none" w:sz="0" w:space="0" w:color="auto"/>
            <w:left w:val="none" w:sz="0" w:space="0" w:color="auto"/>
            <w:bottom w:val="none" w:sz="0" w:space="0" w:color="auto"/>
            <w:right w:val="none" w:sz="0" w:space="0" w:color="auto"/>
          </w:divBdr>
        </w:div>
      </w:divsChild>
    </w:div>
    <w:div w:id="174706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7F9C-EBD8-46F0-8E91-A29186F6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74</Pages>
  <Words>25248</Words>
  <Characters>143920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nielswesselceleanum@gmail.com</dc:creator>
  <cp:keywords/>
  <dc:description/>
  <cp:lastModifiedBy>nielswesselceleanum@gmail.com</cp:lastModifiedBy>
  <cp:revision>156</cp:revision>
  <dcterms:created xsi:type="dcterms:W3CDTF">2022-06-30T03:50:00Z</dcterms:created>
  <dcterms:modified xsi:type="dcterms:W3CDTF">2022-07-09T04:47:00Z</dcterms:modified>
</cp:coreProperties>
</file>