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1AAC96" w14:textId="69B70E1D" w:rsidR="00CD680E" w:rsidRPr="007F3C5D" w:rsidRDefault="005951FD" w:rsidP="00A14895">
      <w:pPr>
        <w:pStyle w:val="Title"/>
        <w:rPr>
          <w:sz w:val="40"/>
          <w:szCs w:val="40"/>
        </w:rPr>
      </w:pPr>
      <w:r w:rsidRPr="007F3C5D">
        <w:rPr>
          <w:noProof/>
          <w:lang w:eastAsia="nl-NL"/>
        </w:rPr>
        <w:drawing>
          <wp:anchor distT="0" distB="0" distL="114300" distR="114300" simplePos="0" relativeHeight="251659264" behindDoc="1" locked="0" layoutInCell="1" allowOverlap="1" wp14:anchorId="2EA54BF9" wp14:editId="4A2CDFDE">
            <wp:simplePos x="0" y="0"/>
            <wp:positionH relativeFrom="column">
              <wp:posOffset>-914400</wp:posOffset>
            </wp:positionH>
            <wp:positionV relativeFrom="page">
              <wp:posOffset>0</wp:posOffset>
            </wp:positionV>
            <wp:extent cx="3425825" cy="1347008"/>
            <wp:effectExtent l="0" t="0" r="0" b="0"/>
            <wp:wrapNone/>
            <wp:docPr id="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25825" cy="1347008"/>
                    </a:xfrm>
                    <a:prstGeom prst="rect">
                      <a:avLst/>
                    </a:prstGeom>
                  </pic:spPr>
                </pic:pic>
              </a:graphicData>
            </a:graphic>
            <wp14:sizeRelH relativeFrom="page">
              <wp14:pctWidth>0</wp14:pctWidth>
            </wp14:sizeRelH>
            <wp14:sizeRelV relativeFrom="page">
              <wp14:pctHeight>0</wp14:pctHeight>
            </wp14:sizeRelV>
          </wp:anchor>
        </w:drawing>
      </w:r>
    </w:p>
    <w:p w14:paraId="217400B6" w14:textId="2BEEB4C9" w:rsidR="004919BF" w:rsidRPr="0001641B" w:rsidRDefault="005951FD" w:rsidP="00A14895">
      <w:pPr>
        <w:pStyle w:val="Title"/>
        <w:rPr>
          <w:sz w:val="40"/>
          <w:szCs w:val="40"/>
        </w:rPr>
      </w:pPr>
      <w:r w:rsidRPr="00C166D3">
        <w:br/>
      </w:r>
      <w:r w:rsidR="004919BF" w:rsidRPr="0001641B">
        <w:rPr>
          <w:i/>
          <w:sz w:val="40"/>
          <w:szCs w:val="40"/>
        </w:rPr>
        <w:t>In vitro</w:t>
      </w:r>
      <w:r w:rsidR="004919BF" w:rsidRPr="0001641B">
        <w:rPr>
          <w:sz w:val="40"/>
          <w:szCs w:val="40"/>
        </w:rPr>
        <w:t xml:space="preserve"> neurotoxicity hazard characterization of </w:t>
      </w:r>
      <w:r w:rsidR="00C166D3" w:rsidRPr="0001641B">
        <w:rPr>
          <w:sz w:val="40"/>
          <w:szCs w:val="40"/>
        </w:rPr>
        <w:t>e</w:t>
      </w:r>
      <w:r w:rsidR="004919BF" w:rsidRPr="0001641B">
        <w:rPr>
          <w:sz w:val="40"/>
          <w:szCs w:val="40"/>
        </w:rPr>
        <w:t>xhaust</w:t>
      </w:r>
      <w:r w:rsidR="0001641B" w:rsidRPr="0001641B">
        <w:rPr>
          <w:sz w:val="40"/>
          <w:szCs w:val="40"/>
        </w:rPr>
        <w:t>–d</w:t>
      </w:r>
      <w:r w:rsidR="004919BF" w:rsidRPr="0001641B">
        <w:rPr>
          <w:sz w:val="40"/>
          <w:szCs w:val="40"/>
        </w:rPr>
        <w:t xml:space="preserve">erived particulate matter </w:t>
      </w:r>
      <w:r w:rsidR="00A76881" w:rsidRPr="0001641B">
        <w:rPr>
          <w:sz w:val="40"/>
          <w:szCs w:val="40"/>
        </w:rPr>
        <w:t>in rat</w:t>
      </w:r>
      <w:r w:rsidR="0011236D" w:rsidRPr="0001641B">
        <w:rPr>
          <w:sz w:val="40"/>
          <w:szCs w:val="40"/>
        </w:rPr>
        <w:t xml:space="preserve"> primary</w:t>
      </w:r>
      <w:r w:rsidR="00A76881" w:rsidRPr="0001641B">
        <w:rPr>
          <w:sz w:val="40"/>
          <w:szCs w:val="40"/>
        </w:rPr>
        <w:t xml:space="preserve"> cortical</w:t>
      </w:r>
      <w:r w:rsidR="0011236D" w:rsidRPr="0001641B">
        <w:rPr>
          <w:sz w:val="40"/>
          <w:szCs w:val="40"/>
        </w:rPr>
        <w:t xml:space="preserve"> cultures</w:t>
      </w:r>
      <w:r w:rsidR="00A76881" w:rsidRPr="0001641B">
        <w:rPr>
          <w:sz w:val="40"/>
          <w:szCs w:val="40"/>
        </w:rPr>
        <w:t xml:space="preserve"> </w:t>
      </w:r>
      <w:r w:rsidR="004919BF" w:rsidRPr="0001641B">
        <w:rPr>
          <w:sz w:val="40"/>
          <w:szCs w:val="40"/>
        </w:rPr>
        <w:t>using micro-electrode array recordings</w:t>
      </w:r>
    </w:p>
    <w:p w14:paraId="3D90D593" w14:textId="2D204597" w:rsidR="00CD680E" w:rsidRPr="007F3C5D" w:rsidRDefault="00CD680E" w:rsidP="006658F3">
      <w:pPr>
        <w:pStyle w:val="Subtitle"/>
        <w:spacing w:line="276" w:lineRule="auto"/>
        <w:ind w:firstLine="0"/>
      </w:pPr>
      <w:r w:rsidRPr="007F3C5D">
        <w:t xml:space="preserve">Master </w:t>
      </w:r>
      <w:r w:rsidR="00671C73" w:rsidRPr="007F3C5D">
        <w:t>Toxicology and Environmental Health</w:t>
      </w:r>
      <w:r w:rsidRPr="007F3C5D">
        <w:br/>
        <w:t>Major Research Project</w:t>
      </w:r>
    </w:p>
    <w:p w14:paraId="0439A47F" w14:textId="77777777" w:rsidR="002244CE" w:rsidRPr="007F3C5D" w:rsidRDefault="002244CE" w:rsidP="00A14895">
      <w:pPr>
        <w:spacing w:after="0"/>
        <w:ind w:firstLine="0"/>
        <w:rPr>
          <w:iCs/>
        </w:rPr>
      </w:pPr>
      <w:r w:rsidRPr="007F3C5D">
        <w:rPr>
          <w:iCs/>
        </w:rPr>
        <w:t>Dirk C.A. de Leijer</w:t>
      </w:r>
      <w:r w:rsidRPr="007F3C5D">
        <w:rPr>
          <w:iCs/>
          <w:vertAlign w:val="superscript"/>
        </w:rPr>
        <w:t>1</w:t>
      </w:r>
    </w:p>
    <w:p w14:paraId="37CE07FE" w14:textId="6D7F1AF3" w:rsidR="002244CE" w:rsidRPr="007F3C5D" w:rsidRDefault="002244CE" w:rsidP="00A14895">
      <w:pPr>
        <w:spacing w:after="0"/>
        <w:ind w:firstLine="0"/>
        <w:rPr>
          <w:iCs/>
        </w:rPr>
      </w:pPr>
      <w:r w:rsidRPr="007F3C5D">
        <w:rPr>
          <w:iCs/>
        </w:rPr>
        <w:t>Under supervision of Lora-Sophie Gerber</w:t>
      </w:r>
      <w:r w:rsidRPr="007F3C5D">
        <w:rPr>
          <w:iCs/>
          <w:vertAlign w:val="superscript"/>
        </w:rPr>
        <w:t>1</w:t>
      </w:r>
      <w:r w:rsidR="00A94E67" w:rsidRPr="007F3C5D">
        <w:rPr>
          <w:iCs/>
          <w:vertAlign w:val="superscript"/>
        </w:rPr>
        <w:t>,2</w:t>
      </w:r>
      <w:r w:rsidRPr="007F3C5D">
        <w:rPr>
          <w:iCs/>
        </w:rPr>
        <w:t>, Flemming R. Cassee</w:t>
      </w:r>
      <w:r w:rsidRPr="007F3C5D">
        <w:rPr>
          <w:iCs/>
          <w:vertAlign w:val="superscript"/>
        </w:rPr>
        <w:t>1,2</w:t>
      </w:r>
      <w:r w:rsidRPr="007F3C5D">
        <w:rPr>
          <w:iCs/>
        </w:rPr>
        <w:t>, Remco H.S. Westerink</w:t>
      </w:r>
      <w:r w:rsidRPr="007F3C5D">
        <w:rPr>
          <w:iCs/>
          <w:vertAlign w:val="superscript"/>
        </w:rPr>
        <w:t>1</w:t>
      </w:r>
    </w:p>
    <w:p w14:paraId="72F12724" w14:textId="77777777" w:rsidR="002244CE" w:rsidRPr="007F3C5D" w:rsidRDefault="002244CE" w:rsidP="00A14895">
      <w:pPr>
        <w:spacing w:after="0"/>
        <w:ind w:firstLine="0"/>
        <w:rPr>
          <w:i/>
        </w:rPr>
      </w:pPr>
      <w:r w:rsidRPr="007F3C5D">
        <w:rPr>
          <w:i/>
          <w:vertAlign w:val="superscript"/>
        </w:rPr>
        <w:t>1</w:t>
      </w:r>
      <w:r w:rsidRPr="007F3C5D">
        <w:rPr>
          <w:i/>
        </w:rPr>
        <w:t>Neurotoxicology Research Group, Toxicology Division, Institute for Risk Assessment Sciences (IRAS), Faculty of Veterinary Medicine, Utrecht University, Utrecht, The Netherlands</w:t>
      </w:r>
    </w:p>
    <w:p w14:paraId="28777B61" w14:textId="6BEBF22A" w:rsidR="002244CE" w:rsidRPr="007F3C5D" w:rsidRDefault="002244CE" w:rsidP="00A14895">
      <w:pPr>
        <w:spacing w:after="0"/>
        <w:ind w:firstLine="0"/>
        <w:rPr>
          <w:i/>
        </w:rPr>
      </w:pPr>
      <w:r w:rsidRPr="007F3C5D">
        <w:rPr>
          <w:i/>
          <w:vertAlign w:val="superscript"/>
        </w:rPr>
        <w:t>2</w:t>
      </w:r>
      <w:r w:rsidRPr="007F3C5D">
        <w:rPr>
          <w:i/>
        </w:rPr>
        <w:t xml:space="preserve">Centre for Sustainability, Environment and Health, National Institute for Public </w:t>
      </w:r>
      <w:proofErr w:type="gramStart"/>
      <w:r w:rsidRPr="007F3C5D">
        <w:rPr>
          <w:i/>
        </w:rPr>
        <w:t>Health</w:t>
      </w:r>
      <w:proofErr w:type="gramEnd"/>
      <w:r w:rsidRPr="007F3C5D">
        <w:rPr>
          <w:i/>
        </w:rPr>
        <w:t xml:space="preserve"> and the Environment, </w:t>
      </w:r>
      <w:proofErr w:type="spellStart"/>
      <w:r w:rsidRPr="007F3C5D">
        <w:rPr>
          <w:i/>
        </w:rPr>
        <w:t>Bilthoven</w:t>
      </w:r>
      <w:proofErr w:type="spellEnd"/>
      <w:r w:rsidRPr="007F3C5D">
        <w:rPr>
          <w:i/>
        </w:rPr>
        <w:t>, The Netherlands</w:t>
      </w:r>
    </w:p>
    <w:p w14:paraId="55B62640" w14:textId="77777777" w:rsidR="005C0663" w:rsidRPr="007F3C5D" w:rsidRDefault="005C0663" w:rsidP="00A14895">
      <w:pPr>
        <w:spacing w:after="0"/>
        <w:ind w:firstLine="0"/>
        <w:rPr>
          <w:i/>
        </w:rPr>
      </w:pPr>
    </w:p>
    <w:p w14:paraId="0938474E" w14:textId="77777777" w:rsidR="00A33BD3" w:rsidRDefault="00A33BD3" w:rsidP="00A14895">
      <w:pPr>
        <w:spacing w:after="0"/>
        <w:ind w:firstLine="0"/>
        <w:jc w:val="left"/>
        <w:rPr>
          <w:b/>
          <w:bCs/>
          <w:sz w:val="26"/>
          <w:szCs w:val="26"/>
        </w:rPr>
      </w:pPr>
      <w:bookmarkStart w:id="0" w:name="_Toc96600549"/>
      <w:bookmarkStart w:id="1" w:name="_Toc100781374"/>
      <w:r>
        <w:rPr>
          <w:b/>
          <w:bCs/>
          <w:sz w:val="26"/>
          <w:szCs w:val="26"/>
        </w:rPr>
        <w:br w:type="page"/>
      </w:r>
    </w:p>
    <w:p w14:paraId="14669030" w14:textId="2B2D7041" w:rsidR="004919BF" w:rsidRPr="00626959" w:rsidRDefault="004919BF" w:rsidP="00626959">
      <w:pPr>
        <w:ind w:firstLine="0"/>
        <w:rPr>
          <w:b/>
          <w:bCs/>
          <w:sz w:val="26"/>
          <w:szCs w:val="26"/>
        </w:rPr>
      </w:pPr>
      <w:r w:rsidRPr="00626959">
        <w:rPr>
          <w:b/>
          <w:bCs/>
          <w:sz w:val="26"/>
          <w:szCs w:val="26"/>
        </w:rPr>
        <w:lastRenderedPageBreak/>
        <w:t>Abstract</w:t>
      </w:r>
      <w:bookmarkEnd w:id="0"/>
      <w:bookmarkEnd w:id="1"/>
    </w:p>
    <w:p w14:paraId="4E8B8858" w14:textId="246CC81D" w:rsidR="00850C25" w:rsidRPr="007F3C5D" w:rsidRDefault="001A51A3" w:rsidP="00A14895">
      <w:pPr>
        <w:spacing w:after="0"/>
        <w:ind w:firstLine="0"/>
      </w:pPr>
      <w:r w:rsidRPr="007F3C5D">
        <w:t xml:space="preserve">Exposure to </w:t>
      </w:r>
      <w:r w:rsidR="00A94E67" w:rsidRPr="007F3C5D">
        <w:t xml:space="preserve">air pollution and </w:t>
      </w:r>
      <w:r w:rsidRPr="007F3C5D">
        <w:t xml:space="preserve">particulate matter (PM) </w:t>
      </w:r>
      <w:r w:rsidR="00A94E67" w:rsidRPr="007F3C5D">
        <w:t>is linked to</w:t>
      </w:r>
      <w:r w:rsidRPr="007F3C5D">
        <w:t xml:space="preserve"> adverse health effects</w:t>
      </w:r>
      <w:r w:rsidR="00A94E67" w:rsidRPr="007F3C5D">
        <w:t>,</w:t>
      </w:r>
      <w:r w:rsidRPr="007F3C5D">
        <w:t xml:space="preserve"> in</w:t>
      </w:r>
      <w:r w:rsidR="00A94E67" w:rsidRPr="007F3C5D">
        <w:t>cluding</w:t>
      </w:r>
      <w:r w:rsidRPr="007F3C5D">
        <w:t xml:space="preserve"> </w:t>
      </w:r>
      <w:r w:rsidR="00A94E67" w:rsidRPr="007F3C5D">
        <w:t>neurodegenerative diseases</w:t>
      </w:r>
      <w:r w:rsidRPr="007F3C5D">
        <w:t>.</w:t>
      </w:r>
      <w:bookmarkStart w:id="2" w:name="_Toc96600550"/>
      <w:bookmarkStart w:id="3" w:name="_Toc100781375"/>
      <w:r w:rsidRPr="007F3C5D">
        <w:t xml:space="preserve"> </w:t>
      </w:r>
      <w:r w:rsidR="00A94E67" w:rsidRPr="007F3C5D">
        <w:t>While underlying</w:t>
      </w:r>
      <w:r w:rsidRPr="007F3C5D">
        <w:t xml:space="preserve"> mechanisms are still unknown, </w:t>
      </w:r>
      <w:r w:rsidR="00A94E67" w:rsidRPr="007F3C5D">
        <w:t xml:space="preserve">epidemiological studies </w:t>
      </w:r>
      <w:r w:rsidR="00011E00">
        <w:t xml:space="preserve">have </w:t>
      </w:r>
      <w:r w:rsidR="00A94E67" w:rsidRPr="007F3C5D">
        <w:t>show</w:t>
      </w:r>
      <w:r w:rsidR="00011E00">
        <w:t>n</w:t>
      </w:r>
      <w:r w:rsidR="00A94E67" w:rsidRPr="007F3C5D">
        <w:t xml:space="preserve"> a strong correlation of these diseases with</w:t>
      </w:r>
      <w:r w:rsidRPr="007F3C5D">
        <w:t xml:space="preserve"> ultrafine particles (</w:t>
      </w:r>
      <w:r w:rsidR="00A94E67" w:rsidRPr="007F3C5D">
        <w:t xml:space="preserve">&lt; 100 nm; </w:t>
      </w:r>
      <w:r w:rsidRPr="007F3C5D">
        <w:t xml:space="preserve">UFP), </w:t>
      </w:r>
      <w:r w:rsidR="00A94E67" w:rsidRPr="007F3C5D">
        <w:t xml:space="preserve">which </w:t>
      </w:r>
      <w:r w:rsidR="00CD1681" w:rsidRPr="007F3C5D">
        <w:t xml:space="preserve">are </w:t>
      </w:r>
      <w:r w:rsidR="00A94E67" w:rsidRPr="007F3C5D">
        <w:t>mainly derive</w:t>
      </w:r>
      <w:r w:rsidR="00CD1681" w:rsidRPr="007F3C5D">
        <w:t>d</w:t>
      </w:r>
      <w:r w:rsidR="00A94E67" w:rsidRPr="007F3C5D">
        <w:t xml:space="preserve"> from traffic-related air pollution. Due to the small size, UFP </w:t>
      </w:r>
      <w:r w:rsidRPr="007F3C5D">
        <w:t>can</w:t>
      </w:r>
      <w:r w:rsidR="00AC1BA7">
        <w:t xml:space="preserve"> translocate </w:t>
      </w:r>
      <w:r w:rsidR="00AC0973">
        <w:t>to the brain through</w:t>
      </w:r>
      <w:r w:rsidR="00AC1BA7">
        <w:t xml:space="preserve"> the </w:t>
      </w:r>
      <w:r w:rsidR="00AC0973">
        <w:t>cardiovascular system</w:t>
      </w:r>
      <w:r w:rsidR="00AC1BA7">
        <w:t xml:space="preserve"> or </w:t>
      </w:r>
      <w:r w:rsidRPr="007F3C5D">
        <w:t xml:space="preserve">directly enter the brain </w:t>
      </w:r>
      <w:r w:rsidR="00AC0973">
        <w:t>through the olfactory route</w:t>
      </w:r>
      <w:r w:rsidRPr="007F3C5D">
        <w:t xml:space="preserve"> </w:t>
      </w:r>
      <w:r w:rsidR="00AC0973">
        <w:t xml:space="preserve">and </w:t>
      </w:r>
      <w:r w:rsidRPr="007F3C5D">
        <w:t xml:space="preserve">may negatively affect the central nervous system. </w:t>
      </w:r>
      <w:r w:rsidR="00CF6FC3" w:rsidRPr="007F3C5D">
        <w:t xml:space="preserve">The size distribution and chemical composition of traffic-related </w:t>
      </w:r>
      <w:r w:rsidR="00A94E67" w:rsidRPr="007F3C5D">
        <w:t>UFP</w:t>
      </w:r>
      <w:r w:rsidR="00CF6FC3" w:rsidRPr="007F3C5D">
        <w:t xml:space="preserve"> can vary substantially between different types of engines and fuels</w:t>
      </w:r>
      <w:r w:rsidR="00CB2AC0" w:rsidRPr="007F3C5D">
        <w:t xml:space="preserve">, </w:t>
      </w:r>
      <w:r w:rsidR="001059AD" w:rsidRPr="007F3C5D">
        <w:t>which in return potentially</w:t>
      </w:r>
      <w:r w:rsidR="00CB2AC0" w:rsidRPr="007F3C5D">
        <w:t xml:space="preserve"> alter</w:t>
      </w:r>
      <w:r w:rsidR="001059AD" w:rsidRPr="007F3C5D">
        <w:t>s</w:t>
      </w:r>
      <w:r w:rsidR="00CB2AC0" w:rsidRPr="007F3C5D">
        <w:t xml:space="preserve"> the neurotoxic </w:t>
      </w:r>
      <w:r w:rsidR="001059AD" w:rsidRPr="007F3C5D">
        <w:t xml:space="preserve">potency </w:t>
      </w:r>
      <w:r w:rsidR="00CB2AC0" w:rsidRPr="007F3C5D">
        <w:t xml:space="preserve">of </w:t>
      </w:r>
      <w:r w:rsidR="001059AD" w:rsidRPr="007F3C5D">
        <w:t xml:space="preserve">emitted </w:t>
      </w:r>
      <w:r w:rsidR="00CB2AC0" w:rsidRPr="007F3C5D">
        <w:t>PM</w:t>
      </w:r>
      <w:r w:rsidR="00CF6FC3" w:rsidRPr="007F3C5D">
        <w:t>.</w:t>
      </w:r>
      <w:r w:rsidR="00CB2AC0" w:rsidRPr="007F3C5D">
        <w:t xml:space="preserve"> </w:t>
      </w:r>
      <w:r w:rsidR="007F6F39" w:rsidRPr="007F3C5D">
        <w:t>Aiming to sh</w:t>
      </w:r>
      <w:r w:rsidR="00653360">
        <w:t>ed</w:t>
      </w:r>
      <w:r w:rsidR="007F6F39" w:rsidRPr="007F3C5D">
        <w:t xml:space="preserve"> light on the impact that different types of </w:t>
      </w:r>
      <w:proofErr w:type="gramStart"/>
      <w:r w:rsidR="007F6F39" w:rsidRPr="007F3C5D">
        <w:t>engine</w:t>
      </w:r>
      <w:proofErr w:type="gramEnd"/>
      <w:r w:rsidR="007F6F39" w:rsidRPr="007F3C5D">
        <w:t xml:space="preserve"> and fuel as well as UFP fractions have on the neurotoxic potency of traffic-related UFP, we screened several diesel exhaust-derived UFP and PM for their neurotoxic hazard.</w:t>
      </w:r>
    </w:p>
    <w:p w14:paraId="7ED00D5E" w14:textId="0538C81C" w:rsidR="00850C25" w:rsidRPr="007F3C5D" w:rsidRDefault="00850C25" w:rsidP="00A14895">
      <w:pPr>
        <w:spacing w:after="0"/>
        <w:ind w:firstLine="0"/>
      </w:pPr>
      <w:r w:rsidRPr="007F3C5D">
        <w:t xml:space="preserve">UFP test samples </w:t>
      </w:r>
      <w:proofErr w:type="gramStart"/>
      <w:r w:rsidRPr="007F3C5D">
        <w:t>where</w:t>
      </w:r>
      <w:proofErr w:type="gramEnd"/>
      <w:r w:rsidRPr="007F3C5D">
        <w:t xml:space="preserve"> generated by light and heavy duty diesel engines fueled with </w:t>
      </w:r>
      <w:r w:rsidR="000A600E" w:rsidRPr="007F3C5D">
        <w:t>high-</w:t>
      </w:r>
      <w:r w:rsidRPr="007F3C5D">
        <w:t xml:space="preserve"> or low-aromatic diesel and </w:t>
      </w:r>
      <w:r w:rsidR="0059130A" w:rsidRPr="007F3C5D">
        <w:t xml:space="preserve">the </w:t>
      </w:r>
      <w:r w:rsidRPr="007F3C5D">
        <w:t>non-volatile and semi-volatile UFP fractions were collected on Teflon filters. UFP samples were extracted and used for further neurotoxicity screening in rat primary cortical cell</w:t>
      </w:r>
      <w:r w:rsidR="0059130A" w:rsidRPr="007F3C5D">
        <w:t xml:space="preserve"> cultures</w:t>
      </w:r>
      <w:r w:rsidRPr="007F3C5D">
        <w:t xml:space="preserve"> grown on </w:t>
      </w:r>
      <w:r w:rsidR="0059130A" w:rsidRPr="007F3C5D">
        <w:t xml:space="preserve">multi-well </w:t>
      </w:r>
      <w:r w:rsidRPr="007F3C5D">
        <w:t>microelectrode array</w:t>
      </w:r>
      <w:r w:rsidR="0059130A" w:rsidRPr="007F3C5D">
        <w:t>s</w:t>
      </w:r>
      <w:r w:rsidR="0001641B">
        <w:t xml:space="preserve"> (MEA)</w:t>
      </w:r>
      <w:r w:rsidRPr="007F3C5D">
        <w:t xml:space="preserve">. </w:t>
      </w:r>
      <w:r w:rsidR="004D43F3" w:rsidRPr="007F3C5D">
        <w:t xml:space="preserve">To do so, </w:t>
      </w:r>
      <w:r w:rsidRPr="007F3C5D">
        <w:t xml:space="preserve">spontaneous </w:t>
      </w:r>
      <w:r w:rsidR="004D43F3" w:rsidRPr="007F3C5D">
        <w:t xml:space="preserve">neuronal network activity was </w:t>
      </w:r>
      <w:r w:rsidRPr="007F3C5D">
        <w:t xml:space="preserve">determined before and </w:t>
      </w:r>
      <w:r w:rsidR="00653360">
        <w:t>up to 120 h</w:t>
      </w:r>
      <w:r w:rsidRPr="007F3C5D">
        <w:t xml:space="preserve"> </w:t>
      </w:r>
      <w:r w:rsidR="00653360">
        <w:t>during</w:t>
      </w:r>
      <w:r w:rsidRPr="007F3C5D">
        <w:t xml:space="preserve"> UFP exposure</w:t>
      </w:r>
      <w:r w:rsidR="00637996" w:rsidRPr="007F3C5D">
        <w:t xml:space="preserve"> </w:t>
      </w:r>
      <w:r w:rsidRPr="007F3C5D">
        <w:t>(1-100 µg/mL and 1-20 L/mL)</w:t>
      </w:r>
      <w:r w:rsidR="00637996" w:rsidRPr="007F3C5D">
        <w:t>.</w:t>
      </w:r>
      <w:r w:rsidR="00BA736B" w:rsidRPr="007F3C5D">
        <w:t xml:space="preserve"> </w:t>
      </w:r>
      <w:r w:rsidRPr="007F3C5D">
        <w:t xml:space="preserve">Additionally, cell viability was assessed after the final MEA recording to </w:t>
      </w:r>
      <w:r w:rsidR="0059130A" w:rsidRPr="007F3C5D">
        <w:t>distinguish</w:t>
      </w:r>
      <w:r w:rsidRPr="007F3C5D">
        <w:t xml:space="preserve"> between specific neurotoxic effects and general cytotoxicity.</w:t>
      </w:r>
    </w:p>
    <w:p w14:paraId="6A3EA11E" w14:textId="0EE98439" w:rsidR="008A49B7" w:rsidRPr="007F3C5D" w:rsidRDefault="00BA736B" w:rsidP="00A14895">
      <w:pPr>
        <w:spacing w:after="0"/>
        <w:ind w:firstLine="0"/>
      </w:pPr>
      <w:r w:rsidRPr="007F3C5D">
        <w:t>Exposure to diesel and biodiesel exhaust-derived PM decreased neuronal activity</w:t>
      </w:r>
      <w:r w:rsidR="00850C25" w:rsidRPr="007F3C5D">
        <w:t xml:space="preserve"> </w:t>
      </w:r>
      <w:r w:rsidR="007A69DB" w:rsidRPr="007F3C5D">
        <w:t>dose</w:t>
      </w:r>
      <w:r w:rsidR="00850C25" w:rsidRPr="007F3C5D">
        <w:t>-dependent without affecting cell viability</w:t>
      </w:r>
      <w:r w:rsidR="00C03225" w:rsidRPr="007F3C5D">
        <w:t>. H</w:t>
      </w:r>
      <w:r w:rsidR="00850C25" w:rsidRPr="007F3C5D">
        <w:t>owever,</w:t>
      </w:r>
      <w:r w:rsidRPr="007F3C5D">
        <w:t xml:space="preserve"> diesel exhaust-derived PM </w:t>
      </w:r>
      <w:r w:rsidR="00850C25" w:rsidRPr="007F3C5D">
        <w:t xml:space="preserve">was </w:t>
      </w:r>
      <w:r w:rsidR="00C03225" w:rsidRPr="007F3C5D">
        <w:t xml:space="preserve">evidently </w:t>
      </w:r>
      <w:r w:rsidRPr="007F3C5D">
        <w:t>more</w:t>
      </w:r>
      <w:r w:rsidR="00850C25" w:rsidRPr="007F3C5D">
        <w:t xml:space="preserve"> potent</w:t>
      </w:r>
      <w:r w:rsidRPr="007F3C5D">
        <w:t xml:space="preserve">. </w:t>
      </w:r>
      <w:r w:rsidR="00850C25" w:rsidRPr="007F3C5D">
        <w:t>Semi-volatile</w:t>
      </w:r>
      <w:r w:rsidR="0001641B">
        <w:t xml:space="preserve"> organic compounds (SVOC)</w:t>
      </w:r>
      <w:r w:rsidR="00850C25" w:rsidRPr="007F3C5D">
        <w:t xml:space="preserve"> </w:t>
      </w:r>
      <w:r w:rsidRPr="007F3C5D">
        <w:t xml:space="preserve">UFP </w:t>
      </w:r>
      <w:r w:rsidR="00850C25" w:rsidRPr="007F3C5D">
        <w:t xml:space="preserve">originating </w:t>
      </w:r>
      <w:r w:rsidR="00061E39" w:rsidRPr="007F3C5D">
        <w:t xml:space="preserve">from </w:t>
      </w:r>
      <w:r w:rsidR="00850C25" w:rsidRPr="007F3C5D">
        <w:t>high-aromatic</w:t>
      </w:r>
      <w:r w:rsidR="008A49B7" w:rsidRPr="007F3C5D">
        <w:t xml:space="preserve"> (A20) and low-aromatic (A0)</w:t>
      </w:r>
      <w:r w:rsidR="00140316" w:rsidRPr="007F3C5D">
        <w:t xml:space="preserve"> </w:t>
      </w:r>
      <w:r w:rsidR="008A49B7" w:rsidRPr="007F3C5D">
        <w:t>diesel</w:t>
      </w:r>
      <w:r w:rsidR="00061E39" w:rsidRPr="007F3C5D">
        <w:t xml:space="preserve"> fuel </w:t>
      </w:r>
      <w:r w:rsidRPr="007F3C5D">
        <w:t xml:space="preserve">decreased the </w:t>
      </w:r>
      <w:r w:rsidR="00061E39" w:rsidRPr="007F3C5D">
        <w:t xml:space="preserve">neuronal activity, although </w:t>
      </w:r>
      <w:r w:rsidR="008A49B7" w:rsidRPr="007F3C5D">
        <w:t xml:space="preserve">higher doses also </w:t>
      </w:r>
      <w:r w:rsidR="00061E39" w:rsidRPr="007F3C5D">
        <w:t xml:space="preserve">exhibiting cytotoxicity. </w:t>
      </w:r>
      <w:r w:rsidR="008A49B7" w:rsidRPr="007F3C5D">
        <w:t>Interestin</w:t>
      </w:r>
      <w:r w:rsidR="00140316" w:rsidRPr="007F3C5D">
        <w:t>g</w:t>
      </w:r>
      <w:r w:rsidR="008A49B7" w:rsidRPr="007F3C5D">
        <w:t xml:space="preserve">ly, the </w:t>
      </w:r>
      <w:r w:rsidR="00061E39" w:rsidRPr="007F3C5D">
        <w:t xml:space="preserve">non-volatile </w:t>
      </w:r>
      <w:r w:rsidR="008A49B7" w:rsidRPr="007F3C5D">
        <w:t xml:space="preserve">UFP </w:t>
      </w:r>
      <w:r w:rsidR="00061E39" w:rsidRPr="007F3C5D">
        <w:t>fraction o</w:t>
      </w:r>
      <w:r w:rsidR="00873124" w:rsidRPr="007F3C5D">
        <w:t>f</w:t>
      </w:r>
      <w:r w:rsidR="00061E39" w:rsidRPr="007F3C5D">
        <w:t xml:space="preserve"> A0 and A20 diesel fuel did not </w:t>
      </w:r>
      <w:r w:rsidR="008A49B7" w:rsidRPr="007F3C5D">
        <w:t>affect</w:t>
      </w:r>
      <w:r w:rsidR="00061E39" w:rsidRPr="007F3C5D">
        <w:t xml:space="preserve"> neuronal activity and cytotoxicity</w:t>
      </w:r>
      <w:r w:rsidR="00140316" w:rsidRPr="007F3C5D">
        <w:t>,</w:t>
      </w:r>
      <w:r w:rsidR="008A49B7" w:rsidRPr="007F3C5D">
        <w:t xml:space="preserve"> indicating that the SVOC exhibit</w:t>
      </w:r>
      <w:r w:rsidR="00EE0F3D" w:rsidRPr="007F3C5D">
        <w:t>ed</w:t>
      </w:r>
      <w:r w:rsidR="008A49B7" w:rsidRPr="007F3C5D">
        <w:t xml:space="preserve"> </w:t>
      </w:r>
      <w:r w:rsidR="00EE0F3D" w:rsidRPr="007F3C5D">
        <w:t xml:space="preserve">considerably </w:t>
      </w:r>
      <w:r w:rsidR="008A49B7" w:rsidRPr="007F3C5D">
        <w:t>higher neurotoxic potency than non-volatile UFP</w:t>
      </w:r>
      <w:r w:rsidR="00061E39" w:rsidRPr="007F3C5D">
        <w:t xml:space="preserve">. </w:t>
      </w:r>
    </w:p>
    <w:p w14:paraId="5123CD62" w14:textId="67E8009A" w:rsidR="00A33BD3" w:rsidRDefault="00EE0F3D" w:rsidP="00A14895">
      <w:pPr>
        <w:ind w:firstLine="0"/>
      </w:pPr>
      <w:r w:rsidRPr="007F3C5D">
        <w:t xml:space="preserve">In the presented work, we demonstrated that diesel engine </w:t>
      </w:r>
      <w:proofErr w:type="gramStart"/>
      <w:r w:rsidRPr="007F3C5D">
        <w:t>exhaust-derived</w:t>
      </w:r>
      <w:proofErr w:type="gramEnd"/>
      <w:r w:rsidRPr="007F3C5D">
        <w:t xml:space="preserve"> UFP exhibit neurotoxic hazard, but also that the potency is dependent on sample generation conditions. </w:t>
      </w:r>
      <w:r w:rsidR="00770C71" w:rsidRPr="007F3C5D">
        <w:t>Concluding</w:t>
      </w:r>
      <w:r w:rsidRPr="007F3C5D">
        <w:t xml:space="preserve">, our data suggest </w:t>
      </w:r>
      <w:r w:rsidR="00011E00">
        <w:t xml:space="preserve">that </w:t>
      </w:r>
      <w:r w:rsidRPr="007F3C5D">
        <w:t>more emphasis should be placed on the emission of the SVOC fraction</w:t>
      </w:r>
      <w:r w:rsidR="006B6028" w:rsidRPr="007F3C5D">
        <w:t>,</w:t>
      </w:r>
      <w:r w:rsidRPr="007F3C5D">
        <w:t xml:space="preserve"> which represent a </w:t>
      </w:r>
      <w:r w:rsidR="00653360">
        <w:t>larger</w:t>
      </w:r>
      <w:r w:rsidRPr="007F3C5D">
        <w:t xml:space="preserve"> hazard for brain health </w:t>
      </w:r>
      <w:r w:rsidR="00011E00">
        <w:t>compared to</w:t>
      </w:r>
      <w:r w:rsidR="00011E00" w:rsidRPr="007F3C5D">
        <w:t xml:space="preserve"> </w:t>
      </w:r>
      <w:r w:rsidR="00770C71" w:rsidRPr="007F3C5D">
        <w:t xml:space="preserve">the </w:t>
      </w:r>
      <w:r w:rsidRPr="007F3C5D">
        <w:t>non-volatile fraction</w:t>
      </w:r>
      <w:r w:rsidR="00011E00">
        <w:t>.</w:t>
      </w:r>
      <w:r w:rsidR="006B6028" w:rsidRPr="007F3C5D">
        <w:t xml:space="preserve"> </w:t>
      </w:r>
    </w:p>
    <w:p w14:paraId="226209C8" w14:textId="77777777" w:rsidR="00A33BD3" w:rsidRDefault="00A33BD3" w:rsidP="00A14895">
      <w:pPr>
        <w:spacing w:after="0"/>
        <w:ind w:firstLine="0"/>
        <w:jc w:val="left"/>
      </w:pPr>
      <w:r>
        <w:br w:type="page"/>
      </w:r>
    </w:p>
    <w:p w14:paraId="61202111" w14:textId="658B0C41" w:rsidR="004919BF" w:rsidRPr="00626959" w:rsidRDefault="004919BF" w:rsidP="00626959">
      <w:pPr>
        <w:ind w:firstLine="0"/>
        <w:rPr>
          <w:b/>
          <w:bCs/>
          <w:sz w:val="26"/>
          <w:szCs w:val="26"/>
        </w:rPr>
      </w:pPr>
      <w:r w:rsidRPr="00626959">
        <w:rPr>
          <w:b/>
          <w:bCs/>
          <w:sz w:val="26"/>
          <w:szCs w:val="26"/>
        </w:rPr>
        <w:lastRenderedPageBreak/>
        <w:t>Layman summary</w:t>
      </w:r>
      <w:bookmarkEnd w:id="2"/>
      <w:bookmarkEnd w:id="3"/>
    </w:p>
    <w:p w14:paraId="012372F1" w14:textId="6E158B2B" w:rsidR="00653360" w:rsidRPr="003D0652" w:rsidRDefault="000B5D9B" w:rsidP="00A14895">
      <w:pPr>
        <w:ind w:firstLine="0"/>
      </w:pPr>
      <w:proofErr w:type="gramStart"/>
      <w:r>
        <w:t>Coming in contact with</w:t>
      </w:r>
      <w:proofErr w:type="gramEnd"/>
      <w:r>
        <w:t xml:space="preserve"> traffic </w:t>
      </w:r>
      <w:r w:rsidR="005D5230" w:rsidRPr="007F3C5D">
        <w:t xml:space="preserve">is inescapable, specifically in the many urban areas our world has to offer. </w:t>
      </w:r>
      <w:r w:rsidRPr="007F3C5D">
        <w:t>In the car to work, on the sidewalk to the store and on the bicycle across town</w:t>
      </w:r>
      <w:r>
        <w:t xml:space="preserve">, </w:t>
      </w:r>
      <w:r w:rsidR="005D554D">
        <w:t>people</w:t>
      </w:r>
      <w:r>
        <w:t xml:space="preserve"> breathe in air polluted with traffic exhaust every day. This exhaust consists of many components, </w:t>
      </w:r>
      <w:r w:rsidR="00300371">
        <w:t xml:space="preserve">including </w:t>
      </w:r>
      <w:r w:rsidR="00C660DA">
        <w:t>particulate matter</w:t>
      </w:r>
      <w:r w:rsidR="005D554D">
        <w:t xml:space="preserve"> (PM)</w:t>
      </w:r>
      <w:r>
        <w:t>.</w:t>
      </w:r>
      <w:r w:rsidR="00C660DA">
        <w:t xml:space="preserve"> </w:t>
      </w:r>
      <w:r w:rsidR="00300371">
        <w:t xml:space="preserve">PM </w:t>
      </w:r>
      <w:r w:rsidR="00C660DA">
        <w:t xml:space="preserve">consist of mostly solid particles, with chemicals attached to them. </w:t>
      </w:r>
      <w:r w:rsidR="00081E65">
        <w:t xml:space="preserve">They can be harmful to your lungs and enter the bloodstream from there. Moreover, the smallest particles, called ultrafine particles (UFP), </w:t>
      </w:r>
      <w:r w:rsidR="00081E65" w:rsidRPr="007F3C5D">
        <w:t xml:space="preserve">can enter the brain directly via translocation the olfactory epithelial which is also </w:t>
      </w:r>
      <w:proofErr w:type="spellStart"/>
      <w:r w:rsidR="00081E65" w:rsidRPr="007F3C5D">
        <w:t>know</w:t>
      </w:r>
      <w:proofErr w:type="spellEnd"/>
      <w:r w:rsidR="00081E65" w:rsidRPr="007F3C5D">
        <w:t xml:space="preserve"> as the window into the brain.</w:t>
      </w:r>
      <w:r w:rsidR="00081E65">
        <w:t xml:space="preserve"> Therefore</w:t>
      </w:r>
      <w:r w:rsidR="0014012A" w:rsidRPr="007F3C5D">
        <w:t>, it is important to</w:t>
      </w:r>
      <w:r w:rsidR="00D73EEA" w:rsidRPr="007F3C5D">
        <w:t xml:space="preserve"> investigate whether engine </w:t>
      </w:r>
      <w:proofErr w:type="gramStart"/>
      <w:r w:rsidR="00D73EEA" w:rsidRPr="007F3C5D">
        <w:t>exhaust-derived</w:t>
      </w:r>
      <w:proofErr w:type="gramEnd"/>
      <w:r w:rsidR="00D73EEA" w:rsidRPr="007F3C5D">
        <w:t xml:space="preserve"> UFP</w:t>
      </w:r>
      <w:r w:rsidR="0014012A" w:rsidRPr="007F3C5D">
        <w:t xml:space="preserve"> </w:t>
      </w:r>
      <w:r w:rsidR="00D73EEA" w:rsidRPr="007F3C5D">
        <w:t>adversely affect the brain and its function</w:t>
      </w:r>
      <w:r w:rsidR="00081E65">
        <w:t xml:space="preserve">. If so, it is also important to investigate </w:t>
      </w:r>
      <w:r w:rsidR="00D73EEA" w:rsidRPr="007F3C5D">
        <w:t xml:space="preserve">which UFP exhibit the highest hazard and need to be reduced in our environment. </w:t>
      </w:r>
      <w:r w:rsidR="001E1D5E" w:rsidRPr="007F3C5D">
        <w:t>With this</w:t>
      </w:r>
      <w:r w:rsidR="00D73EEA" w:rsidRPr="007F3C5D">
        <w:t xml:space="preserve"> aim</w:t>
      </w:r>
      <w:r w:rsidR="001E1D5E" w:rsidRPr="007F3C5D">
        <w:t xml:space="preserve"> in mind</w:t>
      </w:r>
      <w:r w:rsidR="00A07218" w:rsidRPr="007F3C5D">
        <w:t xml:space="preserve">, we examined different sorts of </w:t>
      </w:r>
      <w:r w:rsidR="00BE7C74">
        <w:t>UFP</w:t>
      </w:r>
      <w:r w:rsidR="00A07218" w:rsidRPr="007F3C5D">
        <w:t xml:space="preserve"> and </w:t>
      </w:r>
      <w:r w:rsidR="004B0EF9" w:rsidRPr="007F3C5D">
        <w:t>their</w:t>
      </w:r>
      <w:r w:rsidR="00A07218" w:rsidRPr="007F3C5D">
        <w:t xml:space="preserve"> effect on brain activity of rat brain cells </w:t>
      </w:r>
      <w:r w:rsidR="008F19E5">
        <w:t>grown on a</w:t>
      </w:r>
      <w:r w:rsidR="00A07218" w:rsidRPr="007F3C5D">
        <w:t xml:space="preserve"> </w:t>
      </w:r>
      <w:r w:rsidR="004B0EF9" w:rsidRPr="007F3C5D">
        <w:t>machine</w:t>
      </w:r>
      <w:r w:rsidR="00A07218" w:rsidRPr="007F3C5D">
        <w:t xml:space="preserve"> called the microelectrode array</w:t>
      </w:r>
      <w:r w:rsidR="00AB5D69">
        <w:t xml:space="preserve"> (MEA)</w:t>
      </w:r>
      <w:r w:rsidR="00A07218" w:rsidRPr="007F3C5D">
        <w:t>.</w:t>
      </w:r>
      <w:r w:rsidR="00AB5D69">
        <w:t xml:space="preserve"> </w:t>
      </w:r>
      <w:r w:rsidR="00AB29EA" w:rsidRPr="008F19E5">
        <w:t>These cells develop spontaneous activity over</w:t>
      </w:r>
      <w:r w:rsidR="00AB29EA">
        <w:t xml:space="preserve"> time which can be measured as electrical activity outside of the cells by the microelectrodes. The activity was recorded </w:t>
      </w:r>
      <w:r w:rsidR="00531202">
        <w:t>during</w:t>
      </w:r>
      <w:r w:rsidR="00AB29EA">
        <w:t xml:space="preserve"> exposure</w:t>
      </w:r>
      <w:r w:rsidR="00531202">
        <w:t xml:space="preserve"> up to 5 days</w:t>
      </w:r>
      <w:r w:rsidR="00AB29EA">
        <w:t xml:space="preserve"> and compared to the activity before exposure to identify any differences in activity caused by </w:t>
      </w:r>
      <w:r w:rsidR="003D0652">
        <w:t>the different samples</w:t>
      </w:r>
      <w:r w:rsidR="00AB29EA">
        <w:t xml:space="preserve">. </w:t>
      </w:r>
      <w:r w:rsidR="004B0EF9" w:rsidRPr="007F3C5D">
        <w:t xml:space="preserve">Decreasing the brain activity would mean that </w:t>
      </w:r>
      <w:proofErr w:type="spellStart"/>
      <w:r w:rsidR="004B0EF9" w:rsidRPr="007F3C5D">
        <w:t>somewere</w:t>
      </w:r>
      <w:proofErr w:type="spellEnd"/>
      <w:r w:rsidR="004B0EF9" w:rsidRPr="007F3C5D">
        <w:t xml:space="preserve"> in these </w:t>
      </w:r>
      <w:proofErr w:type="gramStart"/>
      <w:r w:rsidR="004B0EF9" w:rsidRPr="007F3C5D">
        <w:t>brains</w:t>
      </w:r>
      <w:proofErr w:type="gramEnd"/>
      <w:r w:rsidR="004B0EF9" w:rsidRPr="007F3C5D">
        <w:t xml:space="preserve"> cells, the particles disrupt a process and cause harm to the brain. We investigated the difference between the exhaust particles from diesel and biodiesel fuel</w:t>
      </w:r>
      <w:r w:rsidR="009F4439" w:rsidRPr="007F3C5D">
        <w:t xml:space="preserve"> </w:t>
      </w:r>
      <w:r w:rsidR="001D5934" w:rsidRPr="007F3C5D">
        <w:t xml:space="preserve">and differences within fuel itself, among others. From this, we concluded that both diesel and biodiesel exhaust particles lowered brain activity, but that biodiesel was less harmful. Moreover, the fraction of the exhaust that is thought to be more harmful in general, the </w:t>
      </w:r>
      <w:proofErr w:type="spellStart"/>
      <w:r w:rsidR="001D5934" w:rsidRPr="007F3C5D">
        <w:t>semivotalic</w:t>
      </w:r>
      <w:proofErr w:type="spellEnd"/>
      <w:r w:rsidR="001D5934" w:rsidRPr="007F3C5D">
        <w:t xml:space="preserve"> organic compounds, also decreased brain activity more than other fractions. Therefore, we </w:t>
      </w:r>
      <w:r w:rsidR="008F19E5">
        <w:t>concluded t</w:t>
      </w:r>
      <w:r w:rsidR="009F4439" w:rsidRPr="007F3C5D">
        <w:t xml:space="preserve">hat more attention should be paid to the use of biodiesel and lowering the </w:t>
      </w:r>
      <w:proofErr w:type="spellStart"/>
      <w:r w:rsidR="009F4439" w:rsidRPr="007F3C5D">
        <w:t>semivotalic</w:t>
      </w:r>
      <w:proofErr w:type="spellEnd"/>
      <w:r w:rsidR="009F4439" w:rsidRPr="007F3C5D">
        <w:t xml:space="preserve"> organic compounds in engine exhaust to reduce the risk on brain damage and human health overall.</w:t>
      </w:r>
      <w:bookmarkStart w:id="4" w:name="_Toc100781376"/>
    </w:p>
    <w:p w14:paraId="1E27BD29" w14:textId="77777777" w:rsidR="001F3A90" w:rsidRDefault="001F3A90" w:rsidP="00A14895">
      <w:pPr>
        <w:spacing w:after="0"/>
        <w:ind w:firstLine="0"/>
        <w:jc w:val="left"/>
        <w:rPr>
          <w:rFonts w:eastAsiaTheme="minorHAnsi" w:cstheme="minorBidi"/>
          <w:b/>
          <w:bCs/>
          <w:color w:val="2F5496" w:themeColor="accent1" w:themeShade="BF"/>
          <w:kern w:val="2"/>
          <w:lang w:eastAsia="ja-JP"/>
        </w:rPr>
      </w:pPr>
      <w:r>
        <w:rPr>
          <w:rFonts w:eastAsiaTheme="minorHAnsi" w:cstheme="minorBidi"/>
          <w:kern w:val="2"/>
          <w:lang w:eastAsia="ja-JP"/>
        </w:rPr>
        <w:br w:type="page"/>
      </w:r>
    </w:p>
    <w:sdt>
      <w:sdtPr>
        <w:rPr>
          <w:rFonts w:ascii="Cambria" w:eastAsiaTheme="minorHAnsi" w:hAnsi="Cambria" w:cstheme="minorBidi"/>
          <w:kern w:val="2"/>
          <w:sz w:val="22"/>
          <w:szCs w:val="22"/>
          <w:lang w:eastAsia="ja-JP"/>
        </w:rPr>
        <w:id w:val="122890271"/>
        <w:docPartObj>
          <w:docPartGallery w:val="Table of Contents"/>
          <w:docPartUnique/>
        </w:docPartObj>
      </w:sdtPr>
      <w:sdtEndPr>
        <w:rPr>
          <w:rFonts w:eastAsiaTheme="majorEastAsia" w:cstheme="minorHAnsi"/>
          <w:i/>
          <w:iCs/>
          <w:kern w:val="0"/>
          <w:sz w:val="20"/>
          <w:szCs w:val="20"/>
          <w:lang w:eastAsia="en-US"/>
        </w:rPr>
      </w:sdtEndPr>
      <w:sdtContent>
        <w:p w14:paraId="1150C1D7" w14:textId="77777777" w:rsidR="005B469E" w:rsidRDefault="00756E54" w:rsidP="00A14895">
          <w:pPr>
            <w:pStyle w:val="TOCHeading"/>
            <w:spacing w:line="276" w:lineRule="auto"/>
            <w:rPr>
              <w:noProof/>
            </w:rPr>
          </w:pPr>
          <w:r w:rsidRPr="007F3C5D">
            <w:rPr>
              <w:rFonts w:ascii="Cambria" w:hAnsi="Cambria" w:cs="Times New Roman (Headings CS)"/>
              <w:caps/>
              <w:color w:val="auto"/>
            </w:rPr>
            <w:t>Table of Contents</w:t>
          </w:r>
          <w:r w:rsidR="000A6197" w:rsidRPr="007F3C5D">
            <w:rPr>
              <w:rFonts w:ascii="Cambria" w:hAnsi="Cambria" w:cs="Times New Roman (Headings CS)"/>
              <w:caps/>
            </w:rPr>
            <w:fldChar w:fldCharType="begin"/>
          </w:r>
          <w:r w:rsidR="000A6197" w:rsidRPr="002B5C9A">
            <w:rPr>
              <w:rFonts w:ascii="Cambria" w:hAnsi="Cambria" w:cs="Times New Roman (Headings CS)"/>
              <w:caps/>
            </w:rPr>
            <w:instrText xml:space="preserve"> TOC \o "1-3" \h \z \u </w:instrText>
          </w:r>
          <w:r w:rsidR="000A6197" w:rsidRPr="007F3C5D">
            <w:rPr>
              <w:rFonts w:ascii="Cambria" w:hAnsi="Cambria" w:cs="Times New Roman (Headings CS)"/>
              <w:caps/>
            </w:rPr>
            <w:fldChar w:fldCharType="separate"/>
          </w:r>
        </w:p>
        <w:p w14:paraId="62291431" w14:textId="0E959246" w:rsidR="005B469E" w:rsidRDefault="001D3650">
          <w:pPr>
            <w:pStyle w:val="TOC1"/>
            <w:rPr>
              <w:rFonts w:asciiTheme="minorHAnsi" w:hAnsiTheme="minorHAnsi" w:cstheme="minorBidi"/>
              <w:b w:val="0"/>
              <w:bCs w:val="0"/>
              <w:caps w:val="0"/>
              <w:noProof/>
              <w:sz w:val="24"/>
              <w:szCs w:val="24"/>
              <w:lang w:val="en-NL" w:eastAsia="en-GB"/>
            </w:rPr>
          </w:pPr>
          <w:hyperlink w:anchor="_Toc101374922" w:history="1">
            <w:r w:rsidR="005B469E" w:rsidRPr="008F130B">
              <w:rPr>
                <w:rStyle w:val="Hyperlink"/>
                <w:noProof/>
              </w:rPr>
              <w:t>Introduction</w:t>
            </w:r>
            <w:r w:rsidR="005B469E">
              <w:rPr>
                <w:noProof/>
                <w:webHidden/>
              </w:rPr>
              <w:tab/>
            </w:r>
            <w:r w:rsidR="005B469E">
              <w:rPr>
                <w:noProof/>
                <w:webHidden/>
              </w:rPr>
              <w:fldChar w:fldCharType="begin"/>
            </w:r>
            <w:r w:rsidR="005B469E">
              <w:rPr>
                <w:noProof/>
                <w:webHidden/>
              </w:rPr>
              <w:instrText xml:space="preserve"> PAGEREF _Toc101374922 \h </w:instrText>
            </w:r>
            <w:r w:rsidR="005B469E">
              <w:rPr>
                <w:noProof/>
                <w:webHidden/>
              </w:rPr>
            </w:r>
            <w:r w:rsidR="005B469E">
              <w:rPr>
                <w:noProof/>
                <w:webHidden/>
              </w:rPr>
              <w:fldChar w:fldCharType="separate"/>
            </w:r>
            <w:r w:rsidR="000C59BB">
              <w:rPr>
                <w:noProof/>
                <w:webHidden/>
              </w:rPr>
              <w:t>1</w:t>
            </w:r>
            <w:r w:rsidR="005B469E">
              <w:rPr>
                <w:noProof/>
                <w:webHidden/>
              </w:rPr>
              <w:fldChar w:fldCharType="end"/>
            </w:r>
          </w:hyperlink>
        </w:p>
        <w:p w14:paraId="5CF899C1" w14:textId="00E7346E" w:rsidR="005B469E" w:rsidRDefault="001D3650">
          <w:pPr>
            <w:pStyle w:val="TOC1"/>
            <w:rPr>
              <w:rFonts w:asciiTheme="minorHAnsi" w:hAnsiTheme="minorHAnsi" w:cstheme="minorBidi"/>
              <w:b w:val="0"/>
              <w:bCs w:val="0"/>
              <w:caps w:val="0"/>
              <w:noProof/>
              <w:sz w:val="24"/>
              <w:szCs w:val="24"/>
              <w:lang w:val="en-NL" w:eastAsia="en-GB"/>
            </w:rPr>
          </w:pPr>
          <w:hyperlink w:anchor="_Toc101374923" w:history="1">
            <w:r w:rsidR="005B469E" w:rsidRPr="008F130B">
              <w:rPr>
                <w:rStyle w:val="Hyperlink"/>
                <w:noProof/>
              </w:rPr>
              <w:t>Materials &amp; methods</w:t>
            </w:r>
            <w:r w:rsidR="005B469E">
              <w:rPr>
                <w:noProof/>
                <w:webHidden/>
              </w:rPr>
              <w:tab/>
            </w:r>
            <w:r w:rsidR="005B469E">
              <w:rPr>
                <w:noProof/>
                <w:webHidden/>
              </w:rPr>
              <w:fldChar w:fldCharType="begin"/>
            </w:r>
            <w:r w:rsidR="005B469E">
              <w:rPr>
                <w:noProof/>
                <w:webHidden/>
              </w:rPr>
              <w:instrText xml:space="preserve"> PAGEREF _Toc101374923 \h </w:instrText>
            </w:r>
            <w:r w:rsidR="005B469E">
              <w:rPr>
                <w:noProof/>
                <w:webHidden/>
              </w:rPr>
            </w:r>
            <w:r w:rsidR="005B469E">
              <w:rPr>
                <w:noProof/>
                <w:webHidden/>
              </w:rPr>
              <w:fldChar w:fldCharType="separate"/>
            </w:r>
            <w:r w:rsidR="000C59BB">
              <w:rPr>
                <w:noProof/>
                <w:webHidden/>
              </w:rPr>
              <w:t>5</w:t>
            </w:r>
            <w:r w:rsidR="005B469E">
              <w:rPr>
                <w:noProof/>
                <w:webHidden/>
              </w:rPr>
              <w:fldChar w:fldCharType="end"/>
            </w:r>
          </w:hyperlink>
        </w:p>
        <w:p w14:paraId="482F67EA" w14:textId="5B69432C" w:rsidR="005B469E" w:rsidRDefault="001D3650">
          <w:pPr>
            <w:pStyle w:val="TOC2"/>
            <w:rPr>
              <w:rFonts w:asciiTheme="minorHAnsi" w:hAnsiTheme="minorHAnsi" w:cstheme="minorBidi"/>
              <w:noProof/>
              <w:sz w:val="24"/>
              <w:szCs w:val="24"/>
              <w:lang w:val="en-NL" w:eastAsia="en-GB"/>
            </w:rPr>
          </w:pPr>
          <w:hyperlink w:anchor="_Toc101374924" w:history="1">
            <w:r w:rsidR="005B469E" w:rsidRPr="008F130B">
              <w:rPr>
                <w:rStyle w:val="Hyperlink"/>
                <w:noProof/>
              </w:rPr>
              <w:t>Chemicals</w:t>
            </w:r>
            <w:r w:rsidR="005B469E">
              <w:rPr>
                <w:noProof/>
                <w:webHidden/>
              </w:rPr>
              <w:tab/>
            </w:r>
            <w:r w:rsidR="005B469E">
              <w:rPr>
                <w:noProof/>
                <w:webHidden/>
              </w:rPr>
              <w:fldChar w:fldCharType="begin"/>
            </w:r>
            <w:r w:rsidR="005B469E">
              <w:rPr>
                <w:noProof/>
                <w:webHidden/>
              </w:rPr>
              <w:instrText xml:space="preserve"> PAGEREF _Toc101374924 \h </w:instrText>
            </w:r>
            <w:r w:rsidR="005B469E">
              <w:rPr>
                <w:noProof/>
                <w:webHidden/>
              </w:rPr>
            </w:r>
            <w:r w:rsidR="005B469E">
              <w:rPr>
                <w:noProof/>
                <w:webHidden/>
              </w:rPr>
              <w:fldChar w:fldCharType="separate"/>
            </w:r>
            <w:r w:rsidR="000C59BB">
              <w:rPr>
                <w:noProof/>
                <w:webHidden/>
              </w:rPr>
              <w:t>5</w:t>
            </w:r>
            <w:r w:rsidR="005B469E">
              <w:rPr>
                <w:noProof/>
                <w:webHidden/>
              </w:rPr>
              <w:fldChar w:fldCharType="end"/>
            </w:r>
          </w:hyperlink>
        </w:p>
        <w:p w14:paraId="5DB25DF0" w14:textId="091391E6" w:rsidR="005B469E" w:rsidRDefault="001D3650">
          <w:pPr>
            <w:pStyle w:val="TOC2"/>
            <w:rPr>
              <w:rFonts w:asciiTheme="minorHAnsi" w:hAnsiTheme="minorHAnsi" w:cstheme="minorBidi"/>
              <w:noProof/>
              <w:sz w:val="24"/>
              <w:szCs w:val="24"/>
              <w:lang w:val="en-NL" w:eastAsia="en-GB"/>
            </w:rPr>
          </w:pPr>
          <w:hyperlink w:anchor="_Toc101374925" w:history="1">
            <w:r w:rsidR="005B469E" w:rsidRPr="008F130B">
              <w:rPr>
                <w:rStyle w:val="Hyperlink"/>
                <w:noProof/>
              </w:rPr>
              <w:t>Test samples and reconstruction</w:t>
            </w:r>
            <w:r w:rsidR="005B469E">
              <w:rPr>
                <w:noProof/>
                <w:webHidden/>
              </w:rPr>
              <w:tab/>
            </w:r>
            <w:r w:rsidR="005B469E">
              <w:rPr>
                <w:noProof/>
                <w:webHidden/>
              </w:rPr>
              <w:fldChar w:fldCharType="begin"/>
            </w:r>
            <w:r w:rsidR="005B469E">
              <w:rPr>
                <w:noProof/>
                <w:webHidden/>
              </w:rPr>
              <w:instrText xml:space="preserve"> PAGEREF _Toc101374925 \h </w:instrText>
            </w:r>
            <w:r w:rsidR="005B469E">
              <w:rPr>
                <w:noProof/>
                <w:webHidden/>
              </w:rPr>
            </w:r>
            <w:r w:rsidR="005B469E">
              <w:rPr>
                <w:noProof/>
                <w:webHidden/>
              </w:rPr>
              <w:fldChar w:fldCharType="separate"/>
            </w:r>
            <w:r w:rsidR="000C59BB">
              <w:rPr>
                <w:noProof/>
                <w:webHidden/>
              </w:rPr>
              <w:t>5</w:t>
            </w:r>
            <w:r w:rsidR="005B469E">
              <w:rPr>
                <w:noProof/>
                <w:webHidden/>
              </w:rPr>
              <w:fldChar w:fldCharType="end"/>
            </w:r>
          </w:hyperlink>
        </w:p>
        <w:p w14:paraId="1ECAA98A" w14:textId="611496B1" w:rsidR="005B469E" w:rsidRDefault="001D3650">
          <w:pPr>
            <w:pStyle w:val="TOC2"/>
            <w:rPr>
              <w:rFonts w:asciiTheme="minorHAnsi" w:hAnsiTheme="minorHAnsi" w:cstheme="minorBidi"/>
              <w:noProof/>
              <w:sz w:val="24"/>
              <w:szCs w:val="24"/>
              <w:lang w:val="en-NL" w:eastAsia="en-GB"/>
            </w:rPr>
          </w:pPr>
          <w:hyperlink w:anchor="_Toc101374926" w:history="1">
            <w:r w:rsidR="005B469E" w:rsidRPr="008F130B">
              <w:rPr>
                <w:rStyle w:val="Hyperlink"/>
                <w:noProof/>
              </w:rPr>
              <w:t>Cell cultures</w:t>
            </w:r>
            <w:r w:rsidR="005B469E">
              <w:rPr>
                <w:noProof/>
                <w:webHidden/>
              </w:rPr>
              <w:tab/>
            </w:r>
            <w:r w:rsidR="005B469E">
              <w:rPr>
                <w:noProof/>
                <w:webHidden/>
              </w:rPr>
              <w:fldChar w:fldCharType="begin"/>
            </w:r>
            <w:r w:rsidR="005B469E">
              <w:rPr>
                <w:noProof/>
                <w:webHidden/>
              </w:rPr>
              <w:instrText xml:space="preserve"> PAGEREF _Toc101374926 \h </w:instrText>
            </w:r>
            <w:r w:rsidR="005B469E">
              <w:rPr>
                <w:noProof/>
                <w:webHidden/>
              </w:rPr>
            </w:r>
            <w:r w:rsidR="005B469E">
              <w:rPr>
                <w:noProof/>
                <w:webHidden/>
              </w:rPr>
              <w:fldChar w:fldCharType="separate"/>
            </w:r>
            <w:r w:rsidR="000C59BB">
              <w:rPr>
                <w:noProof/>
                <w:webHidden/>
              </w:rPr>
              <w:t>6</w:t>
            </w:r>
            <w:r w:rsidR="005B469E">
              <w:rPr>
                <w:noProof/>
                <w:webHidden/>
              </w:rPr>
              <w:fldChar w:fldCharType="end"/>
            </w:r>
          </w:hyperlink>
        </w:p>
        <w:p w14:paraId="5FD6D571" w14:textId="5A1857FE" w:rsidR="005B469E" w:rsidRDefault="001D3650">
          <w:pPr>
            <w:pStyle w:val="TOC2"/>
            <w:rPr>
              <w:rFonts w:asciiTheme="minorHAnsi" w:hAnsiTheme="minorHAnsi" w:cstheme="minorBidi"/>
              <w:noProof/>
              <w:sz w:val="24"/>
              <w:szCs w:val="24"/>
              <w:lang w:val="en-NL" w:eastAsia="en-GB"/>
            </w:rPr>
          </w:pPr>
          <w:hyperlink w:anchor="_Toc101374927" w:history="1">
            <w:r w:rsidR="005B469E" w:rsidRPr="008F130B">
              <w:rPr>
                <w:rStyle w:val="Hyperlink"/>
                <w:noProof/>
              </w:rPr>
              <w:t>MEA recording experiments</w:t>
            </w:r>
            <w:r w:rsidR="005B469E">
              <w:rPr>
                <w:noProof/>
                <w:webHidden/>
              </w:rPr>
              <w:tab/>
            </w:r>
            <w:r w:rsidR="005B469E">
              <w:rPr>
                <w:noProof/>
                <w:webHidden/>
              </w:rPr>
              <w:fldChar w:fldCharType="begin"/>
            </w:r>
            <w:r w:rsidR="005B469E">
              <w:rPr>
                <w:noProof/>
                <w:webHidden/>
              </w:rPr>
              <w:instrText xml:space="preserve"> PAGEREF _Toc101374927 \h </w:instrText>
            </w:r>
            <w:r w:rsidR="005B469E">
              <w:rPr>
                <w:noProof/>
                <w:webHidden/>
              </w:rPr>
            </w:r>
            <w:r w:rsidR="005B469E">
              <w:rPr>
                <w:noProof/>
                <w:webHidden/>
              </w:rPr>
              <w:fldChar w:fldCharType="separate"/>
            </w:r>
            <w:r w:rsidR="000C59BB">
              <w:rPr>
                <w:noProof/>
                <w:webHidden/>
              </w:rPr>
              <w:t>7</w:t>
            </w:r>
            <w:r w:rsidR="005B469E">
              <w:rPr>
                <w:noProof/>
                <w:webHidden/>
              </w:rPr>
              <w:fldChar w:fldCharType="end"/>
            </w:r>
          </w:hyperlink>
        </w:p>
        <w:p w14:paraId="4FC746BD" w14:textId="0F8D2BC4" w:rsidR="005B469E" w:rsidRDefault="001D3650">
          <w:pPr>
            <w:pStyle w:val="TOC2"/>
            <w:rPr>
              <w:rFonts w:asciiTheme="minorHAnsi" w:hAnsiTheme="minorHAnsi" w:cstheme="minorBidi"/>
              <w:noProof/>
              <w:sz w:val="24"/>
              <w:szCs w:val="24"/>
              <w:lang w:val="en-NL" w:eastAsia="en-GB"/>
            </w:rPr>
          </w:pPr>
          <w:hyperlink w:anchor="_Toc101374928" w:history="1">
            <w:r w:rsidR="005B469E" w:rsidRPr="008F130B">
              <w:rPr>
                <w:rStyle w:val="Hyperlink"/>
                <w:noProof/>
              </w:rPr>
              <w:t>Cell viability assay</w:t>
            </w:r>
            <w:r w:rsidR="005B469E">
              <w:rPr>
                <w:noProof/>
                <w:webHidden/>
              </w:rPr>
              <w:tab/>
            </w:r>
            <w:r w:rsidR="005B469E">
              <w:rPr>
                <w:noProof/>
                <w:webHidden/>
              </w:rPr>
              <w:fldChar w:fldCharType="begin"/>
            </w:r>
            <w:r w:rsidR="005B469E">
              <w:rPr>
                <w:noProof/>
                <w:webHidden/>
              </w:rPr>
              <w:instrText xml:space="preserve"> PAGEREF _Toc101374928 \h </w:instrText>
            </w:r>
            <w:r w:rsidR="005B469E">
              <w:rPr>
                <w:noProof/>
                <w:webHidden/>
              </w:rPr>
            </w:r>
            <w:r w:rsidR="005B469E">
              <w:rPr>
                <w:noProof/>
                <w:webHidden/>
              </w:rPr>
              <w:fldChar w:fldCharType="separate"/>
            </w:r>
            <w:r w:rsidR="000C59BB">
              <w:rPr>
                <w:noProof/>
                <w:webHidden/>
              </w:rPr>
              <w:t>7</w:t>
            </w:r>
            <w:r w:rsidR="005B469E">
              <w:rPr>
                <w:noProof/>
                <w:webHidden/>
              </w:rPr>
              <w:fldChar w:fldCharType="end"/>
            </w:r>
          </w:hyperlink>
        </w:p>
        <w:p w14:paraId="2AF18FB6" w14:textId="3EB72184" w:rsidR="005B469E" w:rsidRDefault="001D3650">
          <w:pPr>
            <w:pStyle w:val="TOC2"/>
            <w:rPr>
              <w:rFonts w:asciiTheme="minorHAnsi" w:hAnsiTheme="minorHAnsi" w:cstheme="minorBidi"/>
              <w:noProof/>
              <w:sz w:val="24"/>
              <w:szCs w:val="24"/>
              <w:lang w:val="en-NL" w:eastAsia="en-GB"/>
            </w:rPr>
          </w:pPr>
          <w:hyperlink w:anchor="_Toc101374929" w:history="1">
            <w:r w:rsidR="005B469E" w:rsidRPr="008F130B">
              <w:rPr>
                <w:rStyle w:val="Hyperlink"/>
                <w:noProof/>
              </w:rPr>
              <w:t>Size distribution analysis</w:t>
            </w:r>
            <w:r w:rsidR="005B469E">
              <w:rPr>
                <w:noProof/>
                <w:webHidden/>
              </w:rPr>
              <w:tab/>
            </w:r>
            <w:r w:rsidR="005B469E">
              <w:rPr>
                <w:noProof/>
                <w:webHidden/>
              </w:rPr>
              <w:fldChar w:fldCharType="begin"/>
            </w:r>
            <w:r w:rsidR="005B469E">
              <w:rPr>
                <w:noProof/>
                <w:webHidden/>
              </w:rPr>
              <w:instrText xml:space="preserve"> PAGEREF _Toc101374929 \h </w:instrText>
            </w:r>
            <w:r w:rsidR="005B469E">
              <w:rPr>
                <w:noProof/>
                <w:webHidden/>
              </w:rPr>
            </w:r>
            <w:r w:rsidR="005B469E">
              <w:rPr>
                <w:noProof/>
                <w:webHidden/>
              </w:rPr>
              <w:fldChar w:fldCharType="separate"/>
            </w:r>
            <w:r w:rsidR="000C59BB">
              <w:rPr>
                <w:noProof/>
                <w:webHidden/>
              </w:rPr>
              <w:t>8</w:t>
            </w:r>
            <w:r w:rsidR="005B469E">
              <w:rPr>
                <w:noProof/>
                <w:webHidden/>
              </w:rPr>
              <w:fldChar w:fldCharType="end"/>
            </w:r>
          </w:hyperlink>
        </w:p>
        <w:p w14:paraId="102304CC" w14:textId="49DF7D4C" w:rsidR="005B469E" w:rsidRDefault="001D3650">
          <w:pPr>
            <w:pStyle w:val="TOC2"/>
            <w:rPr>
              <w:rFonts w:asciiTheme="minorHAnsi" w:hAnsiTheme="minorHAnsi" w:cstheme="minorBidi"/>
              <w:noProof/>
              <w:sz w:val="24"/>
              <w:szCs w:val="24"/>
              <w:lang w:val="en-NL" w:eastAsia="en-GB"/>
            </w:rPr>
          </w:pPr>
          <w:hyperlink w:anchor="_Toc101374930" w:history="1">
            <w:r w:rsidR="005B469E" w:rsidRPr="008F130B">
              <w:rPr>
                <w:rStyle w:val="Hyperlink"/>
                <w:noProof/>
              </w:rPr>
              <w:t>Data Analysis</w:t>
            </w:r>
            <w:r w:rsidR="005B469E">
              <w:rPr>
                <w:noProof/>
                <w:webHidden/>
              </w:rPr>
              <w:tab/>
            </w:r>
            <w:r w:rsidR="005B469E">
              <w:rPr>
                <w:noProof/>
                <w:webHidden/>
              </w:rPr>
              <w:fldChar w:fldCharType="begin"/>
            </w:r>
            <w:r w:rsidR="005B469E">
              <w:rPr>
                <w:noProof/>
                <w:webHidden/>
              </w:rPr>
              <w:instrText xml:space="preserve"> PAGEREF _Toc101374930 \h </w:instrText>
            </w:r>
            <w:r w:rsidR="005B469E">
              <w:rPr>
                <w:noProof/>
                <w:webHidden/>
              </w:rPr>
            </w:r>
            <w:r w:rsidR="005B469E">
              <w:rPr>
                <w:noProof/>
                <w:webHidden/>
              </w:rPr>
              <w:fldChar w:fldCharType="separate"/>
            </w:r>
            <w:r w:rsidR="000C59BB">
              <w:rPr>
                <w:noProof/>
                <w:webHidden/>
              </w:rPr>
              <w:t>8</w:t>
            </w:r>
            <w:r w:rsidR="005B469E">
              <w:rPr>
                <w:noProof/>
                <w:webHidden/>
              </w:rPr>
              <w:fldChar w:fldCharType="end"/>
            </w:r>
          </w:hyperlink>
        </w:p>
        <w:p w14:paraId="2A7BCB1F" w14:textId="4E613347" w:rsidR="005B469E" w:rsidRDefault="001D3650">
          <w:pPr>
            <w:pStyle w:val="TOC2"/>
            <w:rPr>
              <w:rFonts w:asciiTheme="minorHAnsi" w:hAnsiTheme="minorHAnsi" w:cstheme="minorBidi"/>
              <w:noProof/>
              <w:sz w:val="24"/>
              <w:szCs w:val="24"/>
              <w:lang w:val="en-NL" w:eastAsia="en-GB"/>
            </w:rPr>
          </w:pPr>
          <w:hyperlink w:anchor="_Toc101374931" w:history="1">
            <w:r w:rsidR="005B469E" w:rsidRPr="008F130B">
              <w:rPr>
                <w:rStyle w:val="Hyperlink"/>
                <w:noProof/>
              </w:rPr>
              <w:t>Statistical analysis</w:t>
            </w:r>
            <w:r w:rsidR="005B469E">
              <w:rPr>
                <w:noProof/>
                <w:webHidden/>
              </w:rPr>
              <w:tab/>
            </w:r>
            <w:r w:rsidR="005B469E">
              <w:rPr>
                <w:noProof/>
                <w:webHidden/>
              </w:rPr>
              <w:fldChar w:fldCharType="begin"/>
            </w:r>
            <w:r w:rsidR="005B469E">
              <w:rPr>
                <w:noProof/>
                <w:webHidden/>
              </w:rPr>
              <w:instrText xml:space="preserve"> PAGEREF _Toc101374931 \h </w:instrText>
            </w:r>
            <w:r w:rsidR="005B469E">
              <w:rPr>
                <w:noProof/>
                <w:webHidden/>
              </w:rPr>
            </w:r>
            <w:r w:rsidR="005B469E">
              <w:rPr>
                <w:noProof/>
                <w:webHidden/>
              </w:rPr>
              <w:fldChar w:fldCharType="separate"/>
            </w:r>
            <w:r w:rsidR="000C59BB">
              <w:rPr>
                <w:noProof/>
                <w:webHidden/>
              </w:rPr>
              <w:t>9</w:t>
            </w:r>
            <w:r w:rsidR="005B469E">
              <w:rPr>
                <w:noProof/>
                <w:webHidden/>
              </w:rPr>
              <w:fldChar w:fldCharType="end"/>
            </w:r>
          </w:hyperlink>
        </w:p>
        <w:p w14:paraId="6A2C22E6" w14:textId="45A4F894" w:rsidR="005B469E" w:rsidRDefault="001D3650">
          <w:pPr>
            <w:pStyle w:val="TOC1"/>
            <w:rPr>
              <w:rFonts w:asciiTheme="minorHAnsi" w:hAnsiTheme="minorHAnsi" w:cstheme="minorBidi"/>
              <w:b w:val="0"/>
              <w:bCs w:val="0"/>
              <w:caps w:val="0"/>
              <w:noProof/>
              <w:sz w:val="24"/>
              <w:szCs w:val="24"/>
              <w:lang w:val="en-NL" w:eastAsia="en-GB"/>
            </w:rPr>
          </w:pPr>
          <w:hyperlink w:anchor="_Toc101374932" w:history="1">
            <w:r w:rsidR="005B469E" w:rsidRPr="008F130B">
              <w:rPr>
                <w:rStyle w:val="Hyperlink"/>
                <w:noProof/>
              </w:rPr>
              <w:t>Results</w:t>
            </w:r>
            <w:r w:rsidR="005B469E">
              <w:rPr>
                <w:noProof/>
                <w:webHidden/>
              </w:rPr>
              <w:tab/>
            </w:r>
            <w:r w:rsidR="005B469E">
              <w:rPr>
                <w:noProof/>
                <w:webHidden/>
              </w:rPr>
              <w:fldChar w:fldCharType="begin"/>
            </w:r>
            <w:r w:rsidR="005B469E">
              <w:rPr>
                <w:noProof/>
                <w:webHidden/>
              </w:rPr>
              <w:instrText xml:space="preserve"> PAGEREF _Toc101374932 \h </w:instrText>
            </w:r>
            <w:r w:rsidR="005B469E">
              <w:rPr>
                <w:noProof/>
                <w:webHidden/>
              </w:rPr>
            </w:r>
            <w:r w:rsidR="005B469E">
              <w:rPr>
                <w:noProof/>
                <w:webHidden/>
              </w:rPr>
              <w:fldChar w:fldCharType="separate"/>
            </w:r>
            <w:r w:rsidR="000C59BB">
              <w:rPr>
                <w:noProof/>
                <w:webHidden/>
              </w:rPr>
              <w:t>10</w:t>
            </w:r>
            <w:r w:rsidR="005B469E">
              <w:rPr>
                <w:noProof/>
                <w:webHidden/>
              </w:rPr>
              <w:fldChar w:fldCharType="end"/>
            </w:r>
          </w:hyperlink>
        </w:p>
        <w:p w14:paraId="3A43CC10" w14:textId="56C30472" w:rsidR="005B469E" w:rsidRDefault="001D3650">
          <w:pPr>
            <w:pStyle w:val="TOC2"/>
            <w:rPr>
              <w:rFonts w:asciiTheme="minorHAnsi" w:hAnsiTheme="minorHAnsi" w:cstheme="minorBidi"/>
              <w:noProof/>
              <w:sz w:val="24"/>
              <w:szCs w:val="24"/>
              <w:lang w:val="en-NL" w:eastAsia="en-GB"/>
            </w:rPr>
          </w:pPr>
          <w:hyperlink w:anchor="_Toc101374933" w:history="1">
            <w:r w:rsidR="005B469E" w:rsidRPr="008F130B">
              <w:rPr>
                <w:rStyle w:val="Hyperlink"/>
                <w:noProof/>
              </w:rPr>
              <w:t>Acute and subchronic exposure to the blank extract did not affect neuronal activity or viability</w:t>
            </w:r>
            <w:r w:rsidR="005B469E">
              <w:rPr>
                <w:noProof/>
                <w:webHidden/>
              </w:rPr>
              <w:tab/>
            </w:r>
            <w:r w:rsidR="005B469E">
              <w:rPr>
                <w:noProof/>
                <w:webHidden/>
              </w:rPr>
              <w:fldChar w:fldCharType="begin"/>
            </w:r>
            <w:r w:rsidR="005B469E">
              <w:rPr>
                <w:noProof/>
                <w:webHidden/>
              </w:rPr>
              <w:instrText xml:space="preserve"> PAGEREF _Toc101374933 \h </w:instrText>
            </w:r>
            <w:r w:rsidR="005B469E">
              <w:rPr>
                <w:noProof/>
                <w:webHidden/>
              </w:rPr>
            </w:r>
            <w:r w:rsidR="005B469E">
              <w:rPr>
                <w:noProof/>
                <w:webHidden/>
              </w:rPr>
              <w:fldChar w:fldCharType="separate"/>
            </w:r>
            <w:r w:rsidR="000C59BB">
              <w:rPr>
                <w:noProof/>
                <w:webHidden/>
              </w:rPr>
              <w:t>10</w:t>
            </w:r>
            <w:r w:rsidR="005B469E">
              <w:rPr>
                <w:noProof/>
                <w:webHidden/>
              </w:rPr>
              <w:fldChar w:fldCharType="end"/>
            </w:r>
          </w:hyperlink>
        </w:p>
        <w:p w14:paraId="55F85AFA" w14:textId="0E933A3E" w:rsidR="005B469E" w:rsidRDefault="001D3650">
          <w:pPr>
            <w:pStyle w:val="TOC2"/>
            <w:rPr>
              <w:rFonts w:asciiTheme="minorHAnsi" w:hAnsiTheme="minorHAnsi" w:cstheme="minorBidi"/>
              <w:noProof/>
              <w:sz w:val="24"/>
              <w:szCs w:val="24"/>
              <w:lang w:val="en-NL" w:eastAsia="en-GB"/>
            </w:rPr>
          </w:pPr>
          <w:hyperlink w:anchor="_Toc101374934" w:history="1">
            <w:r w:rsidR="005B469E" w:rsidRPr="008F130B">
              <w:rPr>
                <w:rStyle w:val="Hyperlink"/>
                <w:noProof/>
              </w:rPr>
              <w:t>Carbon and Copper oxide particles exposure did not induce change in neuronal activity in non-cytotoxic range</w:t>
            </w:r>
            <w:r w:rsidR="005B469E">
              <w:rPr>
                <w:noProof/>
                <w:webHidden/>
              </w:rPr>
              <w:tab/>
            </w:r>
            <w:r w:rsidR="005B469E">
              <w:rPr>
                <w:noProof/>
                <w:webHidden/>
              </w:rPr>
              <w:fldChar w:fldCharType="begin"/>
            </w:r>
            <w:r w:rsidR="005B469E">
              <w:rPr>
                <w:noProof/>
                <w:webHidden/>
              </w:rPr>
              <w:instrText xml:space="preserve"> PAGEREF _Toc101374934 \h </w:instrText>
            </w:r>
            <w:r w:rsidR="005B469E">
              <w:rPr>
                <w:noProof/>
                <w:webHidden/>
              </w:rPr>
            </w:r>
            <w:r w:rsidR="005B469E">
              <w:rPr>
                <w:noProof/>
                <w:webHidden/>
              </w:rPr>
              <w:fldChar w:fldCharType="separate"/>
            </w:r>
            <w:r w:rsidR="000C59BB">
              <w:rPr>
                <w:noProof/>
                <w:webHidden/>
              </w:rPr>
              <w:t>11</w:t>
            </w:r>
            <w:r w:rsidR="005B469E">
              <w:rPr>
                <w:noProof/>
                <w:webHidden/>
              </w:rPr>
              <w:fldChar w:fldCharType="end"/>
            </w:r>
          </w:hyperlink>
        </w:p>
        <w:p w14:paraId="33C70881" w14:textId="16999F3F" w:rsidR="005B469E" w:rsidRDefault="001D3650">
          <w:pPr>
            <w:pStyle w:val="TOC2"/>
            <w:rPr>
              <w:rFonts w:asciiTheme="minorHAnsi" w:hAnsiTheme="minorHAnsi" w:cstheme="minorBidi"/>
              <w:noProof/>
              <w:sz w:val="24"/>
              <w:szCs w:val="24"/>
              <w:lang w:val="en-NL" w:eastAsia="en-GB"/>
            </w:rPr>
          </w:pPr>
          <w:hyperlink w:anchor="_Toc101374935" w:history="1">
            <w:r w:rsidR="005B469E" w:rsidRPr="008F130B">
              <w:rPr>
                <w:rStyle w:val="Hyperlink"/>
                <w:noProof/>
              </w:rPr>
              <w:t>Diesel and Biodiesel exhaust-derived PM reduce neuronal activity</w:t>
            </w:r>
            <w:r w:rsidR="005B469E">
              <w:rPr>
                <w:noProof/>
                <w:webHidden/>
              </w:rPr>
              <w:tab/>
            </w:r>
            <w:r w:rsidR="005B469E">
              <w:rPr>
                <w:noProof/>
                <w:webHidden/>
              </w:rPr>
              <w:fldChar w:fldCharType="begin"/>
            </w:r>
            <w:r w:rsidR="005B469E">
              <w:rPr>
                <w:noProof/>
                <w:webHidden/>
              </w:rPr>
              <w:instrText xml:space="preserve"> PAGEREF _Toc101374935 \h </w:instrText>
            </w:r>
            <w:r w:rsidR="005B469E">
              <w:rPr>
                <w:noProof/>
                <w:webHidden/>
              </w:rPr>
            </w:r>
            <w:r w:rsidR="005B469E">
              <w:rPr>
                <w:noProof/>
                <w:webHidden/>
              </w:rPr>
              <w:fldChar w:fldCharType="separate"/>
            </w:r>
            <w:r w:rsidR="000C59BB">
              <w:rPr>
                <w:noProof/>
                <w:webHidden/>
              </w:rPr>
              <w:t>14</w:t>
            </w:r>
            <w:r w:rsidR="005B469E">
              <w:rPr>
                <w:noProof/>
                <w:webHidden/>
              </w:rPr>
              <w:fldChar w:fldCharType="end"/>
            </w:r>
          </w:hyperlink>
        </w:p>
        <w:p w14:paraId="759E14FA" w14:textId="65A4DCB8" w:rsidR="005B469E" w:rsidRDefault="001D3650">
          <w:pPr>
            <w:pStyle w:val="TOC2"/>
            <w:rPr>
              <w:rFonts w:asciiTheme="minorHAnsi" w:hAnsiTheme="minorHAnsi" w:cstheme="minorBidi"/>
              <w:noProof/>
              <w:sz w:val="24"/>
              <w:szCs w:val="24"/>
              <w:lang w:val="en-NL" w:eastAsia="en-GB"/>
            </w:rPr>
          </w:pPr>
          <w:hyperlink w:anchor="_Toc101374936" w:history="1">
            <w:r w:rsidR="005B469E" w:rsidRPr="008F130B">
              <w:rPr>
                <w:rStyle w:val="Hyperlink"/>
                <w:noProof/>
              </w:rPr>
              <w:t>EURO 2 engine exhaust-derived PM reduces neuronal activity, while EURO 6 engine exhaust-derived PM did not</w:t>
            </w:r>
            <w:r w:rsidR="005B469E">
              <w:rPr>
                <w:noProof/>
                <w:webHidden/>
              </w:rPr>
              <w:tab/>
            </w:r>
            <w:r w:rsidR="005B469E">
              <w:rPr>
                <w:noProof/>
                <w:webHidden/>
              </w:rPr>
              <w:fldChar w:fldCharType="begin"/>
            </w:r>
            <w:r w:rsidR="005B469E">
              <w:rPr>
                <w:noProof/>
                <w:webHidden/>
              </w:rPr>
              <w:instrText xml:space="preserve"> PAGEREF _Toc101374936 \h </w:instrText>
            </w:r>
            <w:r w:rsidR="005B469E">
              <w:rPr>
                <w:noProof/>
                <w:webHidden/>
              </w:rPr>
            </w:r>
            <w:r w:rsidR="005B469E">
              <w:rPr>
                <w:noProof/>
                <w:webHidden/>
              </w:rPr>
              <w:fldChar w:fldCharType="separate"/>
            </w:r>
            <w:r w:rsidR="000C59BB">
              <w:rPr>
                <w:noProof/>
                <w:webHidden/>
              </w:rPr>
              <w:t>16</w:t>
            </w:r>
            <w:r w:rsidR="005B469E">
              <w:rPr>
                <w:noProof/>
                <w:webHidden/>
              </w:rPr>
              <w:fldChar w:fldCharType="end"/>
            </w:r>
          </w:hyperlink>
        </w:p>
        <w:p w14:paraId="4C97AC09" w14:textId="5C8C0664" w:rsidR="005B469E" w:rsidRDefault="001D3650">
          <w:pPr>
            <w:pStyle w:val="TOC2"/>
            <w:rPr>
              <w:rFonts w:asciiTheme="minorHAnsi" w:hAnsiTheme="minorHAnsi" w:cstheme="minorBidi"/>
              <w:noProof/>
              <w:sz w:val="24"/>
              <w:szCs w:val="24"/>
              <w:lang w:val="en-NL" w:eastAsia="en-GB"/>
            </w:rPr>
          </w:pPr>
          <w:hyperlink w:anchor="_Toc101374937" w:history="1">
            <w:r w:rsidR="005B469E" w:rsidRPr="008F130B">
              <w:rPr>
                <w:rStyle w:val="Hyperlink"/>
                <w:noProof/>
              </w:rPr>
              <w:t>Non-volatile A0 and A20 show no consistent effect on neuronal (network) activity</w:t>
            </w:r>
            <w:r w:rsidR="005B469E">
              <w:rPr>
                <w:noProof/>
                <w:webHidden/>
              </w:rPr>
              <w:tab/>
            </w:r>
            <w:r w:rsidR="005B469E">
              <w:rPr>
                <w:noProof/>
                <w:webHidden/>
              </w:rPr>
              <w:fldChar w:fldCharType="begin"/>
            </w:r>
            <w:r w:rsidR="005B469E">
              <w:rPr>
                <w:noProof/>
                <w:webHidden/>
              </w:rPr>
              <w:instrText xml:space="preserve"> PAGEREF _Toc101374937 \h </w:instrText>
            </w:r>
            <w:r w:rsidR="005B469E">
              <w:rPr>
                <w:noProof/>
                <w:webHidden/>
              </w:rPr>
            </w:r>
            <w:r w:rsidR="005B469E">
              <w:rPr>
                <w:noProof/>
                <w:webHidden/>
              </w:rPr>
              <w:fldChar w:fldCharType="separate"/>
            </w:r>
            <w:r w:rsidR="000C59BB">
              <w:rPr>
                <w:noProof/>
                <w:webHidden/>
              </w:rPr>
              <w:t>18</w:t>
            </w:r>
            <w:r w:rsidR="005B469E">
              <w:rPr>
                <w:noProof/>
                <w:webHidden/>
              </w:rPr>
              <w:fldChar w:fldCharType="end"/>
            </w:r>
          </w:hyperlink>
        </w:p>
        <w:p w14:paraId="71AFC0CA" w14:textId="4322D455" w:rsidR="005B469E" w:rsidRDefault="001D3650">
          <w:pPr>
            <w:pStyle w:val="TOC2"/>
            <w:rPr>
              <w:rFonts w:asciiTheme="minorHAnsi" w:hAnsiTheme="minorHAnsi" w:cstheme="minorBidi"/>
              <w:noProof/>
              <w:sz w:val="24"/>
              <w:szCs w:val="24"/>
              <w:lang w:val="en-NL" w:eastAsia="en-GB"/>
            </w:rPr>
          </w:pPr>
          <w:hyperlink w:anchor="_Toc101374938" w:history="1">
            <w:r w:rsidR="005B469E" w:rsidRPr="008F130B">
              <w:rPr>
                <w:rStyle w:val="Hyperlink"/>
                <w:noProof/>
              </w:rPr>
              <w:t>SVOC A0 and SVOC A20 decrease neuronal activity and cell viability</w:t>
            </w:r>
            <w:r w:rsidR="005B469E">
              <w:rPr>
                <w:noProof/>
                <w:webHidden/>
              </w:rPr>
              <w:tab/>
            </w:r>
            <w:r w:rsidR="005B469E">
              <w:rPr>
                <w:noProof/>
                <w:webHidden/>
              </w:rPr>
              <w:fldChar w:fldCharType="begin"/>
            </w:r>
            <w:r w:rsidR="005B469E">
              <w:rPr>
                <w:noProof/>
                <w:webHidden/>
              </w:rPr>
              <w:instrText xml:space="preserve"> PAGEREF _Toc101374938 \h </w:instrText>
            </w:r>
            <w:r w:rsidR="005B469E">
              <w:rPr>
                <w:noProof/>
                <w:webHidden/>
              </w:rPr>
            </w:r>
            <w:r w:rsidR="005B469E">
              <w:rPr>
                <w:noProof/>
                <w:webHidden/>
              </w:rPr>
              <w:fldChar w:fldCharType="separate"/>
            </w:r>
            <w:r w:rsidR="000C59BB">
              <w:rPr>
                <w:noProof/>
                <w:webHidden/>
              </w:rPr>
              <w:t>20</w:t>
            </w:r>
            <w:r w:rsidR="005B469E">
              <w:rPr>
                <w:noProof/>
                <w:webHidden/>
              </w:rPr>
              <w:fldChar w:fldCharType="end"/>
            </w:r>
          </w:hyperlink>
        </w:p>
        <w:p w14:paraId="7E83F852" w14:textId="7ABD7FE1" w:rsidR="005B469E" w:rsidRDefault="001D3650">
          <w:pPr>
            <w:pStyle w:val="TOC2"/>
            <w:rPr>
              <w:rFonts w:asciiTheme="minorHAnsi" w:hAnsiTheme="minorHAnsi" w:cstheme="minorBidi"/>
              <w:noProof/>
              <w:sz w:val="24"/>
              <w:szCs w:val="24"/>
              <w:lang w:val="en-NL" w:eastAsia="en-GB"/>
            </w:rPr>
          </w:pPr>
          <w:hyperlink w:anchor="_Toc101374939" w:history="1">
            <w:r w:rsidR="005B469E" w:rsidRPr="008F130B">
              <w:rPr>
                <w:rStyle w:val="Hyperlink"/>
                <w:noProof/>
              </w:rPr>
              <w:t>Size distribution</w:t>
            </w:r>
            <w:r w:rsidR="005B469E">
              <w:rPr>
                <w:noProof/>
                <w:webHidden/>
              </w:rPr>
              <w:tab/>
            </w:r>
            <w:r w:rsidR="005B469E">
              <w:rPr>
                <w:noProof/>
                <w:webHidden/>
              </w:rPr>
              <w:fldChar w:fldCharType="begin"/>
            </w:r>
            <w:r w:rsidR="005B469E">
              <w:rPr>
                <w:noProof/>
                <w:webHidden/>
              </w:rPr>
              <w:instrText xml:space="preserve"> PAGEREF _Toc101374939 \h </w:instrText>
            </w:r>
            <w:r w:rsidR="005B469E">
              <w:rPr>
                <w:noProof/>
                <w:webHidden/>
              </w:rPr>
            </w:r>
            <w:r w:rsidR="005B469E">
              <w:rPr>
                <w:noProof/>
                <w:webHidden/>
              </w:rPr>
              <w:fldChar w:fldCharType="separate"/>
            </w:r>
            <w:r w:rsidR="000C59BB">
              <w:rPr>
                <w:noProof/>
                <w:webHidden/>
              </w:rPr>
              <w:t>22</w:t>
            </w:r>
            <w:r w:rsidR="005B469E">
              <w:rPr>
                <w:noProof/>
                <w:webHidden/>
              </w:rPr>
              <w:fldChar w:fldCharType="end"/>
            </w:r>
          </w:hyperlink>
        </w:p>
        <w:p w14:paraId="27DA5435" w14:textId="3D929670" w:rsidR="005B469E" w:rsidRDefault="001D3650">
          <w:pPr>
            <w:pStyle w:val="TOC1"/>
            <w:rPr>
              <w:rFonts w:asciiTheme="minorHAnsi" w:hAnsiTheme="minorHAnsi" w:cstheme="minorBidi"/>
              <w:b w:val="0"/>
              <w:bCs w:val="0"/>
              <w:caps w:val="0"/>
              <w:noProof/>
              <w:sz w:val="24"/>
              <w:szCs w:val="24"/>
              <w:lang w:val="en-NL" w:eastAsia="en-GB"/>
            </w:rPr>
          </w:pPr>
          <w:hyperlink w:anchor="_Toc101374940" w:history="1">
            <w:r w:rsidR="005B469E" w:rsidRPr="008F130B">
              <w:rPr>
                <w:rStyle w:val="Hyperlink"/>
                <w:noProof/>
              </w:rPr>
              <w:t>Discussion</w:t>
            </w:r>
            <w:r w:rsidR="005B469E">
              <w:rPr>
                <w:noProof/>
                <w:webHidden/>
              </w:rPr>
              <w:tab/>
            </w:r>
            <w:r w:rsidR="005B469E">
              <w:rPr>
                <w:noProof/>
                <w:webHidden/>
              </w:rPr>
              <w:fldChar w:fldCharType="begin"/>
            </w:r>
            <w:r w:rsidR="005B469E">
              <w:rPr>
                <w:noProof/>
                <w:webHidden/>
              </w:rPr>
              <w:instrText xml:space="preserve"> PAGEREF _Toc101374940 \h </w:instrText>
            </w:r>
            <w:r w:rsidR="005B469E">
              <w:rPr>
                <w:noProof/>
                <w:webHidden/>
              </w:rPr>
            </w:r>
            <w:r w:rsidR="005B469E">
              <w:rPr>
                <w:noProof/>
                <w:webHidden/>
              </w:rPr>
              <w:fldChar w:fldCharType="separate"/>
            </w:r>
            <w:r w:rsidR="000C59BB">
              <w:rPr>
                <w:noProof/>
                <w:webHidden/>
              </w:rPr>
              <w:t>23</w:t>
            </w:r>
            <w:r w:rsidR="005B469E">
              <w:rPr>
                <w:noProof/>
                <w:webHidden/>
              </w:rPr>
              <w:fldChar w:fldCharType="end"/>
            </w:r>
          </w:hyperlink>
        </w:p>
        <w:p w14:paraId="7DDD36D0" w14:textId="2A8D9CAD" w:rsidR="005B469E" w:rsidRDefault="001D3650">
          <w:pPr>
            <w:pStyle w:val="TOC2"/>
            <w:rPr>
              <w:rFonts w:asciiTheme="minorHAnsi" w:hAnsiTheme="minorHAnsi" w:cstheme="minorBidi"/>
              <w:noProof/>
              <w:sz w:val="24"/>
              <w:szCs w:val="24"/>
              <w:lang w:val="en-NL" w:eastAsia="en-GB"/>
            </w:rPr>
          </w:pPr>
          <w:hyperlink w:anchor="_Toc101374941" w:history="1">
            <w:r w:rsidR="005B469E" w:rsidRPr="008F130B">
              <w:rPr>
                <w:rStyle w:val="Hyperlink"/>
                <w:noProof/>
              </w:rPr>
              <w:t>Diesel and biodiesel exhaust-derived PM</w:t>
            </w:r>
            <w:r w:rsidR="005B469E">
              <w:rPr>
                <w:noProof/>
                <w:webHidden/>
              </w:rPr>
              <w:tab/>
            </w:r>
            <w:r w:rsidR="005B469E">
              <w:rPr>
                <w:noProof/>
                <w:webHidden/>
              </w:rPr>
              <w:fldChar w:fldCharType="begin"/>
            </w:r>
            <w:r w:rsidR="005B469E">
              <w:rPr>
                <w:noProof/>
                <w:webHidden/>
              </w:rPr>
              <w:instrText xml:space="preserve"> PAGEREF _Toc101374941 \h </w:instrText>
            </w:r>
            <w:r w:rsidR="005B469E">
              <w:rPr>
                <w:noProof/>
                <w:webHidden/>
              </w:rPr>
            </w:r>
            <w:r w:rsidR="005B469E">
              <w:rPr>
                <w:noProof/>
                <w:webHidden/>
              </w:rPr>
              <w:fldChar w:fldCharType="separate"/>
            </w:r>
            <w:r w:rsidR="000C59BB">
              <w:rPr>
                <w:noProof/>
                <w:webHidden/>
              </w:rPr>
              <w:t>23</w:t>
            </w:r>
            <w:r w:rsidR="005B469E">
              <w:rPr>
                <w:noProof/>
                <w:webHidden/>
              </w:rPr>
              <w:fldChar w:fldCharType="end"/>
            </w:r>
          </w:hyperlink>
        </w:p>
        <w:p w14:paraId="2A8CC74B" w14:textId="60644213" w:rsidR="005B469E" w:rsidRDefault="001D3650">
          <w:pPr>
            <w:pStyle w:val="TOC2"/>
            <w:rPr>
              <w:rFonts w:asciiTheme="minorHAnsi" w:hAnsiTheme="minorHAnsi" w:cstheme="minorBidi"/>
              <w:noProof/>
              <w:sz w:val="24"/>
              <w:szCs w:val="24"/>
              <w:lang w:val="en-NL" w:eastAsia="en-GB"/>
            </w:rPr>
          </w:pPr>
          <w:hyperlink w:anchor="_Toc101374942" w:history="1">
            <w:r w:rsidR="005B469E" w:rsidRPr="008F130B">
              <w:rPr>
                <w:rStyle w:val="Hyperlink"/>
                <w:noProof/>
              </w:rPr>
              <w:t>Aromatic compounds in exhaust-derived PM</w:t>
            </w:r>
            <w:r w:rsidR="005B469E">
              <w:rPr>
                <w:noProof/>
                <w:webHidden/>
              </w:rPr>
              <w:tab/>
            </w:r>
            <w:r w:rsidR="005B469E">
              <w:rPr>
                <w:noProof/>
                <w:webHidden/>
              </w:rPr>
              <w:fldChar w:fldCharType="begin"/>
            </w:r>
            <w:r w:rsidR="005B469E">
              <w:rPr>
                <w:noProof/>
                <w:webHidden/>
              </w:rPr>
              <w:instrText xml:space="preserve"> PAGEREF _Toc101374942 \h </w:instrText>
            </w:r>
            <w:r w:rsidR="005B469E">
              <w:rPr>
                <w:noProof/>
                <w:webHidden/>
              </w:rPr>
            </w:r>
            <w:r w:rsidR="005B469E">
              <w:rPr>
                <w:noProof/>
                <w:webHidden/>
              </w:rPr>
              <w:fldChar w:fldCharType="separate"/>
            </w:r>
            <w:r w:rsidR="000C59BB">
              <w:rPr>
                <w:noProof/>
                <w:webHidden/>
              </w:rPr>
              <w:t>24</w:t>
            </w:r>
            <w:r w:rsidR="005B469E">
              <w:rPr>
                <w:noProof/>
                <w:webHidden/>
              </w:rPr>
              <w:fldChar w:fldCharType="end"/>
            </w:r>
          </w:hyperlink>
        </w:p>
        <w:p w14:paraId="75C65A4A" w14:textId="03F7BC1B" w:rsidR="005B469E" w:rsidRDefault="001D3650">
          <w:pPr>
            <w:pStyle w:val="TOC2"/>
            <w:rPr>
              <w:rFonts w:asciiTheme="minorHAnsi" w:hAnsiTheme="minorHAnsi" w:cstheme="minorBidi"/>
              <w:noProof/>
              <w:sz w:val="24"/>
              <w:szCs w:val="24"/>
              <w:lang w:val="en-NL" w:eastAsia="en-GB"/>
            </w:rPr>
          </w:pPr>
          <w:hyperlink w:anchor="_Toc101374943" w:history="1">
            <w:r w:rsidR="005B469E" w:rsidRPr="008F130B">
              <w:rPr>
                <w:rStyle w:val="Hyperlink"/>
                <w:noProof/>
              </w:rPr>
              <w:t>Possible mechanism of toxicity from SVOC exposure</w:t>
            </w:r>
            <w:r w:rsidR="005B469E">
              <w:rPr>
                <w:noProof/>
                <w:webHidden/>
              </w:rPr>
              <w:tab/>
            </w:r>
            <w:r w:rsidR="005B469E">
              <w:rPr>
                <w:noProof/>
                <w:webHidden/>
              </w:rPr>
              <w:fldChar w:fldCharType="begin"/>
            </w:r>
            <w:r w:rsidR="005B469E">
              <w:rPr>
                <w:noProof/>
                <w:webHidden/>
              </w:rPr>
              <w:instrText xml:space="preserve"> PAGEREF _Toc101374943 \h </w:instrText>
            </w:r>
            <w:r w:rsidR="005B469E">
              <w:rPr>
                <w:noProof/>
                <w:webHidden/>
              </w:rPr>
            </w:r>
            <w:r w:rsidR="005B469E">
              <w:rPr>
                <w:noProof/>
                <w:webHidden/>
              </w:rPr>
              <w:fldChar w:fldCharType="separate"/>
            </w:r>
            <w:r w:rsidR="000C59BB">
              <w:rPr>
                <w:noProof/>
                <w:webHidden/>
              </w:rPr>
              <w:t>25</w:t>
            </w:r>
            <w:r w:rsidR="005B469E">
              <w:rPr>
                <w:noProof/>
                <w:webHidden/>
              </w:rPr>
              <w:fldChar w:fldCharType="end"/>
            </w:r>
          </w:hyperlink>
        </w:p>
        <w:p w14:paraId="5582C51D" w14:textId="6F60C290" w:rsidR="005B469E" w:rsidRDefault="001D3650">
          <w:pPr>
            <w:pStyle w:val="TOC2"/>
            <w:rPr>
              <w:rFonts w:asciiTheme="minorHAnsi" w:hAnsiTheme="minorHAnsi" w:cstheme="minorBidi"/>
              <w:noProof/>
              <w:sz w:val="24"/>
              <w:szCs w:val="24"/>
              <w:lang w:val="en-NL" w:eastAsia="en-GB"/>
            </w:rPr>
          </w:pPr>
          <w:hyperlink w:anchor="_Toc101374944" w:history="1">
            <w:r w:rsidR="005B469E" w:rsidRPr="008F130B">
              <w:rPr>
                <w:rStyle w:val="Hyperlink"/>
                <w:noProof/>
              </w:rPr>
              <w:t>Reference materials</w:t>
            </w:r>
            <w:r w:rsidR="005B469E">
              <w:rPr>
                <w:noProof/>
                <w:webHidden/>
              </w:rPr>
              <w:tab/>
            </w:r>
            <w:r w:rsidR="005B469E">
              <w:rPr>
                <w:noProof/>
                <w:webHidden/>
              </w:rPr>
              <w:fldChar w:fldCharType="begin"/>
            </w:r>
            <w:r w:rsidR="005B469E">
              <w:rPr>
                <w:noProof/>
                <w:webHidden/>
              </w:rPr>
              <w:instrText xml:space="preserve"> PAGEREF _Toc101374944 \h </w:instrText>
            </w:r>
            <w:r w:rsidR="005B469E">
              <w:rPr>
                <w:noProof/>
                <w:webHidden/>
              </w:rPr>
            </w:r>
            <w:r w:rsidR="005B469E">
              <w:rPr>
                <w:noProof/>
                <w:webHidden/>
              </w:rPr>
              <w:fldChar w:fldCharType="separate"/>
            </w:r>
            <w:r w:rsidR="000C59BB">
              <w:rPr>
                <w:noProof/>
                <w:webHidden/>
              </w:rPr>
              <w:t>25</w:t>
            </w:r>
            <w:r w:rsidR="005B469E">
              <w:rPr>
                <w:noProof/>
                <w:webHidden/>
              </w:rPr>
              <w:fldChar w:fldCharType="end"/>
            </w:r>
          </w:hyperlink>
        </w:p>
        <w:p w14:paraId="14D0C9AC" w14:textId="4CEB8F67" w:rsidR="005B469E" w:rsidRDefault="001D3650">
          <w:pPr>
            <w:pStyle w:val="TOC2"/>
            <w:rPr>
              <w:rFonts w:asciiTheme="minorHAnsi" w:hAnsiTheme="minorHAnsi" w:cstheme="minorBidi"/>
              <w:noProof/>
              <w:sz w:val="24"/>
              <w:szCs w:val="24"/>
              <w:lang w:val="en-NL" w:eastAsia="en-GB"/>
            </w:rPr>
          </w:pPr>
          <w:hyperlink w:anchor="_Toc101374945" w:history="1">
            <w:r w:rsidR="005B469E" w:rsidRPr="008F130B">
              <w:rPr>
                <w:rStyle w:val="Hyperlink"/>
                <w:noProof/>
              </w:rPr>
              <w:t>Future research</w:t>
            </w:r>
            <w:r w:rsidR="005B469E">
              <w:rPr>
                <w:noProof/>
                <w:webHidden/>
              </w:rPr>
              <w:tab/>
            </w:r>
            <w:r w:rsidR="005B469E">
              <w:rPr>
                <w:noProof/>
                <w:webHidden/>
              </w:rPr>
              <w:fldChar w:fldCharType="begin"/>
            </w:r>
            <w:r w:rsidR="005B469E">
              <w:rPr>
                <w:noProof/>
                <w:webHidden/>
              </w:rPr>
              <w:instrText xml:space="preserve"> PAGEREF _Toc101374945 \h </w:instrText>
            </w:r>
            <w:r w:rsidR="005B469E">
              <w:rPr>
                <w:noProof/>
                <w:webHidden/>
              </w:rPr>
            </w:r>
            <w:r w:rsidR="005B469E">
              <w:rPr>
                <w:noProof/>
                <w:webHidden/>
              </w:rPr>
              <w:fldChar w:fldCharType="separate"/>
            </w:r>
            <w:r w:rsidR="000C59BB">
              <w:rPr>
                <w:noProof/>
                <w:webHidden/>
              </w:rPr>
              <w:t>26</w:t>
            </w:r>
            <w:r w:rsidR="005B469E">
              <w:rPr>
                <w:noProof/>
                <w:webHidden/>
              </w:rPr>
              <w:fldChar w:fldCharType="end"/>
            </w:r>
          </w:hyperlink>
        </w:p>
        <w:p w14:paraId="28D580AF" w14:textId="3CB8DDA0" w:rsidR="005B469E" w:rsidRDefault="001D3650">
          <w:pPr>
            <w:pStyle w:val="TOC2"/>
            <w:rPr>
              <w:rFonts w:asciiTheme="minorHAnsi" w:hAnsiTheme="minorHAnsi" w:cstheme="minorBidi"/>
              <w:noProof/>
              <w:sz w:val="24"/>
              <w:szCs w:val="24"/>
              <w:lang w:val="en-NL" w:eastAsia="en-GB"/>
            </w:rPr>
          </w:pPr>
          <w:hyperlink w:anchor="_Toc101374946" w:history="1">
            <w:r w:rsidR="005B469E" w:rsidRPr="008F130B">
              <w:rPr>
                <w:rStyle w:val="Hyperlink"/>
                <w:noProof/>
              </w:rPr>
              <w:t>Conclusion</w:t>
            </w:r>
            <w:r w:rsidR="005B469E">
              <w:rPr>
                <w:noProof/>
                <w:webHidden/>
              </w:rPr>
              <w:tab/>
            </w:r>
            <w:r w:rsidR="005B469E">
              <w:rPr>
                <w:noProof/>
                <w:webHidden/>
              </w:rPr>
              <w:fldChar w:fldCharType="begin"/>
            </w:r>
            <w:r w:rsidR="005B469E">
              <w:rPr>
                <w:noProof/>
                <w:webHidden/>
              </w:rPr>
              <w:instrText xml:space="preserve"> PAGEREF _Toc101374946 \h </w:instrText>
            </w:r>
            <w:r w:rsidR="005B469E">
              <w:rPr>
                <w:noProof/>
                <w:webHidden/>
              </w:rPr>
            </w:r>
            <w:r w:rsidR="005B469E">
              <w:rPr>
                <w:noProof/>
                <w:webHidden/>
              </w:rPr>
              <w:fldChar w:fldCharType="separate"/>
            </w:r>
            <w:r w:rsidR="000C59BB">
              <w:rPr>
                <w:noProof/>
                <w:webHidden/>
              </w:rPr>
              <w:t>28</w:t>
            </w:r>
            <w:r w:rsidR="005B469E">
              <w:rPr>
                <w:noProof/>
                <w:webHidden/>
              </w:rPr>
              <w:fldChar w:fldCharType="end"/>
            </w:r>
          </w:hyperlink>
        </w:p>
        <w:p w14:paraId="21B69211" w14:textId="27AE5B5E" w:rsidR="005B469E" w:rsidRDefault="001D3650">
          <w:pPr>
            <w:pStyle w:val="TOC1"/>
            <w:rPr>
              <w:rFonts w:asciiTheme="minorHAnsi" w:hAnsiTheme="minorHAnsi" w:cstheme="minorBidi"/>
              <w:b w:val="0"/>
              <w:bCs w:val="0"/>
              <w:caps w:val="0"/>
              <w:noProof/>
              <w:sz w:val="24"/>
              <w:szCs w:val="24"/>
              <w:lang w:val="en-NL" w:eastAsia="en-GB"/>
            </w:rPr>
          </w:pPr>
          <w:hyperlink w:anchor="_Toc101374947" w:history="1">
            <w:r w:rsidR="005B469E" w:rsidRPr="008F130B">
              <w:rPr>
                <w:rStyle w:val="Hyperlink"/>
                <w:noProof/>
              </w:rPr>
              <w:t>References</w:t>
            </w:r>
            <w:r w:rsidR="005B469E">
              <w:rPr>
                <w:noProof/>
                <w:webHidden/>
              </w:rPr>
              <w:tab/>
            </w:r>
            <w:r w:rsidR="005B469E">
              <w:rPr>
                <w:noProof/>
                <w:webHidden/>
              </w:rPr>
              <w:fldChar w:fldCharType="begin"/>
            </w:r>
            <w:r w:rsidR="005B469E">
              <w:rPr>
                <w:noProof/>
                <w:webHidden/>
              </w:rPr>
              <w:instrText xml:space="preserve"> PAGEREF _Toc101374947 \h </w:instrText>
            </w:r>
            <w:r w:rsidR="005B469E">
              <w:rPr>
                <w:noProof/>
                <w:webHidden/>
              </w:rPr>
            </w:r>
            <w:r w:rsidR="005B469E">
              <w:rPr>
                <w:noProof/>
                <w:webHidden/>
              </w:rPr>
              <w:fldChar w:fldCharType="separate"/>
            </w:r>
            <w:r w:rsidR="000C59BB">
              <w:rPr>
                <w:noProof/>
                <w:webHidden/>
              </w:rPr>
              <w:t>29</w:t>
            </w:r>
            <w:r w:rsidR="005B469E">
              <w:rPr>
                <w:noProof/>
                <w:webHidden/>
              </w:rPr>
              <w:fldChar w:fldCharType="end"/>
            </w:r>
          </w:hyperlink>
        </w:p>
        <w:p w14:paraId="5A81C55D" w14:textId="476FCC43" w:rsidR="002B5C9A" w:rsidRPr="005B469E" w:rsidRDefault="000A6197" w:rsidP="005B469E">
          <w:pPr>
            <w:pStyle w:val="TOCHeading"/>
            <w:spacing w:line="276" w:lineRule="auto"/>
            <w:rPr>
              <w:rFonts w:ascii="Cambria" w:hAnsi="Cambria" w:cstheme="minorHAnsi"/>
              <w:i/>
              <w:iCs/>
              <w:sz w:val="20"/>
              <w:szCs w:val="20"/>
            </w:rPr>
            <w:sectPr w:rsidR="002B5C9A" w:rsidRPr="005B469E" w:rsidSect="00023D00">
              <w:footerReference w:type="even" r:id="rId9"/>
              <w:pgSz w:w="11900" w:h="16840"/>
              <w:pgMar w:top="1440" w:right="1440" w:bottom="1440" w:left="1440" w:header="709" w:footer="709" w:gutter="0"/>
              <w:pgNumType w:start="1"/>
              <w:cols w:space="708"/>
              <w:docGrid w:linePitch="360"/>
            </w:sectPr>
          </w:pPr>
          <w:r w:rsidRPr="007F3C5D">
            <w:rPr>
              <w:rFonts w:ascii="Cambria" w:hAnsi="Cambria" w:cs="Times New Roman (Headings CS)"/>
              <w:caps/>
            </w:rPr>
            <w:fldChar w:fldCharType="end"/>
          </w:r>
        </w:p>
        <w:bookmarkEnd w:id="4" w:displacedByCustomXml="next"/>
      </w:sdtContent>
    </w:sdt>
    <w:p w14:paraId="0DD86C8B" w14:textId="3688AAA3" w:rsidR="002B5C9A" w:rsidRDefault="002B5C9A" w:rsidP="002B5C9A">
      <w:pPr>
        <w:pStyle w:val="Heading1"/>
      </w:pPr>
      <w:bookmarkStart w:id="5" w:name="_Toc101374922"/>
      <w:r>
        <w:lastRenderedPageBreak/>
        <w:t>Introduction</w:t>
      </w:r>
      <w:bookmarkEnd w:id="5"/>
    </w:p>
    <w:p w14:paraId="0011D4FD" w14:textId="4DE9651A" w:rsidR="003D0B53" w:rsidRPr="002B5C9A" w:rsidRDefault="005A60BE" w:rsidP="002B5C9A">
      <w:pPr>
        <w:rPr>
          <w:rFonts w:asciiTheme="majorHAnsi" w:eastAsiaTheme="majorEastAsia" w:hAnsiTheme="majorHAnsi" w:cstheme="majorBidi"/>
          <w:b/>
          <w:bCs/>
          <w:color w:val="2F5496" w:themeColor="accent1" w:themeShade="BF"/>
          <w:sz w:val="28"/>
          <w:szCs w:val="28"/>
        </w:rPr>
      </w:pPr>
      <w:r w:rsidRPr="007F3C5D">
        <w:t>Air pollution is recognized for its impact on human health</w:t>
      </w:r>
      <w:r w:rsidR="00D549DF" w:rsidRPr="007F3C5D">
        <w:t>.</w:t>
      </w:r>
      <w:r w:rsidRPr="007F3C5D">
        <w:t xml:space="preserve"> </w:t>
      </w:r>
      <w:r w:rsidR="00843E39" w:rsidRPr="007F3C5D">
        <w:t>The World Health Organization (WHO) stated that 9 out of 10 people breath</w:t>
      </w:r>
      <w:r w:rsidR="00D549DF" w:rsidRPr="007F3C5D">
        <w:t xml:space="preserve"> </w:t>
      </w:r>
      <w:r w:rsidR="00843E39" w:rsidRPr="007F3C5D">
        <w:t xml:space="preserve">air that </w:t>
      </w:r>
      <w:r w:rsidR="00D549DF" w:rsidRPr="007F3C5D">
        <w:t xml:space="preserve">does </w:t>
      </w:r>
      <w:r w:rsidR="00843E39" w:rsidRPr="007F3C5D">
        <w:t xml:space="preserve">not meet WHO air quality guidelines </w:t>
      </w:r>
      <w:r w:rsidR="00843E39" w:rsidRPr="007F3C5D">
        <w:fldChar w:fldCharType="begin" w:fldLock="1"/>
      </w:r>
      <w:r w:rsidR="00843E39" w:rsidRPr="007F3C5D">
        <w:instrText>ADDIN CSL_CITATION {"citationItems":[{"id":"ITEM-1","itemData":{"ISBN":"9789241511353","author":[{"dropping-particle":"","family":"WHO","given":"","non-dropping-particle":"","parse-names":false,"suffix":""}],"id":"ITEM-1","issued":{"date-parts":[["2016"]]},"publisher-place":"Washington, D.C.","title":"Ambient air pollution: A global assessment of exposure and burden of disease","type":"book"},"uris":["http://www.mendeley.com/documents/?uuid=0d24a9b8-8308-4fd2-be7e-7f0797b1685f"]}],"mendeley":{"formattedCitation":"(WHO, 2016)","plainTextFormattedCitation":"(WHO, 2016)","previouslyFormattedCitation":"(WHO, 2016)"},"properties":{"noteIndex":0},"schema":"https://github.com/citation-style-language/schema/raw/master/csl-citation.json"}</w:instrText>
      </w:r>
      <w:r w:rsidR="00843E39" w:rsidRPr="007F3C5D">
        <w:fldChar w:fldCharType="separate"/>
      </w:r>
      <w:r w:rsidR="00843E39" w:rsidRPr="007F3C5D">
        <w:rPr>
          <w:noProof/>
        </w:rPr>
        <w:t>(WHO, 2016)</w:t>
      </w:r>
      <w:r w:rsidR="00843E39" w:rsidRPr="007F3C5D">
        <w:fldChar w:fldCharType="end"/>
      </w:r>
      <w:r w:rsidR="00843E39" w:rsidRPr="007F3C5D">
        <w:t xml:space="preserve">. Epidemiological studies </w:t>
      </w:r>
      <w:r w:rsidR="00D549DF" w:rsidRPr="007F3C5D">
        <w:t>indicate</w:t>
      </w:r>
      <w:r w:rsidR="00843E39" w:rsidRPr="007F3C5D">
        <w:t xml:space="preserve"> that airborne </w:t>
      </w:r>
      <w:r w:rsidR="00374954" w:rsidRPr="007F3C5D">
        <w:t>particulate matter (</w:t>
      </w:r>
      <w:r w:rsidR="00843E39" w:rsidRPr="007F3C5D">
        <w:t>PM</w:t>
      </w:r>
      <w:r w:rsidR="00374954" w:rsidRPr="007F3C5D">
        <w:t>)</w:t>
      </w:r>
      <w:r w:rsidR="00843E39" w:rsidRPr="007F3C5D">
        <w:t xml:space="preserve"> is </w:t>
      </w:r>
      <w:r w:rsidR="002166D1" w:rsidRPr="007F3C5D">
        <w:t>a</w:t>
      </w:r>
      <w:r w:rsidR="00843E39" w:rsidRPr="007F3C5D">
        <w:t xml:space="preserve"> pollutant</w:t>
      </w:r>
      <w:r w:rsidR="002166D1" w:rsidRPr="007F3C5D">
        <w:t xml:space="preserve"> within the ambient air pollution mixture that could be of specific importance related to human health </w:t>
      </w:r>
      <w:r w:rsidR="003D0B53" w:rsidRPr="007F3C5D">
        <w:fldChar w:fldCharType="begin" w:fldLock="1"/>
      </w:r>
      <w:r w:rsidR="007B7D5A" w:rsidRPr="007F3C5D">
        <w:instrText>ADDIN CSL_CITATION {"citationItems":[{"id":"ITEM-1","itemData":{"DOI":"10.1016/j.envint.2020.105974","ISSN":"01604120","PMID":"32703584","abstract":"As new scientific evidence on health effects of air pollution is generated, air quality guidelines need to be periodically updated. The objective of this review is to support the derivation of updated guidelines by the World Health Organization (WHO) by performing a systematic review of evidence of associations between long-term exposure to particulate matter with diameter under 2.5 µm (PM2.5) and particulate matter with diameter under 10 µm (PM10), in relation to all-cause and cause-specific mortality. As there is especially uncertainty about the relationship at the low and high end of the exposure range, the review needed to provide an indication of the shape of the concentration–response function (CRF). We systematically searched MEDLINE and EMBASE from database inception to 9 October 2018. Articles were checked for eligibility by two reviewers. We included cohort and case-control studies on outdoor air pollution in human populations using individual level data. In addition to natural-cause mortality, we evaluated mortality from circulatory diseases (ischemic heart disease (IHD) and cerebrovascular disease (stroke) also specifically), respiratory diseases (Chronic Obstructive Pulmonary Disease (COPD) and acute lower respiratory infection (ALRI) also specifically) and lung cancer. A random-effect meta-analysis was performed when at least three studies were available for a specific exposure-outcome pair. Risk of bias was assessed for all included articles using a specifically developed tool coordinated by WHO. Additional analyses were performed to assess consistency across geographic region, explain heterogeneity and explore the shape of the CRF. An adapted GRADE (Grading of Recommendations Assessment, Development and Evaluation) assessment of the body of evidence was made using a specifically developed tool coordinated by WHO. A large number (N = 107) of predominantly cohort studies (N = 104) were included after screening more than 3000 abstracts. Studies were conducted globally with the majority of studies from North America (N = 62) and Europe (N = 25). More studies used PM2.5 (N = 71) as the exposure metric than PM10 (N = 42). PM2.5 was significantly associated with all causes of death evaluated. The combined Risk Ratio (RR) for PM2.5 and natural-cause mortality was 1.08 (95%CI 1.06, 1.09) per 10 µg/m3. Meta analyses of studies conducted at the low mean PM2.5 levels (&lt;25, 20, 15, 12, 10 µg/m3) yielded RRs that were similar or higher compared to the…","author":[{"dropping-particle":"","family":"Chen","given":"Jie","non-dropping-particle":"","parse-names":false,"suffix":""},{"dropping-particle":"","family":"Hoek","given":"Gerard","non-dropping-particle":"","parse-names":false,"suffix":""}],"container-title":"Environment International","id":"ITEM-1","issued":{"date-parts":[["2020","10","1"]]},"page":"105974","publisher":"Pergamon","title":"Long-term exposure to PM and all-cause and cause-specific mortality: A systematic review and meta-analysis","type":"article-journal","volume":"143"},"uris":["http://www.mendeley.com/documents/?uuid=3257db71-ed07-31b9-8daa-89e03a60f45f"]},{"id":"ITEM-2","itemData":{"DOI":"10.1186/1476-069X-12-43","ISSN":"1476069X","PMID":"23714370","abstract":"Current day concentrations of ambient air pollution have been associated with a range of adverse health effects, particularly mortality and morbidity due to cardiovascular and respiratory diseases. In this review, we summarize the evidence from epidemiological studies on long-term exposure to fine and coarse particles, nitrogen dioxide (NO2) and elemental carbon on mortality from all-causes, cardiovascular disease and respiratory disease. We also summarize the findings on potentially susceptible subgroups across studies. We identified studies through a search in the databases Medline and Scopus and previous reviews until January 2013 and performed a meta-analysis if more than five studies were available for the same exposure metric.There is a significant number of new studies on long-term air pollution exposure, covering a wider geographic area, including Asia. These recent studies support associations found in previous cohort studies on PM2.5. The pooled effect estimate expressed as excess risk per 10 μg/m§ssup§3§esup§ increase in PM2.5 exposure was 6% (95% CI 4, 8%) for all-cause and 11% (95% CI 5, 16%) for cardiovascular mortality. Long-term exposure to PM 2.5 was more associated with mortality from cardiovascular disease (particularly ischemic heart disease) than from non-malignant respiratory diseases (pooled estimate 3% (95% CI -6, 13%)). Significant heterogeneity in PM2.5 effect estimates was found across studies, likely related to differences in particle composition, infiltration of particles indoors, population characteristics and methodological differences in exposure assessment and confounder control. All-cause mortality was significantly associated with elemental carbon (pooled estimate per 1 μg/m§ssup§3§esup§ 6% (95% CI 5, 7%)) and NO2 (pooled estimate per 10 μg/m§ssup§3§esup§ 5% (95% CI 3, 8%)), both markers of combustion sources. There was little evidence for an association between long term coarse particulate matter exposure and mortality, possibly due to the small number of studies and limitations in exposure assessment. Across studies, there was little evidence for a stronger association among women compared to men. In subjects with lower education and obese subjects a larger effect estimate for mortality related to fine PM was found, though the evidence for differences related to education has been weakened in more recent studies. © 2013 Hoek et al.; licensee BioMed Central Ltd.","author":[{"dropping-particle":"","family":"Hoek","given":"Gerard","non-dropping-particle":"","parse-names":false,"suffix":""},{"dropping-particle":"","family":"Krishnan","given":"Ranjini M.","non-dropping-particle":"","parse-names":false,"suffix":""},{"dropping-particle":"","family":"Beelen","given":"Rob","non-dropping-particle":"","parse-names":false,"suffix":""},{"dropping-particle":"","family":"Peters","given":"Annette","non-dropping-particle":"","parse-names":false,"suffix":""},{"dropping-particle":"","family":"Ostro","given":"Bart","non-dropping-particle":"","parse-names":false,"suffix":""},{"dropping-particle":"","family":"Brunekreef","given":"Bert","non-dropping-particle":"","parse-names":false,"suffix":""},{"dropping-particle":"","family":"Kaufman","given":"Joel D.","non-dropping-particle":"","parse-names":false,"suffix":""}],"container-title":"Environmental Health: A Global Access Science Source","id":"ITEM-2","issue":"1","issued":{"date-parts":[["2013","12","28"]]},"page":"43","publisher":"BioMed Central","title":"Long-term air pollution exposure and cardio-respiratory mortality: A review","type":"article-journal","volume":"12"},"uris":["http://www.mendeley.com/documents/?uuid=295b0fa0-fe4f-4e35-a7f3-bc420f4f6682"]},{"id":"ITEM-3","itemData":{"DOI":"10.1289/EHP.1408092","ISSN":"15529924","PMID":"24911630","abstract":"Background: Particulate matter (PM) in outdoor air pollution was recently designated a Group I carcinogen by the International Agency for Research on Cancer (IARC). This determination was based on the evidence regarding the relationship of PM 2.5 and PM 10 to lung cancer risk; however, the IARC evaluation did not include a quantitative summary of the evidence. Objective: Our goal was to provide a systematic review and quantitative summary of the evidence regarding the relationship between PM and lung cancer. Methods: We conducted meta-analyses of studies examining the relationship of exposure to PM2.5 and PM10 with lung cancer incidence and mortality. In total, 18 studies met our inclusion criteria and provided the information necessary to estimate the change in lung cancer risk per 10-μg/m 3 increase in exposure to PM. We used random-effects analyses to allow between-study variability to contribute to meta-estimates. Results: The meta-relative risk for lung cancer associated with PM 2.5 was 1.09 (95% CI: 1.04, 1.14). The meta-relative risk of lung cancer associated with PM10 was similar, but less precise: 1.08 (95% CI: 1.00, 1.17). Estimates were robust to restriction to studies that considered potential confounders, as well as subanalyses by exposure assessment method. Analyses by smoking status showed that lung cancer risk associated with PM 2.5 was greatest for former smokers [1.44 (95% CI: 1.04, 1.22)], followed by never-smokers [1.18 (95% CI: 1.00, 1.39)], and then current smokers [1.06 (95% CI: 0.97, 1.15)]. In addition, meta-estimates for adenocarcinoma associated with PM 2.5 and PM 10 were 1.40 (95% CI: 1.07, 1.83) and 1.29 (95% CI: 1.02, 1.63), respectively. Conclusion: The results of these analyses, and the decision of the IARC Working Group to classify PM and outdoor air pollution as carcinogenic (Group 1), further justify efforts to reduce exposures to air pollutants that can arise from many sources.","author":[{"dropping-particle":"","family":"Hamra","given":"Ghassan B.","non-dropping-particle":"","parse-names":false,"suffix":""},{"dropping-particle":"","family":"Guha","given":"Neela","non-dropping-particle":"","parse-names":false,"suffix":""},{"dropping-particle":"","family":"Cohen","given":"Aaron","non-dropping-particle":"","parse-names":false,"suffix":""},{"dropping-particle":"","family":"Laden","given":"Francine","non-dropping-particle":"","parse-names":false,"suffix":""},{"dropping-particle":"","family":"Raaschou-Nielsen","given":"Ole","non-dropping-particle":"","parse-names":false,"suffix":""},{"dropping-particle":"","family":"Samet","given":"Jonathan M.","non-dropping-particle":"","parse-names":false,"suffix":""},{"dropping-particle":"","family":"Vineis","given":"Paolo","non-dropping-particle":"","parse-names":false,"suffix":""},{"dropping-particle":"","family":"Forastiere","given":"Francesco","non-dropping-particle":"","parse-names":false,"suffix":""},{"dropping-particle":"","family":"Saldiva","given":"Paulo","non-dropping-particle":"","parse-names":false,"suffix":""},{"dropping-particle":"","family":"Yorifuji","given":"Takashi","non-dropping-particle":"","parse-names":false,"suffix":""},{"dropping-particle":"","family":"Loomis","given":"Dana","non-dropping-particle":"","parse-names":false,"suffix":""}],"container-title":"Environmental Health Perspectives","id":"ITEM-3","issue":"9","issued":{"date-parts":[["2014","9"]]},"page":"906-911","publisher":"Public Health Services, US Dept of Health and Human Services","title":"Outdoor particulate matter exposure and lung cancer: A systematic review and meta-analysis","type":"article-journal","volume":"122"},"uris":["http://www.mendeley.com/documents/?uuid=6d810ed3-7b4a-3da7-9b87-1127945ff358"]}],"mendeley":{"formattedCitation":"(J. Chen &amp; Hoek, 2020; Hamra et al., 2014; Hoek et al., 2013)","plainTextFormattedCitation":"(J. Chen &amp; Hoek, 2020; Hamra et al., 2014; Hoek et al., 2013)","previouslyFormattedCitation":"(J. Chen &amp; Hoek, 2020; Hamra et al., 2014; Hoek et al., 2013)"},"properties":{"noteIndex":0},"schema":"https://github.com/citation-style-language/schema/raw/master/csl-citation.json"}</w:instrText>
      </w:r>
      <w:r w:rsidR="003D0B53" w:rsidRPr="007F3C5D">
        <w:fldChar w:fldCharType="separate"/>
      </w:r>
      <w:r w:rsidR="003D0B53" w:rsidRPr="007F3C5D">
        <w:rPr>
          <w:noProof/>
        </w:rPr>
        <w:t>(J. Chen &amp; Hoek, 2020; Hamra et al., 2014; Hoek et al., 2013)</w:t>
      </w:r>
      <w:r w:rsidR="003D0B53" w:rsidRPr="007F3C5D">
        <w:fldChar w:fldCharType="end"/>
      </w:r>
      <w:r w:rsidR="00843E39" w:rsidRPr="007F3C5D">
        <w:t xml:space="preserve">. According to </w:t>
      </w:r>
      <w:proofErr w:type="spellStart"/>
      <w:r w:rsidR="00843E39" w:rsidRPr="007F3C5D">
        <w:t>an other</w:t>
      </w:r>
      <w:proofErr w:type="spellEnd"/>
      <w:r w:rsidR="00843E39" w:rsidRPr="007F3C5D">
        <w:t xml:space="preserve"> </w:t>
      </w:r>
      <w:r w:rsidR="00D549DF" w:rsidRPr="007F3C5D">
        <w:t xml:space="preserve">WHO </w:t>
      </w:r>
      <w:r w:rsidR="00843E39" w:rsidRPr="007F3C5D">
        <w:t xml:space="preserve">report , there is no evidence of a safe level of exposure for PM, which means that even the slightest quantity of PM can be hazardous for humans </w:t>
      </w:r>
      <w:r w:rsidR="00843E39" w:rsidRPr="007F3C5D">
        <w:fldChar w:fldCharType="begin" w:fldLock="1"/>
      </w:r>
      <w:r w:rsidR="00843E39" w:rsidRPr="007F3C5D">
        <w:instrText>ADDIN CSL_CITATION {"citationItems":[{"id":"ITEM-1","itemData":{"abstract":"ABSTRACT This document presents answers to 24 questions relevant to reviewing European policies on air pollution and to addressing health aspects of these policies. The answers were developed by a large group of scientists engaged in the WHO project “Review of evidence on health aspects of air pollution – REVIHAAP”. The experts reviewed and discussed the newly accumulated scientific evidence on the adverse effects on health of air pollution, formulating science-based answers to the 24 questions. Extensive rationales for the answers, including the list of key references, are provided. The review concludes that a considerable amount of new scientific information on the adverse effects on health of particulate matter, ozone and nitrogen dioxide, observed at levels commonly present in Europe, has been published in recent years. This new evidence supports the scientific conclusions of the WHO air quality guidelines, last updated in 2005, and indicates that the effects in some cases occur at air pollution concentrations lower than those serving to establish these guidelines. It also provides scientific arguments for taking decisive actions to improve air quality and reduce the burden of disease associated with air pollution in Europe.","author":[{"dropping-particle":"","family":"WHO","given":"","non-dropping-particle":"","parse-names":false,"suffix":""}],"id":"ITEM-1","issued":{"date-parts":[["2013"]]},"publisher-place":"Copenhagen","title":"Review of evidence on health aspects of air pollution–REVIHAAP Project","type":"report"},"uris":["http://www.mendeley.com/documents/?uuid=8e27a9e9-726c-4c7b-a056-a9504a400853"]}],"mendeley":{"formattedCitation":"(WHO, 2013)","plainTextFormattedCitation":"(WHO, 2013)","previouslyFormattedCitation":"(WHO, 2013)"},"properties":{"noteIndex":0},"schema":"https://github.com/citation-style-language/schema/raw/master/csl-citation.json"}</w:instrText>
      </w:r>
      <w:r w:rsidR="00843E39" w:rsidRPr="007F3C5D">
        <w:fldChar w:fldCharType="separate"/>
      </w:r>
      <w:r w:rsidR="00843E39" w:rsidRPr="007F3C5D">
        <w:rPr>
          <w:noProof/>
        </w:rPr>
        <w:t>(WHO, 2013)</w:t>
      </w:r>
      <w:r w:rsidR="00843E39" w:rsidRPr="007F3C5D">
        <w:fldChar w:fldCharType="end"/>
      </w:r>
      <w:r w:rsidR="00843E39" w:rsidRPr="007F3C5D">
        <w:t xml:space="preserve">. In the analysis of the Global Burden of Disease study, </w:t>
      </w:r>
      <w:r w:rsidR="00843E39" w:rsidRPr="007F3C5D">
        <w:rPr>
          <w:rFonts w:ascii="Calibri" w:hAnsi="Calibri" w:cs="Calibri"/>
          <w:highlight w:val="yellow"/>
        </w:rPr>
        <w:t>﻿</w:t>
      </w:r>
      <w:r w:rsidR="00843E39" w:rsidRPr="007F3C5D">
        <w:t xml:space="preserve">ambient </w:t>
      </w:r>
      <w:r w:rsidR="00140316" w:rsidRPr="007F3C5D">
        <w:t xml:space="preserve">air </w:t>
      </w:r>
      <w:r w:rsidR="00843E39" w:rsidRPr="007F3C5D">
        <w:t xml:space="preserve">PM pollution ranked fifth as an avoidable cause of death and sixth as a contributor to disability-adjusted life years lost </w:t>
      </w:r>
      <w:r w:rsidR="00843E39" w:rsidRPr="007F3C5D">
        <w:fldChar w:fldCharType="begin" w:fldLock="1"/>
      </w:r>
      <w:r w:rsidR="00843E39" w:rsidRPr="007F3C5D">
        <w:instrText>ADDIN CSL_CITATION {"citationItems":[{"id":"ITEM-1","itemData":{"DOI":"10.1016/S0140-6736(17)30505-6","ISSN":"1474547X","PMID":"28408086","abstract":"Background Exposure to ambient air pollution increases morbidity and mortality, and is a leading contributor to global disease burden. We explored spatial and temporal trends in mortality and burden of disease attributable to ambient air pollution from 1990 to 2015 at global, regional, and country levels. Methods We estimated global population-weighted mean concentrations of particle mass with aerodynamic diameter less than 2·5 μm (PM2·5) and ozone at an approximate 11 km × 11 km resolution with satellite-based estimates, chemical transport models, and ground-level measurements. Using integrated exposure–response functions for each cause of death, we estimated the relative risk of mortality from ischaemic heart disease, cerebrovascular disease, chronic obstructive pulmonary disease, lung cancer, and lower respiratory infections from epidemiological studies using non-linear exposure–response functions spanning the global range of exposure. Findings Ambient PM2·5 was the fifth-ranking mortality risk factor in 2015. Exposure to PM2·5 caused 4·2 million (95% uncertainty interval [UI] 3·7 million to 4·8 million) deaths and 103·1 million (90·8 million 115·1 million) disability-adjusted life-years (DALYs) in 2015, representing 7·6% of total global deaths and 4·2% of global DALYs, 59% of these in east and south Asia. Deaths attributable to ambient PM2·5 increased from 3·5 million (95% UI 3·0 million to 4·0 million) in 1990 to 4·2 million (3·7 million to 4·8 million) in 2015. Exposure to ozone caused an additional 254 000 (95% UI 97 000–422 000) deaths and a loss of 4·1 million (1·6 million to 6·8 million) DALYs from chronic obstructive pulmonary disease in 2015. Interpretation Ambient air pollution contributed substantially to the global burden of disease in 2015, which increased over the past 25 years, due to population ageing, changes in non-communicable disease rates, and increasing air pollution in low-income and middle-income countries. Modest reductions in burden will occur in the most polluted countries unless PM2·5 values are decreased substantially, but there is potential for substantial health benefits from exposure reduction. Funding Bill &amp; Melinda Gates Foundation and Health Effects Institute.","author":[{"dropping-particle":"","family":"Cohen","given":"Aaron J.","non-dropping-particle":"","parse-names":false,"suffix":""},{"dropping-particle":"","family":"Brauer","given":"Michael","non-dropping-particle":"","parse-names":false,"suffix":""},{"dropping-particle":"","family":"Burnett","given":"Richard","non-dropping-particle":"","parse-names":false,"suffix":""},{"dropping-particle":"","family":"Anderson","given":"H. Ross","non-dropping-particle":"","parse-names":false,"suffix":""},{"dropping-particle":"","family":"Frostad","given":"Joseph","non-dropping-particle":"","parse-names":false,"suffix":""},{"dropping-particle":"","family":"Estep","given":"Kara","non-dropping-particle":"","parse-names":false,"suffix":""},{"dropping-particle":"","family":"Balakrishnan","given":"Kalpana","non-dropping-particle":"","parse-names":false,"suffix":""},{"dropping-particle":"","family":"Brunekreef","given":"Bert","non-dropping-particle":"","parse-names":false,"suffix":""},{"dropping-particle":"","family":"Dandona","given":"Lalit","non-dropping-particle":"","parse-names":false,"suffix":""},{"dropping-particle":"","family":"Dandona","given":"Rakhi","non-dropping-particle":"","parse-names":false,"suffix":""},{"dropping-particle":"","family":"Feigin","given":"Valery","non-dropping-particle":"","parse-names":false,"suffix":""},{"dropping-particle":"","family":"Freedman","given":"Greg","non-dropping-particle":"","parse-names":false,"suffix":""},{"dropping-particle":"","family":"Hubbell","given":"Bryan","non-dropping-particle":"","parse-names":false,"suffix":""},{"dropping-particle":"","family":"Jobling","given":"Amelia","non-dropping-particle":"","parse-names":false,"suffix":""},{"dropping-particle":"","family":"Kan","given":"Haidong","non-dropping-particle":"","parse-names":false,"suffix":""},{"dropping-particle":"","family":"Knibbs","given":"Luke","non-dropping-particle":"","parse-names":false,"suffix":""},{"dropping-particle":"","family":"Liu","given":"Yang","non-dropping-particle":"","parse-names":false,"suffix":""},{"dropping-particle":"","family":"Martin","given":"Randall","non-dropping-particle":"","parse-names":false,"suffix":""},{"dropping-particle":"","family":"Morawska","given":"Lidia","non-dropping-particle":"","parse-names":false,"suffix":""},{"dropping-particle":"","family":"Pope","given":"C. Arden","non-dropping-particle":"","parse-names":false,"suffix":""},{"dropping-particle":"","family":"Shin","given":"Hwashin","non-dropping-particle":"","parse-names":false,"suffix":""},{"dropping-particle":"","family":"Straif","given":"Kurt","non-dropping-particle":"","parse-names":false,"suffix":""},{"dropping-particle":"","family":"Shaddick","given":"Gavin","non-dropping-particle":"","parse-names":false,"suffix":""},{"dropping-particle":"","family":"Thomas","given":"Matthew","non-dropping-particle":"","parse-names":false,"suffix":""},{"dropping-particle":"","family":"Dingenen","given":"Rita","non-dropping-particle":"van","parse-names":false,"suffix":""},{"dropping-particle":"","family":"Donkelaar","given":"Aaron","non-dropping-particle":"van","parse-names":false,"suffix":""},{"dropping-particle":"","family":"Vos","given":"Theo","non-dropping-particle":"","parse-names":false,"suffix":""},{"dropping-particle":"","family":"Murray","given":"Christopher J.L. L","non-dropping-particle":"","parse-names":false,"suffix":""},{"dropping-particle":"","family":"Forouzanfar","given":"Mohammad H.","non-dropping-particle":"","parse-names":false,"suffix":""}],"container-title":"The Lancet","id":"ITEM-1","issue":"10082","issued":{"date-parts":[["2017","5"]]},"page":"1907-1918","publisher":"Lancet Publishing Group","title":"Estimates and 25-year trends of the global burden of disease attributable to ambient air pollution: an analysis of data from the Global Burden of Diseases Study 2015","type":"article-journal","volume":"389"},"uris":["http://www.mendeley.com/documents/?uuid=a782be98-dce9-4446-a844-1ac32fc87600"]}],"mendeley":{"formattedCitation":"(Cohen et al., 2017)","plainTextFormattedCitation":"(Cohen et al., 2017)","previouslyFormattedCitation":"(Cohen et al., 2017)"},"properties":{"noteIndex":0},"schema":"https://github.com/citation-style-language/schema/raw/master/csl-citation.json"}</w:instrText>
      </w:r>
      <w:r w:rsidR="00843E39" w:rsidRPr="007F3C5D">
        <w:fldChar w:fldCharType="separate"/>
      </w:r>
      <w:r w:rsidR="00843E39" w:rsidRPr="007F3C5D">
        <w:rPr>
          <w:noProof/>
        </w:rPr>
        <w:t>(Cohen et al., 2017)</w:t>
      </w:r>
      <w:r w:rsidR="00843E39" w:rsidRPr="007F3C5D">
        <w:fldChar w:fldCharType="end"/>
      </w:r>
      <w:r w:rsidR="00EA64C3" w:rsidRPr="007F3C5D">
        <w:t>.</w:t>
      </w:r>
    </w:p>
    <w:p w14:paraId="7C4F31BC" w14:textId="741E6BF4" w:rsidR="004229FC" w:rsidRPr="007F3C5D" w:rsidRDefault="004229FC" w:rsidP="00A14895">
      <w:r w:rsidRPr="007F3C5D">
        <w:t xml:space="preserve">PM is usually classified in three categories by its aerodynamic diameter. Coarse particles less than </w:t>
      </w:r>
      <w:proofErr w:type="spellStart"/>
      <w:r w:rsidRPr="007F3C5D">
        <w:t>than</w:t>
      </w:r>
      <w:proofErr w:type="spellEnd"/>
      <w:r w:rsidRPr="007F3C5D">
        <w:t xml:space="preserve"> 10 µm in diameter are classified as PM10, fine particles less than 2.5 µm in diameter are classified as PM2.5 and the ultrafine particles (UFP), with a diameter less than 0.1µm are classified as PM0.1. The different </w:t>
      </w:r>
      <w:proofErr w:type="spellStart"/>
      <w:r w:rsidRPr="007F3C5D">
        <w:t>fractions</w:t>
      </w:r>
      <w:proofErr w:type="spellEnd"/>
      <w:r w:rsidRPr="007F3C5D">
        <w:t xml:space="preserve"> within air pollution are generally associated with a different origin, as coarse particles are mostly associated with mechanical processes as the generation of dust, whereas </w:t>
      </w:r>
      <w:r w:rsidR="00D65D59" w:rsidRPr="007F3C5D">
        <w:t>PM2.5</w:t>
      </w:r>
      <w:r w:rsidRPr="007F3C5D">
        <w:t xml:space="preserve"> and </w:t>
      </w:r>
      <w:r w:rsidR="00D65D59" w:rsidRPr="007F3C5D">
        <w:t>UFP</w:t>
      </w:r>
      <w:r w:rsidRPr="007F3C5D">
        <w:t xml:space="preserve"> are more associated with physiochemical processes as combustion and gas to particle conversion </w:t>
      </w:r>
      <w:r w:rsidRPr="007F3C5D">
        <w:fldChar w:fldCharType="begin" w:fldLock="1"/>
      </w:r>
      <w:r w:rsidRPr="007F3C5D">
        <w:instrText>ADDIN CSL_CITATION {"citationItems":[{"id":"ITEM-1","itemData":{"DOI":"10.1016/j.envint.2020.105714","ISSN":"01604120","author":[{"dropping-particle":"","family":"Manigrasso","given":"Maurizio","non-dropping-particle":"","parse-names":false,"suffix":""},{"dropping-particle":"","family":"Costabile","given":"Francesca","non-dropping-particle":"","parse-names":false,"suffix":""},{"dropping-particle":"Di","family":"Liberto","given":"Luca","non-dropping-particle":"","parse-names":false,"suffix":""},{"dropping-particle":"","family":"Gobbi","given":"Gian Paolo","non-dropping-particle":"","parse-names":false,"suffix":""},{"dropping-particle":"","family":"Gualtieri","given":"Maurizio","non-dropping-particle":"","parse-names":false,"suffix":""},{"dropping-particle":"","family":"Zanini","given":"Gabriele","non-dropping-particle":"","parse-names":false,"suffix":""},{"dropping-particle":"","family":"Avino","given":"Pasquale","non-dropping-particle":"","parse-names":false,"suffix":""}],"container-title":"Environment International","id":"ITEM-1","issued":{"date-parts":[["2020","8"]]},"page":"105714","title":"Size resolved aerosol respiratory doses in a Mediterranean urban area: From PM10 to ultrafine particles","type":"article-journal","volume":"141"},"uris":["http://www.mendeley.com/documents/?uuid=bd0a97cf-6a6d-369c-bf4d-68a6d9ed0fc8"]}],"mendeley":{"formattedCitation":"(Manigrasso et al., 2020)","plainTextFormattedCitation":"(Manigrasso et al., 2020)","previouslyFormattedCitation":"(Manigrasso et al., 2020)"},"properties":{"noteIndex":0},"schema":"https://github.com/citation-style-language/schema/raw/master/csl-citation.json"}</w:instrText>
      </w:r>
      <w:r w:rsidRPr="007F3C5D">
        <w:fldChar w:fldCharType="separate"/>
      </w:r>
      <w:r w:rsidRPr="007F3C5D">
        <w:rPr>
          <w:noProof/>
        </w:rPr>
        <w:t>(Manigrasso et al., 2020)</w:t>
      </w:r>
      <w:r w:rsidRPr="007F3C5D">
        <w:fldChar w:fldCharType="end"/>
      </w:r>
      <w:r w:rsidRPr="007F3C5D">
        <w:t xml:space="preserve">. Due to the small size, UFP have a considerably larger surface area relative to their mass than </w:t>
      </w:r>
      <w:r w:rsidR="00D65D59" w:rsidRPr="007F3C5D">
        <w:t>PM10</w:t>
      </w:r>
      <w:r w:rsidRPr="007F3C5D">
        <w:t xml:space="preserve"> and </w:t>
      </w:r>
      <w:r w:rsidR="00D65D59" w:rsidRPr="007F3C5D">
        <w:t>PM2.5</w:t>
      </w:r>
      <w:r w:rsidRPr="007F3C5D">
        <w:t xml:space="preserve"> </w:t>
      </w:r>
      <w:r w:rsidRPr="007F3C5D">
        <w:fldChar w:fldCharType="begin" w:fldLock="1"/>
      </w:r>
      <w:r w:rsidRPr="007F3C5D">
        <w:instrText>ADDIN CSL_CITATION {"citationItems":[{"id":"ITEM-1","itemData":{"DOI":"10.1038/s12276-020-0405-1","ISSN":"1226-3613","PMID":"32203103","abstract":"Ultrafine particles (UFPs) are aerosols with an aerodynamic diameter of 0.1 µm (100 nm) or less. There is a growing concern in the public health community about the contribution of UFPs to human health. Despite their modest mass and size, they dominate in terms of the number of particles in the ambient air. A particular concern about UFPs is their ability to reach the most distal lung regions (alveoli) and circumvent primary airway defenses. Moreover, UFPs have a high surface area and a capacity to adsorb a substantial amount of toxic organic compounds. Harmful systemic health effects of PM 10 or PM 2.5 are often attributable to the UFP fraction. In this review, we examine the physicochemical characteristics of UFPs to enable a better understanding of the effects of these particles on human health. The characteristics of UFPs from diesel combustion will be discussed in the greatest detail because road vehicles are the primary source of UFP emissions in urban pollution hotspots. Finally, we will elaborate on the role of UFPs on global climate change, since the adverse effects of UFPs on meteorological processes and the hydrological cycle may even be more harmful to human health than their direct toxic effects.","author":[{"dropping-particle":"","family":"Kwon","given":"Hyouk-Soo Soo","non-dropping-particle":"","parse-names":false,"suffix":""},{"dropping-particle":"","family":"Ryu","given":"Min Hyung","non-dropping-particle":"","parse-names":false,"suffix":""},{"dropping-particle":"","family":"Carlsten","given":"Christopher","non-dropping-particle":"","parse-names":false,"suffix":""}],"container-title":"Experimental &amp; Molecular Medicine","id":"ITEM-1","issue":"3","issued":{"date-parts":[["2020","3","17"]]},"page":"318-328","publisher":"Springer US","title":"Ultrafine particles: unique physicochemical properties relevant to health and disease","type":"article-journal","volume":"52"},"uris":["http://www.mendeley.com/documents/?uuid=edadfbdf-11a6-4dfb-80d6-094b8a183644"]}],"mendeley":{"formattedCitation":"(Kwon et al., 2020)","plainTextFormattedCitation":"(Kwon et al., 2020)","previouslyFormattedCitation":"(Kwon et al., 2020)"},"properties":{"noteIndex":0},"schema":"https://github.com/citation-style-language/schema/raw/master/csl-citation.json"}</w:instrText>
      </w:r>
      <w:r w:rsidRPr="007F3C5D">
        <w:fldChar w:fldCharType="separate"/>
      </w:r>
      <w:r w:rsidRPr="007F3C5D">
        <w:rPr>
          <w:noProof/>
        </w:rPr>
        <w:t>(Kwon et al., 2020)</w:t>
      </w:r>
      <w:r w:rsidRPr="007F3C5D">
        <w:fldChar w:fldCharType="end"/>
      </w:r>
      <w:r w:rsidRPr="007F3C5D">
        <w:t>. With this larger surface area, more potentially toxic constituents</w:t>
      </w:r>
      <w:r w:rsidR="00E67CEB" w:rsidRPr="007F3C5D">
        <w:t>,</w:t>
      </w:r>
      <w:r w:rsidRPr="007F3C5D">
        <w:t xml:space="preserve"> </w:t>
      </w:r>
      <w:r w:rsidR="00004186" w:rsidRPr="007F3C5D">
        <w:t>like</w:t>
      </w:r>
      <w:r w:rsidRPr="007F3C5D">
        <w:t xml:space="preserve"> chemicals, metals, end</w:t>
      </w:r>
      <w:r w:rsidR="00004186" w:rsidRPr="007F3C5D">
        <w:t>o</w:t>
      </w:r>
      <w:r w:rsidRPr="007F3C5D">
        <w:t>toxins, can be attache</w:t>
      </w:r>
      <w:r w:rsidR="00004186" w:rsidRPr="007F3C5D">
        <w:t>d</w:t>
      </w:r>
      <w:r w:rsidRPr="007F3C5D">
        <w:t xml:space="preserve"> to the particles present in the UFP mixture. While the underlying mode of action is not fully understood yet, exposure to UFP is </w:t>
      </w:r>
      <w:r w:rsidR="00081FFC" w:rsidRPr="007F3C5D">
        <w:t xml:space="preserve">known to induce </w:t>
      </w:r>
      <w:r w:rsidRPr="007F3C5D">
        <w:t xml:space="preserve">inflammation, oxidative stress, and DNA damage </w:t>
      </w:r>
      <w:r w:rsidRPr="007F3C5D">
        <w:fldChar w:fldCharType="begin" w:fldLock="1"/>
      </w:r>
      <w:r w:rsidRPr="007F3C5D">
        <w:instrText>ADDIN CSL_CITATION {"citationItems":[{"id":"ITEM-1","itemData":{"DOI":"10.1038/s12276-020-0405-1","ISSN":"1226-3613","PMID":"32203103","abstract":"Ultrafine particles (UFPs) are aerosols with an aerodynamic diameter of 0.1 µm (100 nm) or less. There is a growing concern in the public health community about the contribution of UFPs to human health. Despite their modest mass and size, they dominate in terms of the number of particles in the ambient air. A particular concern about UFPs is their ability to reach the most distal lung regions (alveoli) and circumvent primary airway defenses. Moreover, UFPs have a high surface area and a capacity to adsorb a substantial amount of toxic organic compounds. Harmful systemic health effects of PM 10 or PM 2.5 are often attributable to the UFP fraction. In this review, we examine the physicochemical characteristics of UFPs to enable a better understanding of the effects of these particles on human health. The characteristics of UFPs from diesel combustion will be discussed in the greatest detail because road vehicles are the primary source of UFP emissions in urban pollution hotspots. Finally, we will elaborate on the role of UFPs on global climate change, since the adverse effects of UFPs on meteorological processes and the hydrological cycle may even be more harmful to human health than their direct toxic effects.","author":[{"dropping-particle":"","family":"Kwon","given":"Hyouk-Soo Soo","non-dropping-particle":"","parse-names":false,"suffix":""},{"dropping-particle":"","family":"Ryu","given":"Min Hyung","non-dropping-particle":"","parse-names":false,"suffix":""},{"dropping-particle":"","family":"Carlsten","given":"Christopher","non-dropping-particle":"","parse-names":false,"suffix":""}],"container-title":"Experimental &amp; Molecular Medicine","id":"ITEM-1","issue":"3","issued":{"date-parts":[["2020","3","17"]]},"page":"318-328","publisher":"Springer US","title":"Ultrafine particles: unique physicochemical properties relevant to health and disease","type":"article-journal","volume":"52"},"uris":["http://www.mendeley.com/documents/?uuid=edadfbdf-11a6-4dfb-80d6-094b8a183644"]},{"id":"ITEM-2","itemData":{"DOI":"10.1289/EHP.9984","ISSN":"0091-6765","PMID":"17687444","abstract":"Background: Particulate matter, especially ultrafine particles (UFPs), may cause health effects through generation of oxidative stress, with resulting damage to DNA and other macromolecules. Objective: We investigated oxidative damage to DNA and related repair capacity in peripheral blood mononuclear cells (PBMCs) during controlled exposure to urban air particles with assignment of number concentration (NC) to four size modes with average diameters of 12, 23, 57, and 212 nm. Design: Twenty-nine healthy adults participated in a randomized, two-factor cross-over study with or without biking exercise for 180 min and with exposure to particles (NC 6169-15362/cm3) or filtered air (NC 91-542/cm3) for 24 hr. Methods: The levels of DNA strand breaks (SBs), oxidized purines as formamidopyrimidine DNA glycolase (FPG) sites, and activity of 7,8-dihydro-8-oxoguanine-DNA glycosylase (OGG1) in PBMCs were measured by the Comet assay. mRNA levels of OGG1, nucleoside diphosphate linked moiety X-type motif 1 (NUDT1), and heme oxygenase-1 (HO1) were determined by real-time reverse transcriptase-polymerase chain reaction. Results: Exposure to UFPs for 6 and 24 hr significantly increased the levels of SBs and FPG sites, with a further insignificant increase after physical exercise. The OGG1 activity and expression of OGG1, NUDT1, and HO1 were unaltered. There was a significant dose-response relationship between NC and DNA damage, with the 57-nm mode as the major contributor to effects. Concomitant exposure to ozone, nitrogen oxides, and carbon monoxide had no influence. Conclusion: Our results indicate that UFPs, especially the 57-nm soot fraction from vehicle emissions, causes systemic oxidative stress with damage to DNA and no apparent compensatory up-regulation of DNA repair within 24 hr.","author":[{"dropping-particle":"","family":"Bräuner","given":"Elvira Vaclavik","non-dropping-particle":"","parse-names":false,"suffix":""},{"dropping-particle":"","family":"Forchhammer","given":"Lykke","non-dropping-particle":"","parse-names":false,"suffix":""},{"dropping-particle":"","family":"Möller","given":"Peter","non-dropping-particle":"","parse-names":false,"suffix":""},{"dropping-particle":"","family":"Simonsen","given":"Jacob","non-dropping-particle":"","parse-names":false,"suffix":""},{"dropping-particle":"","family":"Glasius","given":"Marianne","non-dropping-particle":"","parse-names":false,"suffix":""},{"dropping-particle":"","family":"Wåhlin","given":"Peter","non-dropping-particle":"","parse-names":false,"suffix":""},{"dropping-particle":"","family":"Raaschou-Nielsen","given":"Ole","non-dropping-particle":"","parse-names":false,"suffix":""},{"dropping-particle":"","family":"Loft","given":"Steffen","non-dropping-particle":"","parse-names":false,"suffix":""}],"container-title":"Environmental health perspectives","id":"ITEM-2","issue":"8","issued":{"date-parts":[["2007","8"]]},"page":"1177-1182","publisher":"Environ Health Perspect","title":"Exposure to ultrafine particles from ambient air and oxidative stress-induced DNA damage","type":"article-journal","volume":"115"},"uris":["http://www.mendeley.com/documents/?uuid=3d888f02-7106-3c8c-b645-70fb6872639a"]}],"mendeley":{"formattedCitation":"(Bräuner et al., 2007; Kwon et al., 2020)","plainTextFormattedCitation":"(Bräuner et al., 2007; Kwon et al., 2020)","previouslyFormattedCitation":"(Bräuner et al., 2007; Kwon et al., 2020)"},"properties":{"noteIndex":0},"schema":"https://github.com/citation-style-language/schema/raw/master/csl-citation.json"}</w:instrText>
      </w:r>
      <w:r w:rsidRPr="007F3C5D">
        <w:fldChar w:fldCharType="separate"/>
      </w:r>
      <w:r w:rsidRPr="007F3C5D">
        <w:rPr>
          <w:noProof/>
        </w:rPr>
        <w:t>(Bräuner et al., 2007; Kwon et al., 2020)</w:t>
      </w:r>
      <w:r w:rsidRPr="007F3C5D">
        <w:fldChar w:fldCharType="end"/>
      </w:r>
      <w:r w:rsidRPr="007F3C5D">
        <w:t>.</w:t>
      </w:r>
    </w:p>
    <w:p w14:paraId="6013580F" w14:textId="0A048226" w:rsidR="0071488D" w:rsidRPr="007F3C5D" w:rsidRDefault="00D549DF" w:rsidP="00A14895">
      <w:r w:rsidRPr="007F3C5D">
        <w:t xml:space="preserve">Many well-studied adverse effects of air pollution are known and encountered throughout the world, </w:t>
      </w:r>
      <w:r w:rsidR="003D6BB3" w:rsidRPr="007F3C5D">
        <w:t>including</w:t>
      </w:r>
      <w:r w:rsidRPr="007F3C5D">
        <w:t xml:space="preserve"> cardiovascular </w:t>
      </w:r>
      <w:r w:rsidRPr="007F3C5D">
        <w:fldChar w:fldCharType="begin" w:fldLock="1"/>
      </w:r>
      <w:r w:rsidRPr="007F3C5D">
        <w:instrText>ADDIN CSL_CITATION {"citationItems":[{"id":"ITEM-1","itemData":{"DOI":"10.1093/eurheartj/ehz135","ISSN":"0195-668X","PMID":"30860255","abstract":"Aims Ambient air pollution is a major health risk, leading to respiratory and cardiovascular mortality. A recent Global Exposure Mortality Model, based on an unmatched number of cohort studies in many countries, provides new hazard ratio functions, calling for re-evaluation of the disease burden. Accordingly, we estimated excess cardiovascular mortality attributed to air pollution in Europe. Methods The new hazard ratio functions have been combined with ambient air pollution exposure data to estimate the and results impacts in Europe and the 28 countries of the European Union (EU-28). The annual excess mortality rate from ambient air pollution in Europe is 790 000 [95% confidence interval (95% CI) 645 000–934 000], and 659 000 (95% CI 537 000–775 000) in the EU-28. Between 40% and 80% are due to cardiovascular events, which dominate health outcomes. The upper limit includes events attributed to other non-communicable diseases, which are currently not specified. These estimates exceed recent analyses, such as the Global Burden of Disease for 2015, by more than a factor of two. We estimate that air pollution reduces the mean life expectancy in Europe by about 2.2 years with an annual, attributable per capita mortality rate in Europe of 133/100 000 per year. Conclusion We provide new data based on novel hazard ratio functions suggesting that the health impacts attributable to ambient air pollution in Europe are substantially higher than previously assumed, though subject to considerable uncertainty. Our results imply that replacing fossil fuels by clean, renewable energy sources could substantially reduce the loss of life expectancy from air pollution. ? ? ? ? ? ? ? ? ? ? ? ? ? ? ? ? ? ? ? ? ? ? ? ? ? ? ? ? ? ? ? ? ? ? ? ? ? ? ? ? ? ? ? ? ? ? ? ? ? ? ? ? ? ? ? ? ? ? ? ? ? ? ? ? ? ? ? ? ? ? ? ? ? ? ? ? ? ? ? ? ? ? ? ? ? ? ? ? ? ? ? ? ? ? ? ? ? ? ? ? ? ? ? ? ? ? ? ? ? ? ? ? ? ? ? ? ? ? ? ? ? ? ? ? ? ? ? ? ? ? ? ? ? ? ? ? ? ? ? ? ? ? ? ? ? ? ? ? ? ? ? ? ? ? ? ? ? ? ? ? ? ? ? ? ? ? ? ? ? ? ? ? ? ? ? ? ? ? ? ? ? ? ? ? ? ? ? ? ? ? ? ? ? ? ? ? ? ? ? ? ? ? ? ? ? ? ? ? ? ? ? ?","author":[{"dropping-particle":"","family":"Lelieveld","given":"Jos","non-dropping-particle":"","parse-names":false,"suffix":""},{"dropping-particle":"","family":"Klingmüller","given":"Klaus","non-dropping-particle":"","parse-names":false,"suffix":""},{"dropping-particle":"","family":"Pozzer","given":"Andrea","non-dropping-particle":"","parse-names":false,"suffix":""},{"dropping-particle":"","family":"Pöschl","given":"Ulrich","non-dropping-particle":"","parse-names":false,"suffix":""},{"dropping-particle":"","family":"Fnais","given":"Mohammed","non-dropping-particle":"","parse-names":false,"suffix":""},{"dropping-particle":"","family":"Daiber","given":"Andreas","non-dropping-particle":"","parse-names":false,"suffix":""},{"dropping-particle":"","family":"Münzel","given":"Thomas","non-dropping-particle":"","parse-names":false,"suffix":""}],"container-title":"European Heart Journal","id":"ITEM-1","issue":"20","issued":{"date-parts":[["2019","5","21"]]},"page":"1590-1596","publisher":"Oxford Academic","title":"Cardiovascular disease burden from ambient air pollution in Europe reassessed using novel hazard ratio functions","type":"article-journal","volume":"40"},"uris":["http://www.mendeley.com/documents/?uuid=a96888e2-ec46-36a4-9a3c-81252d3e0fc4"]},{"id":"ITEM-2","itemData":{"DOI":"10.1007/s40471-018-0166-8","ISBN":"4047101801668","ISSN":"2196-2995","abstract":"Certain subgroups defined by sociodemographics (race/ethnicity, age, sex, and socioeconomic status [SES]), geographic location (rural vs. urban), comorbid conditions, and country economic conditions (developed vs. developing) may disproportionately suffer the adverse cardiovascular effects of exposure to ambient air pollution. Yet, previous reviews have had a broad focus on the general population without consideration of these potentially vulnerable populations. Over the past decade, a wealth of epidemiologic studies have linked air pollutants including particulate matter, oxides of nitrogen, and carbon monoxide to cardiovascular disease (CVD) risk factors, subclinical CVD, clinical cardiovascular outcomes, and cardiovascular mortality in certain susceptible populations. Highest risk for poor CVD outcomes from air pollution exists in racial/ethnic minorities, especially in blacks compared to whites in the US, those at low SES, elderly populations, women, those with certain comorbid conditions, and developing countries compared to developed countries. However, findings are less consistent for urban compared to rural populations. Vulnerable subgroups including racial/ethnic minorities, women, the elderly, smokers, diabetics, and those with prior heart disease had higher risk for adverse cardiovascular outcomes from exposure to air pollution. There is limited data from developing countries where concentrations of air pollutants are more extreme and cardiovascular event rates are higher than that of developed countries. Further epidemiologic studies are needed to understand and address the marked disparities in CVD risk conferred by air pollution globally, particularly among these vulnerable subgroups.","author":[{"dropping-particle":"","family":"Tibuakuu","given":"Martin","non-dropping-particle":"","parse-names":false,"suffix":""},{"dropping-particle":"","family":"Michos","given":"Erin D.","non-dropping-particle":"","parse-names":false,"suffix":""},{"dropping-particle":"","family":"Navas-Acien","given":"Ana","non-dropping-particle":"","parse-names":false,"suffix":""},{"dropping-particle":"","family":"Jones","given":"Miranda R.","non-dropping-particle":"","parse-names":false,"suffix":""}],"container-title":"Current Epidemiology Reports","id":"ITEM-2","issue":"4","issued":{"date-parts":[["2018","12","19"]]},"page":"370-378","publisher":"Springer","title":"Air Pollution and Cardiovascular Disease: a Focus on Vulnerable Populations Worldwide","type":"article-journal","volume":"5"},"uris":["http://www.mendeley.com/documents/?uuid=a537a60d-f14c-3ae3-841e-9f5420df9523"]},{"id":"ITEM-3","itemData":{"DOI":"10.3324/haematol.2019.225086","ISSN":"0390-6078","PMID":"31672903","abstract":"A mbient and household air pollution is a major health problem worldwide, contributing annually to approximately seven million of all-cause avoidable deaths, shorter life expectancy, and significant direct and indirect costs for the community. Air pollution is a complex mixture of gaseous and particulate materials that vary depending on their source and physicochemical features. Each material has detrimental effects on human health, but a number of experimental and clinical studies have shown a strong impact for fine particulate matter (PM2.5). In particular, there is more and more evidence that PM2.5 exerts adverse effects particularly on the cardiovascular system, contributing substantially (mainly through mechanisms of atherosclerosis, thrombosis and inflammation) to coronary artery and cerebrovascular disease, but also to heart failure, hypertension, diabetes and cardiac arrhythmias. In this review, we summarize knowledge on the mechanisms and magnitude of the cardiovascular adverse effects of short- and long-term exposure to ambient air pollution, particularly for the PM2.5 size fraction. We also emphasize that very recent data indicate that the global mortality and morbidity burden of cardiovascular disease associated with this air pollutant is dramatically greater than what has been thought up to now.","author":[{"dropping-particle":"","family":"Mannucci","given":"Pier Mannuccio","non-dropping-particle":"","parse-names":false,"suffix":""},{"dropping-particle":"","family":"Harari","given":"Sergio","non-dropping-particle":"","parse-names":false,"suffix":""},{"dropping-particle":"","family":"Franchini","given":"Massimo","non-dropping-particle":"","parse-names":false,"suffix":""}],"container-title":"Haematologica","id":"ITEM-3","issue":"12","issued":{"date-parts":[["2019","12"]]},"page":"2349-2357","publisher":"Ferrata Storti Foundation","title":"Novel evidence for a greater burden of ambient air pollution on cardiovascular disease","type":"article-journal","volume":"104"},"uris":["http://www.mendeley.com/documents/?uuid=a223e411-62ff-36fb-9e48-d07d082d35fb"]}],"mendeley":{"formattedCitation":"(Lelieveld et al., 2019; Mannucci et al., 2019; Tibuakuu et al., 2018)","plainTextFormattedCitation":"(Lelieveld et al., 2019; Mannucci et al., 2019; Tibuakuu et al., 2018)","previouslyFormattedCitation":"(Lelieveld et al., 2019; Mannucci et al., 2019; Tibuakuu et al., 2018)"},"properties":{"noteIndex":0},"schema":"https://github.com/citation-style-language/schema/raw/master/csl-citation.json"}</w:instrText>
      </w:r>
      <w:r w:rsidRPr="007F3C5D">
        <w:fldChar w:fldCharType="separate"/>
      </w:r>
      <w:r w:rsidRPr="007F3C5D">
        <w:rPr>
          <w:noProof/>
        </w:rPr>
        <w:t>(Lelieveld et al., 2019; Mannucci et al., 2019; Tibuakuu et al., 2018)</w:t>
      </w:r>
      <w:r w:rsidRPr="007F3C5D">
        <w:fldChar w:fldCharType="end"/>
      </w:r>
      <w:r w:rsidRPr="007F3C5D">
        <w:t xml:space="preserve"> and respiratory disease </w:t>
      </w:r>
      <w:r w:rsidRPr="007F3C5D">
        <w:fldChar w:fldCharType="begin" w:fldLock="1"/>
      </w:r>
      <w:r w:rsidRPr="007F3C5D">
        <w:instrText>ADDIN CSL_CITATION {"citationItems":[{"id":"ITEM-1","itemData":{"DOI":"10.1016/j.ijtst.2018.07.003","ISSN":"20460430","abstract":"Asthma is a burdensome disease which is often cited as the most common chronic disease in childhood. Traffic-related air pollution (TRAP) may be an important exposure in the development of childhood asthma. However, the burden of childhood asthma attributable to TRAP is poorly documented. Using a land-use regression (LUR) model, we estimated the childhood (birth-18 years old) population exposure to the following three air pollutants in Bradford, UK: Particulate Matter equal or less than 2.5 micrometers in diameter (PM2.5), Particulate Matter equal or less than 10 micrometers in diameter (PM10) and Black Carbon (BC). We assigned exposures at the lowest census tract level: the ‘output area’. We extracted national and local childhood asthma incidence rates from the literature and used meta-analytic exposure-response functions to calculate the relative risk, population attributable fraction of childhood asthma in association with each pollutant and the number of childhood asthma cases attributable to each pollutant. We investigated the impacts of reducing air pollutants at each output area to comply with the World Health Organization's (WHO) air quality guidelines. At the output area level, the annual mean PM2.5, PM10 and BC concentrations were 10.40 µg/m3, 16.63 µg/m3 and 1.07 × 10−5 m−1, respectively. Depending on the pollutant, the estimated number of attributable childhood asthma cases varied between 279 and 612 annually, representing between 15% and 33% of all cases in the city. Between 7% and 12% of annual childhood asthma cases were specifically attributable to TRAP. Compliance with the WHO air quality guidelines prevented up to 29 cases. Using national versus local baseline childhood asthma incidence rates with differing underlying asthma definitions resulted in up to 322% as many attributable cases. Air pollution is estimated to cause a large, but preventable, childhood asthma burden. The burden of disease varied depending on the pollutant selected.","author":[{"dropping-particle":"","family":"Khreis","given":"Haneen","non-dropping-particle":"","parse-names":false,"suffix":""},{"dropping-particle":"","family":"Ramani","given":"Tara","non-dropping-particle":"","parse-names":false,"suffix":""},{"dropping-particle":"","family":"Hoogh","given":"Kees","non-dropping-particle":"de","parse-names":false,"suffix":""},{"dropping-particle":"","family":"Mueller","given":"Natalie","non-dropping-particle":"","parse-names":false,"suffix":""},{"dropping-particle":"","family":"Rojas-Rueda","given":"David","non-dropping-particle":"","parse-names":false,"suffix":""},{"dropping-particle":"","family":"Zietsman","given":"Joe","non-dropping-particle":"","parse-names":false,"suffix":""},{"dropping-particle":"","family":"Nieuwenhuijsen","given":"Mark J.","non-dropping-particle":"","parse-names":false,"suffix":""}],"container-title":"International Journal of Transportation Science and Technology","id":"ITEM-1","issue":"2","issued":{"date-parts":[["2019","6","1"]]},"page":"116-128","publisher":"Elsevier","title":"Traffic-related air pollution and the local burden of childhood asthma in Bradford, UK","type":"article-journal","volume":"8"},"uris":["http://www.mendeley.com/documents/?uuid=dd8572e8-0ea0-3996-b7d6-0f1eda72558c"]},{"id":"ITEM-2","itemData":{"DOI":"10.1016/j.cdtm.2018.03.003","ISSN":"2095882X","abstract":"Air pollution is a global health threat and causes millions of human deaths annually. The late onset of respiratory diseases in children and adults due to prenatal or perinatal exposure to air pollutants is emerging as a critical concern in human health. Pregnancy and fetal development stages are highly susceptible to environmental exposure and tend to develop a long-term impact in later life. In this review, we briefly glance at the direct impact of outdoor and indoor air pollutants on lung diseases and pregnancy disorders. We further focus on lung complications in later life with early exposure to air pollutants. Epidemiological evidence is provided to show the association of prenatal or perinatal exposure to air pollutants with various adverse birth outcomes, such as preterm birth, lower birth weight, and lung developmental defects, which further associate with respiratory diseases and reduced lung function in children and adults. Mechanistic evidence is also discussed to support that air pollutants impact various cellular and molecular targets at early life, which link to the pathogenesis and altered immune responses related to abnormal respiratory functions and lung diseases in later life.","author":[{"dropping-particle":"","family":"Kim","given":"Dasom","non-dropping-particle":"","parse-names":false,"suffix":""},{"dropping-particle":"","family":"Chen","given":"Zi","non-dropping-particle":"","parse-names":false,"suffix":""},{"dropping-particle":"","family":"Zhou","given":"Lin-Fu","non-dropping-particle":"","parse-names":false,"suffix":""},{"dropping-particle":"","family":"Huang","given":"Shou-Xiong","non-dropping-particle":"","parse-names":false,"suffix":""}],"container-title":"Chronic Diseases and Translational Medicine","id":"ITEM-2","issue":"2","issued":{"date-parts":[["2018","6"]]},"page":"75-94","publisher":"Elsevier BV","title":"Air pollutants and early origins of respiratory diseases","type":"article-journal","volume":"4"},"uris":["http://www.mendeley.com/documents/?uuid=a57b342d-dbde-3744-81f2-245915edc028"]},{"id":"ITEM-3","itemData":{"DOI":"10.1016/j.rmed.2018.11.019","ISSN":"09546111","PMID":"30665519","abstract":"Accumulating evidence has shown the effects of air pollution on respiratory disease and lung cancer mortality, but the evidence is still inconclusive to date. We conducted a time-series analysis, which included 10388 subjects, to assess the short-term effects of air pollution on respiratory disease and lung cancer mortality in Hefei, China, from 2009 to 2015. The mean concentrations of pollutants (PM10, NO2 and SO2) were 106.35, 30.40, and 20.66 μg/m3, respectively, during the study period. An increase of 10 μg/m3 in SO2, NO2, and PM10 was associated with 7.69% (95%CI: 3.41%–12.15%), 4.38% (95%CI: 1.33%–7.53%), and 1.55% (95%CI: 0.80%–2.30%) increase of respiratory diseases mortality, respectively. In contrast, lung cancer mortality was only significantly associated with SO2 level. Subgroup analyses showed that female in respiratory disease patients were more sensitive to air pollution than male. Studies about seasonality of pollutants on respiratory and lung cancer mortality were inconsistent. Further analyses with multiple-pollutant model showed that the effects of pollutants were generally decreased after the other pollutants were adjusted, except the effects of SO2 on lung cancer. These findings demonstrated that air pollution could evidently increase the respiratory disease and lung cancer mortality.","author":[{"dropping-particle":"","family":"Zhu","given":"Furong","non-dropping-particle":"","parse-names":false,"suffix":""},{"dropping-particle":"","family":"Ding","given":"Rui","non-dropping-particle":"","parse-names":false,"suffix":""},{"dropping-particle":"","family":"Lei","given":"Ruoqian","non-dropping-particle":"","parse-names":false,"suffix":""},{"dropping-particle":"","family":"Cheng","given":"Han","non-dropping-particle":"","parse-names":false,"suffix":""},{"dropping-particle":"","family":"Liu","given":"Jie","non-dropping-particle":"","parse-names":false,"suffix":""},{"dropping-particle":"","family":"Shen","given":"Chaowei","non-dropping-particle":"","parse-names":false,"suffix":""},{"dropping-particle":"","family":"Zhang","given":"Chao","non-dropping-particle":"","parse-names":false,"suffix":""},{"dropping-particle":"","family":"Xu","given":"Yachun","non-dropping-particle":"","parse-names":false,"suffix":""},{"dropping-particle":"","family":"Xiao","given":"Changchun","non-dropping-particle":"","parse-names":false,"suffix":""},{"dropping-particle":"","family":"Li","given":"Xiaoru","non-dropping-particle":"","parse-names":false,"suffix":""},{"dropping-particle":"","family":"Zhang","given":"Junqing","non-dropping-particle":"","parse-names":false,"suffix":""},{"dropping-particle":"","family":"Cao","given":"Jiyu","non-dropping-particle":"","parse-names":false,"suffix":""}],"container-title":"Respiratory Medicine","id":"ITEM-3","issued":{"date-parts":[["2019","1","1"]]},"page":"57-65","publisher":"W.B. Saunders","title":"The short-term effects of air pollution on respiratory diseases and lung cancer mortality in Hefei: A time-series analysis","type":"article-journal","volume":"146"},"uris":["http://www.mendeley.com/documents/?uuid=3a54fd5b-9e0f-36c0-8525-bdf7b7bdd958"]}],"mendeley":{"formattedCitation":"(Khreis et al., 2019; Kim et al., 2018; Zhu et al., 2019)","plainTextFormattedCitation":"(Khreis et al., 2019; Kim et al., 2018; Zhu et al., 2019)","previouslyFormattedCitation":"(Khreis et al., 2019; Kim et al., 2018; Zhu et al., 2019)"},"properties":{"noteIndex":0},"schema":"https://github.com/citation-style-language/schema/raw/master/csl-citation.json"}</w:instrText>
      </w:r>
      <w:r w:rsidRPr="007F3C5D">
        <w:fldChar w:fldCharType="separate"/>
      </w:r>
      <w:r w:rsidRPr="007F3C5D">
        <w:rPr>
          <w:noProof/>
        </w:rPr>
        <w:t>(Khreis et al., 2019; Kim et al., 2018; Zhu et al., 2019)</w:t>
      </w:r>
      <w:r w:rsidRPr="007F3C5D">
        <w:fldChar w:fldCharType="end"/>
      </w:r>
      <w:r w:rsidRPr="007F3C5D">
        <w:t>. Additionally, i</w:t>
      </w:r>
      <w:r w:rsidR="0051705A" w:rsidRPr="007F3C5D">
        <w:t xml:space="preserve">n recent years, evidence has been accumulating that air pollution may negatively affect the central nervous system (CNS) and contribute to </w:t>
      </w:r>
      <w:r w:rsidR="006241A8" w:rsidRPr="007F3C5D">
        <w:t xml:space="preserve">neurodegenerative </w:t>
      </w:r>
      <w:r w:rsidR="0051705A" w:rsidRPr="007F3C5D">
        <w:t>diseases</w:t>
      </w:r>
      <w:r w:rsidR="00645852" w:rsidRPr="007F3C5D">
        <w:t xml:space="preserve">, such as Parkinson’s </w:t>
      </w:r>
      <w:r w:rsidR="00E67CEB" w:rsidRPr="007F3C5D">
        <w:t>D</w:t>
      </w:r>
      <w:r w:rsidR="00645852" w:rsidRPr="007F3C5D">
        <w:t xml:space="preserve">isease (PD) and Alzheimer’s </w:t>
      </w:r>
      <w:r w:rsidR="00E67CEB" w:rsidRPr="007F3C5D">
        <w:t>D</w:t>
      </w:r>
      <w:r w:rsidR="00645852" w:rsidRPr="007F3C5D">
        <w:t xml:space="preserve">isease (AD) </w:t>
      </w:r>
      <w:r w:rsidR="0051705A" w:rsidRPr="007F3C5D">
        <w:fldChar w:fldCharType="begin" w:fldLock="1"/>
      </w:r>
      <w:r w:rsidR="003D0B53" w:rsidRPr="007F3C5D">
        <w:instrText>ADDIN CSL_CITATION {"citationItems":[{"id":"ITEM-1","itemData":{"DOI":"10.3390/ijerph182111568","ISSN":"1660-4601","PMID":"34770082","abstract":"We appraise newly accumulated evidence of the impact of particle pollution on the brain, the portals of entry, the neural damage mechanisms, and ultimately the neurological and psychiatric outcomes statistically associated with exposures. PM pollution comes from natural and anthropogenic sources such as fossil fuel combustion, engineered nanoparticles (NP ≤ 100 nm), wildfires, and wood burning. We are all constantly exposed during normal daily activities to some level of particle pollution of various sizes—PM2.5 (≤2.5 µm), ultrafine PM (UFP ≤ 100 nm), or NPs. Inhalation, ingestion, and dermal absorption are key portals of entry. Selected literature provides context for the US Environmental Protection Agency (US EPA) ambient air quality standards, the conclusions of an Independent Particulate Matter Review Panel, the importance of internal combustion emissions, and evidence suggesting UFPs/NPs cross biological barriers and reach the brain. NPs produce oxidative stress and neuroinflammation, neurovascular unit, mitochondrial, endoplasmic reticulum and DNA damage, protein aggregation and misfolding, and other effects. Exposure to ambient PM2.5 concentrations at or below current US standards can increase the risk for TIAs, ischemic and hemorrhagic stroke, cognitive deficits, dementia, and Alzheimer’s and Parkinson’s diseases. Residing in a highly polluted megacity is associated with Alzheimer neuropathology hallmarks in 99.5% of residents between 11 months and ≤40 y. PD risk and aggravation are linked to air pollution and exposure to diesel exhaust increases ALS risk. Overall, the literature supports that particle pollution contributes to targeted neurological and psychiatric outcomes and highlights the complexity of the pathophysiologic mechanisms and the marked differences in pollution profiles inducing neural damage. Factors such as emission source intensity, genetics, nutrition, comorbidities, and others also play a role. PM2.5 is a threat for neurological and psychiatric diseases. Thus, future research should address specifically the potential role of UFPs/NPs in inducing neural damage.","author":[{"dropping-particle":"","family":"Calderón-Garcidueñas","given":"Lilian","non-dropping-particle":"","parse-names":false,"suffix":""},{"dropping-particle":"","family":"Stommel","given":"Elijah W.","non-dropping-particle":"","parse-names":false,"suffix":""},{"dropping-particle":"","family":"Rajkumar","given":"Ravi Philip","non-dropping-particle":"","parse-names":false,"suffix":""},{"dropping-particle":"","family":"Mukherjee","given":"Partha S.","non-dropping-particle":"","parse-names":false,"suffix":""},{"dropping-particle":"","family":"Ayala","given":"Alberto","non-dropping-particle":"","parse-names":false,"suffix":""}],"container-title":"International Journal of Environmental Research and Public Health","id":"ITEM-1","issue":"21","issued":{"date-parts":[["2021","11","3"]]},"page":"11568","publisher":"MDPI","title":"Particulate Air Pollution and Risk of Neuropsychiatric Outcomes. What We Breathe, Swallow, and Put on Our Skin Matters","type":"article-journal","volume":"18"},"uris":["http://www.mendeley.com/documents/?uuid=a68331b9-79ea-3354-a3b2-7d611fba7384"]},{"id":"ITEM-2","itemData":{"DOI":"10.1016/j.tins.2009.05.009","ISSN":"01662236","PMID":"19716187","abstract":"Air pollution has been implicated as a chronic source of neuroinflammation and reactive oxygen species (ROS) that produce neuropathology and central nervous system (CNS) disease. Stroke incidence and Alzheimer's and Parkinson's disease pathology are linked to air pollution. Recent reports reveal that air pollution components reach the brain; systemic effects that impact lung and cardiovascular disease also impinge upon CNS health. While mechanisms driving air pollution-induced CNS pathology are poorly understood, new evidence suggests that microglial activation and changes in the blood-brain barrier are key components. Here we summarize recent findings detailing the mechanisms through which air pollution reaches the brain and activates the resident innate immune response to become a chronic source of pro-inflammatory factors and ROS, culminating in CNS disease. © 2009 Elsevier Ltd. All rights reserved.","author":[{"dropping-particle":"","family":"Block","given":"Michelle L.","non-dropping-particle":"","parse-names":false,"suffix":""},{"dropping-particle":"","family":"Calderón-Garcidueñas","given":"Lilian","non-dropping-particle":"","parse-names":false,"suffix":""}],"container-title":"Trends in Neurosciences","id":"ITEM-2","issue":"9","issued":{"date-parts":[["2009","9"]]},"page":"506-516","publisher":"NIH Public Access","title":"Air pollution: mechanisms of neuroinflammation and CNS disease","type":"article-journal","volume":"32"},"uris":["http://www.mendeley.com/documents/?uuid=1fc28995-8090-4d3e-8e70-a525b41fc555"]},{"id":"ITEM-3","itemData":{"DOI":"10.1016/J.ENVINT.2017.08.020","ISSN":"18736750","PMID":"28917207","abstract":"Introduction Emerging studies have implicated air pollution in the neurodegenerative processes. Less is known about the influence of air pollution, especially at the relatively low levels, on developing dementia. We conducted a population-based cohort study in Ontario, Canada, where the concentrations of pollutants are among the lowest in the world, to assess whether air pollution exposure is associated with incident dementia. Methods The study population comprised all Ontario residents who, on 1 April 2001, were 55–85 years old, Canadian-born, and free of physician-diagnosed dementia (~ 2.1 million individuals). Follow-up extended until 2013. We used population-based health administrative databases with a validated algorithm to ascertain incident diagnosis of dementia as well as prevalent cases. Using satellite observations, land-use regression model, and an optimal interpolation method, we derived long-term average exposure to fine particulate matter (≤ 2.5 μm in diameter) (PM2.5), nitrogen dioxide (NO2), and ozone (O3), respectively at the subjects' historical residences based on a population-based registry. We used multilevel spatial random-effects Cox proportional hazards models, adjusting for individual and contextual factors, such as diabetes, brain injury, and neighborhood income. We conducted various sensitivity analyses, such as lagging exposure up to 10 years and considering a negative control outcome for which no (or weaker) association with air pollution is expected. Results We identified 257,816 incident cases of dementia in 2001–2013. We found a positive association between PM2.5 and dementia incidence, with a hazard ratio (HR) of 1.04 (95% confidence interval (CI): 1.03–1.05) for every interquartile-range increase in exposure to PM2.5. Similarly, NO2 was associated with increased incidence of dementia (HR = 1.10; 95% CI: 1.08–1.12). No association was found for O3. These associations were robust to all sensitivity analyses examined. These estimates translate to 6.1% of dementia cases (or 15,813 cases) attributable to PM2.5 and NO2, based on the observed distribution of exposure relative to the lowest quartile in concentrations in this cohort. Discussion In this large cohort, exposure to air pollution, even at the relative low levels, was associated with higher dementia incidence.","author":[{"dropping-particle":"","family":"Chen","given":"Hong","non-dropping-particle":"","parse-names":false,"suffix":""},{"dropping-particle":"","family":"Kwong","given":"Jeffrey C.","non-dropping-particle":"","parse-names":false,"suffix":""},{"dropping-particle":"","family":"Copes","given":"Ray","non-dropping-particle":"","parse-names":false,"suffix":""},{"dropping-particle":"","family":"Hystad","given":"Perry","non-dropping-particle":"","parse-names":false,"suffix":""},{"dropping-particle":"","family":"Donkelaar","given":"Aaron","non-dropping-particle":"van","parse-names":false,"suffix":""},{"dropping-particle":"","family":"Tu","given":"Karen","non-dropping-particle":"","parse-names":false,"suffix":""},{"dropping-particle":"","family":"Brook","given":"Jeffrey R.","non-dropping-particle":"","parse-names":false,"suffix":""},{"dropping-particle":"","family":"Goldberg","given":"Mark S.","non-dropping-particle":"","parse-names":false,"suffix":""},{"dropping-particle":"V.","family":"Martin","given":"Randall","non-dropping-particle":"","parse-names":false,"suffix":""},{"dropping-particle":"","family":"Murray","given":"Brian J.","non-dropping-particle":"","parse-names":false,"suffix":""},{"dropping-particle":"","family":"Wilton","given":"Andrew S.","non-dropping-particle":"","parse-names":false,"suffix":""},{"dropping-particle":"","family":"Kopp","given":"Alexander","non-dropping-particle":"","parse-names":false,"suffix":""},{"dropping-particle":"","family":"Burnett","given":"Richard T.","non-dropping-particle":"","parse-names":false,"suffix":""}],"container-title":"Environment International","id":"ITEM-3","issued":{"date-parts":[["2017"]]},"page":"271-277","publisher":"Elsevier Ltd","title":"Exposure to ambient air pollution and the incidence of dementia: A population-based cohort study","type":"article-journal","volume":"108"},"uris":["http://www.mendeley.com/documents/?uuid=f3270a52-3375-3e67-b3d5-20af0485c134"]},{"id":"ITEM-4","itemData":{"DOI":"10.1038/S41467-021-27049-2","ISSN":"20411723","PMID":"34799599","abstract":"Air pollution may increase risk of Alzheimer’s disease and related dementias (ADRD) in the U.S., but the extent of this relationship is unclear. Here, we constructed two national U.S. population-based cohorts of those aged ≥65 from the Medicare Chronic Conditions Warehouse (2000–2018), combined with high-resolution air pollution datasets, to investigate the association of long-term exposure to ambient fine particulate matter (PM2.5), nitrogen dioxide (NO2), and ozone (O3) with dementia and AD incidence, respectively. We identified ~2.0 million incident dementia cases (N = 12,233,371; dementia cohort) and ~0.8 million incident AD cases (N = 12,456,447; AD cohort). Per interquartile range (IQR) increase in the 5-year average PM2.5 (3.2 µg/m3), NO2 (11.6 ppb), and warm-season O3 (5.3 ppb) over the past 5 years prior to diagnosis, the hazard ratios (HRs) were 1.060 (95% confidence interval [CI]: 1.054, 1.066), 1.019 (95% CI: 1.012, 1.026), and 0.990 (95% CI: 0.987, 0.993) for incident dementias, and 1.078 (95% CI: 1.070, 1.086), 1.031 (95% CI: 1.023, 1.039), and 0.982 (95%CI: 0.977, 0.986) for incident AD, respectively, for the three pollutants. For both outcomes, concentration-response relationships for PM2.5 and NO2 were approximately linear. Our study suggests that exposures to PM2.5 and NO2 are associated with incidence of dementia and AD.","author":[{"dropping-particle":"","family":"Shi","given":"Liuhua","non-dropping-particle":"","parse-names":false,"suffix":""},{"dropping-particle":"","family":"Steenland","given":"Kyle","non-dropping-particle":"","parse-names":false,"suffix":""},{"dropping-particle":"","family":"Li","given":"Haomin","non-dropping-particle":"","parse-names":false,"suffix":""},{"dropping-particle":"","family":"Liu","given":"Pengfei","non-dropping-particle":"","parse-names":false,"suffix":""},{"dropping-particle":"","family":"Zhang","given":"Yuhan","non-dropping-particle":"","parse-names":false,"suffix":""},{"dropping-particle":"","family":"Lyles","given":"Robert H.","non-dropping-particle":"","parse-names":false,"suffix":""},{"dropping-particle":"","family":"Requia","given":"Weeberb J.","non-dropping-particle":"","parse-names":false,"suffix":""},{"dropping-particle":"","family":"Ilango","given":"Sindana D.","non-dropping-particle":"","parse-names":false,"suffix":""},{"dropping-particle":"","family":"Chang","given":"Howard H.","non-dropping-particle":"","parse-names":false,"suffix":""},{"dropping-particle":"","family":"Wingo","given":"Thomas","non-dropping-particle":"","parse-names":false,"suffix":""},{"dropping-particle":"","family":"Weber","given":"Rodney J.","non-dropping-particle":"","parse-names":false,"suffix":""},{"dropping-particle":"","family":"Schwartz","given":"Joel","non-dropping-particle":"","parse-names":false,"suffix":""}],"container-title":"Nature Communications","id":"ITEM-4","issue":"1","issued":{"date-parts":[["2021","12","1"]]},"publisher":"Nature Research","title":"A national cohort study (2000–2018) of long-term air pollution exposure and incident dementia in older adults in the United States","type":"article-journal","volume":"12"},"uris":["http://www.mendeley.com/documents/?uuid=3aa83c13-2583-3595-9611-c71c2a870c9a"]},{"id":"ITEM-5","itemData":{"DOI":"10.1093/IJE/DYY172","ISSN":"14643685","PMID":"30124852","abstract":"Background: Despite recent studies linking air pollution to neurodegenerative illness, evidence relating air pollution and Parkinson’s disease (PD) remains scarce. We conducted a population-based cohort study in Ontario, Canada, to determine the association between air pollution and incident PD. Methods: Using health administrative databases, we identified all adults aged 55–85 years, free of PD, and who lived in Ontario on 1 April 2001 (2.2 million). Individuals were followed up until 31 March 2013. We derived long-term average exposures to fine particulate matter (particles 2.5 mm in diameter, or PM2.5), nitrogen dioxide (NO2) and ozone from satellite-based estimates, land-use regression models and optimal interpolation methods, respectively. Using 2-year lags in exposures, we linked these estimates to individuals’ annual postal codes from 1994 (7 years before cohort inception). We applied spatial random-effects Cox proportional hazards models, adjusting for individual- and area-level characteristics. We also performed sensitivity analyses, such as considering longer lags in exposures and stratifying by selected characteristics. Results: During the study period, we identified 38 745 newly diagnosed cases of PD. Each interquartile increment (3.8 mg/m3) of PM2.5 was associated with a 4% increase in incident PD (95% confidence interval, 1.01–1.08) after adjusting for various covariates. We also found positive associations for NO2 and ozone [hazard ratios (HRs) ranged from 1.03 to 1.04]. The associations for all exposures were unaltered with various sensitivity analyses except for considering longer lags, which somewhat attenuated the estimates, particularly for NO2 and ozone. Conclusions: Exposure to air pollution, especially PM2.5, was found to be related to incident PD.","author":[{"dropping-particle":"","family":"Shin","given":"Saeha","non-dropping-particle":"","parse-names":false,"suffix":""},{"dropping-particle":"","family":"Burnett","given":"Richard T.","non-dropping-particle":"","parse-names":false,"suffix":""},{"dropping-particle":"","family":"Kwong","given":"Jeffrey C.","non-dropping-particle":"","parse-names":false,"suffix":""},{"dropping-particle":"","family":"Hystad","given":"Perry","non-dropping-particle":"","parse-names":false,"suffix":""},{"dropping-particle":"","family":"Donkelaar","given":"Aaron","non-dropping-particle":"Van","parse-names":false,"suffix":""},{"dropping-particle":"","family":"Brook","given":"Jeffrey R.","non-dropping-particle":"","parse-names":false,"suffix":""},{"dropping-particle":"","family":"Copes","given":"Ray","non-dropping-particle":"","parse-names":false,"suffix":""},{"dropping-particle":"","family":"Tu","given":"Karen","non-dropping-particle":"","parse-names":false,"suffix":""},{"dropping-particle":"","family":"Goldberg","given":"Mark S.","non-dropping-particle":"","parse-names":false,"suffix":""},{"dropping-particle":"","family":"Villeneuve","given":"Paul J.","non-dropping-particle":"","parse-names":false,"suffix":""},{"dropping-particle":"V.","family":"Martin","given":"Randall","non-dropping-particle":"","parse-names":false,"suffix":""},{"dropping-particle":"","family":"Murray","given":"Brian J.","non-dropping-particle":"","parse-names":false,"suffix":""},{"dropping-particle":"","family":"Wilton","given":"Andrew S.","non-dropping-particle":"","parse-names":false,"suffix":""},{"dropping-particle":"","family":"Kopp","given":"Alexander","non-dropping-particle":"","parse-names":false,"suffix":""},{"dropping-particle":"","family":"Chen","given":"Hong","non-dropping-particle":"","parse-names":false,"suffix":""}],"container-title":"International Journal of Epidemiology","id":"ITEM-5","issue":"6","issued":{"date-parts":[["2018","12","1"]]},"page":"2038-2048","publisher":"Oxford University Press","title":"Effects of ambient air pollution on incident Parkinson’s disease in Ontario, 2001 to 2013: A population-based cohort study","type":"article-journal","volume":"47"},"uris":["http://www.mendeley.com/documents/?uuid=7f1b2773-54a2-33ec-be6f-161779828e5a"]},{"id":"ITEM-6","itemData":{"DOI":"10.1016/J.ENVINT.2021.106864","ISSN":"18736750","PMID":"34537521","abstract":"Background: Air quality contributes to incidence of Alzheimer's disease (AD) although the underlying neurobiological mechanisms are unclear. This study was aimed to examine the association between air pollution and concentrations of cerebrospinal fluid (CSF) AD biomarkers and amyloid-β (Aβ) deposition. Participants and methods The sample included 156 cognitively unimpaired adults aged 57 years (61 at biomarkers assessment) with increased risk of AD from the ALFA + Study. We examined CSF levels of Aβ42, Aβ40, p-Tau, t-Tau, neurofilament light (NfL) and cerebral amyloid load (Centiloid). A Land Use Regression model from 2009 was used to estimate residential exposure to air pollutants including nitrogen dioxide (NO2,) and particulate matter (PM2.5, PM2.5 abs, PM10). This model was considered a surrogate of long-term exposure until time of data collection in 2013–2014. Participants have resided in the same residence for at least the previous 3 years. Multiple linear regression models were used to estimate associations between air pollutants and biomarkers. The effect modification by CSF Aβ status and APOE-ε4 carriership was also assessed. Results: A consistent pattern of results indicated that greater exposure to NO2 and PM2.5 absorbance was associated with higher levels of brain Aβ deposition, while greater exposure to PM10 and PM2.5was associated with higher levels of CSF NfL. Most associations were driven by individuals that were Aβ-positive. Although APOE-ε4 status did not significantly modify these associations, the effect of air pollutants exposure on CSF NfL levels was stronger in APOE-ε4 carriers. Conclusion: In a population of cognitively unimpaired adults with increased risk of AD, long-term exposure to air pollution was associated with higher levels in biomarkers of AD pathology. While further research is granted to elucidate the mechanisms involved in such associations, our results reinforce the role of air pollution as an environmental risk factor for AD.","author":[{"dropping-particle":"","family":"Alemany","given":"Silvia","non-dropping-particle":"","parse-names":false,"suffix":""},{"dropping-particle":"","family":"Crous-Bou","given":"Marta","non-dropping-particle":"","parse-names":false,"suffix":""},{"dropping-particle":"","family":"Vilor-Tejedor","given":"Natalia","non-dropping-particle":"","parse-names":false,"suffix":""},{"dropping-particle":"","family":"Milà-Alomà","given":"Marta","non-dropping-particle":"","parse-names":false,"suffix":""},{"dropping-particle":"","family":"Suárez-Calvet","given":"Marc","non-dropping-particle":"","parse-names":false,"suffix":""},{"dropping-particle":"","family":"Salvadó","given":"Gemma","non-dropping-particle":"","parse-names":false,"suffix":""},{"dropping-particle":"","family":"Cirach","given":"Marta","non-dropping-particle":"","parse-names":false,"suffix":""},{"dropping-particle":"","family":"Arenaza-Urquijo","given":"Eider M.","non-dropping-particle":"","parse-names":false,"suffix":""},{"dropping-particle":"","family":"Sanchez-Benavides","given":"Gonzalo","non-dropping-particle":"","parse-names":false,"suffix":""},{"dropping-particle":"","family":"Grau-Rivera","given":"Oriol","non-dropping-particle":"","parse-names":false,"suffix":""},{"dropping-particle":"","family":"Minguillon","given":"Carolina","non-dropping-particle":"","parse-names":false,"suffix":""},{"dropping-particle":"","family":"Fauria","given":"Karine","non-dropping-particle":"","parse-names":false,"suffix":""},{"dropping-particle":"","family":"Kollmorgen","given":"Gwendlyn","non-dropping-particle":"","parse-names":false,"suffix":""},{"dropping-particle":"","family":"Domingo Gispert","given":"Juan","non-dropping-particle":"","parse-names":false,"suffix":""},{"dropping-particle":"","family":"Gascón","given":"Mireia","non-dropping-particle":"","parse-names":false,"suffix":""},{"dropping-particle":"","family":"Nieuwenhuijsen","given":"Mark","non-dropping-particle":"","parse-names":false,"suffix":""},{"dropping-particle":"","family":"Zetterberg","given":"Henrik","non-dropping-particle":"","parse-names":false,"suffix":""},{"dropping-particle":"","family":"Blennow","given":"Kaj","non-dropping-particle":"","parse-names":false,"suffix":""},{"dropping-particle":"","family":"Sunyer","given":"Jordi","non-dropping-particle":"","parse-names":false,"suffix":""},{"dropping-particle":"","family":"Luis Molinuevo","given":"José","non-dropping-particle":"","parse-names":false,"suffix":""}],"container-title":"Environment International","id":"ITEM-6","issued":{"date-parts":[["2021","12","1"]]},"publisher":"Elsevier Ltd","title":"Associations between air pollution and biomarkers of Alzheimer's disease in cognitively unimpaired individuals","type":"article-journal","volume":"157"},"uris":["http://www.mendeley.com/documents/?uuid=dc09cc2e-6b49-373b-8897-2f9f2d0f658e"]}],"mendeley":{"formattedCitation":"(Alemany et al., 2021; Block &amp; Calderón-Garcidueñas, 2009; Calderón-Garcidueñas et al., 2021; H. Chen et al., 2017; Shi et al., 2021; Shin et al., 2018)","plainTextFormattedCitation":"(Alemany et al., 2021; Block &amp; Calderón-Garcidueñas, 2009; Calderón-Garcidueñas et al., 2021; H. Chen et al., 2017; Shi et al., 2021; Shin et al., 2018)","previouslyFormattedCitation":"(Alemany et al., 2021; Block &amp; Calderón-Garcidueñas, 2009; Calderón-Garcidueñas et al., 2021; H. Chen et al., 2017; Shi et al., 2021; Shin et al., 2018)"},"properties":{"noteIndex":0},"schema":"https://github.com/citation-style-language/schema/raw/master/csl-citation.json"}</w:instrText>
      </w:r>
      <w:r w:rsidR="0051705A" w:rsidRPr="007F3C5D">
        <w:fldChar w:fldCharType="separate"/>
      </w:r>
      <w:r w:rsidR="003D0B53" w:rsidRPr="007F3C5D">
        <w:rPr>
          <w:noProof/>
        </w:rPr>
        <w:t>(Alemany et al., 2021; Block &amp; Calderón-Garcidueñas, 2009; Calderón-Garcidueñas et al., 2021; H. Chen et al., 2017; Shi et al., 2021; Shin et al., 2018)</w:t>
      </w:r>
      <w:r w:rsidR="0051705A" w:rsidRPr="007F3C5D">
        <w:fldChar w:fldCharType="end"/>
      </w:r>
      <w:r w:rsidR="0051705A" w:rsidRPr="007F3C5D">
        <w:t xml:space="preserve">. </w:t>
      </w:r>
      <w:r w:rsidR="003D6BB3" w:rsidRPr="007F3C5D">
        <w:t>O</w:t>
      </w:r>
      <w:r w:rsidR="0051705A" w:rsidRPr="007F3C5D">
        <w:t>xidative stress and neuroinflammation are thought to be the primary mechanisms of air pollution</w:t>
      </w:r>
      <w:r w:rsidR="003D6BB3" w:rsidRPr="007F3C5D">
        <w:t>-induced</w:t>
      </w:r>
      <w:r w:rsidR="0051705A" w:rsidRPr="007F3C5D">
        <w:t xml:space="preserve"> neurotoxicity</w:t>
      </w:r>
      <w:r w:rsidR="003D6BB3" w:rsidRPr="007F3C5D">
        <w:t>. Importantly, those mechanism</w:t>
      </w:r>
      <w:r w:rsidR="0051705A" w:rsidRPr="007F3C5D">
        <w:t xml:space="preserve"> are considered to be involved in </w:t>
      </w:r>
      <w:r w:rsidR="003D6BB3" w:rsidRPr="007F3C5D">
        <w:t xml:space="preserve">the onset and progression of </w:t>
      </w:r>
      <w:r w:rsidR="0051705A" w:rsidRPr="007F3C5D">
        <w:t xml:space="preserve">various neurodegenerative diseases </w:t>
      </w:r>
      <w:r w:rsidR="0051705A" w:rsidRPr="007F3C5D">
        <w:fldChar w:fldCharType="begin" w:fldLock="1"/>
      </w:r>
      <w:r w:rsidR="00165580" w:rsidRPr="007F3C5D">
        <w:instrText xml:space="preserve">ADDIN CSL_CITATION {"citationItems":[{"id":"ITEM-1","itemData":{"DOI":"10.1186/1743-8977-7-12","ISSN":"17438977","PMID":"20478040","abstract":"Background: The etiology and progression of neurodegenerative disorders depends on the interactions between a variety of factors including: aging, environmental exposures, and genetic susceptibility factors. Enhancement of proinflammatory events appears to be a common link in different neurological impairments, including Alzheimer's disease, Parkinson's disease, amyotrophic lateral sclerosis, and multiple sclerosis. Studies have shown a link between exposure to particulate matter (PM), present in air pollution, and enhancement of central nervous system proinflammatory markers. In the present study, the association between exposure to air pollution (AP), derived from a specific source (diesel engine), and neuroinflammation was investigated. To elucidate whether specific regions of the brain are more susceptible to exposure to diesel-derived AP, various loci of the brain were separately analyzed. Rats were exposed for 6 hrs a day, 5 days a week, for 4 weeks to diesel engine exhaust (DEE) using a nose-only exposure chamber. The day after the final exposure, the brain was dissected into the following regions: cerebellum, frontal cortex, hippocampus, olfactory bulb and tubercles, and the striatum.Results: Baseline levels of the pro-inflammatory cytokines tumor necrosis factor alpha (TNF-α) and interleukin-1 alpha (IL-1α) were dependent on the region analyzed and increased in the striatum after exposure to DEE. In addition, baseline level of activation of the transcription factors (NF-κB) and (AP-1) was also region dependent but the levels were not significantly altered after exposure to DEE. A similar, though not significant, trend was seen with the mRNA expression levels of TNF-α and TNF Receptor-subtype I (TNF-RI).Conclusions: Our results indicate that different brain regions may be uniquely responsive to changes induced by exposure to DEE. This study once more underscores the role of neuroinflammation in response to ambient air pollution, however, it is valuable to assess if and to what extent the observed changes may impact the normal function and cellular integrity of unique brain regions. © 2010 Gerlofs-Nijland et al; licensee BioMed Central Ltd.","author":[{"dropping-particle":"","family":"Gerlofs-Nijland","given":"Miriam E.","non-dropping-particle":"","parse-names":false,"suffix":""},{"dropping-particle":"","family":"Berlo","given":"Damien","non-dropping-particle":"van","parse-names":false,"suffix":""},{"dropping-particle":"","family":"Cassee","given":"Flemming R.","non-dropping-particle":"","parse-names":false,"suffix":""},{"dropping-particle":"","family":"Schins","given":"Roel P.F. F","non-dropping-particle":"","parse-names":false,"suffix":""},{"dropping-particle":"","family":"Wang","given":"Kate","non-dropping-particle":"","parse-names":false,"suffix":""},{"dropping-particle":"","family":"Campbell","given":"Arezoo","non-dropping-particle":"","parse-names":false,"suffix":""}],"container-title":"Particle and Fibre Toxicology","id":"ITEM-1","issued":{"date-parts":[["2010"]]},"page":"1-10","title":"Effect of prolonged exposure to diesel engine exhaust on proinflammatory markers in different regions of the rat brain","type":"article-journal","volume":"7"},"uris":["http://www.mendeley.com/documents/?uuid=f3693499-6f5d-4a55-8049-ddf36c2d1d45"]},{"id":"ITEM-2","itemData":{"DOI":"10.1186/1742-2094-8-105","ISSN":"1742-2094","PMID":"21864400","abstract":"Background: Increasing evidence links diverse forms of air pollution to neuroinflammation and neuropathology in both human and animal models, but the effects of long-term exposures are poorly understood.Objective: We explored the central nervous system consequences of subchronic exposure to diesel exhaust (DE) and addressed the minimum levels necessary to elicit neuroinflammation and markers of early neuropathology.Methods: Male Fischer 344 rats were exposed to DE (992, 311, 100, 35 and 0 μg PM/m3) by inhalation over 6 months.Results: DE exposure resulted in elevated levels of TNFα at high concentrations in all regions tested, with the exception of the cerebellum. The midbrain region was the most sensitive, where exposures as low as 100 μg PM/m3significantly increased brain TNFα levels. However, this sensitivity to DE was not conferred to all markers of neuroinflammation, as the midbrain showed no increase in IL-6 expression at any concentration tested, an increase in IL-1β at only high concentrations, and a decrease in MIP-1α expression, supporting that compensatory mechanisms may occur with subchronic exposure. Aβ42 levels were the highest in the frontal lobe of mice exposed to 992 μg PM/m3and tau [pS199] levels were elevated at the higher DE concentrations (992 and 311 μg PM/m3) in both the temporal lobe and frontal lobe, indicating that proteins linked to preclinical Alzheimer's disease were affected. α Synuclein levels were elevated in the midbrain in response to the 992 μg PM/m3exposure, supporting that air pollution may be associated with early Parkinson's disease-like pathology.Conclusions: Together, the data support that the midbrain may be more sensitive to the neuroinflammatory effects of subchronic air pollution exposure. However, the DE-induced elevation of proteins associated with neurodegenerative diseases was limited to only the higher exposures, suggesting that air pollution-induced neuroinflammation may precede preclinical markers of neurodegenerative disease in the midbrain. © 2011 Levesque et al; licensee BioMed Central Ltd.","author":[{"dropping-particle":"","family":"Levesque","given":"Shannon","non-dropping-particle":"","parse-names":false,"suffix":""},{"dropping-particle":"","family":"Surace","given":"Michael J.","non-dropping-particle":"","parse-names":false,"suffix":""},{"dropping-particle":"","family":"McDonald","given":"Jacob","non-dropping-particle":"","parse-names":false,"suffix":""},{"dropping-particle":"","family":"Block","given":"Michelle L.","non-dropping-particle":"","parse-names":false,"suffix":""}],"container-title":"Journal of Neuroinflammation","id":"ITEM-2","issue":"1","issued":{"date-parts":[["2011","12","24"]]},"page":"105","title":"Air pollution &amp; the brain: Subchronic diesel exhaust exposure causes neuroinflammation and elevates early markers of neurodegenerative disease","type":"article-journal","volume":"8"},"uris":["http://www.mendeley.com/documents/?uuid=565500ad-7898-323d-84c9-80eab310994c"]},{"id":"ITEM-3","itemData":{"DOI":"10.1155/2012/782462","ISSN":"1687-8191","PMID":"22523490","abstract":"Exposure to ambient air pollution is a serious and common public health concern associated with growing morbidity and mortality worldwide. In the last decades, the adverse effects of air pollution on the pulmonary and cardiovascular systems have been well established in a series of major epidemiological and observational studies. In the recent past, air pollution has also been associated with diseases of the central nervous system (CNS), including stroke, Alzheimer’s disease, Parkinson’s disease, and neurodevelopmental disorders. It has been demonstrated that various components of air pollution, such as nanosized particles, can easily translocate to the CNS where they can activate innate immune responses. Furthermore, systemic inflammation arising from the pulmonary or cardiovascular system can affect CNS health. Despite intense studies on the health effects of ambient air pollution, the underlying molecular mechanisms of susceptibility and disease remain largely elusive. However, emerging evidence suggests that air pollution-induced neuroinflammation, oxidative stress, microglial activation, cerebrovascular dysfunction, and alterations in the blood-brain barrier contribute to CNS pathology. A </w:instrText>
      </w:r>
      <w:r w:rsidR="00165580" w:rsidRPr="001F3A90">
        <w:rPr>
          <w:lang w:val="nl-NL"/>
        </w:rPr>
        <w:instrText>better understanding of the mediators and mechanisms will enable the development of new strategies to protect individuals at risk and to reduce detrimental effects of air pollution on the nervous system and mental health.","author":[{"dropping-particle":"","family":"Genc","given":"Sermin","non-dropping-particle":"","parse-names":false,"suffix":""},{"dropping-particle":"","family":"Zadeoglulari","given":"Zeynep","non-dropping-particle":"","parse-names":false,"suffix":""},{"dropping-particle":"","family":"Fuss","given":"Stefan H","non-dropping-particle":"","parse-names":false,"suffix":""},{"dropping-particle":"","family":"Genc","given":"Kursad","non-dropping-particle":"","parse-names":false,"suffix":""}],"container-title":"Journal of Toxicology","id":"ITEM-3","issued":{"date-parts":[["2012"]]},"page":"1-23","publisher":"Hindawi Publishing Corporation","title":"The Adverse Effects of Air Pollution on the Nervous System","type":"article-journal","volume":"2012"},"uris":["http://www.mendeley.com/documents/?uuid=bf313da2-876e-4bed-b2b2-f32525b66cd9"]}],"mendeley":{"formattedCitation":"(Genc et al., 2012; Gerlofs-Nijland et al., 2010; Levesque et al., 2011)","plainTextFormattedCitation":"(Genc et al., 2012; Gerlofs-Nijland et al., 2010; Levesque et al., 2011)","previouslyFormattedCitation":"(Genc et al., 2012; Gerlofs-Nijland et al., 2010; Levesque et al., 2011)"},"properties":{"noteIndex":0},"schema":"https://github.com/citation-style-language/schema/raw/master/csl-citation.json"}</w:instrText>
      </w:r>
      <w:r w:rsidR="0051705A" w:rsidRPr="007F3C5D">
        <w:fldChar w:fldCharType="separate"/>
      </w:r>
      <w:r w:rsidR="0051705A" w:rsidRPr="001F3A90">
        <w:rPr>
          <w:noProof/>
          <w:lang w:val="nl-NL"/>
        </w:rPr>
        <w:t>(Genc et al., 2012; Gerlofs-Nijland et al., 2010; Levesque et al., 2011)</w:t>
      </w:r>
      <w:r w:rsidR="0051705A" w:rsidRPr="007F3C5D">
        <w:fldChar w:fldCharType="end"/>
      </w:r>
      <w:r w:rsidR="0051705A" w:rsidRPr="001F3A90">
        <w:rPr>
          <w:lang w:val="nl-NL"/>
        </w:rPr>
        <w:t>.</w:t>
      </w:r>
      <w:r w:rsidR="003D6BB3" w:rsidRPr="001F3A90">
        <w:rPr>
          <w:lang w:val="nl-NL"/>
        </w:rPr>
        <w:t xml:space="preserve"> </w:t>
      </w:r>
      <w:r w:rsidR="00246B82" w:rsidRPr="007F3C5D">
        <w:t>In a</w:t>
      </w:r>
      <w:r w:rsidR="00F50ED5" w:rsidRPr="007F3C5D">
        <w:t>n</w:t>
      </w:r>
      <w:r w:rsidR="00246B82" w:rsidRPr="007F3C5D">
        <w:t xml:space="preserve"> </w:t>
      </w:r>
      <w:r w:rsidR="00246B82" w:rsidRPr="007F3C5D">
        <w:rPr>
          <w:i/>
          <w:iCs/>
        </w:rPr>
        <w:t>in vi</w:t>
      </w:r>
      <w:r w:rsidR="004F3A8C" w:rsidRPr="007F3C5D">
        <w:rPr>
          <w:i/>
          <w:iCs/>
        </w:rPr>
        <w:t>vo</w:t>
      </w:r>
      <w:r w:rsidR="00246B82" w:rsidRPr="007F3C5D">
        <w:t xml:space="preserve"> study conducted by</w:t>
      </w:r>
      <w:r w:rsidR="002A6B33" w:rsidRPr="007F3C5D">
        <w:t xml:space="preserve"> </w:t>
      </w:r>
      <w:r w:rsidR="008E4D0B" w:rsidRPr="007F3C5D">
        <w:t xml:space="preserve">Campbell et al. </w:t>
      </w:r>
      <w:r w:rsidR="008E4D0B" w:rsidRPr="007F3C5D">
        <w:fldChar w:fldCharType="begin" w:fldLock="1"/>
      </w:r>
      <w:r w:rsidR="00860564" w:rsidRPr="007F3C5D">
        <w:instrText>ADDIN CSL_CITATION {"citationItems":[{"id":"ITEM-1","itemData":{"DOI":"10.1016/j.neuro.2004.08.003","ISSN":"0161813X","abstract":"The etiology of neurodegenerative disorders is at present unknown. However, many of these disorders are associated with an increase in oxidative and inflammatory events. Although a small percentage of these disorders are familial cases linked to specific genetic defects, most are idiopathic. Thus, environmental factors are thought to play an important role in the onset and progression of such disorders. We have demonstrated that exposure (4 h, 5 days per week for 2 weeks) to concentrated airborne particulate matter increases inflammatory indices in brain of ovalbumin-sensitized BALB/c mice. Animals were divided into three exposure groups: filtered air (control), ultrafine particles, or fine and ultrafine particles. The levels of proinflammatory cytokines interleukin-1 alpha (IL-1a) and tumor necrosis factor alpha (TNF-a) were increased in brain tissue of mice exposed to particulate matter compared to that of control animals. Levels of the immune-related transcription factor NF-kB were also found to be substantially elevated in the brain of exposed groups compared with the control group. These data indicate that components of inhaled particulate matter may trigger a proinflammatory response in nervous tissue that could contribute to the pathophysiology of neurodegenerative diseases.","author":[{"dropping-particle":"","family":"Campbell","given":"Arezoo","non-dropping-particle":"","parse-names":false,"suffix":""},{"dropping-particle":"","family":"Oldham","given":"M","non-dropping-particle":"","parse-names":false,"suffix":""},{"dropping-particle":"","family":"Becaria","given":"A","non-dropping-particle":"","parse-names":false,"suffix":""},{"dropping-particle":"","family":"Bondy","given":"S.C.","non-dropping-particle":"","parse-names":false,"suffix":""},{"dropping-particle":"","family":"Meacher","given":"D","non-dropping-particle":"","parse-names":false,"suffix":""},{"dropping-particle":"","family":"Sioutas","given":"C","non-dropping-particle":"","parse-names":false,"suffix":""},{"dropping-particle":"","family":"Misra","given":"C","non-dropping-particle":"","parse-names":false,"suffix":""},{"dropping-particle":"","family":"Mendez","given":"L.B.","non-dropping-particle":"","parse-names":false,"suffix":""},{"dropping-particle":"","family":"Kleinman","given":"M","non-dropping-particle":"","parse-names":false,"suffix":""}],"container-title":"NeuroToxicology","id":"ITEM-1","issue":"1","issued":{"date-parts":[["2005","1"]]},"page":"133-140","title":"Particulate Matter in Polluted Air May Increase Biomarkers of Inflammation in Mouse Brain","type":"article-journal","volume":"26"},"uris":["http://www.mendeley.com/documents/?uuid=1d5674db-f35c-3f1f-afcf-010b8737c5a2"]}],"mendeley":{"formattedCitation":"(Campbell et al., 2005)","manualFormatting":"(2004)","plainTextFormattedCitation":"(Campbell et al., 2005)","previouslyFormattedCitation":"(Campbell et al., 2005)"},"properties":{"noteIndex":0},"schema":"https://github.com/citation-style-language/schema/raw/master/csl-citation.json"}</w:instrText>
      </w:r>
      <w:r w:rsidR="008E4D0B" w:rsidRPr="007F3C5D">
        <w:fldChar w:fldCharType="separate"/>
      </w:r>
      <w:r w:rsidR="008E4D0B" w:rsidRPr="007F3C5D">
        <w:rPr>
          <w:noProof/>
        </w:rPr>
        <w:t>(2004)</w:t>
      </w:r>
      <w:r w:rsidR="008E4D0B" w:rsidRPr="007F3C5D">
        <w:fldChar w:fldCharType="end"/>
      </w:r>
      <w:r w:rsidR="008E4D0B" w:rsidRPr="007F3C5D">
        <w:t xml:space="preserve">, mice were exposed to concentrated </w:t>
      </w:r>
      <w:r w:rsidR="00BB5E8A" w:rsidRPr="007F3C5D">
        <w:t xml:space="preserve">urban </w:t>
      </w:r>
      <w:r w:rsidR="001A6469" w:rsidRPr="007F3C5D">
        <w:t xml:space="preserve">ambient air, filtered </w:t>
      </w:r>
      <w:r w:rsidR="0046759F" w:rsidRPr="007F3C5D">
        <w:t>to contain only</w:t>
      </w:r>
      <w:r w:rsidR="008E4D0B" w:rsidRPr="007F3C5D">
        <w:t xml:space="preserve"> </w:t>
      </w:r>
      <w:r w:rsidR="00D65D59" w:rsidRPr="007F3C5D">
        <w:t>PM2.5</w:t>
      </w:r>
      <w:r w:rsidR="00C50F44" w:rsidRPr="007F3C5D">
        <w:t xml:space="preserve"> and </w:t>
      </w:r>
      <w:r w:rsidR="00D65D59" w:rsidRPr="007F3C5D">
        <w:t>UFP</w:t>
      </w:r>
      <w:r w:rsidR="008E4D0B" w:rsidRPr="007F3C5D">
        <w:t xml:space="preserve"> (4 h, 5 days per week for 2 weeks</w:t>
      </w:r>
      <w:r w:rsidR="005F69D7" w:rsidRPr="007F3C5D">
        <w:t>). The levels of proinflammatory cytokines</w:t>
      </w:r>
      <w:r w:rsidR="003D6BB3" w:rsidRPr="007F3C5D">
        <w:t xml:space="preserve"> </w:t>
      </w:r>
      <w:r w:rsidR="001A6469" w:rsidRPr="007F3C5D">
        <w:t>IL-1</w:t>
      </w:r>
      <w:r w:rsidR="00A03EF9" w:rsidRPr="007F3C5D">
        <w:t>α</w:t>
      </w:r>
      <w:r w:rsidR="001A6469" w:rsidRPr="007F3C5D">
        <w:t xml:space="preserve"> and TNF-α</w:t>
      </w:r>
      <w:r w:rsidR="00A03EF9" w:rsidRPr="007F3C5D">
        <w:t xml:space="preserve"> and immune-related transcription factor NF-</w:t>
      </w:r>
      <w:r w:rsidR="00A03EF9" w:rsidRPr="007F3C5D">
        <w:rPr>
          <w:rFonts w:ascii="Calibri" w:hAnsi="Calibri" w:cs="Calibri"/>
        </w:rPr>
        <w:t>﻿</w:t>
      </w:r>
      <w:proofErr w:type="spellStart"/>
      <w:r w:rsidR="00A03EF9" w:rsidRPr="007F3C5D">
        <w:t>κB</w:t>
      </w:r>
      <w:proofErr w:type="spellEnd"/>
      <w:r w:rsidR="005F69D7" w:rsidRPr="007F3C5D">
        <w:t xml:space="preserve"> in brain tissue were increased </w:t>
      </w:r>
      <w:r w:rsidR="00CC28C3" w:rsidRPr="007F3C5D">
        <w:t>in</w:t>
      </w:r>
      <w:r w:rsidR="005F69D7" w:rsidRPr="007F3C5D">
        <w:t xml:space="preserve"> mice exposed to PM as opposed to clean air, indicating a proinflammatory response in nervous tissue.</w:t>
      </w:r>
      <w:r w:rsidR="001B5533" w:rsidRPr="007F3C5D">
        <w:t xml:space="preserve"> </w:t>
      </w:r>
      <w:proofErr w:type="spellStart"/>
      <w:r w:rsidR="00C50F44" w:rsidRPr="007F3C5D">
        <w:t>Fagundes</w:t>
      </w:r>
      <w:proofErr w:type="spellEnd"/>
      <w:r w:rsidR="0071488D" w:rsidRPr="007F3C5D">
        <w:t xml:space="preserve"> et al. </w:t>
      </w:r>
      <w:r w:rsidR="00AE2F53" w:rsidRPr="007F3C5D">
        <w:fldChar w:fldCharType="begin" w:fldLock="1"/>
      </w:r>
      <w:r w:rsidR="00B24904" w:rsidRPr="007F3C5D">
        <w:instrText>ADDIN CSL_CITATION {"citationItems":[{"id":"ITEM-1","itemData":{"DOI":"10.3109/08958378.2015.1060278","ISSN":"0895-8378","PMID":"26327340","abstract":"Introduction: Several experimental and epidemiological studies have demonstrated the neurological adverse effects caused by exposure to air pollution, specifically in relation to pollutant particul...","author":[{"dropping-particle":"","family":"Fagundes","given":"Lucas Sagrillo","non-dropping-particle":"","parse-names":false,"suffix":""},{"dropping-particle":"","family":"Fleck","given":"Alan Da Silveira","non-dropping-particle":"","parse-names":false,"suffix":""},{"dropping-particle":"","family":"Zanchi","given":"Ana Claudia","non-dropping-particle":"","parse-names":false,"suffix":""},{"dropping-particle":"","family":"Saldiva","given":"Paulo Hilário Nascimento","non-dropping-particle":"","parse-names":false,"suffix":""},{"dropping-particle":"","family":"Rhoden","given":"Cláudia Ramos","non-dropping-particle":"","parse-names":false,"suffix":""}],"container-title":"Inhalation Toxicology","id":"ITEM-1","issue":"10","issued":{"date-parts":[["2015","8","24"]]},"page":"462-467","publisher":"Informa Healthcare","title":"Direct contact with particulate matter increases oxidative stress in different brain structures","type":"article-journal","volume":"27"},"uris":["http://www.mendeley.com/documents/?uuid=42102934-42f6-3ace-9e10-f9e1e2c75232"]}],"mendeley":{"formattedCitation":"(Fagundes et al., 2015)","manualFormatting":"(2015)","plainTextFormattedCitation":"(Fagundes et al., 2015)","previouslyFormattedCitation":"(Fagundes et al., 2015)"},"properties":{"noteIndex":0},"schema":"https://github.com/citation-style-language/schema/raw/master/csl-citation.json"}</w:instrText>
      </w:r>
      <w:r w:rsidR="00AE2F53" w:rsidRPr="007F3C5D">
        <w:fldChar w:fldCharType="separate"/>
      </w:r>
      <w:r w:rsidR="00AE2F53" w:rsidRPr="007F3C5D">
        <w:rPr>
          <w:noProof/>
        </w:rPr>
        <w:t>(2015)</w:t>
      </w:r>
      <w:r w:rsidR="00AE2F53" w:rsidRPr="007F3C5D">
        <w:fldChar w:fldCharType="end"/>
      </w:r>
      <w:r w:rsidR="00AE2F53" w:rsidRPr="007F3C5D">
        <w:t xml:space="preserve"> </w:t>
      </w:r>
      <w:r w:rsidR="001B5533" w:rsidRPr="007F3C5D">
        <w:t xml:space="preserve">exposed various rat brain cell tissues </w:t>
      </w:r>
      <w:r w:rsidR="001B5533" w:rsidRPr="007F3C5D">
        <w:rPr>
          <w:i/>
          <w:iCs/>
        </w:rPr>
        <w:t>in vitro</w:t>
      </w:r>
      <w:r w:rsidR="001B5533" w:rsidRPr="007F3C5D">
        <w:t xml:space="preserve"> to </w:t>
      </w:r>
      <w:r w:rsidR="00D65D59" w:rsidRPr="007F3C5D">
        <w:t>PM2.5</w:t>
      </w:r>
      <w:r w:rsidR="00BB5E8A" w:rsidRPr="007F3C5D">
        <w:t>, collected by filtering urban ambient air</w:t>
      </w:r>
      <w:r w:rsidR="001406E8" w:rsidRPr="007F3C5D">
        <w:t>. Hereafter, they</w:t>
      </w:r>
      <w:r w:rsidR="001B5533" w:rsidRPr="007F3C5D">
        <w:t xml:space="preserve"> evaluated oxidative stress parameters</w:t>
      </w:r>
      <w:r w:rsidR="00BB5E8A" w:rsidRPr="007F3C5D">
        <w:t xml:space="preserve"> as the increase of </w:t>
      </w:r>
      <w:r w:rsidR="001011B7" w:rsidRPr="007F3C5D">
        <w:t xml:space="preserve">lipid peroxidation and decrease of the antioxidant enzyme catalase </w:t>
      </w:r>
      <w:r w:rsidR="001B5533" w:rsidRPr="007F3C5D">
        <w:t xml:space="preserve">for their involvement in neurotoxicity, concluding that PM </w:t>
      </w:r>
      <w:r w:rsidR="001011B7" w:rsidRPr="007F3C5D">
        <w:t>induces</w:t>
      </w:r>
      <w:r w:rsidR="001B5533" w:rsidRPr="007F3C5D">
        <w:t xml:space="preserve"> oxidative </w:t>
      </w:r>
      <w:proofErr w:type="gramStart"/>
      <w:r w:rsidR="001B5533" w:rsidRPr="007F3C5D">
        <w:t>stress  and</w:t>
      </w:r>
      <w:proofErr w:type="gramEnd"/>
      <w:r w:rsidR="001B5533" w:rsidRPr="007F3C5D">
        <w:t xml:space="preserve"> thereby damaging the brain.</w:t>
      </w:r>
    </w:p>
    <w:p w14:paraId="7CC3F1B7" w14:textId="75DE1DE0" w:rsidR="004229FC" w:rsidRPr="007F3C5D" w:rsidRDefault="00CF3F85" w:rsidP="00A14895">
      <w:r w:rsidRPr="007F3C5D">
        <w:lastRenderedPageBreak/>
        <w:t>For PM, the European Union (EU) ha</w:t>
      </w:r>
      <w:r w:rsidR="00501505" w:rsidRPr="007F3C5D">
        <w:t xml:space="preserve">s </w:t>
      </w:r>
      <w:r w:rsidRPr="007F3C5D">
        <w:t xml:space="preserve">set Air Quality Standards for the </w:t>
      </w:r>
      <w:r w:rsidR="003E4E61" w:rsidRPr="007F3C5D">
        <w:t>limit values</w:t>
      </w:r>
      <w:r w:rsidRPr="007F3C5D">
        <w:t xml:space="preserve"> of </w:t>
      </w:r>
      <w:r w:rsidR="00BF6947" w:rsidRPr="007F3C5D">
        <w:t xml:space="preserve">total PM (PM10 and PM2.5 combined), </w:t>
      </w:r>
      <w:r w:rsidRPr="007F3C5D">
        <w:t>PM10 and PM2.5</w:t>
      </w:r>
      <w:r w:rsidR="003E4E61" w:rsidRPr="007F3C5D">
        <w:t xml:space="preserve"> measured </w:t>
      </w:r>
      <w:r w:rsidRPr="007F3C5D">
        <w:t xml:space="preserve">in ambient air </w:t>
      </w:r>
      <w:r w:rsidR="003E4E61" w:rsidRPr="007F3C5D">
        <w:t xml:space="preserve">that are monitored throughout </w:t>
      </w:r>
      <w:r w:rsidR="009A4421" w:rsidRPr="007F3C5D">
        <w:t xml:space="preserve">the EU </w:t>
      </w:r>
      <w:r w:rsidR="003E4E61" w:rsidRPr="007F3C5D">
        <w:t xml:space="preserve">and legally binding </w:t>
      </w:r>
      <w:r w:rsidR="009A4421" w:rsidRPr="007F3C5D">
        <w:t xml:space="preserve">for </w:t>
      </w:r>
      <w:proofErr w:type="spellStart"/>
      <w:r w:rsidR="009A4421" w:rsidRPr="007F3C5D">
        <w:t>al</w:t>
      </w:r>
      <w:proofErr w:type="spellEnd"/>
      <w:r w:rsidR="009A4421" w:rsidRPr="007F3C5D">
        <w:t xml:space="preserve"> EU Member States </w:t>
      </w:r>
      <w:r w:rsidRPr="007F3C5D">
        <w:fldChar w:fldCharType="begin" w:fldLock="1"/>
      </w:r>
      <w:r w:rsidRPr="007F3C5D">
        <w:instrText>ADDIN CSL_CITATION {"citationItems":[{"id":"ITEM-1","itemData":{"author":[{"dropping-particle":"","family":"European Parliament","given":"","non-dropping-particle":"","parse-names":false,"suffix":""}],"container-title":"Official Journal of the European Union","id":"ITEM-1","issued":{"date-parts":[["2008","5"]]},"number-of-pages":"1-44","publisher":"Official Journal of the European Union","title":"Directive 2008/50/EC of the European Parliament and of the Council of 21 May 2008 on ambient air quality and cleaner air for Europe","type":"book","volume":"152"},"uris":["http://www.mendeley.com/documents/?uuid=7314895a-e1d5-35f6-8528-60f00d764820"]}],"mendeley":{"formattedCitation":"(European Parliament, 2008)","plainTextFormattedCitation":"(European Parliament, 2008)","previouslyFormattedCitation":"(European Parliament, 2008)"},"properties":{"noteIndex":0},"schema":"https://github.com/citation-style-language/schema/raw/master/csl-citation.json"}</w:instrText>
      </w:r>
      <w:r w:rsidRPr="007F3C5D">
        <w:fldChar w:fldCharType="separate"/>
      </w:r>
      <w:r w:rsidRPr="007F3C5D">
        <w:rPr>
          <w:noProof/>
        </w:rPr>
        <w:t>(European Parliament, 2008)</w:t>
      </w:r>
      <w:r w:rsidRPr="007F3C5D">
        <w:fldChar w:fldCharType="end"/>
      </w:r>
      <w:r w:rsidR="003E4E61" w:rsidRPr="007F3C5D">
        <w:t xml:space="preserve">. </w:t>
      </w:r>
      <w:r w:rsidRPr="007F3C5D">
        <w:t xml:space="preserve">In </w:t>
      </w:r>
      <w:r w:rsidR="00CB05D4" w:rsidRPr="007F3C5D">
        <w:t xml:space="preserve">contrast, </w:t>
      </w:r>
      <w:r w:rsidR="003A176E" w:rsidRPr="007F3C5D">
        <w:t>the monitoring and limit values</w:t>
      </w:r>
      <w:r w:rsidR="00093CCE" w:rsidRPr="007F3C5D">
        <w:t xml:space="preserve"> of UFP lack</w:t>
      </w:r>
      <w:r w:rsidR="006E42AE" w:rsidRPr="007F3C5D">
        <w:t xml:space="preserve">, as studies on </w:t>
      </w:r>
      <w:r w:rsidR="0041157B" w:rsidRPr="007F3C5D">
        <w:t xml:space="preserve">the adverse health effects of </w:t>
      </w:r>
      <w:r w:rsidR="006E42AE" w:rsidRPr="007F3C5D">
        <w:t>UFP are deemed inconclusive</w:t>
      </w:r>
      <w:r w:rsidR="0041157B" w:rsidRPr="007F3C5D">
        <w:t xml:space="preserve"> </w:t>
      </w:r>
      <w:r w:rsidR="0041157B" w:rsidRPr="007F3C5D">
        <w:fldChar w:fldCharType="begin" w:fldLock="1"/>
      </w:r>
      <w:r w:rsidR="0041157B" w:rsidRPr="007F3C5D">
        <w:instrText>ADDIN CSL_CITATION {"citationItems":[{"id":"ITEM-1","itemData":{"DOI":"10.2861/808342","ISBN":"9789284676835","author":[{"dropping-particle":"","family":"European Parliament","given":"","non-dropping-particle":"","parse-names":false,"suffix":""},{"dropping-particle":"","family":"Directorate-General for Parliamentary Research Services","given":"","non-dropping-particle":"","parse-names":false,"suffix":""},{"dropping-particle":"","family":"Karamfilova","given":"E.","non-dropping-particle":"","parse-names":false,"suffix":""},{"dropping-particle":"","family":"La Trinidad Salvador Sanz","given":"L.","non-dropping-particle":"De","parse-names":false,"suffix":""}],"id":"ITEM-1","issue":"January","issued":{"date-parts":[["2021"]]},"publisher":"European Parliament","publisher-place":"Brussels","title":"EU policy on air quality: Implementation of selected EU legislation","type":"book"},"uris":["http://www.mendeley.com/documents/?uuid=b9448fa1-b3e2-4b9b-894f-4404af4ab9d8"]}],"mendeley":{"formattedCitation":"(European Parliament et al., 2021)","plainTextFormattedCitation":"(European Parliament et al., 2021)","previouslyFormattedCitation":"(European Parliament et al., 2021)"},"properties":{"noteIndex":0},"schema":"https://github.com/citation-style-language/schema/raw/master/csl-citation.json"}</w:instrText>
      </w:r>
      <w:r w:rsidR="0041157B" w:rsidRPr="007F3C5D">
        <w:fldChar w:fldCharType="separate"/>
      </w:r>
      <w:r w:rsidR="0041157B" w:rsidRPr="007F3C5D">
        <w:rPr>
          <w:noProof/>
        </w:rPr>
        <w:t>(European Parliament et al., 2021)</w:t>
      </w:r>
      <w:r w:rsidR="0041157B" w:rsidRPr="007F3C5D">
        <w:fldChar w:fldCharType="end"/>
      </w:r>
      <w:r w:rsidR="0041157B" w:rsidRPr="007F3C5D">
        <w:t>.</w:t>
      </w:r>
      <w:r w:rsidR="003E4E61" w:rsidRPr="007F3C5D">
        <w:t xml:space="preserve"> </w:t>
      </w:r>
      <w:r w:rsidR="008A2FAD" w:rsidRPr="007F3C5D">
        <w:t>However</w:t>
      </w:r>
      <w:r w:rsidR="003E4E61" w:rsidRPr="007F3C5D">
        <w:t>,</w:t>
      </w:r>
      <w:r w:rsidR="00DA3CF9" w:rsidRPr="007F3C5D">
        <w:t xml:space="preserve"> the UFP fraction </w:t>
      </w:r>
      <w:r w:rsidR="008A2FAD" w:rsidRPr="007F3C5D">
        <w:t xml:space="preserve">possibly </w:t>
      </w:r>
      <w:r w:rsidR="000D68F7" w:rsidRPr="007F3C5D">
        <w:t>exert</w:t>
      </w:r>
      <w:r w:rsidR="00501505" w:rsidRPr="007F3C5D">
        <w:t>s</w:t>
      </w:r>
      <w:r w:rsidR="000D68F7" w:rsidRPr="007F3C5D">
        <w:t xml:space="preserve"> </w:t>
      </w:r>
      <w:r w:rsidR="00DA3CF9" w:rsidRPr="007F3C5D">
        <w:t>the most harm</w:t>
      </w:r>
      <w:r w:rsidR="001406E8" w:rsidRPr="007F3C5D">
        <w:t xml:space="preserve"> </w:t>
      </w:r>
      <w:r w:rsidR="001406E8" w:rsidRPr="007F3C5D">
        <w:fldChar w:fldCharType="begin" w:fldLock="1"/>
      </w:r>
      <w:r w:rsidR="001406E8" w:rsidRPr="007F3C5D">
        <w:instrText>ADDIN CSL_CITATION {"citationItems":[{"id":"ITEM-1","itemData":{"DOI":"10.3390/ijms18020243","ISSN":"1422-0067","PMID":"28125025","abstract":"Air pollution of anthropogenic origin is largely from the combustion of biomass (e.g., wood), fossil fuels (e.g., cars and trucks), incinerators, landfills, agricultural activities and tobacco smoke. Air pollution is a complex mixture that varies in space and time, and contains hundreds of compounds including volatile organic compounds (e.g., benzene), metals, sulphur and nitrogen oxides, ozone and particulate matter (PM). PM0.1 (ultrafine particles (UFP)), those particles with a diameter less than 100 nm (includes nanoparticles (NP)) are considered especially dangerous to human health and may contribute significantly to the development of numerous respiratory and cardiovascular diseases such as chronic obstructive pulmonary disease (COPD) and atherosclerosis. Some of the pathogenic mechanisms through which PM0.1 may contribute to chronic disease is their ability to induce inflammation, oxidative stress and cell death by molecular mechanisms that include transcription factors such as nuclear factor κB (NF-κB) and nuclear factor (erythroid-derived 2)-like 2 (Nrf2). Epigenetic mechanisms including non-coding RNA (ncRNA) may also contribute towards the development of chronic disease associated with exposure to PM0.1. This paper highlights emerging molecular concepts associated with inhalational exposure to PM0.1 and their ability to contribute to chronic respiratory and systemic disease.","author":[{"dropping-particle":"","family":"Traboulsi","given":"Hussein","non-dropping-particle":"","parse-names":false,"suffix":""},{"dropping-particle":"","family":"Guerrina","given":"Necola","non-dropping-particle":"","parse-names":false,"suffix":""},{"dropping-particle":"","family":"Iu","given":"Matthew","non-dropping-particle":"","parse-names":false,"suffix":""},{"dropping-particle":"","family":"Maysinger","given":"Dusica","non-dropping-particle":"","parse-names":false,"suffix":""},{"dropping-particle":"","family":"Ariya","given":"Parisa","non-dropping-particle":"","parse-names":false,"suffix":""},{"dropping-particle":"","family":"Baglole","given":"Carolyn","non-dropping-particle":"","parse-names":false,"suffix":""}],"container-title":"International Journal of Molecular Sciences","id":"ITEM-1","issue":"2","issued":{"date-parts":[["2017","1","24"]]},"page":"243","publisher":"Multidisciplinary Digital Publishing Institute","title":"Inhaled Pollutants: The Molecular Scene behind Respiratory and Systemic Diseases Associated with Ultrafine Particulate Matter","type":"article-journal","volume":"18"},"uris":["http://www.mendeley.com/documents/?uuid=d3a49c0e-63a6-3013-acca-8632ac42e06a"]},{"id":"ITEM-2","itemData":{"DOI":"10.1289/ehp.7339","ISSN":"0091-6765","PMID":"16002369","abstract":"Although humans have been exposed to airborne nanosized particles (NSPs; &lt; 100 nm) throughout their evolutionary stages, such exposure has increased dramatically over the last century due to anthropogenic sources. The rapidly developing field of nanotechnology is likely to become yet another source through inhalation, ingestion, skin uptake, and injection of engineered nanomaterials. Information about safety and potential hazards is urgently needed. Results of older biokinetic studies with NSPs and newer epidemiologic and toxicologic studies with airborne ultrafine particles can be viewed as the basis for the expanding field of nanotoxicology, which can be defined as safety evaluation of engineered nanostructures and nanodevices. Collectively, some emerging concepts of nanotoxicology can be identified from the results of these studies. When inhaled, specific sizes of NSPs are efficiently deposited by diffusional mechanisms in all regions of the respiratory tract. The small size facilitates uptake into cells and transcytosis across epithelial and endothelial cells into the blood and lymph circulation to reach potentially sensitive target sites such as bone marrow, lymph nodes, spleen, and heart. Access to the central nervous system and ganglia via translocation along axons and dendrites of neurons has also been observed. NSPs penetrating the skin distribute via uptake into lymphatic channels. Endocytosis and biokinetics are largely dependent on NSP surface chemistry (coating) and in vivo surface modifications. The greater surface area per mass compared with larger-sized particles of the same chemistry renders NSPs more active biologically. This activity includes a potential for inflammatory and pro-oxidant, but also antioxidant, activity, which can explain early findings showing mixed results in terms of toxicity of NSPs to environmentally relevant species. Evidence of mitochondrial distribution and oxidative stress response after NSP endocytosis points to a need for basic research on their interactions with subcellular structures. Additional considerations for assessing safety of engineered NSPs include careful selections of appropriate and relevant doses/concentrations, the likelihood of increased effects in a compromised organism, and also the benefits of possible desirable effects. An interdisciplinary team approach (e.g., toxicology, materials science, medicine, molecular biology, and bioinformatics, to name a few) is mandatory for nanotoxicology re…","author":[{"dropping-particle":"","family":"Oberdörster","given":"Günter","non-dropping-particle":"","parse-names":false,"suffix":""},{"dropping-particle":"","family":"Oberdörster","given":"Eva","non-dropping-particle":"","parse-names":false,"suffix":""},{"dropping-particle":"","family":"Oberdörster","given":"Jan","non-dropping-particle":"","parse-names":false,"suffix":""}],"container-title":"Environmental Health Perspectives","id":"ITEM-2","issue":"7","issued":{"date-parts":[["2005","7"]]},"page":"823-839","publisher":"National Institute of Environmental Health Sciences","title":"Nanotoxicology: An Emerging Discipline Evolving from Studies of Ultrafine Particles","type":"article-journal","volume":"113"},"uris":["http://www.mendeley.com/documents/?uuid=cf4f5a61-b69f-3cb1-927f-9f03cb3532a0"]}],"mendeley":{"formattedCitation":"(Oberdörster et al., 2005; Traboulsi et al., 2017)","plainTextFormattedCitation":"(Oberdörster et al., 2005; Traboulsi et al., 2017)","previouslyFormattedCitation":"(Oberdörster et al., 2005; Traboulsi et al., 2017)"},"properties":{"noteIndex":0},"schema":"https://github.com/citation-style-language/schema/raw/master/csl-citation.json"}</w:instrText>
      </w:r>
      <w:r w:rsidR="001406E8" w:rsidRPr="007F3C5D">
        <w:fldChar w:fldCharType="separate"/>
      </w:r>
      <w:r w:rsidR="001406E8" w:rsidRPr="007F3C5D">
        <w:rPr>
          <w:noProof/>
        </w:rPr>
        <w:t>(Oberdörster et al., 2005; Traboulsi et al., 2017)</w:t>
      </w:r>
      <w:r w:rsidR="001406E8" w:rsidRPr="007F3C5D">
        <w:fldChar w:fldCharType="end"/>
      </w:r>
      <w:r w:rsidR="001406E8" w:rsidRPr="007F3C5D">
        <w:t>. S</w:t>
      </w:r>
      <w:r w:rsidR="004F6879" w:rsidRPr="007F3C5D">
        <w:t>maller</w:t>
      </w:r>
      <w:r w:rsidR="00DA3CF9" w:rsidRPr="007F3C5D">
        <w:t xml:space="preserve"> particles </w:t>
      </w:r>
      <w:r w:rsidR="001269E6" w:rsidRPr="007F3C5D">
        <w:t>are not cleared by</w:t>
      </w:r>
      <w:r w:rsidR="00DA3CF9" w:rsidRPr="007F3C5D">
        <w:t xml:space="preserve"> broncho-</w:t>
      </w:r>
      <w:proofErr w:type="spellStart"/>
      <w:r w:rsidR="00DA3CF9" w:rsidRPr="007F3C5D">
        <w:t>mucociliary</w:t>
      </w:r>
      <w:proofErr w:type="spellEnd"/>
      <w:r w:rsidR="00DA3CF9" w:rsidRPr="007F3C5D">
        <w:t xml:space="preserve"> action </w:t>
      </w:r>
      <w:r w:rsidR="001269E6" w:rsidRPr="007F3C5D">
        <w:t xml:space="preserve">or </w:t>
      </w:r>
      <w:proofErr w:type="spellStart"/>
      <w:r w:rsidR="00DA3CF9" w:rsidRPr="007F3C5D">
        <w:t>scaveng</w:t>
      </w:r>
      <w:r w:rsidR="001269E6" w:rsidRPr="007F3C5D">
        <w:t>ered</w:t>
      </w:r>
      <w:proofErr w:type="spellEnd"/>
      <w:r w:rsidR="00DA3CF9" w:rsidRPr="007F3C5D">
        <w:t xml:space="preserve"> by alveolar macrophages. </w:t>
      </w:r>
      <w:r w:rsidR="004229FC" w:rsidRPr="007F3C5D">
        <w:t>P</w:t>
      </w:r>
      <w:r w:rsidR="00DA3CF9" w:rsidRPr="007F3C5D">
        <w:t>articles</w:t>
      </w:r>
      <w:r w:rsidR="001269E6" w:rsidRPr="007F3C5D">
        <w:t xml:space="preserve"> in the </w:t>
      </w:r>
      <w:r w:rsidR="00D65D59" w:rsidRPr="007F3C5D">
        <w:t>UFP</w:t>
      </w:r>
      <w:r w:rsidR="001269E6" w:rsidRPr="007F3C5D">
        <w:t>-size range</w:t>
      </w:r>
      <w:r w:rsidR="004C295A" w:rsidRPr="007F3C5D">
        <w:t xml:space="preserve"> can</w:t>
      </w:r>
      <w:r w:rsidR="00DA3CF9" w:rsidRPr="007F3C5D">
        <w:t xml:space="preserve"> penetrate deep into the respiratory tract, up to the alveoli, where they can </w:t>
      </w:r>
      <w:r w:rsidR="004C295A" w:rsidRPr="007F3C5D">
        <w:t xml:space="preserve">translocate into </w:t>
      </w:r>
      <w:r w:rsidR="00DA3CF9" w:rsidRPr="007F3C5D">
        <w:t>the bloodstream</w:t>
      </w:r>
      <w:r w:rsidR="004F6879" w:rsidRPr="007F3C5D">
        <w:t xml:space="preserve"> </w:t>
      </w:r>
      <w:r w:rsidR="00BC50A6" w:rsidRPr="007F3C5D">
        <w:t>and</w:t>
      </w:r>
      <w:r w:rsidR="004C295A" w:rsidRPr="007F3C5D">
        <w:t xml:space="preserve"> </w:t>
      </w:r>
      <w:r w:rsidR="00BC50A6" w:rsidRPr="007F3C5D">
        <w:t xml:space="preserve">from there, </w:t>
      </w:r>
      <w:r w:rsidR="004F6879" w:rsidRPr="007F3C5D">
        <w:t>reach secondary target</w:t>
      </w:r>
      <w:r w:rsidR="00BC50A6" w:rsidRPr="007F3C5D">
        <w:t xml:space="preserve"> organs including the brain</w:t>
      </w:r>
      <w:r w:rsidR="004F6879" w:rsidRPr="007F3C5D">
        <w:t xml:space="preserve">. This exposure route is </w:t>
      </w:r>
      <w:r w:rsidR="006958E8" w:rsidRPr="007F3C5D">
        <w:t xml:space="preserve">known as the </w:t>
      </w:r>
      <w:r w:rsidR="00B44275" w:rsidRPr="007F3C5D">
        <w:t xml:space="preserve">indirect, </w:t>
      </w:r>
      <w:r w:rsidR="006958E8" w:rsidRPr="007F3C5D">
        <w:t>systemic route</w:t>
      </w:r>
      <w:r w:rsidR="00DA3CF9" w:rsidRPr="007F3C5D">
        <w:t>.</w:t>
      </w:r>
      <w:r w:rsidR="00F210BB" w:rsidRPr="007F3C5D">
        <w:t xml:space="preserve"> </w:t>
      </w:r>
      <w:r w:rsidR="004229FC" w:rsidRPr="007F3C5D">
        <w:t>Furthermore,</w:t>
      </w:r>
      <w:r w:rsidR="004229FC" w:rsidRPr="007F3C5D" w:rsidDel="004F6879">
        <w:t xml:space="preserve"> </w:t>
      </w:r>
      <w:r w:rsidR="0025573A" w:rsidRPr="007F3C5D">
        <w:t>metal-based nanoparticles falling in the UFP size range</w:t>
      </w:r>
      <w:r w:rsidR="000D68F7" w:rsidRPr="007F3C5D">
        <w:t xml:space="preserve"> are also known to translocate directly</w:t>
      </w:r>
      <w:r w:rsidR="00921554" w:rsidRPr="007F3C5D">
        <w:t xml:space="preserve"> through the olfactory mu</w:t>
      </w:r>
      <w:r w:rsidR="00A44D20" w:rsidRPr="007F3C5D">
        <w:t>c</w:t>
      </w:r>
      <w:r w:rsidR="00921554" w:rsidRPr="007F3C5D">
        <w:t>osa into the olfac</w:t>
      </w:r>
      <w:r w:rsidR="00A44D20" w:rsidRPr="007F3C5D">
        <w:t>tory bulb in vivo in various animal studies</w:t>
      </w:r>
      <w:r w:rsidR="001406E8" w:rsidRPr="007F3C5D">
        <w:fldChar w:fldCharType="begin" w:fldLock="1"/>
      </w:r>
      <w:r w:rsidR="006165BC" w:rsidRPr="007F3C5D">
        <w:instrText>ADDIN CSL_CITATION {"citationItems":[{"id":"ITEM-1","itemData":{"DOI":"10.1016/j.nucmedbio.2005.03.009","ISSN":"09698051","abstract":"Following intranasal administration of radioactive 86 Rb + and 201 Tl + in mice, we observed this direct transport via the olfactory nerve pathway. The 86 RbCl and 201 TlCl solutions were administered to two groups of mice, the unilateral intranasal and intravenous administration groups. After sacrifice, their heads were divided into the right and left side, which were then subdivided into seven parts; the nasal mucosa and brain regions were separated. Following the unilateral intranasal administration, uptake after 6 h by the olfactory bulb was significantly higher on the ipsilateral side (86 Rb, 0.7 %dose; 201 Tl, 0.5 %dose) than on the contralateral side (86 Rb, 0.08 %dose; 201 Tl, 0.15 %dose). Moreover, the 86 Rb and 201 Tl that accumulated in the olfactory bulb were gradually transported to other brain regions of the olfactory tract, the telencephalon and the diencephalon on the side corresponding to the nostril used for administration. Significant differences were observed between the right and left side of the brain regions 6 and 12 h after administration. Further, 201 Tl autoradiography clearly showed striped patterns of dense accumulation, localized in the region around the glomerular layer and granule cell layer of the olfactory bulb and around the olfactory cortex. These results provide clear evidence of axonal transport via the olfactory nerve pathway, from nasal cavity to the olfactory bulb, as well as to the olfactory cortex through the synaptic junctions. The olfactory transport of the 86 Rb + and 201 Tl + is thought to represent the behavior of K + in the olfactory system.","author":[{"dropping-particle":"","family":"Kanayama","given":"Yousuke","non-dropping-particle":"","parse-names":false,"suffix":""},{"dropping-particle":"","family":"Enomoto","given":"Shuichi","non-dropping-particle":"","parse-names":false,"suffix":""},{"dropping-particle":"","family":"Irie","given":"Toshiaki","non-dropping-particle":"","parse-names":false,"suffix":""},{"dropping-particle":"","family":"Amano","given":"Ryohei","non-dropping-particle":"","parse-names":false,"suffix":""}],"container-title":"Nuclear Medicine and Biology","id":"ITEM-1","issue":"5","issued":{"date-parts":[["2005","7"]]},"page":"505-512","title":"Axonal transport of rubidium and thallium in the olfactory nerve of mice","type":"article-journal","volume":"32"},"uris":["http://www.mendeley.com/documents/?uuid=2dfcd142-620d-3037-a526-4fcb21127529"]},{"id":"ITEM-2","itemData":{"DOI":"10.1289/EHP.9030","ISSN":"0091-6765","PMID":"16882521","abstract":"Background: Studies in monkeys with intranasally instilled gold ultrafine particles (UFPs; &lt; 100 nm) and in rats with inhaled carbon UFPs suggested that solid UFPs deposited in the nose travel along the olfactory nerve to the olfactory bulb. Methods: To determine if olfactory translocation occuss for other solid metal UFPs and assess potential health effects, we exposed groups of rats to manganese (Mn) oxide UFPs (30 nm; - 500 μg/m3) with either both nostrils patent or the right nostril occluded. We analyzed Mn in lung, liver, olfactory bulb, and other brain regions, and we performed gene and protein analyses. Results: After 12 days of exposure with both nostrils patent, Mn concentrations in the olfactory bulb increased 3.5-fold, whereas lung Mn concentrations doubled; the were also increase in striatum, frontal cortex, and cerebellum. Lung lavage analysis showed no indications of lung inflammation, whereas increases in olfactory bulb tumor necrosis factor-α mRNA (- 8-fold) and protein (- 30-fold) were foung after 11 days of exposure and, to a lesser degree, in other brain regions with increased Mn levels. Macrophage inflammatory protein-2, glial fibrillary acidic protein, and neuronal cell adhesion molecule mRNA were also increased in olfactory bulb. With the right nostril occluded for a 2-day exposure, Mn accumulated only in the left olfactory bulb. Solubilization of the Mn oxide UFps was &lt; 1.5% per day. Conclusions: We conclude that the olfactory neuronal pathway is efficient for transcolating inhaled Mn oxide as solid UFPs to the central nervous system and that this can result in inflammatory changes. We suggest that despite differences between human and rodent olfactory systems, this pathway is relevant in humans.","author":[{"dropping-particle":"","family":"Elder","given":"Alison","non-dropping-particle":"","parse-names":false,"suffix":""},{"dropping-particle":"","family":"Gelein","given":"Robert","non-dropping-particle":"","parse-names":false,"suffix":""},{"dropping-particle":"","family":"Silva","given":"Vanessa","non-dropping-particle":"","parse-names":false,"suffix":""},{"dropping-particle":"","family":"Feikert","given":"Tessa","non-dropping-particle":"","parse-names":false,"suffix":""},{"dropping-particle":"","family":"Opanashuk","given":"Lisa","non-dropping-particle":"","parse-names":false,"suffix":""},{"dropping-particle":"","family":"Carter","given":"Janet","non-dropping-particle":"","parse-names":false,"suffix":""},{"dropping-particle":"","family":"Potter","given":"Russell","non-dropping-particle":"","parse-names":false,"suffix":""},{"dropping-particle":"","family":"Maynard","given":"Andrew","non-dropping-particle":"","parse-names":false,"suffix":""},{"dropping-particle":"","family":"Ito","given":"Yasuo","non-dropping-particle":"","parse-names":false,"suffix":""},{"dropping-particle":"","family":"Finkelstein","given":"Jacob","non-dropping-particle":"","parse-names":false,"suffix":""},{"dropping-particle":"","family":"Oberdörster","given":"Günter","non-dropping-particle":"","parse-names":false,"suffix":""}],"container-title":"Environmental health perspectives","id":"ITEM-2","issue":"8","issued":{"date-parts":[["2006","8"]]},"page":"1172-1178","publisher":"Environ Health Perspect","title":"Translocation of inhaled ultrafine manganese oxide particles to the central nervous system","type":"article-journal","volume":"114"},"uris":["http://www.mendeley.com/documents/?uuid=b52b456c-459c-3c95-99a8-e4e57ba78528"]}],"mendeley":{"formattedCitation":"(Elder et al., 2006; Kanayama et al., 2005)","plainTextFormattedCitation":"(Elder et al., 2006; Kanayama et al., 2005)","previouslyFormattedCitation":"(Elder et al., 2006; Kanayama et al., 2005)"},"properties":{"noteIndex":0},"schema":"https://github.com/citation-style-language/schema/raw/master/csl-citation.json"}</w:instrText>
      </w:r>
      <w:r w:rsidR="001406E8" w:rsidRPr="007F3C5D">
        <w:fldChar w:fldCharType="separate"/>
      </w:r>
      <w:r w:rsidR="00320AB9" w:rsidRPr="007F3C5D">
        <w:rPr>
          <w:noProof/>
        </w:rPr>
        <w:t>(Elder et al., 2006; Kanayama et al., 2005)</w:t>
      </w:r>
      <w:r w:rsidR="001406E8" w:rsidRPr="007F3C5D">
        <w:fldChar w:fldCharType="end"/>
      </w:r>
      <w:r w:rsidR="001406E8" w:rsidRPr="007F3C5D">
        <w:t xml:space="preserve">. Therefore, </w:t>
      </w:r>
      <w:r w:rsidR="00A44D20" w:rsidRPr="007F3C5D">
        <w:t>showing the possibility that UFP are transported through the direct</w:t>
      </w:r>
      <w:r w:rsidR="00B44275" w:rsidRPr="007F3C5D">
        <w:t>, olfactory</w:t>
      </w:r>
      <w:r w:rsidR="00A44D20" w:rsidRPr="007F3C5D">
        <w:t xml:space="preserve"> route into the brain, circumventing </w:t>
      </w:r>
      <w:r w:rsidR="00D03164" w:rsidRPr="007F3C5D">
        <w:t>protective</w:t>
      </w:r>
      <w:r w:rsidR="00A44D20" w:rsidRPr="007F3C5D">
        <w:t xml:space="preserve"> barriers </w:t>
      </w:r>
      <w:r w:rsidR="00D16B94" w:rsidRPr="007F3C5D">
        <w:t>as the blood-brain barrier</w:t>
      </w:r>
      <w:r w:rsidR="001406E8" w:rsidRPr="007F3C5D">
        <w:t>.</w:t>
      </w:r>
    </w:p>
    <w:p w14:paraId="7A522B98" w14:textId="12FFF0CB" w:rsidR="00030F58" w:rsidRPr="007F3C5D" w:rsidRDefault="002A2E76" w:rsidP="00A14895">
      <w:r w:rsidRPr="007F3C5D">
        <w:t xml:space="preserve">Traffic </w:t>
      </w:r>
      <w:r w:rsidR="00D75D60" w:rsidRPr="007F3C5D">
        <w:t xml:space="preserve">is a </w:t>
      </w:r>
      <w:r w:rsidRPr="007F3C5D">
        <w:t xml:space="preserve">major contributor to ambient air pollution and the associated PM </w:t>
      </w:r>
      <w:r w:rsidR="004229FC" w:rsidRPr="007F3C5D">
        <w:fldChar w:fldCharType="begin" w:fldLock="1"/>
      </w:r>
      <w:r w:rsidR="004229FC" w:rsidRPr="007F3C5D">
        <w:instrText>ADDIN CSL_CITATION {"citationItems":[{"id":"ITEM-1","itemData":{"DOI":"10.1097/MCP.0b013e32834f0e2a","ISSN":"10705287","PMID":"22234273","abstract":"PURPOSE OF REVIEW: Epidemiologic investigation has associated traffic-related air pollution with adverse human health outcomes. The capacity of diesel exhaust particles (DEPs), a major emission source air pollution particle, to initiate an airway inflammation has subsequently been investigated. We review the recent controlled human exposures to diesel exhaust and DEPs, and summarize the investigations into the associations between this emission source air pollution particle and airway inflammation. RECENT FINDINGS: Using bronchoalveolar lavage, bronchial biopsies, and sputum collection, studies have demonstrated inflammation in the airways of healthy individuals after exposure to diesel exhaust and DEPs. This inflammation has included neutrophils, eosinophils, mast cells, and lymphocytes. Elevated expression and concentrations of inflammatory mediators have similarly been observed in the respiratory tract after diesel exhaust and DEP exposure. An increased sensitivity of asthmatic individuals to the proinflammatory effects of DEPs has not been confirmed. SUMMARY: Inflammation after diesel exhaust and DEP exposure is evident at higher concentrations only; there appears to be a threshold dose for DEPs approximating 300μg/m. The lack of a biological response to DEPs at lower concentrations may reflect a contribution of gaseous constituents or interactions between DEPs and gaseous air pollutants to the human inflammatory response and function loss. © 2012 Wolters Kluwer Health | Lippincott Williams &amp; Wilkins.","author":[{"dropping-particle":"","family":"Ghio","given":"Andrew J.","non-dropping-particle":"","parse-names":false,"suffix":""},{"dropping-particle":"","family":"Smith","given":"Candice B.","non-dropping-particle":"","parse-names":false,"suffix":""},{"dropping-particle":"","family":"Madden","given":"Michael C.","non-dropping-particle":"","parse-names":false,"suffix":""}],"container-title":"Current Opinion in Pulmonary Medicine","id":"ITEM-1","issue":"2","issued":{"date-parts":[["2012"]]},"page":"144-150","title":"Diesel exhaust particles and airway inflammation","type":"article-journal","volume":"18"},"uris":["http://www.mendeley.com/documents/?uuid=b4800cc2-194f-45a5-8508-12ece5c4f4ba"]}],"mendeley":{"formattedCitation":"(Ghio et al., 2012)","plainTextFormattedCitation":"(Ghio et al., 2012)","previouslyFormattedCitation":"(Ghio et al., 2012)"},"properties":{"noteIndex":0},"schema":"https://github.com/citation-style-language/schema/raw/master/csl-citation.json"}</w:instrText>
      </w:r>
      <w:r w:rsidR="004229FC" w:rsidRPr="007F3C5D">
        <w:fldChar w:fldCharType="separate"/>
      </w:r>
      <w:r w:rsidR="004229FC" w:rsidRPr="007F3C5D">
        <w:rPr>
          <w:noProof/>
        </w:rPr>
        <w:t>(Ghio et al., 2012)</w:t>
      </w:r>
      <w:r w:rsidR="004229FC" w:rsidRPr="007F3C5D">
        <w:fldChar w:fldCharType="end"/>
      </w:r>
      <w:r w:rsidR="004229FC" w:rsidRPr="007F3C5D">
        <w:t>.</w:t>
      </w:r>
      <w:r w:rsidR="00D75D60" w:rsidRPr="007F3C5D">
        <w:t xml:space="preserve"> Furthermore, diesel exhaust is seen as one of its most important components.</w:t>
      </w:r>
      <w:r w:rsidR="004229FC" w:rsidRPr="007F3C5D">
        <w:t xml:space="preserve"> </w:t>
      </w:r>
      <w:r w:rsidR="00D75D60" w:rsidRPr="007F3C5D">
        <w:t xml:space="preserve">Additionally, diesel </w:t>
      </w:r>
      <w:r w:rsidR="004229FC" w:rsidRPr="007F3C5D">
        <w:t xml:space="preserve">is the fuel type for both, light- and heavy duty vehicles, as well as industrial machinery, </w:t>
      </w:r>
      <w:r w:rsidR="009F6F76" w:rsidRPr="007F3C5D">
        <w:t>d</w:t>
      </w:r>
      <w:r w:rsidR="004229FC" w:rsidRPr="007F3C5D">
        <w:t>iesel exhaust</w:t>
      </w:r>
      <w:r w:rsidR="009F6F76" w:rsidRPr="007F3C5D">
        <w:t>-derived PM</w:t>
      </w:r>
      <w:r w:rsidR="004229FC" w:rsidRPr="007F3C5D">
        <w:t xml:space="preserve"> exposure</w:t>
      </w:r>
      <w:r w:rsidR="00D75D60" w:rsidRPr="007F3C5D">
        <w:t xml:space="preserve"> </w:t>
      </w:r>
      <w:r w:rsidR="00D75D60" w:rsidRPr="007F3C5D">
        <w:fldChar w:fldCharType="begin" w:fldLock="1"/>
      </w:r>
      <w:r w:rsidR="00D75D60" w:rsidRPr="007F3C5D">
        <w:instrText>ADDIN CSL_CITATION {"citationItems":[{"id":"ITEM-1","itemData":{"DOI":"10.1016/j.neuro.2015.11.008","ISSN":"0161813X","abstract":"file:///C:/Users/Marika/Desktop/università di pavia/articoli/strategie per l'infertilità/nihms964087.pdf","author":[{"dropping-particle":"","family":"Costa","given":"Lucio G.","non-dropping-particle":"","parse-names":false,"suffix":""},{"dropping-particle":"","family":"Cole","given":"Toby B.","non-dropping-particle":"","parse-names":false,"suffix":""},{"dropping-particle":"","family":"Coburn","given":"Jacki","non-dropping-particle":"","parse-names":false,"suffix":""},{"dropping-particle":"","family":"Chang","given":"Yu-Chi","non-dropping-particle":"","parse-names":false,"suffix":""},{"dropping-particle":"","family":"Dao","given":"Khoi","non-dropping-particle":"","parse-names":false,"suffix":""},{"dropping-particle":"","family":"Roqué","given":"Pamela J.","non-dropping-particle":"","parse-names":false,"suffix":""}],"container-title":"NeuroToxicology","id":"ITEM-1","issue":"3","issued":{"date-parts":[["2017","3"]]},"page":"133-139","title":"Neurotoxicity of traffic-related air pollution","type":"article-journal","volume":"59"},"uris":["http://www.mendeley.com/documents/?uuid=fc4520b4-c134-4e94-bcc3-fc76a145ba91"]}],"mendeley":{"formattedCitation":"(Costa et al., 2017)","plainTextFormattedCitation":"(Costa et al., 2017)","previouslyFormattedCitation":"(Costa et al., 2017)"},"properties":{"noteIndex":0},"schema":"https://github.com/citation-style-language/schema/raw/master/csl-citation.json"}</w:instrText>
      </w:r>
      <w:r w:rsidR="00D75D60" w:rsidRPr="007F3C5D">
        <w:fldChar w:fldCharType="separate"/>
      </w:r>
      <w:r w:rsidR="00D75D60" w:rsidRPr="007F3C5D">
        <w:rPr>
          <w:noProof/>
        </w:rPr>
        <w:t>(Costa et al., 2017)</w:t>
      </w:r>
      <w:r w:rsidR="00D75D60" w:rsidRPr="007F3C5D">
        <w:fldChar w:fldCharType="end"/>
      </w:r>
      <w:r w:rsidR="00D75D60" w:rsidRPr="007F3C5D">
        <w:t xml:space="preserve">. Therefore, it is </w:t>
      </w:r>
      <w:r w:rsidR="004229FC" w:rsidRPr="007F3C5D">
        <w:t xml:space="preserve">often utilized as a measure of traffic-related air pollution. Diesel exhaust, produced and released during the combustion of diesel fuel, is a complex mixture of gases (e.g. nitrogen oxides and carbon monoxide), hydrocarbons (e.g. aldehydes, volatile organic compounds and polycyclic aromatic hydrocarbons) and particles (e.g. organic and elemental carbon) </w:t>
      </w:r>
      <w:r w:rsidR="004229FC" w:rsidRPr="007F3C5D">
        <w:fldChar w:fldCharType="begin" w:fldLock="1"/>
      </w:r>
      <w:r w:rsidR="004229FC" w:rsidRPr="007F3C5D">
        <w:instrText>ADDIN CSL_CITATION {"citationItems":[{"id":"ITEM-1","itemData":{"DOI":"10.1080/10473289.2011.599277","ISSN":"1096-2247","PMID":"22010375","abstract":"Diesel exhaust (DE) characteristic of pre-1988 engines is classified as a \"probable\" human carcinogen (Group 2A) by the International Agency for Research on Cancer (IARC), and the U.S. Environmental Protection Agency has classified DE as \"likely to be carcinogenic to humans.\" These classifications were based on the large body of health effect studies conducted on DE over the past 30 or so years. However, increasingly stringent U.S. emissions standards (1988-2010) for particulate matter (PM) and nitrogen oxides (NOx) in diesel exhaust have helped stimulate major technological advances in diesel engine technology and diesel fuel/lubricant composition, resulting in the emergence of what has been termed New Technology Diesel Exhaust, or NTDE. NTDE is defined as DE from post-2006 and older retrofit diesel engines that incorporate a variety of technological advancements, including electronic controls, ultra-low-sulfur diesel fuel, oxidation catalysts, and wall-flow diesel particulate filters (DPFs). As discussed in a prior review (T. W. Hesterberg et al.; Environ. Sci. Technol. 2008, 42, 6437-6445), numerous emissions characterization studies have demonstrated marked differences in regulated and unregulated emissions between NTDE and \"traditional diesel exhaust\" (TDE) from pre-1988 diesel engines. Now there exist even more data demonstrating significant chemical and physical distinctions between the diesel exhaust particulate (DEP) in NTDE versus DEP from pre-2007 diesel technology, and its greater resemblance to particulate emissions from compressed natural gas (CNG) or gasoline engines. Furthermore, preliminary toxicological data suggest that the changes to the physical and chemical composition of NTDE lead to differences in biological responses between NTDE versus TDE exposure. Ongoing studies are expected to address some of the remaining data gaps in the understanding of possible NTDE health effects, but there is now sufficient evidence to conclude that health effects studies of pre-2007 DE likely have little relevance in assessing the potential health risks of NTDE exposures. © 2011 Air &amp; Waste Management Association.","author":[{"dropping-particle":"","family":"Hesterberg","given":"Thomas W.","non-dropping-particle":"","parse-names":false,"suffix":""},{"dropping-particle":"","family":"Long","given":"Christopher M.","non-dropping-particle":"","parse-names":false,"suffix":""},{"dropping-particle":"","family":"Sax","given":"Sonja N.","non-dropping-particle":"","parse-names":false,"suffix":""},{"dropping-particle":"","family":"Lapin","given":"Charles A.","non-dropping-particle":"","parse-names":false,"suffix":""},{"dropping-particle":"","family":"McClellan","given":"Roger O.","non-dropping-particle":"","parse-names":false,"suffix":""},{"dropping-particle":"","family":"Bunn","given":"William B.","non-dropping-particle":"","parse-names":false,"suffix":""},{"dropping-particle":"","family":"Valberg","given":"Peter A.","non-dropping-particle":"","parse-names":false,"suffix":""}],"container-title":"Journal of the Air &amp; Waste Management Association","id":"ITEM-1","issue":"9","issued":{"date-parts":[["2011","9","29"]]},"page":"894-913","title":"Particulate Matter in New Technology Diesel Exhaust (NTDE) is Quantitatively and Qualitatively Very Different from that Found in Traditional Diesel Exhaust (TDE)","type":"article-journal","volume":"61"},"uris":["http://www.mendeley.com/documents/?uuid=55f3c1a2-2708-4dde-b8d8-1ed34e92d45b"]}],"mendeley":{"formattedCitation":"(Hesterberg et al., 2011)","plainTextFormattedCitation":"(Hesterberg et al., 2011)","previouslyFormattedCitation":"(Hesterberg et al., 2011)"},"properties":{"noteIndex":0},"schema":"https://github.com/citation-style-language/schema/raw/master/csl-citation.json"}</w:instrText>
      </w:r>
      <w:r w:rsidR="004229FC" w:rsidRPr="007F3C5D">
        <w:fldChar w:fldCharType="separate"/>
      </w:r>
      <w:r w:rsidR="004229FC" w:rsidRPr="007F3C5D">
        <w:rPr>
          <w:noProof/>
        </w:rPr>
        <w:t>(Hesterberg et al., 2011)</w:t>
      </w:r>
      <w:r w:rsidR="004229FC" w:rsidRPr="007F3C5D">
        <w:fldChar w:fldCharType="end"/>
      </w:r>
      <w:r w:rsidR="004229FC" w:rsidRPr="007F3C5D">
        <w:t xml:space="preserve">. </w:t>
      </w:r>
      <w:r w:rsidR="006241A8" w:rsidRPr="007F3C5D">
        <w:t>To date,</w:t>
      </w:r>
      <w:r w:rsidR="006545C8" w:rsidRPr="007F3C5D">
        <w:t xml:space="preserve"> </w:t>
      </w:r>
      <w:r w:rsidR="0034475F" w:rsidRPr="007F3C5D">
        <w:t>the polycyclic aromatic hydrocarbons</w:t>
      </w:r>
      <w:r w:rsidR="001F338F" w:rsidRPr="007F3C5D">
        <w:t xml:space="preserve"> (PAH), a subgroup of the </w:t>
      </w:r>
      <w:proofErr w:type="spellStart"/>
      <w:r w:rsidR="001F338F" w:rsidRPr="007F3C5D">
        <w:t>semivolatile</w:t>
      </w:r>
      <w:proofErr w:type="spellEnd"/>
      <w:r w:rsidR="001F338F" w:rsidRPr="007F3C5D">
        <w:t xml:space="preserve"> organic compounds</w:t>
      </w:r>
      <w:r w:rsidR="00030F58" w:rsidRPr="007F3C5D">
        <w:t xml:space="preserve"> (SVOC)</w:t>
      </w:r>
      <w:r w:rsidR="006545C8" w:rsidRPr="007F3C5D">
        <w:t xml:space="preserve"> and metals are the UFP that are thought to be the most harmful within diesel </w:t>
      </w:r>
      <w:proofErr w:type="gramStart"/>
      <w:r w:rsidR="006545C8" w:rsidRPr="007F3C5D">
        <w:t>exhaust-derived</w:t>
      </w:r>
      <w:proofErr w:type="gramEnd"/>
      <w:r w:rsidR="006545C8" w:rsidRPr="007F3C5D">
        <w:t xml:space="preserve"> PM</w:t>
      </w:r>
      <w:r w:rsidR="006241A8" w:rsidRPr="007F3C5D">
        <w:t xml:space="preserve">. </w:t>
      </w:r>
      <w:r w:rsidR="006545C8" w:rsidRPr="007F3C5D">
        <w:t xml:space="preserve">While metals occur naturally in fossil fuels </w:t>
      </w:r>
      <w:r w:rsidR="006545C8" w:rsidRPr="007F3C5D">
        <w:fldChar w:fldCharType="begin" w:fldLock="1"/>
      </w:r>
      <w:r w:rsidR="006545C8" w:rsidRPr="007F3C5D">
        <w:instrText>ADDIN CSL_CITATION {"citationItems":[{"id":"ITEM-1","itemData":{"DOI":"10.1016/j.mrrev.2006.07.001","ISSN":"13835742","abstract":"Particulate air pollution (PM) is an important environmental health risk factor for many different diseases. This is indicated by numerous epidemiological studies on associations between PM exposure and occurrence of acute respiratory infections, lung cancer and chronic respiratory and cardiovascular diseases. The biological mechanisms behind these associations are not fully understood, but the results of in vitro toxicological research have shown that PM induces several types of adverse cellular effects, including cytotoxicity, mutagenicity, DNA damage and stimulation of proinflammatory cytokine production. Because traffic is an important source of PM emission, it seems obvious that traffic intensity has an important impact on both quantitative and qualitative aspects of ambient PM, including its chemical, physical and toxicological characteristics. In this review, the results are summarized of the most recent studies investigating physical and chemical characteristics of ambient and traffic-related PM in relation to its toxicological activity. This evaluation shows that, in general, the smaller PM size fractions (&lt;PM 10) have the highest toxicity, contain higher concentrations of extractable organic matter (comprising a wide spectrum of chemical substances), and possess a relatively high radical-generating capacity. Also, associations between chemical characteristics and PM toxicity tend to be stronger for the smaller PM size fractions. Most importantly, traffic intensity does not always explain local differences in PM toxicity, and these differences are not necessarily related to PM mass concentrations. This implies that PM regulatory strategies should take PM-size fractions smaller than PM 10 into account. Therefore, future research should aim at establishing the relationship between toxicity of these smaller fractions in relation to their specific sources.","author":[{"dropping-particle":"","family":"Kok","given":"Theo M.C.M.","non-dropping-particle":"de","parse-names":false,"suffix":""},{"dropping-particle":"","family":"Driece","given":"Hermen A.L.","non-dropping-particle":"","parse-names":false,"suffix":""},{"dropping-particle":"","family":"Hogervorst","given":"Janneke G.F.","non-dropping-particle":"","parse-names":false,"suffix":""},{"dropping-particle":"","family":"Briedé","given":"Jacob J","non-dropping-particle":"","parse-names":false,"suffix":""}],"container-title":"Mutation Research/Reviews in Mutation Research","id":"ITEM-1","issue":"2-3","issued":{"date-parts":[["2006","11"]]},"page":"103-122","title":"Toxicological assessment of ambient and traffic-related particulate matter: A review of recent studies","type":"article-journal","volume":"613"},"uris":["http://www.mendeley.com/documents/?uuid=98bea598-56cf-382c-a9ab-e6fdb1ef22d2"]}],"mendeley":{"formattedCitation":"(de Kok et al., 2006)","plainTextFormattedCitation":"(de Kok et al., 2006)","previouslyFormattedCitation":"(de Kok et al., 2006)"},"properties":{"noteIndex":0},"schema":"https://github.com/citation-style-language/schema/raw/master/csl-citation.json"}</w:instrText>
      </w:r>
      <w:r w:rsidR="006545C8" w:rsidRPr="007F3C5D">
        <w:fldChar w:fldCharType="separate"/>
      </w:r>
      <w:r w:rsidR="006545C8" w:rsidRPr="007F3C5D">
        <w:rPr>
          <w:noProof/>
        </w:rPr>
        <w:t>(de Kok et al., 2006)</w:t>
      </w:r>
      <w:r w:rsidR="006545C8" w:rsidRPr="007F3C5D">
        <w:fldChar w:fldCharType="end"/>
      </w:r>
      <w:r w:rsidR="00501505" w:rsidRPr="007F3C5D">
        <w:t>,</w:t>
      </w:r>
      <w:r w:rsidR="006545C8" w:rsidRPr="007F3C5D">
        <w:t xml:space="preserve"> </w:t>
      </w:r>
      <w:r w:rsidR="000A600E" w:rsidRPr="007F3C5D">
        <w:t>aromatics compounds</w:t>
      </w:r>
      <w:r w:rsidR="006241A8" w:rsidRPr="007F3C5D">
        <w:t xml:space="preserve"> are</w:t>
      </w:r>
      <w:r w:rsidR="00921B77" w:rsidRPr="007F3C5D">
        <w:t xml:space="preserve"> </w:t>
      </w:r>
      <w:r w:rsidR="006241A8" w:rsidRPr="007F3C5D">
        <w:t>added to the fuel</w:t>
      </w:r>
      <w:r w:rsidR="00D43BDF" w:rsidRPr="007F3C5D">
        <w:t xml:space="preserve"> </w:t>
      </w:r>
      <w:r w:rsidR="006241A8" w:rsidRPr="007F3C5D">
        <w:t>as engine lubricant oils</w:t>
      </w:r>
      <w:r w:rsidR="00D43BDF" w:rsidRPr="007F3C5D">
        <w:t xml:space="preserve"> and account for 10-30% of regular diesel fuel</w:t>
      </w:r>
      <w:r w:rsidR="00860564" w:rsidRPr="007F3C5D">
        <w:t xml:space="preserve"> </w:t>
      </w:r>
      <w:r w:rsidR="00860564" w:rsidRPr="007F3C5D">
        <w:fldChar w:fldCharType="begin" w:fldLock="1"/>
      </w:r>
      <w:r w:rsidR="0084385A">
        <w:instrText>ADDIN CSL_CITATION {"citationItems":[{"id":"ITEM-1","itemData":{"DOI":"10.1016/j.applthermaleng.2017.07.145","ISSN":"13594311","abstract":"Aromatic hydrocarbons are thought to be the important components of diesel surrogate fuel. The studies on the effects of different aromatic hydrocarbons on diesel combustion process are of great significance. In this paper, experimental study was carried out on a modified single cylinder diesel engine to analyze the influences of different aromatics blended with diesel on the combustion and emission characteristics. Four typical aromatics (toluene, n-butylbenzene, tetralin and 1-methylnaphthalene) were selected and blended with commercial diesel fuel in 30% volume fraction to form the test fuels, respectively. Studies showed that the blending of aromatics resulted in the higher density and lower viscosity compared with traditional diesel fuel. Toluene lowered the distillation temperature of the mixed fuel to a large extent. The increases in both the ignition delay and the peak values of heat release rate were found in the experiments. The combustion duration was shortened especially for the multi-ring aromatics. It also increased maximum pressure rise rate remarkably at medium and high loads. As for the pollutant emissions, the higher CO emissions were detected at low loads for aromatics/diesel blends. The CO emissions of the multi-ring aromatics were higher than those of the single-ring aromatics and commercial diesel. HC emissions of the multi-ring aromatics were higher than those of diesel, while the single-ring aromatics had similar HC emissions to those of diesel. Blending aromatics leaded to the higher NOx emissions at medium-high loads. Smoke emissions were improved due to the longer ignition delay. The peak value of particle number/size distribution curve was shifted to the small-size sides after blending aromatics, in which the single-ring aromatics showed higher particle emissions than multi-ring aromatics.","author":[{"dropping-particle":"","family":"Qian","given":"Yong","non-dropping-particle":"","parse-names":false,"suffix":""},{"dropping-particle":"","family":"Qiu","given":"Yue","non-dropping-particle":"","parse-names":false,"suffix":""},{"dropping-particle":"","family":"Zhang","given":"Yahui","non-dropping-particle":"","parse-names":false,"suffix":""},{"dropping-particle":"","family":"Lu","given":"Xingcai","non-dropping-particle":"","parse-names":false,"suffix":""}],"container-title":"Applied Thermal Engineering","id":"ITEM-1","issued":{"date-parts":[["2017","10"]]},"page":"1530-1538","publisher":"Elsevier Ltd","title":"Effects of different aromatics blended with diesel on combustion and emission characteristics with a common rail diesel engine","type":"article-journal","volume":"125"},"uris":["http://www.mendeley.com/documents/?uuid=1d28b48a-2f52-4f6c-89bc-33d4f4feab2c"]}],"mendeley":{"formattedCitation":"(Qian et al., 2017)","plainTextFormattedCitation":"(Qian et al., 2017)","previouslyFormattedCitation":"(Qian et al., 2017)"},"properties":{"noteIndex":0},"schema":"https://github.com/citation-style-language/schema/raw/master/csl-citation.json"}</w:instrText>
      </w:r>
      <w:r w:rsidR="00860564" w:rsidRPr="007F3C5D">
        <w:fldChar w:fldCharType="separate"/>
      </w:r>
      <w:r w:rsidR="00860564" w:rsidRPr="007F3C5D">
        <w:rPr>
          <w:noProof/>
        </w:rPr>
        <w:t>(Qian et al., 2017)</w:t>
      </w:r>
      <w:r w:rsidR="00860564" w:rsidRPr="007F3C5D">
        <w:fldChar w:fldCharType="end"/>
      </w:r>
      <w:r w:rsidR="00D43BDF" w:rsidRPr="007F3C5D">
        <w:t>. B</w:t>
      </w:r>
      <w:r w:rsidR="006545C8" w:rsidRPr="007F3C5D">
        <w:t>ecause of</w:t>
      </w:r>
      <w:r w:rsidR="006241A8" w:rsidRPr="007F3C5D">
        <w:t xml:space="preserve"> incomplete combustion of the fuel, </w:t>
      </w:r>
      <w:r w:rsidR="000A600E" w:rsidRPr="007F3C5D">
        <w:t>they are transformed to SVOC in the</w:t>
      </w:r>
      <w:r w:rsidR="006241A8" w:rsidRPr="007F3C5D">
        <w:t xml:space="preserve"> exhaust</w:t>
      </w:r>
      <w:r w:rsidR="00921B77" w:rsidRPr="007F3C5D">
        <w:t xml:space="preserve"> </w:t>
      </w:r>
      <w:r w:rsidR="00A430E4" w:rsidRPr="007F3C5D">
        <w:fldChar w:fldCharType="begin" w:fldLock="1"/>
      </w:r>
      <w:r w:rsidR="00422F5D">
        <w:instrText>ADDIN CSL_CITATION {"citationItems":[{"id":"ITEM-1","itemData":{"DOI":"10.1007/S11270-013-1630-1","ISSN":"0049-6979","PMID":"24363468","abstract":"Diesel exhaust particulate matter contains many semivolatile organic compounds (SVOCs) of environmental and health significance. This study investigates the composition, emission rates, and measurement integrity of 25 SVOCs, including polycyclic aromatic hydrocarbons (PAHs), nitro-PAHs (NPAHs), and diesel biomarkers hopanes and steranes. Diesel engine particulate matter (PM), generated using an engine test bench, three engine conditions, and ultralow sulfur diesel (ULSD), was collected on borosilicate glass fiber filters. Under high engine load, the PM emission rate was 0.102 g/kWh, and emission rates of ΣPAHs (10 compounds), ΣNPAHs (6 compounds), Σhopanes (2 compounds), and Σsteranes (2 compounds) were 2.52, 0.351, 0.02-2 and 1 μg/kWh, respectively. Storage losses were evaluated for three cases: conditioning filters in clean air at 25 C and 33 % relative humidity (RH) for 24 h, storing filter samples (without extraction) wrapped in aluminum foil at 4 C for up to 1 month, and storing filter extracts in glass vials capped with Teflon crimp seals at 4 C for up to 6 months. After conditioning filters for 24 h, 30 % of the more volatile PAHs were lost, but lower volatility NPAHs, hopanes and steranes showed negligible changes. Storing wrapped filters and extracts at 4 C for up to 1 month did not lead to significant losses, but storing extracts for 5 months led to significant losses of PAHs and NPAHs; hopanes and steranes demonstrated greater integrity. These results suggest that even relatively brief filter conditioning periods, needed for gravimetric measurements of PM mass, and extended storage of filter extracts, can lead to underestimates of SVOC concentrations. Thus, SVOC sampling and analysis protocols should utilize stringent criteria and performance checks to identify and limit possible biases occurring during filter and extract processing. © 2013 Springer Science+Business Media Dordrecht.","author":[{"dropping-particle":"","family":"Huang","given":"Lei","non-dropping-particle":"","parse-names":false,"suffix":""},{"dropping-particle":"V.","family":"Bohac","given":"Stanislav","non-dropping-particle":"","parse-names":false,"suffix":""},{"dropping-particle":"","family":"Chernyak","given":"Sergei M.","non-dropping-particle":"","parse-names":false,"suffix":""},{"dropping-particle":"","family":"Batterman","given":"Stuart A.","non-dropping-particle":"","parse-names":false,"suffix":""}],"container-title":"Water, air, and soil pollution","id":"ITEM-1","issue":"8","issued":{"date-parts":[["2013","8","1"]]},"publisher":"Water Air Soil Pollut","title":"Composition and Integrity of PAHs, Nitro-PAHs, Hopanes and Steranes In Diesel Exhaust Particulate Matter","type":"article-journal","volume":"224"},"uris":["http://www.mendeley.com/documents/?uuid=0af1752d-a4e1-4b18-9fa2-66d6f864844e"]}],"mendeley":{"formattedCitation":"(L. Huang et al., 2013)","plainTextFormattedCitation":"(L. Huang et al., 2013)","previouslyFormattedCitation":"(L. Huang et al., 2013)"},"properties":{"noteIndex":0},"schema":"https://github.com/citation-style-language/schema/raw/master/csl-citation.json"}</w:instrText>
      </w:r>
      <w:r w:rsidR="00A430E4" w:rsidRPr="007F3C5D">
        <w:fldChar w:fldCharType="separate"/>
      </w:r>
      <w:r w:rsidR="00CF2EAF" w:rsidRPr="00CF2EAF">
        <w:rPr>
          <w:noProof/>
        </w:rPr>
        <w:t>(L. Huang et al., 2013)</w:t>
      </w:r>
      <w:r w:rsidR="00A430E4" w:rsidRPr="007F3C5D">
        <w:fldChar w:fldCharType="end"/>
      </w:r>
      <w:r w:rsidR="0034475F" w:rsidRPr="007F3C5D">
        <w:t xml:space="preserve">. </w:t>
      </w:r>
      <w:r w:rsidR="000A79C2" w:rsidRPr="007F3C5D">
        <w:t xml:space="preserve">Both </w:t>
      </w:r>
      <w:r w:rsidR="00C71B43" w:rsidRPr="007F3C5D">
        <w:t xml:space="preserve">PAHs and metals are presumed to contribute to </w:t>
      </w:r>
      <w:r w:rsidR="00901A25" w:rsidRPr="007F3C5D">
        <w:t>the induction of</w:t>
      </w:r>
      <w:r w:rsidR="00C71B43" w:rsidRPr="007F3C5D">
        <w:t xml:space="preserve"> oxidative stress</w:t>
      </w:r>
      <w:r w:rsidR="001E3A8F" w:rsidRPr="007F3C5D">
        <w:t xml:space="preserve">, </w:t>
      </w:r>
      <w:proofErr w:type="spellStart"/>
      <w:r w:rsidR="00C71B43" w:rsidRPr="007F3C5D">
        <w:t>cytoxici</w:t>
      </w:r>
      <w:r w:rsidR="00901A25" w:rsidRPr="007F3C5D">
        <w:t>ty</w:t>
      </w:r>
      <w:proofErr w:type="spellEnd"/>
      <w:r w:rsidR="001E3A8F" w:rsidRPr="007F3C5D">
        <w:t xml:space="preserve"> and mutagenicity</w:t>
      </w:r>
      <w:r w:rsidR="00901A25" w:rsidRPr="007F3C5D">
        <w:t xml:space="preserve"> from traffic exhaust exposure, and are thought to be more abundant in the smaller PM2.5 and UFP fractions as opposed to the total suspended particles and PM10 </w:t>
      </w:r>
      <w:r w:rsidR="00901A25" w:rsidRPr="007F3C5D">
        <w:fldChar w:fldCharType="begin" w:fldLock="1"/>
      </w:r>
      <w:r w:rsidR="009C4B43" w:rsidRPr="007F3C5D">
        <w:instrText>ADDIN CSL_CITATION {"citationItems":[{"id":"ITEM-1","itemData":{"DOI":"10.1016/j.mrrev.2006.07.001","ISSN":"13835742","abstract":"Particulate air pollution (PM) is an important environmental health risk factor for many different diseases. This is indicated by numerous epidemiological studies on associations between PM exposure and occurrence of acute respiratory infections, lung cancer and chronic respiratory and cardiovascular diseases. The biological mechanisms behind these associations are not fully understood, but the results of in vitro toxicological research have shown that PM induces several types of adverse cellular effects, including cytotoxicity, mutagenicity, DNA damage and stimulation of proinflammatory cytokine production. Because traffic is an important source of PM emission, it seems obvious that traffic intensity has an important impact on both quantitative and qualitative aspects of ambient PM, including its chemical, physical and toxicological characteristics. In this review, the results are summarized of the most recent studies investigating physical and chemical characteristics of ambient and traffic-related PM in relation to its toxicological activity. This evaluation shows that, in general, the smaller PM size fractions (&lt;PM 10) have the highest toxicity, contain higher concentrations of extractable organic matter (comprising a wide spectrum of chemical substances), and possess a relatively high radical-generating capacity. Also, associations between chemical characteristics and PM toxicity tend to be stronger for the smaller PM size fractions. Most importantly, traffic intensity does not always explain local differences in PM toxicity, and these differences are not necessarily related to PM mass concentrations. This implies that PM regulatory strategies should take PM-size fractions smaller than PM 10 into account. Therefore, future research should aim at establishing the relationship between toxicity of these smaller fractions in relation to their specific sources.","author":[{"dropping-particle":"","family":"Kok","given":"Theo M.C.M.","non-dropping-particle":"de","parse-names":false,"suffix":""},{"dropping-particle":"","family":"Driece","given":"Hermen A.L.","non-dropping-particle":"","parse-names":false,"suffix":""},{"dropping-particle":"","family":"Hogervorst","given":"Janneke G.F.","non-dropping-particle":"","parse-names":false,"suffix":""},{"dropping-particle":"","family":"Briedé","given":"Jacob J","non-dropping-particle":"","parse-names":false,"suffix":""}],"container-title":"Mutation Research/Reviews in Mutation Research","id":"ITEM-1","issue":"2-3","issued":{"date-parts":[["2006","11"]]},"page":"103-122","title":"Toxicological assessment of ambient and traffic-related particulate matter: A review of recent studies","type":"article-journal","volume":"613"},"uris":["http://www.mendeley.com/documents/?uuid=98bea598-56cf-382c-a9ab-e6fdb1ef22d2"]}],"mendeley":{"formattedCitation":"(de Kok et al., 2006)","plainTextFormattedCitation":"(de Kok et al., 2006)","previouslyFormattedCitation":"(de Kok et al., 2006)"},"properties":{"noteIndex":0},"schema":"https://github.com/citation-style-language/schema/raw/master/csl-citation.json"}</w:instrText>
      </w:r>
      <w:r w:rsidR="00901A25" w:rsidRPr="007F3C5D">
        <w:fldChar w:fldCharType="separate"/>
      </w:r>
      <w:r w:rsidR="005A60BE" w:rsidRPr="007F3C5D">
        <w:rPr>
          <w:noProof/>
        </w:rPr>
        <w:t>(de Kok et al., 2006)</w:t>
      </w:r>
      <w:r w:rsidR="00901A25" w:rsidRPr="007F3C5D">
        <w:fldChar w:fldCharType="end"/>
      </w:r>
      <w:r w:rsidR="00901A25" w:rsidRPr="007F3C5D">
        <w:t>.</w:t>
      </w:r>
    </w:p>
    <w:p w14:paraId="1E87D68E" w14:textId="0A62A42D" w:rsidR="00F85590" w:rsidRPr="007F3C5D" w:rsidRDefault="00920E20" w:rsidP="00A14895">
      <w:r w:rsidRPr="007F3C5D">
        <w:t>The</w:t>
      </w:r>
      <w:r w:rsidR="006545C8" w:rsidRPr="007F3C5D">
        <w:t>refore, the</w:t>
      </w:r>
      <w:r w:rsidRPr="007F3C5D">
        <w:t xml:space="preserve"> </w:t>
      </w:r>
      <w:r w:rsidR="00A0640E" w:rsidRPr="007F3C5D">
        <w:t>generation conditions</w:t>
      </w:r>
      <w:r w:rsidRPr="007F3C5D">
        <w:t xml:space="preserve"> of different </w:t>
      </w:r>
      <w:r w:rsidR="006545C8" w:rsidRPr="007F3C5D">
        <w:t>UFP are important</w:t>
      </w:r>
      <w:r w:rsidRPr="007F3C5D">
        <w:t xml:space="preserve"> to assess the potential neurotoxicological hazard </w:t>
      </w:r>
      <w:r w:rsidR="006545C8" w:rsidRPr="007F3C5D">
        <w:t xml:space="preserve">of engine </w:t>
      </w:r>
      <w:proofErr w:type="gramStart"/>
      <w:r w:rsidR="006545C8" w:rsidRPr="007F3C5D">
        <w:t>exhaust-derived</w:t>
      </w:r>
      <w:proofErr w:type="gramEnd"/>
      <w:r w:rsidR="006545C8" w:rsidRPr="007F3C5D">
        <w:t xml:space="preserve"> PM</w:t>
      </w:r>
      <w:r w:rsidRPr="007F3C5D">
        <w:t xml:space="preserve">. </w:t>
      </w:r>
      <w:r w:rsidR="00A4562C" w:rsidRPr="007F3C5D">
        <w:t xml:space="preserve">Differences in </w:t>
      </w:r>
      <w:r w:rsidR="00A15597" w:rsidRPr="007F3C5D">
        <w:t xml:space="preserve">fuel types, engine types and </w:t>
      </w:r>
      <w:r w:rsidR="005A3142" w:rsidRPr="007F3C5D">
        <w:t xml:space="preserve">exhaust </w:t>
      </w:r>
      <w:r w:rsidR="00A15597" w:rsidRPr="007F3C5D">
        <w:t xml:space="preserve">fractions could lead to an entirely </w:t>
      </w:r>
      <w:r w:rsidR="00A0640E" w:rsidRPr="007F3C5D">
        <w:t>different composition of the sample</w:t>
      </w:r>
      <w:r w:rsidR="006165BC" w:rsidRPr="007F3C5D">
        <w:t>s</w:t>
      </w:r>
      <w:r w:rsidR="00A0640E" w:rsidRPr="007F3C5D">
        <w:t xml:space="preserve">. For instance, the difference between </w:t>
      </w:r>
      <w:r w:rsidR="00FC0E90" w:rsidRPr="007F3C5D">
        <w:t>petroleum-derived diesel fuel</w:t>
      </w:r>
      <w:r w:rsidR="008A2FAD" w:rsidRPr="007F3C5D">
        <w:t xml:space="preserve"> (</w:t>
      </w:r>
      <w:r w:rsidR="00880CA1" w:rsidRPr="007F3C5D">
        <w:t>regarded as regular diesel)</w:t>
      </w:r>
      <w:r w:rsidR="008A2FAD" w:rsidRPr="007F3C5D">
        <w:t xml:space="preserve">, </w:t>
      </w:r>
      <w:r w:rsidR="00A0640E" w:rsidRPr="007F3C5D">
        <w:t>and biodiesels blends generate different PM mass and concentrations</w:t>
      </w:r>
      <w:r w:rsidR="006165BC" w:rsidRPr="007F3C5D">
        <w:t xml:space="preserve"> </w:t>
      </w:r>
      <w:r w:rsidR="006165BC" w:rsidRPr="007F3C5D">
        <w:fldChar w:fldCharType="begin" w:fldLock="1"/>
      </w:r>
      <w:r w:rsidR="006165BC" w:rsidRPr="007F3C5D">
        <w:instrText>ADDIN CSL_CITATION {"citationItems":[{"id":"ITEM-1","itemData":{"DOI":"10.2172/894987","author":[{"dropping-particle":"","family":"McCormick","given":"R. L.","non-dropping-particle":"","parse-names":false,"suffix":""},{"dropping-particle":"","family":"Williams","given":"A","non-dropping-particle":"","parse-names":false,"suffix":""},{"dropping-particle":"","family":"Ireland","given":"J","non-dropping-particle":"","parse-names":false,"suffix":""},{"dropping-particle":"","family":"Hayes","given":"R. R.","non-dropping-particle":"","parse-names":false,"suffix":""}],"id":"ITEM-1","issued":{"date-parts":[["2006","10","1"]]},"publisher-place":"Golden, CO","title":"Effects of Biodiesel Blends on Vehicle Emissions: Fiscal Year 2006 Annual Operating Plan Milestone 10.4","type":"report"},"uris":["http://www.mendeley.com/documents/?uuid=94d69306-2e79-3ecd-915a-4240bf2f9381"]}],"mendeley":{"formattedCitation":"(McCormick et al., 2006)","plainTextFormattedCitation":"(McCormick et al., 2006)","previouslyFormattedCitation":"(McCormick et al., 2006)"},"properties":{"noteIndex":0},"schema":"https://github.com/citation-style-language/schema/raw/master/csl-citation.json"}</w:instrText>
      </w:r>
      <w:r w:rsidR="006165BC" w:rsidRPr="007F3C5D">
        <w:fldChar w:fldCharType="separate"/>
      </w:r>
      <w:r w:rsidR="006165BC" w:rsidRPr="007F3C5D">
        <w:rPr>
          <w:noProof/>
        </w:rPr>
        <w:t>(McCormick et al., 2006)</w:t>
      </w:r>
      <w:r w:rsidR="006165BC" w:rsidRPr="007F3C5D">
        <w:fldChar w:fldCharType="end"/>
      </w:r>
      <w:r w:rsidR="00A0640E" w:rsidRPr="007F3C5D">
        <w:t xml:space="preserve">. </w:t>
      </w:r>
      <w:r w:rsidR="00A0035A" w:rsidRPr="007F3C5D">
        <w:t xml:space="preserve">Biodiesel </w:t>
      </w:r>
      <w:r w:rsidR="00597977" w:rsidRPr="007F3C5D">
        <w:t xml:space="preserve">is </w:t>
      </w:r>
      <w:r w:rsidR="00A0035A" w:rsidRPr="007F3C5D">
        <w:t>made from renewable sources</w:t>
      </w:r>
      <w:r w:rsidR="00597977" w:rsidRPr="007F3C5D">
        <w:t xml:space="preserve"> and therefore, it is seen as a ‘greener’ option than</w:t>
      </w:r>
      <w:r w:rsidR="00880CA1" w:rsidRPr="007F3C5D">
        <w:t xml:space="preserve"> regular diesel from fossil fuel sources. </w:t>
      </w:r>
      <w:r w:rsidR="00597977" w:rsidRPr="007F3C5D">
        <w:t>Generally, biodiesel</w:t>
      </w:r>
      <w:r w:rsidR="00A0035A" w:rsidRPr="007F3C5D">
        <w:t xml:space="preserve"> is a fuel-blending component produced from vegetable oils, animal fats, or waste grease</w:t>
      </w:r>
      <w:r w:rsidR="00597977" w:rsidRPr="007F3C5D">
        <w:t xml:space="preserve"> and is typically blended with fossil diesel up to 20</w:t>
      </w:r>
      <w:r w:rsidR="006165BC" w:rsidRPr="007F3C5D">
        <w:t>%.</w:t>
      </w:r>
    </w:p>
    <w:p w14:paraId="30C3DB2D" w14:textId="7941410D" w:rsidR="000119E5" w:rsidRPr="007F3C5D" w:rsidRDefault="00534FBD" w:rsidP="00A14895">
      <w:r w:rsidRPr="007F3C5D">
        <w:t xml:space="preserve">In this study, the effects of various fuel types, engine types and exhaust fractions </w:t>
      </w:r>
      <w:r w:rsidR="002A2E76" w:rsidRPr="007F3C5D">
        <w:t>were</w:t>
      </w:r>
      <w:r w:rsidRPr="007F3C5D">
        <w:t xml:space="preserve"> assessed, with specific emphasis on their potential hazard characterization. The various samples </w:t>
      </w:r>
      <w:r w:rsidR="00E21C0E" w:rsidRPr="007F3C5D">
        <w:t xml:space="preserve">included in this study </w:t>
      </w:r>
      <w:r w:rsidR="005937A5" w:rsidRPr="007F3C5D">
        <w:t>were</w:t>
      </w:r>
      <w:r w:rsidRPr="007F3C5D">
        <w:t xml:space="preserve"> diesel and biodiesel exhaust-derived PM</w:t>
      </w:r>
      <w:r w:rsidR="002B5569" w:rsidRPr="007F3C5D">
        <w:t>2.5</w:t>
      </w:r>
      <w:r w:rsidRPr="007F3C5D">
        <w:t>, the diesel exhaust-</w:t>
      </w:r>
      <w:r w:rsidRPr="007F3C5D">
        <w:lastRenderedPageBreak/>
        <w:t xml:space="preserve">derived </w:t>
      </w:r>
      <w:r w:rsidR="002B5569" w:rsidRPr="007F3C5D">
        <w:t>UFP</w:t>
      </w:r>
      <w:r w:rsidRPr="007F3C5D">
        <w:t xml:space="preserve"> from a</w:t>
      </w:r>
      <w:r w:rsidR="00C75ED4" w:rsidRPr="007F3C5D">
        <w:t>n</w:t>
      </w:r>
      <w:r w:rsidR="009342A0" w:rsidRPr="007F3C5D">
        <w:t xml:space="preserve"> </w:t>
      </w:r>
      <w:r w:rsidR="00EE51EA" w:rsidRPr="007F3C5D">
        <w:t xml:space="preserve">older </w:t>
      </w:r>
      <w:r w:rsidRPr="007F3C5D">
        <w:t>EURO</w:t>
      </w:r>
      <w:r w:rsidR="00E21C0E" w:rsidRPr="007F3C5D">
        <w:t xml:space="preserve"> </w:t>
      </w:r>
      <w:r w:rsidRPr="007F3C5D">
        <w:t>2</w:t>
      </w:r>
      <w:r w:rsidR="00EE51EA" w:rsidRPr="007F3C5D">
        <w:t>-compliant</w:t>
      </w:r>
      <w:r w:rsidRPr="007F3C5D">
        <w:t xml:space="preserve"> and </w:t>
      </w:r>
      <w:r w:rsidR="00EE51EA" w:rsidRPr="007F3C5D">
        <w:t xml:space="preserve">a </w:t>
      </w:r>
      <w:r w:rsidR="00827391" w:rsidRPr="007F3C5D">
        <w:t xml:space="preserve">newer </w:t>
      </w:r>
      <w:r w:rsidRPr="007F3C5D">
        <w:t>EURO</w:t>
      </w:r>
      <w:r w:rsidR="00E21C0E" w:rsidRPr="007F3C5D">
        <w:t xml:space="preserve"> </w:t>
      </w:r>
      <w:r w:rsidRPr="007F3C5D">
        <w:t>6</w:t>
      </w:r>
      <w:r w:rsidR="00EE51EA" w:rsidRPr="007F3C5D">
        <w:t>-compliant</w:t>
      </w:r>
      <w:r w:rsidRPr="007F3C5D">
        <w:t xml:space="preserve"> engine and the </w:t>
      </w:r>
      <w:r w:rsidR="00CC0035" w:rsidRPr="007F3C5D">
        <w:t xml:space="preserve">non-volatile </w:t>
      </w:r>
      <w:r w:rsidR="002B5569" w:rsidRPr="007F3C5D">
        <w:t>UFP</w:t>
      </w:r>
      <w:r w:rsidRPr="007F3C5D">
        <w:t xml:space="preserve"> and SVOC </w:t>
      </w:r>
      <w:r w:rsidR="00CC0035" w:rsidRPr="007F3C5D">
        <w:t xml:space="preserve">UFP </w:t>
      </w:r>
      <w:r w:rsidRPr="007F3C5D">
        <w:t>fractions of a low aromatic (A0) and high aromatic (A20) engine fuel</w:t>
      </w:r>
      <w:r w:rsidR="007D1101" w:rsidRPr="007F3C5D">
        <w:t xml:space="preserve"> (further abbreviated to non-volatile A0 and A20, and SVOC A0 and A20)</w:t>
      </w:r>
      <w:r w:rsidR="00117097" w:rsidRPr="007F3C5D">
        <w:t>.</w:t>
      </w:r>
      <w:r w:rsidR="00E21C0E" w:rsidRPr="007F3C5D">
        <w:t xml:space="preserve"> Additionally, carbon and copper</w:t>
      </w:r>
      <w:r w:rsidR="00662544" w:rsidRPr="007F3C5D">
        <w:t xml:space="preserve"> </w:t>
      </w:r>
      <w:r w:rsidR="00E21C0E" w:rsidRPr="007F3C5D">
        <w:t>oxide nano</w:t>
      </w:r>
      <w:r w:rsidR="00130168" w:rsidRPr="007F3C5D">
        <w:t>particles</w:t>
      </w:r>
      <w:r w:rsidR="00E21C0E" w:rsidRPr="007F3C5D">
        <w:t xml:space="preserve"> serving as a benchmark material </w:t>
      </w:r>
      <w:r w:rsidR="005937A5" w:rsidRPr="007F3C5D">
        <w:t>were</w:t>
      </w:r>
      <w:r w:rsidR="00E21C0E" w:rsidRPr="007F3C5D">
        <w:t xml:space="preserve"> included. </w:t>
      </w:r>
      <w:r w:rsidR="005937A5" w:rsidRPr="007F3C5D">
        <w:t>With this approach, this</w:t>
      </w:r>
      <w:r w:rsidR="00E21C0E" w:rsidRPr="007F3C5D">
        <w:t xml:space="preserve"> study investigate</w:t>
      </w:r>
      <w:r w:rsidR="005937A5" w:rsidRPr="007F3C5D">
        <w:t>d</w:t>
      </w:r>
      <w:r w:rsidR="00E21C0E" w:rsidRPr="007F3C5D">
        <w:t xml:space="preserve"> the</w:t>
      </w:r>
      <w:r w:rsidR="00EE51EA" w:rsidRPr="007F3C5D">
        <w:t xml:space="preserve"> potential neurotoxic hazards of </w:t>
      </w:r>
      <w:r w:rsidR="00E21C0E" w:rsidRPr="007F3C5D">
        <w:t xml:space="preserve">several </w:t>
      </w:r>
      <w:r w:rsidR="00EE51EA" w:rsidRPr="007F3C5D">
        <w:t xml:space="preserve">engine </w:t>
      </w:r>
      <w:r w:rsidR="00E21C0E" w:rsidRPr="007F3C5D">
        <w:t xml:space="preserve">and </w:t>
      </w:r>
      <w:r w:rsidR="00EE51EA" w:rsidRPr="007F3C5D">
        <w:t>fuel types</w:t>
      </w:r>
      <w:r w:rsidR="00E21C0E" w:rsidRPr="007F3C5D">
        <w:t xml:space="preserve">. To do so, </w:t>
      </w:r>
      <w:r w:rsidR="00EE51EA" w:rsidRPr="007F3C5D">
        <w:t xml:space="preserve">the neuronal network activity </w:t>
      </w:r>
      <w:r w:rsidR="00F842DC" w:rsidRPr="007F3C5D">
        <w:t xml:space="preserve">of rat primary cortical cultures </w:t>
      </w:r>
      <w:r w:rsidR="005937A5" w:rsidRPr="007F3C5D">
        <w:t>was</w:t>
      </w:r>
      <w:r w:rsidR="00E21C0E" w:rsidRPr="007F3C5D">
        <w:t xml:space="preserve"> examined on different timepoints </w:t>
      </w:r>
      <w:r w:rsidR="00EE51EA" w:rsidRPr="007F3C5D">
        <w:t xml:space="preserve">after exposure to the different samples with the use of the multi-well Micro-Electrode Array </w:t>
      </w:r>
      <w:r w:rsidR="00E21C0E" w:rsidRPr="007F3C5D">
        <w:t>(MEA) recordings</w:t>
      </w:r>
      <w:r w:rsidR="00EE51EA" w:rsidRPr="007F3C5D">
        <w:t>.</w:t>
      </w:r>
      <w:r w:rsidR="00FA40D0" w:rsidRPr="007F3C5D">
        <w:t xml:space="preserve"> The MEA is a </w:t>
      </w:r>
      <w:r w:rsidR="006145BF" w:rsidRPr="007F3C5D">
        <w:t xml:space="preserve">non-invasive </w:t>
      </w:r>
      <w:r w:rsidR="00FA40D0" w:rsidRPr="007F3C5D">
        <w:t xml:space="preserve">technique that </w:t>
      </w:r>
      <w:r w:rsidR="005937A5" w:rsidRPr="007F3C5D">
        <w:t>was</w:t>
      </w:r>
      <w:r w:rsidR="00FA40D0" w:rsidRPr="007F3C5D">
        <w:t xml:space="preserve"> capable of </w:t>
      </w:r>
      <w:r w:rsidR="00AD1BDE" w:rsidRPr="007F3C5D">
        <w:t xml:space="preserve">detecting changes in spontaneous neuronal </w:t>
      </w:r>
      <w:r w:rsidR="002A0A14" w:rsidRPr="007F3C5D">
        <w:t>(</w:t>
      </w:r>
      <w:r w:rsidR="00AD1BDE" w:rsidRPr="007F3C5D">
        <w:t>network</w:t>
      </w:r>
      <w:r w:rsidR="002A0A14" w:rsidRPr="007F3C5D">
        <w:t>)</w:t>
      </w:r>
      <w:r w:rsidR="00AD1BDE" w:rsidRPr="007F3C5D">
        <w:t xml:space="preserve"> activity by a raster of micro electrodes within each well</w:t>
      </w:r>
      <w:r w:rsidR="005937A5" w:rsidRPr="007F3C5D">
        <w:t>. These microelectrodes measured</w:t>
      </w:r>
      <w:r w:rsidR="00AD1BDE" w:rsidRPr="007F3C5D">
        <w:t xml:space="preserve"> the extracellular field potentials and </w:t>
      </w:r>
      <w:r w:rsidR="005937A5" w:rsidRPr="007F3C5D">
        <w:t>transformed</w:t>
      </w:r>
      <w:r w:rsidR="00AD1BDE" w:rsidRPr="007F3C5D">
        <w:t xml:space="preserve"> them to parameters </w:t>
      </w:r>
      <w:r w:rsidR="00E21C0E" w:rsidRPr="007F3C5D">
        <w:t xml:space="preserve">characterizing the neuronal (network) activity, </w:t>
      </w:r>
      <w:r w:rsidR="00905C75" w:rsidRPr="007F3C5D">
        <w:t>e</w:t>
      </w:r>
      <w:r w:rsidR="00E21C0E" w:rsidRPr="007F3C5D">
        <w:t xml:space="preserve">.g. </w:t>
      </w:r>
      <w:r w:rsidR="00AD1BDE" w:rsidRPr="007F3C5D">
        <w:t>the number of spikes, bursts and network bursts (</w:t>
      </w:r>
      <w:r w:rsidR="005F6099" w:rsidRPr="007F3C5D">
        <w:t>fig.</w:t>
      </w:r>
      <w:r w:rsidR="00AD1BDE" w:rsidRPr="007F3C5D">
        <w:t xml:space="preserve"> 1</w:t>
      </w:r>
      <w:r w:rsidR="002A0A14" w:rsidRPr="007F3C5D">
        <w:t>)</w:t>
      </w:r>
      <w:r w:rsidR="00437378" w:rsidRPr="007F3C5D">
        <w:t xml:space="preserve"> </w:t>
      </w:r>
      <w:r w:rsidR="00437378" w:rsidRPr="007F3C5D">
        <w:fldChar w:fldCharType="begin" w:fldLock="1"/>
      </w:r>
      <w:r w:rsidR="007B7D5A" w:rsidRPr="007F3C5D">
        <w:instrText>ADDIN CSL_CITATION {"citationItems":[{"id":"ITEM-1","itemData":{"DOI":"10.1002/cpz1.158","ISSN":"26911299","PMID":"34152700","abstract":"Neurotoxicity testing of chemicals, drug candidates, and environmental pollutants still relies on extensive in vivo studies that are very costly, time-consuming, and ethically debated due to the large number of animals typically used. Currently, rat primary cortical cultures are widely used for in vitro neurotoxicity studies, as they closely resemble the in vitro brain with respect to the diversity of cell types, their physiological functions, and the pathological processes that they undergo. Common in vitro assays for neurotoxicity screening often focus on very target-specific endpoints such as morphological, biochemical, or electrophysiological changes, and such narrow focus can hamper translation and interpretation. Microelectrode array (MEA) recordings provide a non-invasive platform for extracellular recording of electrical activity of cultured neuronal cells, thereby enabling the evaluation of changes in neuronal (network) function as a sensitive and integrated endpoint for neurotoxicity screening. Here, we describe an in vitro approach for assessing changes in neuronal network function as a measure for neurotoxicity, using rat primary cortical cultures grown on MEAs. We provide a detailed protocol for the culture of rat primary cortical cells, and describe several experimental procedures to address acute, subchronic, and chronic exposure scenarios. We additionally describe the steps for processing and analyzing MEA and cell viability data. © 2021 The Authors. Current Protocols published by Wiley Periodicals LLC. Basic Protocol 1: Isolation and culture of rat primary cortical cells on 48-well MEA plates. Support Protocol 1: Pretreatment and washing of 48-well MEA plates before first use or for re-use. Support Protocol 2: Coating of 48-well MEA plates with 0.1% PEI solution. Basic Protocol 2: MEA measurements during acute exposure. Alternate Protocol 1: MEA measurements during subchronic exposure. Alternate Protocol 2: MEA measurements during chronic exposure. Support Protocol 3: Determination of cell viability after MEA experiments. Basic Protocol 3: MEA data processing. Basic Protocol 4: Analyzing MEA experiments after acute and subchronic exposure. Alternate Protocol 3: Analyzing MEA experiments after chronic exposure.","author":[{"dropping-particle":"","family":"Gerber","given":"Lora Sophie","non-dropping-particle":"","parse-names":false,"suffix":""},{"dropping-particle":"","family":"Melis","given":"Lennart V.J.","non-dropping-particle":"van","parse-names":false,"suffix":""},{"dropping-particle":"","family":"Kleef","given":"Regina G.D.M.","non-dropping-particle":"van","parse-names":false,"suffix":""},{"dropping-particle":"","family":"Groot","given":"Aart","non-dropping-particle":"de","parse-names":false,"suffix":""},{"dropping-particle":"","family":"Westerink","given":"Remco H.S.","non-dropping-particle":"","parse-names":false,"suffix":""}],"container-title":"Current Protocols","id":"ITEM-1","issue":"6","issued":{"date-parts":[["2021"]]},"page":"1-35","title":"Culture of Rat Primary Cortical Cells for Microelectrode Array (MEA) Recordings to Screen for Acute and Developmental Neurotoxicity","type":"article-journal","volume":"1"},"uris":["http://www.mendeley.com/documents/?uuid=c7124c63-651f-4cc4-8cf7-7299297511dd"]}],"mendeley":{"formattedCitation":"(Gerber et al., 2021)","plainTextFormattedCitation":"(Gerber et al., 2021)","previouslyFormattedCitation":"(Gerber et al., 2021)"},"properties":{"noteIndex":0},"schema":"https://github.com/citation-style-language/schema/raw/master/csl-citation.json"}</w:instrText>
      </w:r>
      <w:r w:rsidR="00437378" w:rsidRPr="007F3C5D">
        <w:fldChar w:fldCharType="separate"/>
      </w:r>
      <w:r w:rsidR="00437378" w:rsidRPr="007F3C5D">
        <w:rPr>
          <w:noProof/>
        </w:rPr>
        <w:t>(Gerber et al., 2021)</w:t>
      </w:r>
      <w:r w:rsidR="00437378" w:rsidRPr="007F3C5D">
        <w:fldChar w:fldCharType="end"/>
      </w:r>
      <w:r w:rsidR="002A0A14" w:rsidRPr="007F3C5D">
        <w:t xml:space="preserve">. </w:t>
      </w:r>
    </w:p>
    <w:p w14:paraId="5D249D9F" w14:textId="0C5EED57" w:rsidR="00E03E68" w:rsidRPr="007F3C5D" w:rsidRDefault="00E03E68" w:rsidP="00A14895">
      <w:r w:rsidRPr="007F3C5D">
        <w:rPr>
          <w:noProof/>
        </w:rPr>
        <w:drawing>
          <wp:inline distT="0" distB="0" distL="0" distR="0" wp14:anchorId="520D0189" wp14:editId="27551BAC">
            <wp:extent cx="3676203" cy="1736202"/>
            <wp:effectExtent l="12700" t="12700" r="6985" b="16510"/>
            <wp:docPr id="11" name="Picture 1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alendar&#10;&#10;Description automatically generated"/>
                    <pic:cNvPicPr/>
                  </pic:nvPicPr>
                  <pic:blipFill rotWithShape="1">
                    <a:blip r:embed="rId10" cstate="print">
                      <a:extLst>
                        <a:ext uri="{28A0092B-C50C-407E-A947-70E740481C1C}">
                          <a14:useLocalDpi xmlns:a14="http://schemas.microsoft.com/office/drawing/2010/main" val="0"/>
                        </a:ext>
                      </a:extLst>
                    </a:blip>
                    <a:srcRect l="1010" r="1172"/>
                    <a:stretch/>
                  </pic:blipFill>
                  <pic:spPr bwMode="auto">
                    <a:xfrm>
                      <a:off x="0" y="0"/>
                      <a:ext cx="3724264" cy="1758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99888A9" w14:textId="09C47C70" w:rsidR="00E03E68" w:rsidRPr="007F3C5D" w:rsidRDefault="00E03E68" w:rsidP="00A14895">
      <w:pPr>
        <w:ind w:firstLine="0"/>
        <w:rPr>
          <w:sz w:val="16"/>
          <w:szCs w:val="16"/>
        </w:rPr>
      </w:pPr>
      <w:r w:rsidRPr="007F3C5D">
        <w:rPr>
          <w:b/>
          <w:bCs/>
          <w:sz w:val="16"/>
          <w:szCs w:val="16"/>
        </w:rPr>
        <w:t>Figure 1: Raster plot of neuronal activity</w:t>
      </w:r>
      <w:r w:rsidRPr="007F3C5D">
        <w:rPr>
          <w:sz w:val="16"/>
          <w:szCs w:val="16"/>
        </w:rPr>
        <w:t xml:space="preserve"> of primary rat cortical </w:t>
      </w:r>
      <w:r w:rsidR="0011236D" w:rsidRPr="007F3C5D">
        <w:rPr>
          <w:sz w:val="16"/>
          <w:szCs w:val="16"/>
        </w:rPr>
        <w:t xml:space="preserve">cultures </w:t>
      </w:r>
      <w:r w:rsidRPr="007F3C5D">
        <w:rPr>
          <w:sz w:val="16"/>
          <w:szCs w:val="16"/>
        </w:rPr>
        <w:t>on the MEA in the timeframe of 1200-1500 seconds. Baseline recording (DIV9) including spikes (shown in yellow), bursts (red) and network bursts (green). Spikes represent the extracellular field recordings of action potentials, bursts represent a series of spikes within a short interval recorded by a single electrode, and network bursts represent the combination of bursts over multiple electrodes within a short interval within a single well.</w:t>
      </w:r>
    </w:p>
    <w:p w14:paraId="77046711" w14:textId="26026141" w:rsidR="002A33FA" w:rsidRPr="007F3C5D" w:rsidRDefault="00913027" w:rsidP="00A14895">
      <w:r w:rsidRPr="007F3C5D">
        <w:t>Recently, the</w:t>
      </w:r>
      <w:r w:rsidR="006145BF" w:rsidRPr="007F3C5D">
        <w:t xml:space="preserve"> techni</w:t>
      </w:r>
      <w:r w:rsidR="00964886" w:rsidRPr="007F3C5D">
        <w:t xml:space="preserve">que </w:t>
      </w:r>
      <w:r w:rsidR="00501505" w:rsidRPr="007F3C5D">
        <w:t>has been</w:t>
      </w:r>
      <w:r w:rsidR="00964886" w:rsidRPr="007F3C5D">
        <w:t xml:space="preserve"> used in studies </w:t>
      </w:r>
      <w:r w:rsidR="00B24904" w:rsidRPr="007F3C5D">
        <w:t>on neurotoxicity testing of chemicals</w:t>
      </w:r>
      <w:r w:rsidRPr="007F3C5D">
        <w:t xml:space="preserve">, toxicants and (illicit) drugs </w:t>
      </w:r>
      <w:r w:rsidR="00B24904" w:rsidRPr="007F3C5D">
        <w:fldChar w:fldCharType="begin" w:fldLock="1"/>
      </w:r>
      <w:r w:rsidR="001A4816" w:rsidRPr="007F3C5D">
        <w:instrText>ADDIN CSL_CITATION {"citationItems":[{"id":"ITEM-1","itemData":{"DOI":"10.1016/j.neuro.2018.03.007","ISSN":"18729711","PMID":"29572046","abstract":"While the prevalence and the use of new psychoactive substances (NPS) is steadily increasing, data on pharmacological, toxicological and clinical effects is limited. Considering the large number of NPS available, there is a clear need for efficient in vitro screening techniques that capture multiple mechanisms of action. Neuronal cultures grown on multi-well microelectrode arrays (mwMEAs) have previously proven suitable for neurotoxicity screening of chemicals, pharmaceuticals and (illicit) drugs. We therefore used rat primary cortical cultures grown on mwMEA plates to investigate the effects of eight NPS (PMMA, α-PVP, methylone, MDPV, 2C-B, 25B-NBOMe, BZP and TFMPP) and two ‘classic’ illicit drugs (cocaine, methamphetamine) on spontaneous neuronal activity. All tested drugs rapidly and concentration-dependently decreased the weighted mean firing rate (wMFR) and the weighted mean burst rate (wMBR) during a 30 min acute exposure. Of the ‘classic’ drugs, cocaine most potently inhibited the wMFR (IC 50 9.8 μM), whereas methamphetamine and the structurally-related NPS PMMA were much less potent (IC 50 100 μM and IC 50 112 μM, respectively). Of the cathinones, MDPV and α-PVP showed comparable IC 50 values (29 μM and 21 μM, respectively), although methylone was 10-fold less potent (IC 50 235 μM). Comparable 10-fold differences in potency were also observed between the hallucinogenic phenethylamines 2C-B (IC 50 27 μM) and 25B-NBOMe (IC 50 2.4 μM), and between the piperazine derivatives BZP (IC 50 161 μM) and TFMPP (IC 50 19 μM). All drugs also inhibited the wMBR and concentration-response curves for wMBR and wMFR were comparable. For most drugs, IC 50 values are close to the estimated human brain concentrations following recreational doses of these drugs, highlighting the importance of this efficient in vitro screening approach for classification and prioritization of emerging NPS. Moreover, the wide range of IC 50 values observed for these and previously tested drugs of abuse, both within and between different classes of NPS, indicates that additional investigation of structure-activity relationships could aid future risk assessment of emerging NPS.","author":[{"dropping-particle":"","family":"Zwartsen","given":"Anne","non-dropping-particle":"","parse-names":false,"suffix":""},{"dropping-particle":"","family":"Hondebrink","given":"Laura","non-dropping-particle":"","parse-names":false,"suffix":""},{"dropping-particle":"","family":"Westerink","given":"Remco HS","non-dropping-particle":"","parse-names":false,"suffix":""}],"container-title":"NeuroToxicology","id":"ITEM-1","issued":{"date-parts":[["2018"]]},"page":"87-97","publisher":"Elsevier B.V.","title":"Neurotoxicity screening of new psychoactive substances (NPS): Effects on neuronal activity in rat cortical cultures using microelectrode arrays (MEA)","type":"article-journal","volume":"66"},"uris":["http://www.mendeley.com/documents/?uuid=5e9cfc4a-c47d-48be-a81c-3bdfafb91457"]},{"id":"ITEM-2","itemData":{"DOI":"10.1016/j.neuro.2016.04.020","ISSN":"18729711","PMID":"27149913","abstract":"Annual prevalence of the use of common illicit drugs and new psychoactive substances (NPS) is high, despite the often limited knowledge on the health risks of these substances. Recently, cortical cultures grown on multi-well microelectrode arrays (mwMEAs) have been used for neurotoxicity screening of chemicals, pharmaceuticals, and toxins with a high sensitivity and specificity. However, the use of mwMEAs to investigate the effects of illicit drugs on neuronal activity is largely unexplored. We therefore first characterised the cortical cultures using immunocytochemistry and show the presence of astrocytes, glutamatergic and GABAergic neurons. Neuronal activity is concentration-dependently affected following exposure to six neurotransmitters (glutamate, GABA, serotonin, dopamine, acetylcholine and nicotine). Most neurotransmitters inhibit neuronal activity, although glutamate and acetylcholine transiently increase activity at specific concentrations. These transient effects are not detected when activity is determined during the entire 30 min exposure window, potentially resulting in false-negative results. As expected, exposure to the GABAA-receptor antagonist bicuculline increases neuronal activity. Exposure to a positive allosteric modulator of the GABAA-receptor (diazepam) or to glutamate receptor antagonists (CNQX and MK-801) reduces neuronal activity. Further, we demonstrate that exposure to common drugs (3,4-methylenedioxymethamphetamine (MDMA) and amphetamine) and NPS (1-(3-chlorophenyl)piperazine (mCPP), 4-fluoroamphetamine (4-FA) and methoxetamine (MXE)) decreases neuronal activity. MXE most potently inhibits neuronal activity with an IC50 of 0.5 μM, whereas 4-FA is least potent with an IC50 of 113 μM. Our data demonstrate the importance of analysing neuronal activity within different time windows during exposure to prevent false-negative results. We also show that cortical cultures grown on mwMEAs can successfully be applied to investigate the effects of different (illicit) drugs on neuronal activity. Compared to investigating multiple single endpoints for neurotoxicity or neuromodulation, such as receptor activation or calcium channel function, mwMEAs can provide information on integrated aspects of drug-induced neurotoxicity more rapidly. Therefore, this approach could contribute to a faster insight in possible health risks and shorten the regulation process.","author":[{"dropping-particle":"","family":"Hondebrink","given":"L.","non-dropping-particle":"","parse-names":false,"suffix":""},{"dropping-particle":"","family":"Verboven","given":"A. H.A.","non-dropping-particle":"","parse-names":false,"suffix":""},{"dropping-particle":"","family":"Drega","given":"W. S.","non-dropping-particle":"","parse-names":false,"suffix":""},{"dropping-particle":"","family":"Schmeink","given":"S.","non-dropping-particle":"","parse-names":false,"suffix":""},{"dropping-particle":"","family":"Groot","given":"M. W.G.D.M.","non-dropping-particle":"de","parse-names":false,"suffix":""},{"dropping-particle":"","family":"Kleef","given":"R. G.D.M.","non-dropping-particle":"van","parse-names":false,"suffix":""},{"dropping-particle":"","family":"Wijnolts","given":"F. M.J.","non-dropping-particle":"","parse-names":false,"suffix":""},{"dropping-particle":"","family":"Groot","given":"A.","non-dropping-particle":"de","parse-names":false,"suffix":""},{"dropping-particle":"","family":"Meulenbelt","given":"J.","non-dropping-particle":"","parse-names":false,"suffix":""},{"dropping-particle":"","family":"Westerink","given":"R. H.S.","non-dropping-particle":"","parse-names":false,"suffix":""}],"container-title":"NeuroToxicology","id":"ITEM-2","issued":{"date-parts":[["2016"]]},"page":"1-9","publisher":"Elsevier B.V.","title":"Neurotoxicity screening of (illicit) drugs using novel methods for analysis of microelectrode array (MEA) recordings","type":"article-journal","volume":"55"},"uris":["http://www.mendeley.com/documents/?uuid=cf7049e1-0c19-4df1-9d08-fd95b182a5a2"]},{"id":"ITEM-3","itemData":{"DOI":"10.1016/j.neuro.2016.03.019","ISSN":"0161813X","abstract":"There is a need for methods to screen and prioritize chemicals for potential hazard, including neurotoxicity. Microelectrode array (MEA) systems enable simultaneous extracellular recordings from multiple sites in neural networks in real time and thereby provide a robust measure of network activity. In this study, spontaneous activity measurements from primary neuronal cultures treated with three neurotoxic or three non-neurotoxic compounds was evaluated across four different laboratories. All four individual laboratories correctly identifed the neurotoxic compounds chlorpyrifos oxon (an organo-phosphate insecticide), deltamethrin (a pyrethroid insecticide) and domoic acid (an excitotoxicant). By contrast, the other three compounds (glyphosate, dimethyl phthalate and acetaminophen) considered to be non-neurotoxic (\"negative controls\"), produced only sporadic changes of the measured parameters. The results were consistent across the different laboratories, as all three neurotoxic compounds caused concentration-dependent inhibition of mean firing rate (MFR). Further, MFR appeared to be the most sensitive parameter for effects of neurotoxic compounds, as changes in electrical activity measured by mean frequency intra burst (MFIB), and mean burst duration (MBD) did not result in concentration-response relationships for some of the positive compounds, or required higher concentrations for an effect to be observed. However, greater numbers of compounds need to be tested to confirm this. The results obtained indicate that measurement of spontaneous electrical activity using MEAs provides a robust assessment of compound effects on neural network function. Published by Elsevier B.V.","author":[{"dropping-particle":"","family":"Vassallo","given":"Andrea","non-dropping-particle":"","parse-names":false,"suffix":""},{"dropping-particle":"","family":"Chiappalone","given":"Michela","non-dropping-particle":"","parse-names":false,"suffix":""},{"dropping-particle":"","family":"Camargos Lopes","given":"Ricardo","non-dropping-particle":"De","parse-names":false,"suffix":""},{"dropping-particle":"","family":"Scelfo","given":"Bibiana","non-dropping-particle":"","parse-names":false,"suffix":""},{"dropping-particle":"","family":"Novellino","given":"Antonio","non-dropping-particle":"","parse-names":false,"suffix":""},{"dropping-particle":"","family":"Defranchi","given":"Enrico","non-dropping-particle":"","parse-names":false,"suffix":""},{"dropping-particle":"","family":"Palosaari","given":"Taina","non-dropping-particle":"","parse-names":false,"suffix":""},{"dropping-particle":"","family":"Weisschu","given":"Timo","non-dropping-particle":"","parse-names":false,"suffix":""},{"dropping-particle":"","family":"Ramirez","given":"Tzutzuy","non-dropping-particle":"","parse-names":false,"suffix":""},{"dropping-particle":"","family":"Martinoia","given":"Sergio","non-dropping-particle":"","parse-names":false,"suffix":""},{"dropping-particle":"","family":"Johnstone","given":"Andrew F.M.","non-dropping-particle":"","parse-names":false,"suffix":""},{"dropping-particle":"","family":"Mack","given":"Cina M","non-dropping-particle":"","parse-names":false,"suffix":""},{"dropping-particle":"","family":"Landsiedel","given":"Robert","non-dropping-particle":"","parse-names":false,"suffix":""},{"dropping-particle":"","family":"Whelan","given":"Maurice","non-dropping-particle":"","parse-names":false,"suffix":""},{"dropping-particle":"","family":"Bal-Price","given":"Anna","non-dropping-particle":"","parse-names":false,"suffix":""},{"dropping-particle":"","family":"Shafer","given":"Timothy J","non-dropping-particle":"","parse-names":false,"suffix":""}],"container-title":"NeuroToxicology","id":"ITEM-3","issued":{"date-parts":[["2017","5"]]},"page":"280-292","title":"A multi-laboratory evaluation of microelectrode array-based measurements of neural network activity for acute neurotoxicity testing","type":"article-journal","volume":"60"},"uris":["http://www.mendeley.com/documents/?uuid=8566e8af-3cc6-3e86-94b8-b515308a41c1"]}],"mendeley":{"formattedCitation":"(Hondebrink et al., 2016; Vassallo et al., 2017; Zwartsen et al., 2018)","plainTextFormattedCitation":"(Hondebrink et al., 2016; Vassallo et al., 2017; Zwartsen et al., 2018)","previouslyFormattedCitation":"(Hondebrink et al., 2016; Vassallo et al., 2017; Zwartsen et al., 2018)"},"properties":{"noteIndex":0},"schema":"https://github.com/citation-style-language/schema/raw/master/csl-citation.json"}</w:instrText>
      </w:r>
      <w:r w:rsidR="00B24904" w:rsidRPr="007F3C5D">
        <w:fldChar w:fldCharType="separate"/>
      </w:r>
      <w:r w:rsidR="00B24904" w:rsidRPr="007F3C5D">
        <w:rPr>
          <w:noProof/>
        </w:rPr>
        <w:t>(Hondebrink et al., 2016; Vassallo et al., 2017; Zwartsen et al., 2018)</w:t>
      </w:r>
      <w:r w:rsidR="00B24904" w:rsidRPr="007F3C5D">
        <w:fldChar w:fldCharType="end"/>
      </w:r>
      <w:r w:rsidR="00E21C0E" w:rsidRPr="007F3C5D">
        <w:t xml:space="preserve"> but it was demonstrated that MEA recordings are also applicable to assess the neurotoxicity of </w:t>
      </w:r>
      <w:r w:rsidR="00130168" w:rsidRPr="007F3C5D">
        <w:t xml:space="preserve">metal-based </w:t>
      </w:r>
      <w:r w:rsidR="00E21C0E" w:rsidRPr="007F3C5D">
        <w:t>nano</w:t>
      </w:r>
      <w:r w:rsidR="00130168" w:rsidRPr="007F3C5D">
        <w:t xml:space="preserve">particles </w:t>
      </w:r>
      <w:r w:rsidR="00130168" w:rsidRPr="007F3C5D">
        <w:fldChar w:fldCharType="begin" w:fldLock="1"/>
      </w:r>
      <w:r w:rsidR="0084385A">
        <w:instrText>ADDIN CSL_CITATION {"citationItems":[{"id":"ITEM-1","itemData":{"DOI":"10.3109/17435390.2015.1107142","ISSN":"1743-5404","PMID":"26593696","abstract":"Nanoparticles (NPs) may translocate to the brain following inhalation or oral exposures, yet higher throughput methods to screen NPs for potential neurotoxicity are lacking. The present study examined effects of 5 CeO2 (5- 1288 nm), and 4 TiO2 (6-142 nm) NPs and microparticles (MP) on network function in primary cultures of rat cortex on 12 well microelectrode array (MEA) plates. Particles were without cytotoxicity at concentrations ≤50 µg/ml. After recording 1 h of baseline activity prior to particle (3-50 µg/ml) exposure, changes in the total number of spikes (TS) and # of active electrodes (#AEs) were assessed 1, 24, and 48 h later. Following the 48 h recording, the response to a challenge with the GABAA antagonist bicuculline (BIC; 25 µM) was assessed. In all, particles effects were subtle, but 69 nm CeO2 and 25 nm TiO2 NPs caused concentration-related decreases in TS following 1 h exposure. At 48 h, 5 and 69 nm CeO2 and 25 and 31 nm TiO2 decreased #AE, while the two MPs increased #AEs. Following BIC, only 31 nm TiO2 produced concentration-related decreases in #AEs, while 1288 nm CeO2 caused concentration-related increases in both TS and #AE. The results indicate that some metal oxide particles cause subtle concentration-related changes in spontaneous and/or GABAA receptor-mediated neuronal activity in vitro at times when cytotoxicity is absent, and that MEAs can be used to screen and prioritize nanoparticles for neurotoxicity hazard.","author":[{"dropping-particle":"","family":"Strickland","given":"Jenna D.","non-dropping-particle":"","parse-names":false,"suffix":""},{"dropping-particle":"","family":"Lefew","given":"William R.","non-dropping-particle":"","parse-names":false,"suffix":""},{"dropping-particle":"","family":"Crooks","given":"James","non-dropping-particle":"","parse-names":false,"suffix":""},{"dropping-particle":"","family":"Hall","given":"Diana","non-dropping-particle":"","parse-names":false,"suffix":""},{"dropping-particle":"","family":"Ortenzio","given":"Jayna N R","non-dropping-particle":"","parse-names":false,"suffix":""},{"dropping-particle":"","family":"Dreher","given":"Kevin","non-dropping-particle":"","parse-names":false,"suffix":""},{"dropping-particle":"","family":"Shafer","given":"Timothy J.","non-dropping-particle":"","parse-names":false,"suffix":""}],"container-title":"Nanotoxicology","id":"ITEM-1","issue":"5","issued":{"date-parts":[["2015","11","23"]]},"page":"619-28","title":"In vitro screening of metal oxide nanoparticles for effects on neural function using cortical networks on microelectrode arrays.","type":"article-journal","volume":"10"},"uris":["http://www.mendeley.com/documents/?uuid=10a38ef4-5987-484a-b104-ae5b17043c17"]}],"mendeley":{"formattedCitation":"(Strickland et al., 2015)","plainTextFormattedCitation":"(Strickland et al., 2015)","previouslyFormattedCitation":"(Strickland et al., 2015)"},"properties":{"noteIndex":0},"schema":"https://github.com/citation-style-language/schema/raw/master/csl-citation.json"}</w:instrText>
      </w:r>
      <w:r w:rsidR="00130168" w:rsidRPr="007F3C5D">
        <w:fldChar w:fldCharType="separate"/>
      </w:r>
      <w:r w:rsidR="0084385A" w:rsidRPr="0084385A">
        <w:rPr>
          <w:noProof/>
        </w:rPr>
        <w:t>(Strickland et al., 2015)</w:t>
      </w:r>
      <w:r w:rsidR="00130168" w:rsidRPr="007F3C5D">
        <w:fldChar w:fldCharType="end"/>
      </w:r>
      <w:r w:rsidR="00130168" w:rsidRPr="007F3C5D">
        <w:t>.</w:t>
      </w:r>
      <w:r w:rsidR="00436B5A" w:rsidRPr="007F3C5D">
        <w:t xml:space="preserve"> Using the MEA as a method to investigate the effects on neuronal (network) activity integrate</w:t>
      </w:r>
      <w:r w:rsidR="005937A5" w:rsidRPr="007F3C5D">
        <w:t>d</w:t>
      </w:r>
      <w:r w:rsidR="00436B5A" w:rsidRPr="007F3C5D">
        <w:t xml:space="preserve"> the underlying mechanisms that can affect the activity, including cell viability, network integrity, synaptic transmi</w:t>
      </w:r>
      <w:r w:rsidR="00EC27B3" w:rsidRPr="007F3C5D">
        <w:t>ssion, ion channel and receptor functions.</w:t>
      </w:r>
      <w:r w:rsidR="00436B5A" w:rsidRPr="007F3C5D">
        <w:t xml:space="preserve"> </w:t>
      </w:r>
      <w:r w:rsidR="006A3583" w:rsidRPr="007F3C5D">
        <w:t xml:space="preserve">Whereas most studies </w:t>
      </w:r>
      <w:r w:rsidR="006A3583" w:rsidRPr="007F3C5D">
        <w:rPr>
          <w:i/>
          <w:iCs/>
        </w:rPr>
        <w:t>in vitro</w:t>
      </w:r>
      <w:r w:rsidR="006A3583" w:rsidRPr="007F3C5D">
        <w:t xml:space="preserve"> on the </w:t>
      </w:r>
      <w:r w:rsidR="002A33FA" w:rsidRPr="007F3C5D">
        <w:t>neurological effect</w:t>
      </w:r>
      <w:r w:rsidR="006A3583" w:rsidRPr="007F3C5D">
        <w:t xml:space="preserve"> of PM focus</w:t>
      </w:r>
      <w:r w:rsidR="00B5002E" w:rsidRPr="007F3C5D">
        <w:t xml:space="preserve"> mostly on single endpoints</w:t>
      </w:r>
      <w:r w:rsidR="00A51F80" w:rsidRPr="007F3C5D">
        <w:t>,</w:t>
      </w:r>
      <w:r w:rsidR="00B5002E" w:rsidRPr="007F3C5D">
        <w:t xml:space="preserve"> the MEA allow</w:t>
      </w:r>
      <w:r w:rsidR="005937A5" w:rsidRPr="007F3C5D">
        <w:t>ed</w:t>
      </w:r>
      <w:r w:rsidR="00B5002E" w:rsidRPr="007F3C5D">
        <w:t xml:space="preserve"> us to study </w:t>
      </w:r>
      <w:r w:rsidR="002A33FA" w:rsidRPr="007F3C5D">
        <w:t>the neurotoxicity of the samples and rank them on their potential hazard in a more integrated approach.</w:t>
      </w:r>
    </w:p>
    <w:p w14:paraId="48CA0E63" w14:textId="4424D39E" w:rsidR="00366E1C" w:rsidRPr="007F3C5D" w:rsidRDefault="00CF33CE" w:rsidP="00A14895">
      <w:pPr>
        <w:rPr>
          <w:rFonts w:cs="Calibri"/>
        </w:rPr>
      </w:pPr>
      <w:r w:rsidRPr="007F3C5D">
        <w:t xml:space="preserve">Rat </w:t>
      </w:r>
      <w:r w:rsidR="00443530" w:rsidRPr="007F3C5D">
        <w:t xml:space="preserve">primary cortical </w:t>
      </w:r>
      <w:r w:rsidR="0011236D" w:rsidRPr="007F3C5D">
        <w:t xml:space="preserve">cultures </w:t>
      </w:r>
      <w:r w:rsidR="00443530" w:rsidRPr="007F3C5D">
        <w:t xml:space="preserve">possess many characteristics </w:t>
      </w:r>
      <w:r w:rsidR="00E03D2C" w:rsidRPr="007F3C5D">
        <w:t xml:space="preserve">closely related to the human brain, </w:t>
      </w:r>
      <w:r w:rsidR="001A4816" w:rsidRPr="007F3C5D">
        <w:t>as they form neuronal networks and develop</w:t>
      </w:r>
      <w:r w:rsidR="006C51DF" w:rsidRPr="007F3C5D">
        <w:t xml:space="preserve"> spontaneous network activity </w:t>
      </w:r>
      <w:r w:rsidR="001A4816" w:rsidRPr="007F3C5D">
        <w:fldChar w:fldCharType="begin" w:fldLock="1"/>
      </w:r>
      <w:r w:rsidR="00ED1156" w:rsidRPr="007F3C5D">
        <w:instrText>ADDIN CSL_CITATION {"citationItems":[{"id":"ITEM-1","itemData":{"DOI":"10.1142/S0129065707000968","ISSN":"0129-0657","PMID":"17565505","abstract":"Neurons extracted from specific areas of the Central Nervous System (CNS), such as the hippocampus, the cortex and the spinal cord, can be cultured in vitro and coupled with a micro-electrode array (MEA) for months. After a few days, neurons connect each other with functionally active synapses, forming a random network and displaying spontaneous electrophysiological activity. In spite of their simplified level of organization, they represent an useful framework to study general information processing properties and specific basic learning mechanisms in the nervous system. These experimental preparations show patterns of collective rhythmic activity characterized by burst and spike firing. The patterns of electrophysiological activity may change as a consequence of external stimulation (i.e., chemical and/or electrical inputs) and by partly modifying the \"randomness\" of the network architecture (i.e., confining neuronal sub-populations in clusters with micro-machined barriers). In particular we investigated how the spontaneous rhythmic and synchronous activity can be modulated or drastically changed by focal electrical stimulation, pharmacological manipulation and network segregation. Our results show that burst firing and global synchronization can be enhanced or reduced; and that the degree of synchronous activity in the network can be characterized by simple parameters such as cross-correlation on burst events.","author":[{"dropping-particle":"","family":"Chiappalone","given":"Michela","non-dropping-particle":"","parse-names":false,"suffix":""},{"dropping-particle":"","family":"Vato","given":"Alessandro","non-dropping-particle":"","parse-names":false,"suffix":""},{"dropping-particle":"","family":"Berdondini","given":"Luca","non-dropping-particle":"","parse-names":false,"suffix":""},{"dropping-particle":"","family":"Koudelka-Hep","given":"Milena","non-dropping-particle":"","parse-names":false,"suffix":""},{"dropping-particle":"","family":"Martinoia","given":"Sergio","non-dropping-particle":"","parse-names":false,"suffix":""}],"container-title":"International journal of neural systems","id":"ITEM-1","issue":"2","issued":{"date-parts":[["2007","4","21"]]},"page":"87-103","publisher":"World Scientific Publishing Company","title":"Network dynamics and synchronous activity in cultured cortical neurons","type":"article-journal","volume":"17"},"uris":["http://www.mendeley.com/documents/?uuid=1f49a281-f6b6-3abd-a8c1-1032905f51f5"]},{"id":"ITEM-2","itemData":{"DOI":"10.1186/S13064-014-0028-0","ISSN":"17498104","PMID":"25626996","abstract":"Background: Neural circuits can spontaneously generate complex spatiotemporal firing patterns during development. This spontaneous activity is thought to help guide development of the nervous system. In this study, we had two aims. First, to characterise the changes in spontaneous activity in cultures of developing networks of either hippocampal or cortical neurons dissociated from mouse. Second, to assess whether there are any functional differences in the patterns of activity in hippocampal and cortical networks. Results: We used multielectrode arrays to record the development of spontaneous activity in cultured networks of either hippocampal or cortical neurons every 2 or 3 days for the first month after plating. Within a few days of culturing, networks exhibited spontaneous activity. This activity strengthened and then stabilised typically around 21 days in vitro. We quantified the activity patterns in hippocampal and cortical networks using 11 features. Three out of 11 features showed striking differences in activity between hippocampal and cortical networks: (1) interburst intervals are less variable in spike trains from hippocampal cultures; (2) hippocampal networks have higher correlations and (3) hippocampal networks generate more robust theta-bursting patterns. Machine-learning techniques confirmed that these differences in patterning are sufficient to classify recordings reliably at any given age as either hippocampal or cortical networks. Conclusions: Although cultured networks of hippocampal and cortical networks both generate spontaneous activity that changes over time, at any given time we can reliably detect differences in the activity patterns. We anticipate that this quantitative framework could have applications in many areas, including neurotoxicity testing and for characterising the phenotype of different mutant mice. All code and data relating to this report are freely available for others to use.","author":[{"dropping-particle":"","family":"Charlesworth","given":"Paul","non-dropping-particle":"","parse-names":false,"suffix":""},{"dropping-particle":"","family":"Cotterill","given":"Ellese","non-dropping-particle":"","parse-names":false,"suffix":""},{"dropping-particle":"","family":"Morton","given":"Andrew","non-dropping-particle":"","parse-names":false,"suffix":""},{"dropping-particle":"","family":"Grant","given":"Seth G.N.","non-dropping-particle":"","parse-names":false,"suffix":""},{"dropping-particle":"","family":"Eglen","given":"Stephen J.","non-dropping-particle":"","parse-names":false,"suffix":""}],"container-title":"Neural Development","id":"ITEM-2","issue":"1","issued":{"date-parts":[["2015","1","28"]]},"page":"1","publisher":"BioMed Central","title":"Quantitative differences in developmental profiles of spontaneous activity in cortical and hippocampal cultures","type":"article-journal","volume":"10"},"uris":["http://www.mendeley.com/documents/?uuid=6f24bb6c-6785-387c-8730-7841c9261ae3"]}],"mendeley":{"formattedCitation":"(Charlesworth et al., 2015; Chiappalone et al., 2007)","plainTextFormattedCitation":"(Charlesworth et al., 2015; Chiappalone et al., 2007)","previouslyFormattedCitation":"(Charlesworth et al., 2015; Chiappalone et al., 2007)"},"properties":{"noteIndex":0},"schema":"https://github.com/citation-style-language/schema/raw/master/csl-citation.json"}</w:instrText>
      </w:r>
      <w:r w:rsidR="001A4816" w:rsidRPr="007F3C5D">
        <w:fldChar w:fldCharType="separate"/>
      </w:r>
      <w:r w:rsidR="001A4816" w:rsidRPr="007F3C5D">
        <w:rPr>
          <w:noProof/>
        </w:rPr>
        <w:t>(Charlesworth et al., 2015; Chiappalone et al., 2007)</w:t>
      </w:r>
      <w:r w:rsidR="001A4816" w:rsidRPr="007F3C5D">
        <w:fldChar w:fldCharType="end"/>
      </w:r>
      <w:r w:rsidR="001A4816" w:rsidRPr="007F3C5D">
        <w:t xml:space="preserve">. They </w:t>
      </w:r>
      <w:r w:rsidR="00ED1156" w:rsidRPr="007F3C5D">
        <w:t xml:space="preserve">primarily consist of astrocytes and neurons, including excitatory </w:t>
      </w:r>
      <w:proofErr w:type="spellStart"/>
      <w:r w:rsidR="00ED1156" w:rsidRPr="007F3C5D">
        <w:t>glutamergic</w:t>
      </w:r>
      <w:proofErr w:type="spellEnd"/>
      <w:r w:rsidR="00ED1156" w:rsidRPr="007F3C5D">
        <w:t xml:space="preserve"> and inhibitory GABAergic neurons </w:t>
      </w:r>
      <w:r w:rsidR="00ED1156" w:rsidRPr="007F3C5D">
        <w:fldChar w:fldCharType="begin" w:fldLock="1"/>
      </w:r>
      <w:r w:rsidR="00E03D2C" w:rsidRPr="007F3C5D">
        <w:instrText>ADDIN CSL_CITATION {"citationItems":[{"id":"ITEM-1","itemData":{"DOI":"10.1016/j.neuro.2016.04.020","ISSN":"18729711","PMID":"27149913","abstract":"Annual prevalence of the use of common illicit drugs and new psychoactive substances (NPS) is high, despite the often limited knowledge on the health risks of these substances. Recently, cortical cultures grown on multi-well microelectrode arrays (mwMEAs) have been used for neurotoxicity screening of chemicals, pharmaceuticals, and toxins with a high sensitivity and specificity. However, the use of mwMEAs to investigate the effects of illicit drugs on neuronal activity is largely unexplored. We therefore first characterised the cortical cultures using immunocytochemistry and show the presence of astrocytes, glutamatergic and GABAergic neurons. Neuronal activity is concentration-dependently affected following exposure to six neurotransmitters (glutamate, GABA, serotonin, dopamine, acetylcholine and nicotine). Most neurotransmitters inhibit neuronal activity, although glutamate and acetylcholine transiently increase activity at specific concentrations. These transient effects are not detected when activity is determined during the entire 30 min exposure window, potentially resulting in false-negative results. As expected, exposure to the GABAA-receptor antagonist bicuculline increases neuronal activity. Exposure to a positive allosteric modulator of the GABAA-receptor (diazepam) or to glutamate receptor antagonists (CNQX and MK-801) reduces neuronal activity. Further, we demonstrate that exposure to common drugs (3,4-methylenedioxymethamphetamine (MDMA) and amphetamine) and NPS (1-(3-chlorophenyl)piperazine (mCPP), 4-fluoroamphetamine (4-FA) and methoxetamine (MXE)) decreases neuronal activity. MXE most potently inhibits neuronal activity with an IC50 of 0.5 μM, whereas 4-FA is least potent with an IC50 of 113 μM. Our data demonstrate the importance of analysing neuronal activity within different time windows during exposure to prevent false-negative results. We also show that cortical cultures grown on mwMEAs can successfully be applied to investigate the effects of different (illicit) drugs on neuronal activity. Compared to investigating multiple single endpoints for neurotoxicity or neuromodulation, such as receptor activation or calcium channel function, mwMEAs can provide information on integrated aspects of drug-induced neurotoxicity more rapidly. Therefore, this approach could contribute to a faster insight in possible health risks and shorten the regulation process.","author":[{"dropping-particle":"","family":"Hondebrink","given":"L.","non-dropping-particle":"","parse-names":false,"suffix":""},{"dropping-particle":"","family":"Verboven","given":"A. H.A.","non-dropping-particle":"","parse-names":false,"suffix":""},{"dropping-particle":"","family":"Drega","given":"W. S.","non-dropping-particle":"","parse-names":false,"suffix":""},{"dropping-particle":"","family":"Schmeink","given":"S.","non-dropping-particle":"","parse-names":false,"suffix":""},{"dropping-particle":"","family":"Groot","given":"M. W.G.D.M.","non-dropping-particle":"de","parse-names":false,"suffix":""},{"dropping-particle":"","family":"Kleef","given":"R. G.D.M.","non-dropping-particle":"van","parse-names":false,"suffix":""},{"dropping-particle":"","family":"Wijnolts","given":"F. M.J.","non-dropping-particle":"","parse-names":false,"suffix":""},{"dropping-particle":"","family":"Groot","given":"A.","non-dropping-particle":"de","parse-names":false,"suffix":""},{"dropping-particle":"","family":"Meulenbelt","given":"J.","non-dropping-particle":"","parse-names":false,"suffix":""},{"dropping-particle":"","family":"Westerink","given":"R. H.S.","non-dropping-particle":"","parse-names":false,"suffix":""}],"container-title":"NeuroToxicology","id":"ITEM-1","issued":{"date-parts":[["2016"]]},"page":"1-9","publisher":"Elsevier B.V.","title":"Neurotoxicity screening of (illicit) drugs using novel methods for analysis of microelectrode array (MEA) recordings","type":"article-journal","volume":"55"},"uris":["http://www.mendeley.com/documents/?uuid=cf7049e1-0c19-4df1-9d08-fd95b182a5a2"]}],"mendeley":{"formattedCitation":"(Hondebrink et al., 2016)","plainTextFormattedCitation":"(Hondebrink et al., 2016)","previouslyFormattedCitation":"(Hondebrink et al., 2016)"},"properties":{"noteIndex":0},"schema":"https://github.com/citation-style-language/schema/raw/master/csl-citation.json"}</w:instrText>
      </w:r>
      <w:r w:rsidR="00ED1156" w:rsidRPr="007F3C5D">
        <w:fldChar w:fldCharType="separate"/>
      </w:r>
      <w:r w:rsidR="002D52BB" w:rsidRPr="007F3C5D">
        <w:rPr>
          <w:noProof/>
        </w:rPr>
        <w:t>(Hondebrink et al., 2016)</w:t>
      </w:r>
      <w:r w:rsidR="00ED1156" w:rsidRPr="007F3C5D">
        <w:fldChar w:fldCharType="end"/>
      </w:r>
      <w:r w:rsidR="00ED1156" w:rsidRPr="007F3C5D">
        <w:t>.</w:t>
      </w:r>
      <w:r w:rsidR="002A33FA" w:rsidRPr="007F3C5D">
        <w:t xml:space="preserve"> </w:t>
      </w:r>
      <w:r w:rsidR="000F1C20" w:rsidRPr="007F3C5D">
        <w:rPr>
          <w:rFonts w:cs="Calibri"/>
        </w:rPr>
        <w:t xml:space="preserve">Postnatal rat primary cortical </w:t>
      </w:r>
      <w:r w:rsidR="0011236D" w:rsidRPr="007F3C5D">
        <w:rPr>
          <w:rFonts w:cs="Calibri"/>
        </w:rPr>
        <w:t xml:space="preserve">cultures </w:t>
      </w:r>
      <w:r w:rsidR="000F1C20" w:rsidRPr="007F3C5D">
        <w:rPr>
          <w:rFonts w:cs="Calibri"/>
        </w:rPr>
        <w:t xml:space="preserve">were exposed on Day In Vitro (DIV) 9 and MEA recordings were performed directly </w:t>
      </w:r>
      <w:r w:rsidR="009D1FF1" w:rsidRPr="007F3C5D">
        <w:rPr>
          <w:rFonts w:cs="Calibri"/>
        </w:rPr>
        <w:t xml:space="preserve">before and </w:t>
      </w:r>
      <w:r w:rsidR="000F1C20" w:rsidRPr="007F3C5D">
        <w:rPr>
          <w:rFonts w:cs="Calibri"/>
        </w:rPr>
        <w:t>after exposure,</w:t>
      </w:r>
      <w:r w:rsidR="009D1FF1" w:rsidRPr="007F3C5D">
        <w:rPr>
          <w:rFonts w:cs="Calibri"/>
        </w:rPr>
        <w:t xml:space="preserve"> as well as after</w:t>
      </w:r>
      <w:r w:rsidR="000F1C20" w:rsidRPr="007F3C5D">
        <w:rPr>
          <w:rFonts w:cs="Calibri"/>
        </w:rPr>
        <w:t xml:space="preserve"> 24 h, 48 h and 120 h after exposure in different </w:t>
      </w:r>
      <w:r w:rsidR="00FE2B24">
        <w:rPr>
          <w:rFonts w:cs="Calibri"/>
        </w:rPr>
        <w:t>doses</w:t>
      </w:r>
      <w:r w:rsidR="000F1C20" w:rsidRPr="007F3C5D">
        <w:rPr>
          <w:rFonts w:cs="Calibri"/>
        </w:rPr>
        <w:t xml:space="preserve"> to </w:t>
      </w:r>
      <w:r w:rsidR="006A3583" w:rsidRPr="007F3C5D">
        <w:rPr>
          <w:rFonts w:cs="Calibri"/>
        </w:rPr>
        <w:t>investigate the effect of the samples on neuronal (network) activity in a concentration- and time-dependent manner acutely and subchronic</w:t>
      </w:r>
      <w:r w:rsidR="00E03D2C" w:rsidRPr="007F3C5D">
        <w:rPr>
          <w:rFonts w:cs="Calibri"/>
        </w:rPr>
        <w:t xml:space="preserve"> </w:t>
      </w:r>
      <w:r w:rsidR="00E03D2C" w:rsidRPr="007F3C5D">
        <w:rPr>
          <w:rFonts w:cs="Calibri"/>
        </w:rPr>
        <w:fldChar w:fldCharType="begin" w:fldLock="1"/>
      </w:r>
      <w:r w:rsidR="00437378" w:rsidRPr="007F3C5D">
        <w:rPr>
          <w:rFonts w:cs="Calibri"/>
        </w:rPr>
        <w:instrText>ADDIN CSL_CITATION {"citationItems":[{"id":"ITEM-1","itemData":{"DOI":"10.1002/cpz1.158","ISSN":"26911299","PMID":"34152700","abstract":"Neurotoxicity testing of chemicals, drug candidates, and environmental pollutants still relies on extensive in vivo studies that are very costly, time-consuming, and ethically debated due to the large number of animals typically used. Currently, rat primary cortical cultures are widely used for in vitro neurotoxicity studies, as they closely resemble the in vitro brain with respect to the diversity of cell types, their physiological functions, and the pathological processes that they undergo. Common in vitro assays for neurotoxicity screening often focus on very target-specific endpoints such as morphological, biochemical, or electrophysiological changes, and such narrow focus can hamper translation and interpretation. Microelectrode array (MEA) recordings provide a non-invasive platform for extracellular recording of electrical activity of cultured neuronal cells, thereby enabling the evaluation of changes in neuronal (network) function as a sensitive and integrated endpoint for neurotoxicity screening. Here, we describe an in vitro approach for assessing changes in neuronal network function as a measure for neurotoxicity, using rat primary cortical cultures grown on MEAs. We provide a detailed protocol for the culture of rat primary cortical cells, and describe several experimental procedures to address acute, subchronic, and chronic exposure scenarios. We additionally describe the steps for processing and analyzing MEA and cell viability data. © 2021 The Authors. Current Protocols published by Wiley Periodicals LLC. Basic Protocol 1: Isolation and culture of rat primary cortical cells on 48-well MEA plates. Support Protocol 1: Pretreatment and washing of 48-well MEA plates before first use or for re-use. Support Protocol 2: Coating of 48-well MEA plates with 0.1% PEI solution. Basic Protocol 2: MEA measurements during acute exposure. Alternate Protocol 1: MEA measurements during subchronic exposure. Alternate Protocol 2: MEA measurements during chronic exposure. Support Protocol 3: Determination of cell viability after MEA experiments. Basic Protocol 3: MEA data processing. Basic Protocol 4: Analyzing MEA experiments after acute and subchronic exposure. Alternate Protocol 3: Analyzing MEA experiments after chronic exposure.","author":[{"dropping-particle":"","family":"Gerber","given":"Lora Sophie","non-dropping-particle":"","parse-names":false,"suffix":""},{"dropping-particle":"","family":"Melis","given":"Lennart V.J.","non-dropping-particle":"van","parse-names":false,"suffix":""},{"dropping-particle":"","family":"Kleef","given":"Regina G.D.M.","non-dropping-particle":"van","parse-names":false,"suffix":""},{"dropping-particle":"","family":"Groot","given":"Aart","non-dropping-particle":"de","parse-names":false,"suffix":""},{"dropping-particle":"","family":"Westerink","given":"Remco H.S.","non-dropping-particle":"","parse-names":false,"suffix":""}],"container-title":"Current Protocols","id":"ITEM-1","issue":"6","issued":{"date-parts":[["2021"]]},"page":"1-35","title":"Culture of Rat Primary Cortical Cells for Microelectrode Array (MEA) Recordings to Screen for Acute and Developmental Neurotoxicity","type":"article-journal","volume":"1"},"uris":["http://www.mendeley.com/documents/?uuid=c7124c63-651f-4cc4-8cf7-7299297511dd"]}],"mendeley":{"formattedCitation":"(Gerber et al., 2021)","plainTextFormattedCitation":"(Gerber et al., 2021)","previouslyFormattedCitation":"(Gerber et al., 2021)"},"properties":{"noteIndex":0},"schema":"https://github.com/citation-style-language/schema/raw/master/csl-citation.json"}</w:instrText>
      </w:r>
      <w:r w:rsidR="00E03D2C" w:rsidRPr="007F3C5D">
        <w:rPr>
          <w:rFonts w:cs="Calibri"/>
        </w:rPr>
        <w:fldChar w:fldCharType="separate"/>
      </w:r>
      <w:r w:rsidR="00E03D2C" w:rsidRPr="007F3C5D">
        <w:rPr>
          <w:rFonts w:cs="Calibri"/>
          <w:noProof/>
        </w:rPr>
        <w:t>(Gerber et al., 2021)</w:t>
      </w:r>
      <w:r w:rsidR="00E03D2C" w:rsidRPr="007F3C5D">
        <w:rPr>
          <w:rFonts w:cs="Calibri"/>
        </w:rPr>
        <w:fldChar w:fldCharType="end"/>
      </w:r>
      <w:r w:rsidR="00E03D2C" w:rsidRPr="007F3C5D">
        <w:rPr>
          <w:rFonts w:cs="Calibri"/>
        </w:rPr>
        <w:t>.</w:t>
      </w:r>
      <w:r w:rsidR="002B5569" w:rsidRPr="007F3C5D">
        <w:rPr>
          <w:rFonts w:cs="Calibri"/>
        </w:rPr>
        <w:t xml:space="preserve"> The </w:t>
      </w:r>
      <w:r w:rsidR="009D1FF1" w:rsidRPr="007F3C5D">
        <w:rPr>
          <w:rFonts w:cs="Calibri"/>
        </w:rPr>
        <w:t xml:space="preserve">neurotoxic </w:t>
      </w:r>
      <w:r w:rsidR="002B5569" w:rsidRPr="007F3C5D">
        <w:rPr>
          <w:rFonts w:cs="Calibri"/>
        </w:rPr>
        <w:t xml:space="preserve">effect of traffic-derived PM </w:t>
      </w:r>
      <w:r w:rsidR="002B5569" w:rsidRPr="007F3C5D">
        <w:rPr>
          <w:rFonts w:cs="Calibri"/>
          <w:i/>
          <w:iCs/>
        </w:rPr>
        <w:t>in vivo</w:t>
      </w:r>
      <w:r w:rsidR="002B5569" w:rsidRPr="007F3C5D">
        <w:rPr>
          <w:rFonts w:cs="Calibri"/>
        </w:rPr>
        <w:t xml:space="preserve"> and to a lesser extend </w:t>
      </w:r>
      <w:r w:rsidR="002B5569" w:rsidRPr="007F3C5D">
        <w:rPr>
          <w:rFonts w:cs="Calibri"/>
          <w:i/>
          <w:iCs/>
        </w:rPr>
        <w:t>in vitro</w:t>
      </w:r>
      <w:r w:rsidR="002B5569" w:rsidRPr="007F3C5D">
        <w:rPr>
          <w:rFonts w:cs="Calibri"/>
        </w:rPr>
        <w:t xml:space="preserve"> </w:t>
      </w:r>
      <w:r w:rsidR="005937A5" w:rsidRPr="007F3C5D">
        <w:rPr>
          <w:rFonts w:cs="Calibri"/>
        </w:rPr>
        <w:t>was</w:t>
      </w:r>
      <w:r w:rsidR="002B5569" w:rsidRPr="007F3C5D">
        <w:rPr>
          <w:rFonts w:cs="Calibri"/>
        </w:rPr>
        <w:t xml:space="preserve"> studied, but the </w:t>
      </w:r>
      <w:r w:rsidR="002B5569" w:rsidRPr="007F3C5D">
        <w:rPr>
          <w:rFonts w:cs="Calibri"/>
        </w:rPr>
        <w:lastRenderedPageBreak/>
        <w:t xml:space="preserve">combination with the MEA and the neuronal (network) activity of primary rat cortical cultures to investigate the effect of UFP </w:t>
      </w:r>
      <w:r w:rsidR="005937A5" w:rsidRPr="007F3C5D">
        <w:rPr>
          <w:rFonts w:cs="Calibri"/>
        </w:rPr>
        <w:t>has</w:t>
      </w:r>
      <w:r w:rsidR="002B5569" w:rsidRPr="007F3C5D">
        <w:rPr>
          <w:rFonts w:cs="Calibri"/>
        </w:rPr>
        <w:t xml:space="preserve"> help</w:t>
      </w:r>
      <w:r w:rsidR="005937A5" w:rsidRPr="007F3C5D">
        <w:rPr>
          <w:rFonts w:cs="Calibri"/>
        </w:rPr>
        <w:t>ed</w:t>
      </w:r>
      <w:r w:rsidR="002B5569" w:rsidRPr="007F3C5D">
        <w:rPr>
          <w:rFonts w:cs="Calibri"/>
        </w:rPr>
        <w:t xml:space="preserve"> us to understand the potential neurotoxicity of traffic-derived UFP.</w:t>
      </w:r>
      <w:bookmarkStart w:id="6" w:name="_Toc91592924"/>
      <w:bookmarkStart w:id="7" w:name="_Toc100781377"/>
    </w:p>
    <w:p w14:paraId="084126B5" w14:textId="77777777" w:rsidR="00366E1C" w:rsidRPr="007F3C5D" w:rsidRDefault="00366E1C" w:rsidP="00A14895">
      <w:pPr>
        <w:spacing w:after="0"/>
        <w:ind w:firstLine="0"/>
        <w:jc w:val="left"/>
        <w:rPr>
          <w:rFonts w:cs="Calibri"/>
        </w:rPr>
      </w:pPr>
      <w:r w:rsidRPr="007F3C5D">
        <w:rPr>
          <w:rFonts w:cs="Calibri"/>
        </w:rPr>
        <w:br w:type="page"/>
      </w:r>
    </w:p>
    <w:p w14:paraId="486313F4" w14:textId="208ACF58" w:rsidR="00B71F62" w:rsidRPr="007F3C5D" w:rsidRDefault="00B71F62" w:rsidP="00A14895">
      <w:pPr>
        <w:pStyle w:val="Heading1"/>
        <w:spacing w:line="276" w:lineRule="auto"/>
      </w:pPr>
      <w:bookmarkStart w:id="8" w:name="_Toc101374923"/>
      <w:r w:rsidRPr="007F3C5D">
        <w:lastRenderedPageBreak/>
        <w:t>Materials &amp; methods</w:t>
      </w:r>
      <w:bookmarkEnd w:id="6"/>
      <w:bookmarkEnd w:id="7"/>
      <w:bookmarkEnd w:id="8"/>
    </w:p>
    <w:p w14:paraId="1C01589A" w14:textId="69A77CFE" w:rsidR="00B71F62" w:rsidRPr="007F3C5D" w:rsidRDefault="00B71F62" w:rsidP="00A14895">
      <w:pPr>
        <w:pStyle w:val="Heading2"/>
      </w:pPr>
      <w:bookmarkStart w:id="9" w:name="_Toc91592925"/>
      <w:bookmarkStart w:id="10" w:name="_Toc100781378"/>
      <w:bookmarkStart w:id="11" w:name="_Toc101374924"/>
      <w:r w:rsidRPr="007F3C5D">
        <w:t>Chemicals</w:t>
      </w:r>
      <w:bookmarkEnd w:id="9"/>
      <w:bookmarkEnd w:id="10"/>
      <w:bookmarkEnd w:id="11"/>
    </w:p>
    <w:p w14:paraId="7AB0C111" w14:textId="77777777" w:rsidR="00B71F62" w:rsidRPr="007F3C5D" w:rsidRDefault="00B71F62" w:rsidP="00A14895">
      <w:pPr>
        <w:rPr>
          <w:sz w:val="18"/>
          <w:szCs w:val="18"/>
        </w:rPr>
      </w:pPr>
      <w:r w:rsidRPr="007F3C5D">
        <w:t>Neurobasal-A (NBA) media, L-glutamine (200 mM), Penicillin/Streptomycin (5000 U/mL/5000 mg/mL), and B-27 Plus Supplement (50X) were obtained from Thermo Fisher Scientific (</w:t>
      </w:r>
      <w:proofErr w:type="spellStart"/>
      <w:r w:rsidRPr="007F3C5D">
        <w:t>Bleiswijk</w:t>
      </w:r>
      <w:proofErr w:type="spellEnd"/>
      <w:r w:rsidRPr="007F3C5D">
        <w:t>, The Netherlands). All other chemicals were purchased from Sigma</w:t>
      </w:r>
      <w:r w:rsidRPr="007F3C5D">
        <w:noBreakHyphen/>
        <w:t>Aldrich (</w:t>
      </w:r>
      <w:proofErr w:type="spellStart"/>
      <w:r w:rsidRPr="007F3C5D">
        <w:t>Zwijndrecht</w:t>
      </w:r>
      <w:proofErr w:type="spellEnd"/>
      <w:r w:rsidRPr="007F3C5D">
        <w:t>, The Netherlands). The test samples were provided by the National Institute for Public Health and the Environment (</w:t>
      </w:r>
      <w:proofErr w:type="spellStart"/>
      <w:r w:rsidRPr="007F3C5D">
        <w:t>Rijkinstituut</w:t>
      </w:r>
      <w:proofErr w:type="spellEnd"/>
      <w:r w:rsidRPr="007F3C5D">
        <w:t xml:space="preserve"> </w:t>
      </w:r>
      <w:proofErr w:type="spellStart"/>
      <w:r w:rsidRPr="007F3C5D">
        <w:t>voor</w:t>
      </w:r>
      <w:proofErr w:type="spellEnd"/>
      <w:r w:rsidRPr="007F3C5D">
        <w:t xml:space="preserve"> </w:t>
      </w:r>
      <w:proofErr w:type="spellStart"/>
      <w:r w:rsidRPr="007F3C5D">
        <w:t>Volkgezondheid</w:t>
      </w:r>
      <w:proofErr w:type="spellEnd"/>
      <w:r w:rsidRPr="007F3C5D">
        <w:t xml:space="preserve"> </w:t>
      </w:r>
      <w:proofErr w:type="spellStart"/>
      <w:r w:rsidRPr="007F3C5D">
        <w:t>en</w:t>
      </w:r>
      <w:proofErr w:type="spellEnd"/>
      <w:r w:rsidRPr="007F3C5D">
        <w:t xml:space="preserve"> Milieu; RIVM) and the University of Eastern Finland (UEF)</w:t>
      </w:r>
      <w:r w:rsidRPr="007F3C5D">
        <w:rPr>
          <w:sz w:val="18"/>
          <w:szCs w:val="18"/>
        </w:rPr>
        <w:t>.</w:t>
      </w:r>
    </w:p>
    <w:p w14:paraId="69EBA10F" w14:textId="55B5907E" w:rsidR="00B71F62" w:rsidRPr="007F3C5D" w:rsidRDefault="00B71F62" w:rsidP="00A14895">
      <w:pPr>
        <w:pStyle w:val="Heading2"/>
      </w:pPr>
      <w:bookmarkStart w:id="12" w:name="_Toc91592926"/>
      <w:bookmarkStart w:id="13" w:name="_Toc100781379"/>
      <w:bookmarkStart w:id="14" w:name="_Toc101374925"/>
      <w:r w:rsidRPr="007F3C5D">
        <w:t>Test samples and reconstruction</w:t>
      </w:r>
      <w:bookmarkEnd w:id="12"/>
      <w:bookmarkEnd w:id="13"/>
      <w:bookmarkEnd w:id="14"/>
    </w:p>
    <w:p w14:paraId="0F8EAE45" w14:textId="687ACF5D" w:rsidR="00B71F62" w:rsidRPr="007F3C5D" w:rsidRDefault="00B71F62" w:rsidP="00A14895">
      <w:r w:rsidRPr="007F3C5D">
        <w:t xml:space="preserve">In table </w:t>
      </w:r>
      <w:r w:rsidR="006260C7" w:rsidRPr="007F3C5D">
        <w:t>1</w:t>
      </w:r>
      <w:r w:rsidRPr="007F3C5D">
        <w:t xml:space="preserve">, information about the test samples, including reference materials, collected exhaust fraction, fuel or engine types used to generate the sample, providers, collected/primary size ranges and tested concentration ranges, </w:t>
      </w:r>
      <w:r w:rsidR="005937A5" w:rsidRPr="007F3C5D">
        <w:t>was</w:t>
      </w:r>
      <w:r w:rsidRPr="007F3C5D">
        <w:t xml:space="preserve"> summarized.</w:t>
      </w:r>
    </w:p>
    <w:p w14:paraId="6FC03D2B" w14:textId="31D217E0" w:rsidR="00B71F62" w:rsidRPr="007F3C5D" w:rsidRDefault="00B71F62" w:rsidP="00A14895">
      <w:pPr>
        <w:ind w:firstLine="0"/>
        <w:rPr>
          <w:sz w:val="18"/>
          <w:szCs w:val="18"/>
        </w:rPr>
      </w:pPr>
      <w:r w:rsidRPr="007F3C5D">
        <w:rPr>
          <w:sz w:val="18"/>
          <w:szCs w:val="18"/>
        </w:rPr>
        <w:t xml:space="preserve">Table </w:t>
      </w:r>
      <w:r w:rsidR="006260C7" w:rsidRPr="007F3C5D">
        <w:rPr>
          <w:sz w:val="18"/>
          <w:szCs w:val="18"/>
        </w:rPr>
        <w:t>1</w:t>
      </w:r>
      <w:r w:rsidRPr="007F3C5D">
        <w:rPr>
          <w:sz w:val="18"/>
          <w:szCs w:val="18"/>
        </w:rPr>
        <w:t xml:space="preserve">: Overview of the tested samples. PM, particulate matter; SVOC, </w:t>
      </w:r>
      <w:proofErr w:type="spellStart"/>
      <w:r w:rsidRPr="007F3C5D">
        <w:rPr>
          <w:sz w:val="18"/>
          <w:szCs w:val="18"/>
        </w:rPr>
        <w:t>semivolatile</w:t>
      </w:r>
      <w:proofErr w:type="spellEnd"/>
      <w:r w:rsidRPr="007F3C5D">
        <w:rPr>
          <w:sz w:val="18"/>
          <w:szCs w:val="18"/>
        </w:rPr>
        <w:t xml:space="preserve"> organic compounds</w:t>
      </w:r>
      <w:r w:rsidR="00FC005E" w:rsidRPr="007F3C5D">
        <w:rPr>
          <w:sz w:val="18"/>
          <w:szCs w:val="18"/>
        </w:rPr>
        <w:t>;</w:t>
      </w:r>
      <w:r w:rsidR="00FC005E" w:rsidRPr="007F3C5D">
        <w:t xml:space="preserve"> RIVM, </w:t>
      </w:r>
      <w:r w:rsidR="00FC005E" w:rsidRPr="007F3C5D">
        <w:rPr>
          <w:sz w:val="18"/>
          <w:szCs w:val="18"/>
        </w:rPr>
        <w:t xml:space="preserve">National Institute for Public Health and the Environment; UEF, University of Eastern Finland </w:t>
      </w:r>
    </w:p>
    <w:tbl>
      <w:tblPr>
        <w:tblStyle w:val="PlainTable1"/>
        <w:tblW w:w="11483" w:type="dxa"/>
        <w:tblInd w:w="-123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081"/>
        <w:gridCol w:w="2551"/>
        <w:gridCol w:w="3119"/>
        <w:gridCol w:w="992"/>
        <w:gridCol w:w="1134"/>
        <w:gridCol w:w="1606"/>
      </w:tblGrid>
      <w:tr w:rsidR="006260C7" w:rsidRPr="007F3C5D" w14:paraId="77C53B3F" w14:textId="77777777" w:rsidTr="006509C5">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81" w:type="dxa"/>
            <w:hideMark/>
          </w:tcPr>
          <w:p w14:paraId="3CF78BFD" w14:textId="77777777" w:rsidR="00B71F62" w:rsidRPr="007F3C5D" w:rsidRDefault="00B71F62" w:rsidP="00A14895">
            <w:pPr>
              <w:spacing w:after="0"/>
              <w:ind w:firstLine="0"/>
              <w:jc w:val="left"/>
              <w:rPr>
                <w:sz w:val="18"/>
                <w:szCs w:val="18"/>
              </w:rPr>
            </w:pPr>
            <w:r w:rsidRPr="007F3C5D">
              <w:rPr>
                <w:sz w:val="18"/>
                <w:szCs w:val="18"/>
              </w:rPr>
              <w:t>Sample ID</w:t>
            </w:r>
          </w:p>
        </w:tc>
        <w:tc>
          <w:tcPr>
            <w:tcW w:w="2551" w:type="dxa"/>
            <w:hideMark/>
          </w:tcPr>
          <w:p w14:paraId="7FC23C01" w14:textId="77777777" w:rsidR="00B71F62" w:rsidRPr="007F3C5D" w:rsidRDefault="00B71F62" w:rsidP="00A14895">
            <w:pPr>
              <w:spacing w:after="0"/>
              <w:ind w:firstLine="0"/>
              <w:jc w:val="left"/>
              <w:cnfStyle w:val="100000000000" w:firstRow="1" w:lastRow="0" w:firstColumn="0" w:lastColumn="0" w:oddVBand="0" w:evenVBand="0" w:oddHBand="0" w:evenHBand="0" w:firstRowFirstColumn="0" w:firstRowLastColumn="0" w:lastRowFirstColumn="0" w:lastRowLastColumn="0"/>
              <w:rPr>
                <w:sz w:val="18"/>
                <w:szCs w:val="18"/>
              </w:rPr>
            </w:pPr>
            <w:r w:rsidRPr="007F3C5D">
              <w:rPr>
                <w:sz w:val="18"/>
                <w:szCs w:val="18"/>
              </w:rPr>
              <w:t>Sample or fuel type</w:t>
            </w:r>
          </w:p>
        </w:tc>
        <w:tc>
          <w:tcPr>
            <w:tcW w:w="3119" w:type="dxa"/>
            <w:hideMark/>
          </w:tcPr>
          <w:p w14:paraId="5984DD0F" w14:textId="77777777" w:rsidR="00B71F62" w:rsidRPr="007F3C5D" w:rsidRDefault="00B71F62" w:rsidP="00A14895">
            <w:pPr>
              <w:spacing w:after="0"/>
              <w:ind w:firstLine="0"/>
              <w:jc w:val="left"/>
              <w:cnfStyle w:val="100000000000" w:firstRow="1" w:lastRow="0" w:firstColumn="0" w:lastColumn="0" w:oddVBand="0" w:evenVBand="0" w:oddHBand="0" w:evenHBand="0" w:firstRowFirstColumn="0" w:firstRowLastColumn="0" w:lastRowFirstColumn="0" w:lastRowLastColumn="0"/>
              <w:rPr>
                <w:sz w:val="18"/>
                <w:szCs w:val="18"/>
              </w:rPr>
            </w:pPr>
            <w:r w:rsidRPr="007F3C5D">
              <w:rPr>
                <w:sz w:val="18"/>
                <w:szCs w:val="18"/>
              </w:rPr>
              <w:t>Engine type</w:t>
            </w:r>
          </w:p>
        </w:tc>
        <w:tc>
          <w:tcPr>
            <w:tcW w:w="992" w:type="dxa"/>
            <w:hideMark/>
          </w:tcPr>
          <w:p w14:paraId="59217B77" w14:textId="77777777" w:rsidR="00B71F62" w:rsidRPr="007F3C5D" w:rsidRDefault="00B71F62" w:rsidP="00A14895">
            <w:pPr>
              <w:spacing w:after="0"/>
              <w:ind w:firstLine="0"/>
              <w:jc w:val="left"/>
              <w:cnfStyle w:val="100000000000" w:firstRow="1" w:lastRow="0" w:firstColumn="0" w:lastColumn="0" w:oddVBand="0" w:evenVBand="0" w:oddHBand="0" w:evenHBand="0" w:firstRowFirstColumn="0" w:firstRowLastColumn="0" w:lastRowFirstColumn="0" w:lastRowLastColumn="0"/>
              <w:rPr>
                <w:sz w:val="18"/>
                <w:szCs w:val="18"/>
              </w:rPr>
            </w:pPr>
            <w:r w:rsidRPr="007F3C5D">
              <w:rPr>
                <w:sz w:val="18"/>
                <w:szCs w:val="18"/>
              </w:rPr>
              <w:t>Provider</w:t>
            </w:r>
          </w:p>
        </w:tc>
        <w:tc>
          <w:tcPr>
            <w:tcW w:w="1134" w:type="dxa"/>
            <w:hideMark/>
          </w:tcPr>
          <w:p w14:paraId="748A5719" w14:textId="67862B09" w:rsidR="00B71F62" w:rsidRPr="007F3C5D" w:rsidRDefault="00AB7124" w:rsidP="00A14895">
            <w:pPr>
              <w:spacing w:after="0"/>
              <w:ind w:firstLine="0"/>
              <w:jc w:val="left"/>
              <w:cnfStyle w:val="100000000000" w:firstRow="1" w:lastRow="0" w:firstColumn="0" w:lastColumn="0" w:oddVBand="0" w:evenVBand="0" w:oddHBand="0" w:evenHBand="0" w:firstRowFirstColumn="0" w:firstRowLastColumn="0" w:lastRowFirstColumn="0" w:lastRowLastColumn="0"/>
              <w:rPr>
                <w:sz w:val="18"/>
                <w:szCs w:val="18"/>
              </w:rPr>
            </w:pPr>
            <w:r w:rsidRPr="007F3C5D">
              <w:rPr>
                <w:sz w:val="18"/>
                <w:szCs w:val="18"/>
              </w:rPr>
              <w:t>C</w:t>
            </w:r>
            <w:r w:rsidR="00B71F62" w:rsidRPr="007F3C5D">
              <w:rPr>
                <w:sz w:val="18"/>
                <w:szCs w:val="18"/>
              </w:rPr>
              <w:t>ollected/primary size range</w:t>
            </w:r>
          </w:p>
        </w:tc>
        <w:tc>
          <w:tcPr>
            <w:tcW w:w="1606" w:type="dxa"/>
            <w:hideMark/>
          </w:tcPr>
          <w:p w14:paraId="7A3C563C" w14:textId="77777777" w:rsidR="00B71F62" w:rsidRPr="007F3C5D" w:rsidRDefault="00B71F62" w:rsidP="00A14895">
            <w:pPr>
              <w:spacing w:after="0"/>
              <w:ind w:firstLine="0"/>
              <w:jc w:val="left"/>
              <w:cnfStyle w:val="100000000000" w:firstRow="1" w:lastRow="0" w:firstColumn="0" w:lastColumn="0" w:oddVBand="0" w:evenVBand="0" w:oddHBand="0" w:evenHBand="0" w:firstRowFirstColumn="0" w:firstRowLastColumn="0" w:lastRowFirstColumn="0" w:lastRowLastColumn="0"/>
              <w:rPr>
                <w:sz w:val="18"/>
                <w:szCs w:val="18"/>
              </w:rPr>
            </w:pPr>
            <w:r w:rsidRPr="007F3C5D">
              <w:rPr>
                <w:sz w:val="18"/>
                <w:szCs w:val="18"/>
              </w:rPr>
              <w:t>Conc. range</w:t>
            </w:r>
          </w:p>
        </w:tc>
      </w:tr>
      <w:tr w:rsidR="006260C7" w:rsidRPr="007F3C5D" w14:paraId="5F861AFA" w14:textId="77777777" w:rsidTr="006509C5">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81" w:type="dxa"/>
          </w:tcPr>
          <w:p w14:paraId="647EDF0A" w14:textId="77777777" w:rsidR="00B71F62" w:rsidRPr="007F3C5D" w:rsidRDefault="00B71F62" w:rsidP="00A14895">
            <w:pPr>
              <w:spacing w:after="0"/>
              <w:ind w:firstLine="0"/>
              <w:jc w:val="left"/>
              <w:rPr>
                <w:sz w:val="18"/>
                <w:szCs w:val="18"/>
              </w:rPr>
            </w:pPr>
            <w:r w:rsidRPr="007F3C5D">
              <w:rPr>
                <w:sz w:val="18"/>
                <w:szCs w:val="18"/>
              </w:rPr>
              <w:t>Blank extract</w:t>
            </w:r>
          </w:p>
        </w:tc>
        <w:tc>
          <w:tcPr>
            <w:tcW w:w="2551" w:type="dxa"/>
          </w:tcPr>
          <w:p w14:paraId="723F65E9"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Clean air filter extract</w:t>
            </w:r>
          </w:p>
        </w:tc>
        <w:tc>
          <w:tcPr>
            <w:tcW w:w="3119" w:type="dxa"/>
          </w:tcPr>
          <w:p w14:paraId="05358F56"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7F3C5D">
              <w:rPr>
                <w:sz w:val="18"/>
                <w:szCs w:val="18"/>
              </w:rPr>
              <w:t>-</w:t>
            </w:r>
          </w:p>
        </w:tc>
        <w:tc>
          <w:tcPr>
            <w:tcW w:w="992" w:type="dxa"/>
          </w:tcPr>
          <w:p w14:paraId="72C89B19"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UEF</w:t>
            </w:r>
          </w:p>
        </w:tc>
        <w:tc>
          <w:tcPr>
            <w:tcW w:w="1134" w:type="dxa"/>
          </w:tcPr>
          <w:p w14:paraId="14F30B84"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7F3C5D">
              <w:rPr>
                <w:sz w:val="18"/>
                <w:szCs w:val="18"/>
              </w:rPr>
              <w:t>-</w:t>
            </w:r>
          </w:p>
        </w:tc>
        <w:tc>
          <w:tcPr>
            <w:tcW w:w="1606" w:type="dxa"/>
          </w:tcPr>
          <w:p w14:paraId="4B0D7D20"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1 – 100 µg/mL</w:t>
            </w:r>
          </w:p>
        </w:tc>
      </w:tr>
      <w:tr w:rsidR="006260C7" w:rsidRPr="007F3C5D" w14:paraId="501FE453" w14:textId="77777777" w:rsidTr="006509C5">
        <w:trPr>
          <w:trHeight w:val="295"/>
        </w:trPr>
        <w:tc>
          <w:tcPr>
            <w:cnfStyle w:val="001000000000" w:firstRow="0" w:lastRow="0" w:firstColumn="1" w:lastColumn="0" w:oddVBand="0" w:evenVBand="0" w:oddHBand="0" w:evenHBand="0" w:firstRowFirstColumn="0" w:firstRowLastColumn="0" w:lastRowFirstColumn="0" w:lastRowLastColumn="0"/>
            <w:tcW w:w="2081" w:type="dxa"/>
          </w:tcPr>
          <w:p w14:paraId="36C5C74E" w14:textId="77777777" w:rsidR="00B71F62" w:rsidRPr="007F3C5D" w:rsidRDefault="00B71F62" w:rsidP="00A14895">
            <w:pPr>
              <w:spacing w:after="0"/>
              <w:ind w:firstLine="0"/>
              <w:jc w:val="left"/>
              <w:rPr>
                <w:sz w:val="18"/>
                <w:szCs w:val="18"/>
              </w:rPr>
            </w:pPr>
            <w:r w:rsidRPr="007F3C5D">
              <w:rPr>
                <w:sz w:val="18"/>
                <w:szCs w:val="18"/>
              </w:rPr>
              <w:t>Carbon particles</w:t>
            </w:r>
          </w:p>
        </w:tc>
        <w:tc>
          <w:tcPr>
            <w:tcW w:w="2551" w:type="dxa"/>
          </w:tcPr>
          <w:p w14:paraId="5C7BD70C"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Carbon electrode</w:t>
            </w:r>
          </w:p>
        </w:tc>
        <w:tc>
          <w:tcPr>
            <w:tcW w:w="3119" w:type="dxa"/>
          </w:tcPr>
          <w:p w14:paraId="15F5CDCA"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VSP generator</w:t>
            </w:r>
          </w:p>
        </w:tc>
        <w:tc>
          <w:tcPr>
            <w:tcW w:w="992" w:type="dxa"/>
          </w:tcPr>
          <w:p w14:paraId="11E47D7A"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UEF</w:t>
            </w:r>
          </w:p>
        </w:tc>
        <w:tc>
          <w:tcPr>
            <w:tcW w:w="1134" w:type="dxa"/>
          </w:tcPr>
          <w:p w14:paraId="05AE628D"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PM0.1</w:t>
            </w:r>
          </w:p>
        </w:tc>
        <w:tc>
          <w:tcPr>
            <w:tcW w:w="1606" w:type="dxa"/>
          </w:tcPr>
          <w:p w14:paraId="0E077BAA"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1 – 100 µg/mL</w:t>
            </w:r>
          </w:p>
        </w:tc>
      </w:tr>
      <w:tr w:rsidR="006260C7" w:rsidRPr="007F3C5D" w14:paraId="2CC46D44" w14:textId="77777777" w:rsidTr="006509C5">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81" w:type="dxa"/>
          </w:tcPr>
          <w:p w14:paraId="72872D80" w14:textId="77777777" w:rsidR="00B71F62" w:rsidRPr="007F3C5D" w:rsidRDefault="00B71F62" w:rsidP="00A14895">
            <w:pPr>
              <w:spacing w:after="0"/>
              <w:ind w:firstLine="0"/>
              <w:jc w:val="left"/>
              <w:rPr>
                <w:sz w:val="18"/>
                <w:szCs w:val="18"/>
              </w:rPr>
            </w:pPr>
            <w:r w:rsidRPr="007F3C5D">
              <w:rPr>
                <w:sz w:val="18"/>
                <w:szCs w:val="18"/>
              </w:rPr>
              <w:t>Copper oxide particles</w:t>
            </w:r>
          </w:p>
        </w:tc>
        <w:tc>
          <w:tcPr>
            <w:tcW w:w="2551" w:type="dxa"/>
          </w:tcPr>
          <w:p w14:paraId="46E9702D"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 xml:space="preserve">Purchased from </w:t>
            </w:r>
            <w:proofErr w:type="spellStart"/>
            <w:r w:rsidRPr="007F3C5D">
              <w:rPr>
                <w:sz w:val="18"/>
                <w:szCs w:val="18"/>
              </w:rPr>
              <w:t>PlasmaChem</w:t>
            </w:r>
            <w:proofErr w:type="spellEnd"/>
            <w:r w:rsidRPr="007F3C5D">
              <w:rPr>
                <w:sz w:val="18"/>
                <w:szCs w:val="18"/>
              </w:rPr>
              <w:t>*</w:t>
            </w:r>
          </w:p>
        </w:tc>
        <w:tc>
          <w:tcPr>
            <w:tcW w:w="3119" w:type="dxa"/>
          </w:tcPr>
          <w:p w14:paraId="04813EC0"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7F3C5D">
              <w:rPr>
                <w:sz w:val="18"/>
                <w:szCs w:val="18"/>
              </w:rPr>
              <w:t>-</w:t>
            </w:r>
          </w:p>
        </w:tc>
        <w:tc>
          <w:tcPr>
            <w:tcW w:w="992" w:type="dxa"/>
          </w:tcPr>
          <w:p w14:paraId="6D50FB67"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RIVM</w:t>
            </w:r>
          </w:p>
        </w:tc>
        <w:tc>
          <w:tcPr>
            <w:tcW w:w="1134" w:type="dxa"/>
          </w:tcPr>
          <w:p w14:paraId="56C98C56"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PM0.1</w:t>
            </w:r>
          </w:p>
        </w:tc>
        <w:tc>
          <w:tcPr>
            <w:tcW w:w="1606" w:type="dxa"/>
          </w:tcPr>
          <w:p w14:paraId="0D19AB11"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0.1 – 1 µg/mL</w:t>
            </w:r>
          </w:p>
        </w:tc>
      </w:tr>
      <w:tr w:rsidR="006260C7" w:rsidRPr="007F3C5D" w14:paraId="3B3F05E4" w14:textId="77777777" w:rsidTr="006509C5">
        <w:trPr>
          <w:trHeight w:val="295"/>
        </w:trPr>
        <w:tc>
          <w:tcPr>
            <w:cnfStyle w:val="001000000000" w:firstRow="0" w:lastRow="0" w:firstColumn="1" w:lastColumn="0" w:oddVBand="0" w:evenVBand="0" w:oddHBand="0" w:evenHBand="0" w:firstRowFirstColumn="0" w:firstRowLastColumn="0" w:lastRowFirstColumn="0" w:lastRowLastColumn="0"/>
            <w:tcW w:w="2081" w:type="dxa"/>
            <w:hideMark/>
          </w:tcPr>
          <w:p w14:paraId="06A08520" w14:textId="77777777" w:rsidR="00B71F62" w:rsidRPr="007F3C5D" w:rsidRDefault="00B71F62" w:rsidP="00A14895">
            <w:pPr>
              <w:spacing w:after="0"/>
              <w:ind w:firstLine="0"/>
              <w:jc w:val="left"/>
              <w:rPr>
                <w:sz w:val="18"/>
                <w:szCs w:val="18"/>
              </w:rPr>
            </w:pPr>
            <w:r w:rsidRPr="007F3C5D">
              <w:rPr>
                <w:sz w:val="18"/>
                <w:szCs w:val="18"/>
              </w:rPr>
              <w:t>Diesel</w:t>
            </w:r>
          </w:p>
        </w:tc>
        <w:tc>
          <w:tcPr>
            <w:tcW w:w="2551" w:type="dxa"/>
            <w:hideMark/>
          </w:tcPr>
          <w:p w14:paraId="571FD1AC"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EN590 diesel</w:t>
            </w:r>
          </w:p>
        </w:tc>
        <w:tc>
          <w:tcPr>
            <w:tcW w:w="3119" w:type="dxa"/>
            <w:hideMark/>
          </w:tcPr>
          <w:p w14:paraId="7ABBA466"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Common rail engine diesel generator</w:t>
            </w:r>
          </w:p>
        </w:tc>
        <w:tc>
          <w:tcPr>
            <w:tcW w:w="992" w:type="dxa"/>
            <w:hideMark/>
          </w:tcPr>
          <w:p w14:paraId="0B9ED2FF"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RIVM</w:t>
            </w:r>
          </w:p>
        </w:tc>
        <w:tc>
          <w:tcPr>
            <w:tcW w:w="1134" w:type="dxa"/>
            <w:hideMark/>
          </w:tcPr>
          <w:p w14:paraId="67113084"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PM2.5</w:t>
            </w:r>
          </w:p>
        </w:tc>
        <w:tc>
          <w:tcPr>
            <w:tcW w:w="1606" w:type="dxa"/>
            <w:hideMark/>
          </w:tcPr>
          <w:p w14:paraId="197F146B"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1 – 100 µg/mL</w:t>
            </w:r>
          </w:p>
        </w:tc>
      </w:tr>
      <w:tr w:rsidR="006260C7" w:rsidRPr="007F3C5D" w14:paraId="4DDF7F62" w14:textId="77777777" w:rsidTr="006509C5">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81" w:type="dxa"/>
            <w:hideMark/>
          </w:tcPr>
          <w:p w14:paraId="7BD1DE6E" w14:textId="77777777" w:rsidR="00B71F62" w:rsidRPr="007F3C5D" w:rsidRDefault="00B71F62" w:rsidP="00A14895">
            <w:pPr>
              <w:spacing w:after="0"/>
              <w:ind w:firstLine="0"/>
              <w:jc w:val="left"/>
              <w:rPr>
                <w:sz w:val="18"/>
                <w:szCs w:val="18"/>
              </w:rPr>
            </w:pPr>
            <w:r w:rsidRPr="007F3C5D">
              <w:rPr>
                <w:sz w:val="18"/>
                <w:szCs w:val="18"/>
              </w:rPr>
              <w:t>Biodiesel</w:t>
            </w:r>
          </w:p>
        </w:tc>
        <w:tc>
          <w:tcPr>
            <w:tcW w:w="2551" w:type="dxa"/>
            <w:hideMark/>
          </w:tcPr>
          <w:p w14:paraId="3D4F23AA" w14:textId="0F4D4ACB"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EN590 diesel + 20% biofuel</w:t>
            </w:r>
          </w:p>
        </w:tc>
        <w:tc>
          <w:tcPr>
            <w:tcW w:w="3119" w:type="dxa"/>
            <w:hideMark/>
          </w:tcPr>
          <w:p w14:paraId="2017F46C"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Common rail engine diesel generator</w:t>
            </w:r>
          </w:p>
        </w:tc>
        <w:tc>
          <w:tcPr>
            <w:tcW w:w="992" w:type="dxa"/>
            <w:hideMark/>
          </w:tcPr>
          <w:p w14:paraId="52088789"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RIVM</w:t>
            </w:r>
          </w:p>
        </w:tc>
        <w:tc>
          <w:tcPr>
            <w:tcW w:w="1134" w:type="dxa"/>
            <w:hideMark/>
          </w:tcPr>
          <w:p w14:paraId="2C44645E"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PM2.5</w:t>
            </w:r>
          </w:p>
        </w:tc>
        <w:tc>
          <w:tcPr>
            <w:tcW w:w="1606" w:type="dxa"/>
            <w:hideMark/>
          </w:tcPr>
          <w:p w14:paraId="56CB3C92"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1 – 100 µg/mL</w:t>
            </w:r>
          </w:p>
        </w:tc>
      </w:tr>
      <w:tr w:rsidR="006260C7" w:rsidRPr="007F3C5D" w14:paraId="5F4BE04B" w14:textId="77777777" w:rsidTr="006509C5">
        <w:trPr>
          <w:trHeight w:val="295"/>
        </w:trPr>
        <w:tc>
          <w:tcPr>
            <w:cnfStyle w:val="001000000000" w:firstRow="0" w:lastRow="0" w:firstColumn="1" w:lastColumn="0" w:oddVBand="0" w:evenVBand="0" w:oddHBand="0" w:evenHBand="0" w:firstRowFirstColumn="0" w:firstRowLastColumn="0" w:lastRowFirstColumn="0" w:lastRowLastColumn="0"/>
            <w:tcW w:w="2081" w:type="dxa"/>
            <w:hideMark/>
          </w:tcPr>
          <w:p w14:paraId="1226C459" w14:textId="51563562" w:rsidR="00B71F62" w:rsidRPr="007F3C5D" w:rsidRDefault="00B71F62" w:rsidP="00A14895">
            <w:pPr>
              <w:spacing w:after="0"/>
              <w:ind w:firstLine="0"/>
              <w:jc w:val="left"/>
              <w:rPr>
                <w:sz w:val="18"/>
                <w:szCs w:val="18"/>
              </w:rPr>
            </w:pPr>
            <w:r w:rsidRPr="007F3C5D">
              <w:rPr>
                <w:sz w:val="18"/>
                <w:szCs w:val="18"/>
              </w:rPr>
              <w:t xml:space="preserve">EURO 2 </w:t>
            </w:r>
            <w:r w:rsidR="002B7BF7" w:rsidRPr="007F3C5D">
              <w:rPr>
                <w:sz w:val="18"/>
                <w:szCs w:val="18"/>
              </w:rPr>
              <w:t>engine</w:t>
            </w:r>
          </w:p>
        </w:tc>
        <w:tc>
          <w:tcPr>
            <w:tcW w:w="2551" w:type="dxa"/>
            <w:hideMark/>
          </w:tcPr>
          <w:p w14:paraId="74473377"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EN590 diesel</w:t>
            </w:r>
          </w:p>
        </w:tc>
        <w:tc>
          <w:tcPr>
            <w:tcW w:w="3119" w:type="dxa"/>
            <w:hideMark/>
          </w:tcPr>
          <w:p w14:paraId="6A8E51B7"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Non-road Kubota engine (EURO 2)</w:t>
            </w:r>
          </w:p>
        </w:tc>
        <w:tc>
          <w:tcPr>
            <w:tcW w:w="992" w:type="dxa"/>
            <w:hideMark/>
          </w:tcPr>
          <w:p w14:paraId="70E1D27D"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UEF</w:t>
            </w:r>
          </w:p>
        </w:tc>
        <w:tc>
          <w:tcPr>
            <w:tcW w:w="1134" w:type="dxa"/>
            <w:hideMark/>
          </w:tcPr>
          <w:p w14:paraId="2254ECAA"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PM0.1</w:t>
            </w:r>
          </w:p>
        </w:tc>
        <w:tc>
          <w:tcPr>
            <w:tcW w:w="1606" w:type="dxa"/>
            <w:hideMark/>
          </w:tcPr>
          <w:p w14:paraId="2F07F4EC"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1 – 100 µg/mL</w:t>
            </w:r>
          </w:p>
        </w:tc>
      </w:tr>
      <w:tr w:rsidR="006260C7" w:rsidRPr="007F3C5D" w14:paraId="64936BD2" w14:textId="77777777" w:rsidTr="006509C5">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81" w:type="dxa"/>
            <w:hideMark/>
          </w:tcPr>
          <w:p w14:paraId="7CE87FEC" w14:textId="3D5545D7" w:rsidR="00B71F62" w:rsidRPr="007F3C5D" w:rsidRDefault="00B71F62" w:rsidP="00A14895">
            <w:pPr>
              <w:spacing w:after="0"/>
              <w:ind w:firstLine="0"/>
              <w:jc w:val="left"/>
              <w:rPr>
                <w:sz w:val="18"/>
                <w:szCs w:val="18"/>
              </w:rPr>
            </w:pPr>
            <w:r w:rsidRPr="007F3C5D">
              <w:rPr>
                <w:sz w:val="18"/>
                <w:szCs w:val="18"/>
              </w:rPr>
              <w:t xml:space="preserve">EURO 6 </w:t>
            </w:r>
            <w:r w:rsidR="002B7BF7" w:rsidRPr="007F3C5D">
              <w:rPr>
                <w:sz w:val="18"/>
                <w:szCs w:val="18"/>
              </w:rPr>
              <w:t>engine</w:t>
            </w:r>
          </w:p>
        </w:tc>
        <w:tc>
          <w:tcPr>
            <w:tcW w:w="2551" w:type="dxa"/>
            <w:hideMark/>
          </w:tcPr>
          <w:p w14:paraId="7E808966"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EN590 diesel</w:t>
            </w:r>
          </w:p>
        </w:tc>
        <w:tc>
          <w:tcPr>
            <w:tcW w:w="3119" w:type="dxa"/>
            <w:hideMark/>
          </w:tcPr>
          <w:p w14:paraId="24241A3F"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Skoda Octavia diesel engine (EURO 6)</w:t>
            </w:r>
          </w:p>
        </w:tc>
        <w:tc>
          <w:tcPr>
            <w:tcW w:w="992" w:type="dxa"/>
            <w:hideMark/>
          </w:tcPr>
          <w:p w14:paraId="180FB709"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UEF</w:t>
            </w:r>
          </w:p>
        </w:tc>
        <w:tc>
          <w:tcPr>
            <w:tcW w:w="1134" w:type="dxa"/>
            <w:hideMark/>
          </w:tcPr>
          <w:p w14:paraId="2DED8713"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PM0.1</w:t>
            </w:r>
          </w:p>
        </w:tc>
        <w:tc>
          <w:tcPr>
            <w:tcW w:w="1606" w:type="dxa"/>
            <w:hideMark/>
          </w:tcPr>
          <w:p w14:paraId="0C639D3A"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1 – 100 µg/mL</w:t>
            </w:r>
          </w:p>
        </w:tc>
      </w:tr>
      <w:tr w:rsidR="006260C7" w:rsidRPr="007F3C5D" w14:paraId="0C6DD4AA" w14:textId="77777777" w:rsidTr="006509C5">
        <w:trPr>
          <w:trHeight w:val="295"/>
        </w:trPr>
        <w:tc>
          <w:tcPr>
            <w:cnfStyle w:val="001000000000" w:firstRow="0" w:lastRow="0" w:firstColumn="1" w:lastColumn="0" w:oddVBand="0" w:evenVBand="0" w:oddHBand="0" w:evenHBand="0" w:firstRowFirstColumn="0" w:firstRowLastColumn="0" w:lastRowFirstColumn="0" w:lastRowLastColumn="0"/>
            <w:tcW w:w="2081" w:type="dxa"/>
            <w:hideMark/>
          </w:tcPr>
          <w:p w14:paraId="069C4882" w14:textId="1DFB6A9D" w:rsidR="00B71F62" w:rsidRPr="007F3C5D" w:rsidRDefault="00CC0035" w:rsidP="00A14895">
            <w:pPr>
              <w:spacing w:after="0"/>
              <w:ind w:firstLine="0"/>
              <w:jc w:val="left"/>
              <w:rPr>
                <w:sz w:val="18"/>
                <w:szCs w:val="18"/>
              </w:rPr>
            </w:pPr>
            <w:r w:rsidRPr="007F3C5D">
              <w:rPr>
                <w:sz w:val="18"/>
                <w:szCs w:val="18"/>
              </w:rPr>
              <w:t>Non-volatile</w:t>
            </w:r>
            <w:r w:rsidR="00B71F62" w:rsidRPr="007F3C5D">
              <w:rPr>
                <w:sz w:val="18"/>
                <w:szCs w:val="18"/>
              </w:rPr>
              <w:t xml:space="preserve"> A0</w:t>
            </w:r>
          </w:p>
        </w:tc>
        <w:tc>
          <w:tcPr>
            <w:tcW w:w="2551" w:type="dxa"/>
            <w:hideMark/>
          </w:tcPr>
          <w:p w14:paraId="34966850"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Low aromatic diesel</w:t>
            </w:r>
          </w:p>
        </w:tc>
        <w:tc>
          <w:tcPr>
            <w:tcW w:w="3119" w:type="dxa"/>
            <w:hideMark/>
          </w:tcPr>
          <w:p w14:paraId="092C8AAD"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heavy duty diesel engine (AGCO)</w:t>
            </w:r>
          </w:p>
        </w:tc>
        <w:tc>
          <w:tcPr>
            <w:tcW w:w="992" w:type="dxa"/>
            <w:hideMark/>
          </w:tcPr>
          <w:p w14:paraId="0CD0B883"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UEF</w:t>
            </w:r>
          </w:p>
        </w:tc>
        <w:tc>
          <w:tcPr>
            <w:tcW w:w="1134" w:type="dxa"/>
            <w:hideMark/>
          </w:tcPr>
          <w:p w14:paraId="3E432CC4"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PM0.1</w:t>
            </w:r>
          </w:p>
        </w:tc>
        <w:tc>
          <w:tcPr>
            <w:tcW w:w="1606" w:type="dxa"/>
            <w:hideMark/>
          </w:tcPr>
          <w:p w14:paraId="3219375E"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1 – 100 µg/mL</w:t>
            </w:r>
          </w:p>
        </w:tc>
      </w:tr>
      <w:tr w:rsidR="006260C7" w:rsidRPr="007F3C5D" w14:paraId="745A1371" w14:textId="77777777" w:rsidTr="006509C5">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81" w:type="dxa"/>
            <w:hideMark/>
          </w:tcPr>
          <w:p w14:paraId="6C84241E" w14:textId="57D3688F" w:rsidR="00B71F62" w:rsidRPr="007F3C5D" w:rsidRDefault="00CC0035" w:rsidP="00A14895">
            <w:pPr>
              <w:spacing w:after="0"/>
              <w:ind w:firstLine="0"/>
              <w:jc w:val="left"/>
              <w:rPr>
                <w:sz w:val="18"/>
                <w:szCs w:val="18"/>
              </w:rPr>
            </w:pPr>
            <w:r w:rsidRPr="007F3C5D">
              <w:rPr>
                <w:sz w:val="18"/>
                <w:szCs w:val="18"/>
              </w:rPr>
              <w:t>Non-volatile</w:t>
            </w:r>
            <w:r w:rsidR="00B71F62" w:rsidRPr="007F3C5D">
              <w:rPr>
                <w:sz w:val="18"/>
                <w:szCs w:val="18"/>
              </w:rPr>
              <w:t xml:space="preserve"> A20</w:t>
            </w:r>
          </w:p>
        </w:tc>
        <w:tc>
          <w:tcPr>
            <w:tcW w:w="2551" w:type="dxa"/>
            <w:hideMark/>
          </w:tcPr>
          <w:p w14:paraId="246A931A"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High aromatic diesel</w:t>
            </w:r>
          </w:p>
        </w:tc>
        <w:tc>
          <w:tcPr>
            <w:tcW w:w="3119" w:type="dxa"/>
            <w:hideMark/>
          </w:tcPr>
          <w:p w14:paraId="279A1E32"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heavy duty diesel engine (AGCO)</w:t>
            </w:r>
          </w:p>
        </w:tc>
        <w:tc>
          <w:tcPr>
            <w:tcW w:w="992" w:type="dxa"/>
            <w:hideMark/>
          </w:tcPr>
          <w:p w14:paraId="5E851E28"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UEF</w:t>
            </w:r>
          </w:p>
        </w:tc>
        <w:tc>
          <w:tcPr>
            <w:tcW w:w="1134" w:type="dxa"/>
            <w:hideMark/>
          </w:tcPr>
          <w:p w14:paraId="33E2D500"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PM0.1</w:t>
            </w:r>
          </w:p>
        </w:tc>
        <w:tc>
          <w:tcPr>
            <w:tcW w:w="1606" w:type="dxa"/>
            <w:hideMark/>
          </w:tcPr>
          <w:p w14:paraId="20122D21"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1 – 100 µg/mL</w:t>
            </w:r>
          </w:p>
        </w:tc>
      </w:tr>
      <w:tr w:rsidR="006260C7" w:rsidRPr="007F3C5D" w14:paraId="25E30EDB" w14:textId="77777777" w:rsidTr="006509C5">
        <w:trPr>
          <w:trHeight w:val="295"/>
        </w:trPr>
        <w:tc>
          <w:tcPr>
            <w:cnfStyle w:val="001000000000" w:firstRow="0" w:lastRow="0" w:firstColumn="1" w:lastColumn="0" w:oddVBand="0" w:evenVBand="0" w:oddHBand="0" w:evenHBand="0" w:firstRowFirstColumn="0" w:firstRowLastColumn="0" w:lastRowFirstColumn="0" w:lastRowLastColumn="0"/>
            <w:tcW w:w="2081" w:type="dxa"/>
            <w:hideMark/>
          </w:tcPr>
          <w:p w14:paraId="3EA8C8B1" w14:textId="77777777" w:rsidR="00B71F62" w:rsidRPr="007F3C5D" w:rsidRDefault="00B71F62" w:rsidP="00A14895">
            <w:pPr>
              <w:spacing w:after="0"/>
              <w:ind w:firstLine="0"/>
              <w:jc w:val="left"/>
              <w:rPr>
                <w:sz w:val="18"/>
                <w:szCs w:val="18"/>
              </w:rPr>
            </w:pPr>
            <w:r w:rsidRPr="007F3C5D">
              <w:rPr>
                <w:sz w:val="18"/>
                <w:szCs w:val="18"/>
              </w:rPr>
              <w:t>SVOC A0</w:t>
            </w:r>
          </w:p>
        </w:tc>
        <w:tc>
          <w:tcPr>
            <w:tcW w:w="2551" w:type="dxa"/>
            <w:hideMark/>
          </w:tcPr>
          <w:p w14:paraId="6C2804D7"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Low aromatic diesel</w:t>
            </w:r>
          </w:p>
        </w:tc>
        <w:tc>
          <w:tcPr>
            <w:tcW w:w="3119" w:type="dxa"/>
            <w:hideMark/>
          </w:tcPr>
          <w:p w14:paraId="564EA470" w14:textId="536A4815"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heavy duty diesel</w:t>
            </w:r>
            <w:r w:rsidR="006260C7" w:rsidRPr="007F3C5D">
              <w:rPr>
                <w:sz w:val="18"/>
                <w:szCs w:val="18"/>
              </w:rPr>
              <w:t xml:space="preserve"> </w:t>
            </w:r>
            <w:r w:rsidRPr="007F3C5D">
              <w:rPr>
                <w:sz w:val="18"/>
                <w:szCs w:val="18"/>
              </w:rPr>
              <w:t>engine (AGCO)</w:t>
            </w:r>
          </w:p>
        </w:tc>
        <w:tc>
          <w:tcPr>
            <w:tcW w:w="992" w:type="dxa"/>
            <w:hideMark/>
          </w:tcPr>
          <w:p w14:paraId="2207521A"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UEF</w:t>
            </w:r>
          </w:p>
        </w:tc>
        <w:tc>
          <w:tcPr>
            <w:tcW w:w="1134" w:type="dxa"/>
            <w:hideMark/>
          </w:tcPr>
          <w:p w14:paraId="0DE57B20"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PM0.1</w:t>
            </w:r>
          </w:p>
        </w:tc>
        <w:tc>
          <w:tcPr>
            <w:tcW w:w="1606" w:type="dxa"/>
            <w:hideMark/>
          </w:tcPr>
          <w:p w14:paraId="37B13FA3" w14:textId="77777777" w:rsidR="00B71F62" w:rsidRPr="007F3C5D" w:rsidRDefault="00B71F6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1 – 20 L/mL</w:t>
            </w:r>
          </w:p>
        </w:tc>
      </w:tr>
      <w:tr w:rsidR="006260C7" w:rsidRPr="007F3C5D" w14:paraId="6552BF77" w14:textId="77777777" w:rsidTr="006509C5">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81" w:type="dxa"/>
            <w:hideMark/>
          </w:tcPr>
          <w:p w14:paraId="12BDBBB5" w14:textId="77777777" w:rsidR="00B71F62" w:rsidRPr="007F3C5D" w:rsidRDefault="00B71F62" w:rsidP="00A14895">
            <w:pPr>
              <w:spacing w:after="0"/>
              <w:ind w:firstLine="0"/>
              <w:jc w:val="left"/>
              <w:rPr>
                <w:sz w:val="18"/>
                <w:szCs w:val="18"/>
              </w:rPr>
            </w:pPr>
            <w:r w:rsidRPr="007F3C5D">
              <w:rPr>
                <w:sz w:val="18"/>
                <w:szCs w:val="18"/>
              </w:rPr>
              <w:t>SVOC A20</w:t>
            </w:r>
          </w:p>
        </w:tc>
        <w:tc>
          <w:tcPr>
            <w:tcW w:w="2551" w:type="dxa"/>
            <w:hideMark/>
          </w:tcPr>
          <w:p w14:paraId="13D6C18F"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High aromatic diesel</w:t>
            </w:r>
          </w:p>
        </w:tc>
        <w:tc>
          <w:tcPr>
            <w:tcW w:w="3119" w:type="dxa"/>
            <w:hideMark/>
          </w:tcPr>
          <w:p w14:paraId="30CC4445"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heavy duty diesel engine (AGCO)</w:t>
            </w:r>
          </w:p>
        </w:tc>
        <w:tc>
          <w:tcPr>
            <w:tcW w:w="992" w:type="dxa"/>
            <w:hideMark/>
          </w:tcPr>
          <w:p w14:paraId="2763E32F"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UEF</w:t>
            </w:r>
          </w:p>
        </w:tc>
        <w:tc>
          <w:tcPr>
            <w:tcW w:w="1134" w:type="dxa"/>
            <w:hideMark/>
          </w:tcPr>
          <w:p w14:paraId="3E0F4CEE"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PM0.1</w:t>
            </w:r>
          </w:p>
        </w:tc>
        <w:tc>
          <w:tcPr>
            <w:tcW w:w="1606" w:type="dxa"/>
            <w:hideMark/>
          </w:tcPr>
          <w:p w14:paraId="6C070B8B" w14:textId="77777777" w:rsidR="00B71F62" w:rsidRPr="007F3C5D" w:rsidRDefault="00B71F6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1 – 20 L/mL</w:t>
            </w:r>
          </w:p>
        </w:tc>
      </w:tr>
    </w:tbl>
    <w:p w14:paraId="32882EB1" w14:textId="77777777" w:rsidR="00B71F62" w:rsidRPr="007F3C5D" w:rsidRDefault="00B71F62" w:rsidP="00A14895">
      <w:pPr>
        <w:ind w:firstLine="0"/>
        <w:rPr>
          <w:sz w:val="18"/>
          <w:szCs w:val="18"/>
        </w:rPr>
      </w:pPr>
      <w:r w:rsidRPr="007F3C5D">
        <w:rPr>
          <w:sz w:val="18"/>
          <w:szCs w:val="18"/>
        </w:rPr>
        <w:t>* Germany, Cat. PL-</w:t>
      </w:r>
      <w:proofErr w:type="spellStart"/>
      <w:r w:rsidRPr="007F3C5D">
        <w:rPr>
          <w:sz w:val="18"/>
          <w:szCs w:val="18"/>
        </w:rPr>
        <w:t>CuO</w:t>
      </w:r>
      <w:proofErr w:type="spellEnd"/>
      <w:r w:rsidRPr="007F3C5D">
        <w:rPr>
          <w:sz w:val="18"/>
          <w:szCs w:val="18"/>
        </w:rPr>
        <w:t>, Lot. YF131107</w:t>
      </w:r>
    </w:p>
    <w:p w14:paraId="5A82093D" w14:textId="5410A053" w:rsidR="00B71F62" w:rsidRPr="007F3C5D" w:rsidRDefault="00B71F62" w:rsidP="00A14895">
      <w:r w:rsidRPr="007F3C5D">
        <w:t>All solid particles samples provided in glass vials by UEF (Carbon particles, EURO 2</w:t>
      </w:r>
      <w:r w:rsidR="002B7BF7" w:rsidRPr="007F3C5D">
        <w:t xml:space="preserve"> engine</w:t>
      </w:r>
      <w:r w:rsidRPr="007F3C5D">
        <w:t>, EURO 6</w:t>
      </w:r>
      <w:r w:rsidR="002B7BF7" w:rsidRPr="007F3C5D">
        <w:t xml:space="preserve"> engine</w:t>
      </w:r>
      <w:r w:rsidRPr="007F3C5D">
        <w:t xml:space="preserve">, </w:t>
      </w:r>
      <w:r w:rsidR="007D1101" w:rsidRPr="007F3C5D">
        <w:t>non-volatile</w:t>
      </w:r>
      <w:r w:rsidRPr="007F3C5D">
        <w:t xml:space="preserve"> A0 and A20) were dispersed in 100% DMSO to a 100 mg/mL concentration. Since test samples were attached to the glass of the vial, a sterile glass rod was used to scrape off the sample. Further, samples were vortexed to get the solid particles in dispersion. Glutamate-free culture medium</w:t>
      </w:r>
      <w:r w:rsidRPr="007F3C5D">
        <w:rPr>
          <w:rFonts w:cstheme="minorBidi"/>
          <w:color w:val="000000" w:themeColor="text1"/>
        </w:rPr>
        <w:t xml:space="preserve">, containing Neurobasal-A (NBA) medium, supplemented with 25 g/L sucrose, 450 </w:t>
      </w:r>
      <w:proofErr w:type="spellStart"/>
      <w:r w:rsidRPr="007F3C5D">
        <w:rPr>
          <w:rFonts w:cstheme="minorBidi"/>
          <w:color w:val="000000" w:themeColor="text1"/>
        </w:rPr>
        <w:t>μM</w:t>
      </w:r>
      <w:proofErr w:type="spellEnd"/>
      <w:r w:rsidRPr="007F3C5D">
        <w:rPr>
          <w:rFonts w:cstheme="minorBidi"/>
          <w:color w:val="000000" w:themeColor="text1"/>
        </w:rPr>
        <w:t xml:space="preserve"> L-glutamine, 1% penicillin/streptomycin and 10% FBS, pH was set to 7.4</w:t>
      </w:r>
      <w:r w:rsidRPr="007F3C5D">
        <w:rPr>
          <w:rFonts w:cs="Arial"/>
          <w:color w:val="000000" w:themeColor="text1"/>
        </w:rPr>
        <w:t>,</w:t>
      </w:r>
      <w:r w:rsidRPr="007F3C5D">
        <w:t xml:space="preserve"> was added to reach a stock concentration of 5 mg/mL containing 5% v/v DMSO. After sonication (10 minutes in </w:t>
      </w:r>
      <w:proofErr w:type="gramStart"/>
      <w:r w:rsidRPr="007F3C5D">
        <w:t>a</w:t>
      </w:r>
      <w:proofErr w:type="gramEnd"/>
      <w:r w:rsidRPr="007F3C5D">
        <w:t xml:space="preserve"> </w:t>
      </w:r>
      <w:proofErr w:type="spellStart"/>
      <w:r w:rsidRPr="007F3C5D">
        <w:t>ultra sonic</w:t>
      </w:r>
      <w:proofErr w:type="spellEnd"/>
      <w:r w:rsidRPr="007F3C5D">
        <w:t xml:space="preserve"> bath), exposure solutions with a concentration range of 10 – 1.000 µg/mL with a 1% v/v DMSO content were obtained by further diluting the stock solution with glutamate-free culture medium. For glass vials containing 0.5 mg sample, the DMSO and glutamate-free culture media volumes were adjusted, and two separate glass vials were combined.</w:t>
      </w:r>
    </w:p>
    <w:p w14:paraId="49A95369" w14:textId="6659EAA6" w:rsidR="00B71F62" w:rsidRPr="007F3C5D" w:rsidRDefault="00B71F62" w:rsidP="00A14895">
      <w:r w:rsidRPr="007F3C5D">
        <w:lastRenderedPageBreak/>
        <w:t xml:space="preserve">The blank extract provided by UEF is collected by running fresh air through the system using the same collection process as for the solid particles samples from UEF to assess whether the extraction process could </w:t>
      </w:r>
      <w:proofErr w:type="gramStart"/>
      <w:r w:rsidRPr="007F3C5D">
        <w:t>affects</w:t>
      </w:r>
      <w:proofErr w:type="gramEnd"/>
      <w:r w:rsidRPr="007F3C5D">
        <w:t xml:space="preserve"> neuronal activity or cell viability. Since no mass is collected on the filter from fresh air, the corresponding volume of the solid particles samples was used as a reference for the collected volume. This conversion was used to express the further experiment in the </w:t>
      </w:r>
      <w:r w:rsidR="00FE2B24">
        <w:t>doses</w:t>
      </w:r>
      <w:r w:rsidRPr="007F3C5D">
        <w:t xml:space="preserve"> equal to those of the solid </w:t>
      </w:r>
      <w:proofErr w:type="gramStart"/>
      <w:r w:rsidRPr="007F3C5D">
        <w:t>particles</w:t>
      </w:r>
      <w:proofErr w:type="gramEnd"/>
      <w:r w:rsidRPr="007F3C5D">
        <w:t xml:space="preserve"> samples</w:t>
      </w:r>
      <w:r w:rsidRPr="007F3C5D">
        <w:rPr>
          <w:rFonts w:cs="Arial"/>
        </w:rPr>
        <w:t>.</w:t>
      </w:r>
    </w:p>
    <w:p w14:paraId="7FF1AC59" w14:textId="625E1951" w:rsidR="00B71F62" w:rsidRPr="007F3C5D" w:rsidRDefault="00B71F62" w:rsidP="00A14895">
      <w:r w:rsidRPr="007F3C5D">
        <w:t>Copper oxide particles provided by RIVM were reconstructed in ddH</w:t>
      </w:r>
      <w:r w:rsidRPr="007F3C5D">
        <w:rPr>
          <w:vertAlign w:val="subscript"/>
        </w:rPr>
        <w:t>2</w:t>
      </w:r>
      <w:r w:rsidRPr="007F3C5D">
        <w:t xml:space="preserve">O to a concentration of 100 mg/mL, sonicated (10 min; </w:t>
      </w:r>
      <w:proofErr w:type="spellStart"/>
      <w:r w:rsidRPr="007F3C5D">
        <w:t>ultra sonic</w:t>
      </w:r>
      <w:proofErr w:type="spellEnd"/>
      <w:r w:rsidRPr="007F3C5D">
        <w:t xml:space="preserve"> bath), and further diluted with glutamate-free culture medium to get exposure solutions with a concentration range of 0.1 – 10 µg/mL with a 1% v/v ddH</w:t>
      </w:r>
      <w:r w:rsidRPr="007F3C5D">
        <w:rPr>
          <w:vertAlign w:val="subscript"/>
        </w:rPr>
        <w:t>2</w:t>
      </w:r>
      <w:r w:rsidRPr="007F3C5D">
        <w:t>O content.</w:t>
      </w:r>
    </w:p>
    <w:p w14:paraId="756DBDED" w14:textId="7E67CB5E" w:rsidR="00B71F62" w:rsidRPr="007F3C5D" w:rsidRDefault="00B71F62" w:rsidP="00A14895">
      <w:r w:rsidRPr="007F3C5D">
        <w:t xml:space="preserve">Diesel and Biodiesel exhaust-derived PM samples provided by RIVM were reconstructed in 100% DMSO to a stock concentration of 100 mg/mL, vortexed, and used for exposure directly or stored at -20˚C for further experiments. Before exposure, the stock samples were sonicated (10 min; </w:t>
      </w:r>
      <w:proofErr w:type="spellStart"/>
      <w:r w:rsidRPr="007F3C5D">
        <w:t>ultra sonic</w:t>
      </w:r>
      <w:proofErr w:type="spellEnd"/>
      <w:r w:rsidRPr="007F3C5D">
        <w:t xml:space="preserve"> bath) and further diluted with glutamate-free culture medium to prepare exposure solutions. As with the solid particles samples from UEF, a concentration range of 10 – 1.000 µg/mL containing 1% DMSO was prepared and used for exposure.</w:t>
      </w:r>
    </w:p>
    <w:p w14:paraId="0E1C2702" w14:textId="1C929AA5" w:rsidR="00B71F62" w:rsidRPr="007F3C5D" w:rsidRDefault="00B71F62" w:rsidP="00A14895">
      <w:r w:rsidRPr="007F3C5D">
        <w:rPr>
          <w:rFonts w:eastAsiaTheme="minorHAnsi"/>
        </w:rPr>
        <w:t xml:space="preserve">The </w:t>
      </w:r>
      <w:r w:rsidR="00CC0035" w:rsidRPr="007F3C5D">
        <w:rPr>
          <w:rFonts w:eastAsiaTheme="minorHAnsi"/>
        </w:rPr>
        <w:t>SVOC</w:t>
      </w:r>
      <w:r w:rsidRPr="007F3C5D">
        <w:rPr>
          <w:rFonts w:eastAsiaTheme="minorHAnsi"/>
        </w:rPr>
        <w:t xml:space="preserve"> samples were reconstructed in glutamate-free culture media containing 5% v/v DMSO to a concentration of 1000 L/</w:t>
      </w:r>
      <w:proofErr w:type="spellStart"/>
      <w:r w:rsidRPr="007F3C5D">
        <w:rPr>
          <w:rFonts w:eastAsiaTheme="minorHAnsi"/>
        </w:rPr>
        <w:t>mL.</w:t>
      </w:r>
      <w:proofErr w:type="spellEnd"/>
      <w:r w:rsidRPr="007F3C5D">
        <w:rPr>
          <w:rFonts w:eastAsiaTheme="minorHAnsi"/>
        </w:rPr>
        <w:t xml:space="preserve"> Following sonication (</w:t>
      </w:r>
      <w:r w:rsidRPr="007F3C5D">
        <w:t xml:space="preserve">10 min; </w:t>
      </w:r>
      <w:proofErr w:type="spellStart"/>
      <w:r w:rsidRPr="007F3C5D">
        <w:t>ultra sonic</w:t>
      </w:r>
      <w:proofErr w:type="spellEnd"/>
      <w:r w:rsidRPr="007F3C5D">
        <w:t xml:space="preserve"> bath)</w:t>
      </w:r>
      <w:r w:rsidRPr="007F3C5D">
        <w:rPr>
          <w:rFonts w:eastAsiaTheme="minorHAnsi"/>
        </w:rPr>
        <w:t>, exposure solutions were prepared by further diluting the stock with glutamate-free culture media to a concentration range of 10 – 200 L/mL with a 1% v/v DMSO content.</w:t>
      </w:r>
    </w:p>
    <w:p w14:paraId="69113F95" w14:textId="038C469E" w:rsidR="00B71F62" w:rsidRPr="007F3C5D" w:rsidRDefault="00B71F62" w:rsidP="00A14895">
      <w:pPr>
        <w:pStyle w:val="Heading2"/>
      </w:pPr>
      <w:bookmarkStart w:id="15" w:name="_Toc91592927"/>
      <w:bookmarkStart w:id="16" w:name="_Toc100781380"/>
      <w:bookmarkStart w:id="17" w:name="_Toc101374926"/>
      <w:r w:rsidRPr="007F3C5D">
        <w:t>Cell cultures</w:t>
      </w:r>
      <w:bookmarkEnd w:id="15"/>
      <w:bookmarkEnd w:id="16"/>
      <w:bookmarkEnd w:id="17"/>
    </w:p>
    <w:p w14:paraId="55C11863" w14:textId="77777777" w:rsidR="00B71F62" w:rsidRPr="007F3C5D" w:rsidRDefault="00B71F62" w:rsidP="00A14895">
      <w:r w:rsidRPr="007F3C5D">
        <w:t>Animal experiments were performed in agreement with Dutch law, the European Community directives regulating animal research (2010/63/EU</w:t>
      </w:r>
      <w:proofErr w:type="gramStart"/>
      <w:r w:rsidRPr="007F3C5D">
        <w:t>), and</w:t>
      </w:r>
      <w:proofErr w:type="gramEnd"/>
      <w:r w:rsidRPr="007F3C5D">
        <w:t xml:space="preserve"> approved by the Ethical Committee for Animal Experiments of Utrecht University. All efforts were made to minimize the number of animals used and their suffering.</w:t>
      </w:r>
    </w:p>
    <w:p w14:paraId="6BD15EF6" w14:textId="39275885" w:rsidR="00B71F62" w:rsidRPr="007F3C5D" w:rsidRDefault="00B71F62" w:rsidP="00A14895">
      <w:pPr>
        <w:rPr>
          <w:rFonts w:cs="Arial"/>
        </w:rPr>
      </w:pPr>
      <w:r w:rsidRPr="007F3C5D">
        <w:t xml:space="preserve">Rat primary cortical cultures were prepared from </w:t>
      </w:r>
      <w:r w:rsidRPr="007F3C5D">
        <w:rPr>
          <w:rFonts w:cs="Arial"/>
        </w:rPr>
        <w:t>Wistar rat pups (</w:t>
      </w:r>
      <w:proofErr w:type="spellStart"/>
      <w:r w:rsidRPr="007F3C5D">
        <w:rPr>
          <w:rFonts w:cs="Arial"/>
        </w:rPr>
        <w:t>Envigo</w:t>
      </w:r>
      <w:proofErr w:type="spellEnd"/>
      <w:r w:rsidRPr="007F3C5D">
        <w:rPr>
          <w:rFonts w:cs="Arial"/>
        </w:rPr>
        <w:t xml:space="preserve">, Horst, the Netherlands) and </w:t>
      </w:r>
      <w:r w:rsidRPr="007F3C5D">
        <w:t xml:space="preserve">cultured as described previously by </w:t>
      </w:r>
      <w:r w:rsidRPr="007F3C5D">
        <w:fldChar w:fldCharType="begin" w:fldLock="1"/>
      </w:r>
      <w:r w:rsidRPr="007F3C5D">
        <w:instrText>ADDIN CSL_CITATION {"citationItems":[{"id":"ITEM-1","itemData":{"DOI":"10.1002/cpz1.158","ISSN":"26911299","PMID":"34152700","abstract":"Neurotoxicity testing of chemicals, drug candidates, and environmental pollutants still relies on extensive in vivo studies that are very costly, time-consuming, and ethically debated due to the large number of animals typically used. Currently, rat primary cortical cultures are widely used for in vitro neurotoxicity studies, as they closely resemble the in vitro brain with respect to the diversity of cell types, their physiological functions, and the pathological processes that they undergo. Common in vitro assays for neurotoxicity screening often focus on very target-specific endpoints such as morphological, biochemical, or electrophysiological changes, and such narrow focus can hamper translation and interpretation. Microelectrode array (MEA) recordings provide a non-invasive platform for extracellular recording of electrical activity of cultured neuronal cells, thereby enabling the evaluation of changes in neuronal (network) function as a sensitive and integrated endpoint for neurotoxicity screening. Here, we describe an in vitro approach for assessing changes in neuronal network function as a measure for neurotoxicity, using rat primary cortical cultures grown on MEAs. We provide a detailed protocol for the culture of rat primary cortical cells, and describe several experimental procedures to address acute, subchronic, and chronic exposure scenarios. We additionally describe the steps for processing and analyzing MEA and cell viability data. © 2021 The Authors. Current Protocols published by Wiley Periodicals LLC. Basic Protocol 1: Isolation and culture of rat primary cortical cells on 48-well MEA plates. Support Protocol 1: Pretreatment and washing of 48-well MEA plates before first use or for re-use. Support Protocol 2: Coating of 48-well MEA plates with 0.1% PEI solution. Basic Protocol 2: MEA measurements during acute exposure. Alternate Protocol 1: MEA measurements during subchronic exposure. Alternate Protocol 2: MEA measurements during chronic exposure. Support Protocol 3: Determination of cell viability after MEA experiments. Basic Protocol 3: MEA data processing. Basic Protocol 4: Analyzing MEA experiments after acute and subchronic exposure. Alternate Protocol 3: Analyzing MEA experiments after chronic exposure.","author":[{"dropping-particle":"","family":"Gerber","given":"Lora Sophie","non-dropping-particle":"","parse-names":false,"suffix":""},{"dropping-particle":"","family":"Melis","given":"Lennart V.J.","non-dropping-particle":"van","parse-names":false,"suffix":""},{"dropping-particle":"","family":"Kleef","given":"Regina G.D.M.","non-dropping-particle":"van","parse-names":false,"suffix":""},{"dropping-particle":"","family":"Groot","given":"Aart","non-dropping-particle":"de","parse-names":false,"suffix":""},{"dropping-particle":"","family":"Westerink","given":"Remco H.S.","non-dropping-particle":"","parse-names":false,"suffix":""}],"container-title":"Current Protocols","id":"ITEM-1","issue":"6","issued":{"date-parts":[["2021"]]},"page":"1-35","title":"Culture of Rat Primary Cortical Cells for Microelectrode Array (MEA) Recordings to Screen for Acute and Developmental Neurotoxicity","type":"article-journal","volume":"1"},"uris":["http://www.mendeley.com/documents/?uuid=c7124c63-651f-4cc4-8cf7-7299297511dd"]}],"mendeley":{"formattedCitation":"(Gerber et al., 2021)","manualFormatting":"Gerber et al. (2021)","plainTextFormattedCitation":"(Gerber et al., 2021)","previouslyFormattedCitation":"(Gerber et al., 2021)"},"properties":{"noteIndex":0},"schema":"https://github.com/citation-style-language/schema/raw/master/csl-citation.json"}</w:instrText>
      </w:r>
      <w:r w:rsidRPr="007F3C5D">
        <w:fldChar w:fldCharType="separate"/>
      </w:r>
      <w:r w:rsidRPr="007F3C5D">
        <w:rPr>
          <w:noProof/>
        </w:rPr>
        <w:t xml:space="preserve">Gerber </w:t>
      </w:r>
      <w:r w:rsidRPr="007F3C5D">
        <w:rPr>
          <w:i/>
          <w:iCs/>
          <w:noProof/>
        </w:rPr>
        <w:t>et al.</w:t>
      </w:r>
      <w:r w:rsidRPr="007F3C5D">
        <w:rPr>
          <w:noProof/>
        </w:rPr>
        <w:t xml:space="preserve"> (2021)</w:t>
      </w:r>
      <w:r w:rsidRPr="007F3C5D">
        <w:fldChar w:fldCharType="end"/>
      </w:r>
      <w:r w:rsidRPr="007F3C5D">
        <w:t xml:space="preserve">. Briefly, cells were </w:t>
      </w:r>
      <w:proofErr w:type="gramStart"/>
      <w:r w:rsidRPr="007F3C5D">
        <w:t>isolated</w:t>
      </w:r>
      <w:proofErr w:type="gramEnd"/>
      <w:r w:rsidRPr="007F3C5D">
        <w:t xml:space="preserve"> and 10</w:t>
      </w:r>
      <w:r w:rsidRPr="007F3C5D">
        <w:rPr>
          <w:vertAlign w:val="superscript"/>
        </w:rPr>
        <w:t>5</w:t>
      </w:r>
      <w:r w:rsidRPr="007F3C5D">
        <w:rPr>
          <w:vertAlign w:val="subscript"/>
        </w:rPr>
        <w:t xml:space="preserve"> </w:t>
      </w:r>
      <w:r w:rsidRPr="007F3C5D">
        <w:t xml:space="preserve">cells were seeded on 0.1% polyethyleneimine (PEI)-coated 48-wells MEA-plates (Axion Biosystems Inc., Atlanta, GA, USA) in 50 µL dissection medium containing Neurobasal-A (NBA) medium, supplemented with 25 g/L sucrose, 450 </w:t>
      </w:r>
      <w:proofErr w:type="spellStart"/>
      <w:r w:rsidRPr="007F3C5D">
        <w:t>μM</w:t>
      </w:r>
      <w:proofErr w:type="spellEnd"/>
      <w:r w:rsidRPr="007F3C5D">
        <w:t xml:space="preserve"> L-glutamine, 30 </w:t>
      </w:r>
      <w:proofErr w:type="spellStart"/>
      <w:r w:rsidRPr="007F3C5D">
        <w:t>μM</w:t>
      </w:r>
      <w:proofErr w:type="spellEnd"/>
      <w:r w:rsidRPr="007F3C5D">
        <w:t xml:space="preserve"> glutamate, 1% penicillin/streptomycin and 10% FBS and the pH was set to 7.4. </w:t>
      </w:r>
      <w:r w:rsidRPr="007F3C5D">
        <w:rPr>
          <w:rFonts w:cs="Arial"/>
        </w:rPr>
        <w:t>Afterwards, cells were allowed to attach to the electrode grid by incubating at 37°C, 5% CO</w:t>
      </w:r>
      <w:r w:rsidRPr="007F3C5D">
        <w:rPr>
          <w:rFonts w:cs="Arial"/>
          <w:vertAlign w:val="subscript"/>
        </w:rPr>
        <w:t xml:space="preserve">2, </w:t>
      </w:r>
      <w:r w:rsidRPr="007F3C5D">
        <w:rPr>
          <w:rFonts w:cs="Arial"/>
        </w:rPr>
        <w:t xml:space="preserve">and 95% air atmosphere for 2h before 450 µL of dissection media was added to each well. </w:t>
      </w:r>
    </w:p>
    <w:p w14:paraId="5A34EAC4" w14:textId="6623203D" w:rsidR="00B71F62" w:rsidRPr="007F3C5D" w:rsidRDefault="00B71F62" w:rsidP="00A14895">
      <w:pPr>
        <w:rPr>
          <w:rFonts w:cstheme="minorBidi"/>
        </w:rPr>
      </w:pPr>
      <w:r w:rsidRPr="007F3C5D">
        <w:t xml:space="preserve">On day </w:t>
      </w:r>
      <w:r w:rsidRPr="007F3C5D">
        <w:rPr>
          <w:i/>
          <w:iCs/>
        </w:rPr>
        <w:t>in vitro</w:t>
      </w:r>
      <w:r w:rsidRPr="007F3C5D">
        <w:t xml:space="preserve"> (DIV) 4, 90% of the dissection media was replaced by glutamate-free culture medium. On DIV 8, one day before the MEA recording experiment started and cells were exposed, 50% of the glutamate-free culture medium was replaced. To account for evaporation over time, 5 µL and 20 µL sterile ultra-pure water was added to the inner and outer wells, respectively, before medium change. </w:t>
      </w:r>
    </w:p>
    <w:p w14:paraId="3B1F5485" w14:textId="1F2FD25E" w:rsidR="00B71F62" w:rsidRPr="007F3C5D" w:rsidRDefault="00B71F62" w:rsidP="00A14895">
      <w:pPr>
        <w:pStyle w:val="Heading2"/>
      </w:pPr>
      <w:bookmarkStart w:id="18" w:name="_Toc91592928"/>
      <w:bookmarkStart w:id="19" w:name="_Toc100781381"/>
      <w:bookmarkStart w:id="20" w:name="_Toc101374927"/>
      <w:r w:rsidRPr="007F3C5D">
        <w:lastRenderedPageBreak/>
        <w:t>MEA recording experiments</w:t>
      </w:r>
      <w:bookmarkEnd w:id="18"/>
      <w:bookmarkEnd w:id="19"/>
      <w:bookmarkEnd w:id="20"/>
    </w:p>
    <w:p w14:paraId="3BFA3AB3" w14:textId="77777777" w:rsidR="00B71F62" w:rsidRPr="007F3C5D" w:rsidRDefault="00B71F62" w:rsidP="00A14895">
      <w:r w:rsidRPr="007F3C5D">
        <w:t xml:space="preserve">MEA recording experiments started on DIV 9 when </w:t>
      </w:r>
      <w:r w:rsidRPr="007F3C5D">
        <w:rPr>
          <w:rFonts w:cstheme="minorBidi"/>
          <w:color w:val="000000" w:themeColor="text1"/>
        </w:rPr>
        <w:t xml:space="preserve">rat primary cortical cultures </w:t>
      </w:r>
      <w:r w:rsidRPr="007F3C5D">
        <w:t xml:space="preserve">exhibit stable spontaneous neuronal activity </w:t>
      </w:r>
      <w:r w:rsidRPr="007F3C5D">
        <w:fldChar w:fldCharType="begin" w:fldLock="1"/>
      </w:r>
      <w:r w:rsidRPr="007F3C5D">
        <w:instrText>ADDIN CSL_CITATION {"citationItems":[{"id":"ITEM-1","itemData":{"DOI":"10.1016/j.neuro.2016.10.002","ISSN":"18729711","PMID":"27720795","abstract":"There is an increasing demand for in vitro test systems to detect neurotoxicity for use in chemical risk assessment. In this study, we evaluated the applicability of rat primary cortical cultures grown on multi-well micro-electrode arrays (mwMEAs) to detect effects of chronic 14-day exposure to structurally different insecticides or methylmercury on neuronal activity (mean spike rate; MSR). Effects of chronic exposure to α-cypermethrin, endosulfan, carbaryl, chlorpyrifos(-oxon), methylmercury or solvent control [14 days exposure, initiated after baseline recording at day in vitro (DIV)7] were studied in five successive recordings between DIV10 and DIV21. The results were compared to effects of acute exposure to these same compounds (activity recorded immediately after the start of exposure after baseline recording at DIV10-11). Chronic 14-day exposure to methylmercury, chlorpyrifos and α-cypermethrin inhibited MSR, all with a lowest-observed effect concentration (LOEC) of 0.1 mM, while exposure to endosulfan increased MSR [LOEC: 1 μM]. No significant effects were observed for chlorpyrifos-oxon and carbaryl. Similar to the observations in the chronic 14-day exposure studies, MSR was inhibited by acute 30-min exposure to methylmercury, chlorpyrifos, and α-cypermethrin [LOECs: 1 μM, 10 μM, and 1 μM, respectively], whereas endosulfan increased MSR [LOEC: 0.3 μM]. While not observed in the chronic 14-day exposure study, acute exposure to chlorpyrifos-oxon and carbaryl resulted in inhibition of MSR [LOECs: 10 μM, and 100 μM, respectively]. Effects on median interspike intervals (mISI; a measure for neuronal firing pattern) were not detected following chronic 14-day or acute 30-min exposure, except for increased mISI at acute chlorpyrifos and α-cypermethrin exposures at concentrations that also inhibited MSR. These data indicate that the effects of chronic 14-day exposures to methylmercury and insecticides at low concentrations on spontaneous neuronal activity in vitro can be predicted in rapid acute screening studies using mwMEAs.","author":[{"dropping-particle":"","family":"Dingemans","given":"Milou M.L.","non-dropping-particle":"","parse-names":false,"suffix":""},{"dropping-particle":"","family":"Schütte","given":"Marijke G.","non-dropping-particle":"","parse-names":false,"suffix":""},{"dropping-particle":"","family":"Wiersma","given":"Daphne M.M.","non-dropping-particle":"","parse-names":false,"suffix":""},{"dropping-particle":"","family":"Groot","given":"Aart","non-dropping-particle":"de","parse-names":false,"suffix":""},{"dropping-particle":"","family":"Kleef","given":"Regina G.D.M.","non-dropping-particle":"van","parse-names":false,"suffix":""},{"dropping-particle":"","family":"Wijnolts","given":"Fiona M.J.","non-dropping-particle":"","parse-names":false,"suffix":""},{"dropping-particle":"","family":"Westerink","given":"Remco H.S.","non-dropping-particle":"","parse-names":false,"suffix":""}],"container-title":"NeuroToxicology","id":"ITEM-1","issued":{"date-parts":[["2016"]]},"page":"194-202","publisher":"Elsevier B.V.","title":"Chronic 14-day exposure to insecticides or methylmercury modulates neuronal activity in primary rat cortical cultures","type":"article-journal","volume":"57"},"uris":["http://www.mendeley.com/documents/?uuid=5c5114cc-2a08-4004-9193-b707bdef5286"]}],"mendeley":{"formattedCitation":"(Dingemans et al., 2016)","plainTextFormattedCitation":"(Dingemans et al., 2016)","previouslyFormattedCitation":"(Dingemans et al., 2016)"},"properties":{"noteIndex":0},"schema":"https://github.com/citation-style-language/schema/raw/master/csl-citation.json"}</w:instrText>
      </w:r>
      <w:r w:rsidRPr="007F3C5D">
        <w:fldChar w:fldCharType="separate"/>
      </w:r>
      <w:r w:rsidRPr="007F3C5D">
        <w:rPr>
          <w:noProof/>
        </w:rPr>
        <w:t>(Dingemans et al., 2016)</w:t>
      </w:r>
      <w:r w:rsidRPr="007F3C5D">
        <w:fldChar w:fldCharType="end"/>
      </w:r>
      <w:r w:rsidRPr="007F3C5D">
        <w:t xml:space="preserve">. </w:t>
      </w:r>
      <w:r w:rsidRPr="007F3C5D">
        <w:rPr>
          <w:color w:val="000000" w:themeColor="text1"/>
        </w:rPr>
        <w:t>To investigate the effects of the samples on spontaneous neuronal (network) activity, MEA recordings were performed directly after exposure (0.5 h exposure), and after subchronic exposure on DIV 10, DIV 11, and DIV 14 (24 h, 48 h, and 120 h exposure, respectively).</w:t>
      </w:r>
    </w:p>
    <w:p w14:paraId="09AAAA57" w14:textId="42FC1633" w:rsidR="00B71F62" w:rsidRPr="007F3C5D" w:rsidRDefault="00B71F62" w:rsidP="00A14895">
      <w:pPr>
        <w:rPr>
          <w:color w:val="000000" w:themeColor="text1"/>
        </w:rPr>
      </w:pPr>
      <w:r w:rsidRPr="007F3C5D">
        <w:t xml:space="preserve">Each well of an MEA plate contains an electrode array of 16 nanotextured gold micro-electrodes (40–50 </w:t>
      </w:r>
      <w:proofErr w:type="spellStart"/>
      <w:r w:rsidRPr="007F3C5D">
        <w:t>μm</w:t>
      </w:r>
      <w:proofErr w:type="spellEnd"/>
      <w:r w:rsidRPr="007F3C5D">
        <w:t xml:space="preserve"> diameter; 350 </w:t>
      </w:r>
      <w:proofErr w:type="spellStart"/>
      <w:r w:rsidRPr="007F3C5D">
        <w:t>μm</w:t>
      </w:r>
      <w:proofErr w:type="spellEnd"/>
      <w:r w:rsidRPr="007F3C5D">
        <w:t xml:space="preserve"> center-to-center spacing) which are recorded at the same time </w:t>
      </w:r>
      <w:r w:rsidRPr="007F3C5D">
        <w:fldChar w:fldCharType="begin" w:fldLock="1"/>
      </w:r>
      <w:r w:rsidRPr="007F3C5D">
        <w:instrText>ADDIN CSL_CITATION {"citationItems":[{"id":"ITEM-1","itemData":{"DOI":"10.1016/j.neuro.2018.06.007","ISSN":"18729711","PMID":"29909083","abstract":"Neurotoxicity testing still relies on ethically debated, expensive and time consuming in vivo experiments, which are unsuitable for high-throughput toxicity screening. There is thus a clear need for a rapid in vitro screening strategy that is preferably based on human-derived neurons to circumvent interspecies translation. Recent availability of commercially obtainable human induced pluripotent stem cell (hiPSC)-derived neurons and astrocytes holds great promise in assisting the transition from the current standard of rat primary cortical cultures to an animal-free alternative. We therefore composed several hiPSC-derived neuronal models with different ratios of excitatory and inhibitory neurons in the presence or absence of astrocytes. Using immunofluorescent stainings and multi-well micro-electrode array (mwMEA) recordings we demonstrate that these models form functional neuronal networks that become spontaneously active. The differences in development of spontaneous neuronal activity and bursting behavior as well as spiking patterns between our models confirm the importance of the presence of astrocytes. Preliminary neurotoxicity assessment demonstrates that these cultures can be modulated with known seizurogenic compounds, such as picrotoxin (PTX) and endosulfan, and the neurotoxicant methylmercury (MeHg). However, the chemical-induced effects on different parameters for neuronal activity, such as mean spike rate (MSR) and mean burst rate (MBR), may depend on the ratio of inhibitory and excitatory neurons. Our results thus indicate that hiPSC-derived neuronal models must be carefully designed and characterized prior to large-scale use in neurotoxicity screening.","author":[{"dropping-particle":"","family":"Tukker","given":"Anke M.","non-dropping-particle":"","parse-names":false,"suffix":""},{"dropping-particle":"","family":"Wijnolts","given":"Fiona M.J.","non-dropping-particle":"","parse-names":false,"suffix":""},{"dropping-particle":"","family":"Groot","given":"Aart","non-dropping-particle":"de","parse-names":false,"suffix":""},{"dropping-particle":"","family":"Westerink","given":"Remco H.S.","non-dropping-particle":"","parse-names":false,"suffix":""}],"container-title":"NeuroToxicology","id":"ITEM-1","issue":"November 2017","issued":{"date-parts":[["2018"]]},"page":"215-225","publisher":"Elsevier","title":"Human iPSC-derived neuronal models for in vitro neurotoxicity assessment","type":"article-journal","volume":"67"},"uris":["http://www.mendeley.com/documents/?uuid=18bb584d-9612-4170-b4d6-eba35148515f"]}],"mendeley":{"formattedCitation":"(Tukker et al., 2018)","plainTextFormattedCitation":"(Tukker et al., 2018)","previouslyFormattedCitation":"(Tukker et al., 2018)"},"properties":{"noteIndex":0},"schema":"https://github.com/citation-style-language/schema/raw/master/csl-citation.json"}</w:instrText>
      </w:r>
      <w:r w:rsidRPr="007F3C5D">
        <w:fldChar w:fldCharType="separate"/>
      </w:r>
      <w:r w:rsidRPr="007F3C5D">
        <w:rPr>
          <w:noProof/>
        </w:rPr>
        <w:t>(Tukker et al., 2018)</w:t>
      </w:r>
      <w:r w:rsidRPr="007F3C5D">
        <w:fldChar w:fldCharType="end"/>
      </w:r>
      <w:r w:rsidRPr="007F3C5D">
        <w:t xml:space="preserve">. The Maestro 768-channel amplifier </w:t>
      </w:r>
      <w:r w:rsidR="005937A5" w:rsidRPr="007F3C5D">
        <w:t>was</w:t>
      </w:r>
      <w:r w:rsidRPr="007F3C5D">
        <w:t xml:space="preserve"> equipped with an integrated heating system, temperature controller, and a data acquisition interface</w:t>
      </w:r>
      <w:r w:rsidRPr="007F3C5D">
        <w:rPr>
          <w:rFonts w:cstheme="minorBidi"/>
          <w:color w:val="000000" w:themeColor="text1"/>
        </w:rPr>
        <w:t xml:space="preserve"> (Axion Biosystems Inc., Atlanta, GA, USA). Data acquisition was managed with Axion’s Integrated Studio (</w:t>
      </w:r>
      <w:proofErr w:type="spellStart"/>
      <w:r w:rsidRPr="007F3C5D">
        <w:rPr>
          <w:rFonts w:cstheme="minorBidi"/>
          <w:color w:val="000000" w:themeColor="text1"/>
        </w:rPr>
        <w:t>AxIS</w:t>
      </w:r>
      <w:proofErr w:type="spellEnd"/>
      <w:r w:rsidRPr="007F3C5D">
        <w:rPr>
          <w:rFonts w:cstheme="minorBidi"/>
          <w:color w:val="000000" w:themeColor="text1"/>
        </w:rPr>
        <w:t xml:space="preserve"> version 2.5.2).</w:t>
      </w:r>
      <w:r w:rsidRPr="007F3C5D">
        <w:rPr>
          <w:color w:val="000000" w:themeColor="text1"/>
        </w:rPr>
        <w:t xml:space="preserve"> Signals were pre-amplified with a gain of 1200x (61 dB), band-pass filtered at 0.2–5 kHz, and sampled simultaneously resulting in raw (.RAW) data files.</w:t>
      </w:r>
    </w:p>
    <w:p w14:paraId="73557FC1" w14:textId="69FB2C2C" w:rsidR="00B71F62" w:rsidRPr="007F3C5D" w:rsidRDefault="00B71F62" w:rsidP="00A14895">
      <w:r w:rsidRPr="007F3C5D">
        <w:t xml:space="preserve">Before exposure, baseline activity of the rat primary cortical culture was recorded for 30 min (baseline recording) after a calibration time of 5 minutes. Afterwards, cells were exposed by adding 55 µL of the freshly prepared exposure solutions to each well, which results in a 10x dilution. Therefore, all particulate matter (PM) samples reconstructed in DMSO have a final concentration of 1 – 100 µg/mL, and SVOC samples reconstructed in DMSO have a final concentration of 1 – 20 L/mL, with a 0.1% v/v DMSO content for both PM and SVOC. The </w:t>
      </w:r>
      <w:r w:rsidR="00B45006" w:rsidRPr="007F3C5D">
        <w:t>c</w:t>
      </w:r>
      <w:r w:rsidRPr="007F3C5D">
        <w:t>opper oxide particles final concentration ranges from 0.01 – 1 µg/mL with a ddH</w:t>
      </w:r>
      <w:r w:rsidRPr="007F3C5D">
        <w:rPr>
          <w:vertAlign w:val="subscript"/>
        </w:rPr>
        <w:t>2</w:t>
      </w:r>
      <w:r w:rsidRPr="007F3C5D">
        <w:t xml:space="preserve">O concentration of 0.1% v/v due to cytotoxicity at higher </w:t>
      </w:r>
      <w:r w:rsidR="00FE2B24">
        <w:t>doses</w:t>
      </w:r>
      <w:r w:rsidRPr="007F3C5D">
        <w:t>. For all samples, 0.1% v/v solvent (DMSO or ddH</w:t>
      </w:r>
      <w:r w:rsidRPr="007F3C5D">
        <w:rPr>
          <w:vertAlign w:val="subscript"/>
        </w:rPr>
        <w:t>2</w:t>
      </w:r>
      <w:r w:rsidRPr="007F3C5D">
        <w:t>O, respectively) in glutamate-free culture medium was used as control. Remaining exposure solutions are frozen and kept at -20 ˚C for further size distribution analysis.</w:t>
      </w:r>
    </w:p>
    <w:p w14:paraId="3212F923" w14:textId="07C43901" w:rsidR="00B71F62" w:rsidRPr="007F3C5D" w:rsidRDefault="00B71F62" w:rsidP="00A14895">
      <w:r w:rsidRPr="007F3C5D">
        <w:t>Directly after exposure, MEA recording comprising of 30 minutes after a calibration time of 5 minutes was conducted to assess acute effects. Further MEA recordings took place after 24 h, 48 h, and 120 h of exposure. Between the recordings, the cells were kept at 37˚C, 5% CO</w:t>
      </w:r>
      <w:r w:rsidRPr="007F3C5D">
        <w:rPr>
          <w:vertAlign w:val="subscript"/>
        </w:rPr>
        <w:t>2,</w:t>
      </w:r>
      <w:r w:rsidRPr="007F3C5D">
        <w:t xml:space="preserve"> and 95% air atmosphere. For the experiments, all conditions were tested on </w:t>
      </w:r>
      <w:r w:rsidRPr="007F3C5D">
        <w:rPr>
          <w:rFonts w:cstheme="minorBidi"/>
        </w:rPr>
        <w:t xml:space="preserve">rat primary cortical cultures </w:t>
      </w:r>
      <w:r w:rsidRPr="007F3C5D">
        <w:t xml:space="preserve">originating from at least 3 different isolations, in at least 3 plates (N) and at least 16 wells (n). The number of wells represents the number of replicates per condition. </w:t>
      </w:r>
    </w:p>
    <w:p w14:paraId="1CEC8E75" w14:textId="59589F54" w:rsidR="00B71F62" w:rsidRPr="007F3C5D" w:rsidRDefault="00B71F62" w:rsidP="00A14895">
      <w:pPr>
        <w:pStyle w:val="Heading2"/>
      </w:pPr>
      <w:bookmarkStart w:id="21" w:name="_Toc91592929"/>
      <w:bookmarkStart w:id="22" w:name="_Toc100781382"/>
      <w:bookmarkStart w:id="23" w:name="_Toc101374928"/>
      <w:r w:rsidRPr="007F3C5D">
        <w:t>Cell viability assay</w:t>
      </w:r>
      <w:bookmarkEnd w:id="21"/>
      <w:bookmarkEnd w:id="22"/>
      <w:bookmarkEnd w:id="23"/>
    </w:p>
    <w:p w14:paraId="3A21D0B5" w14:textId="73B6E20C" w:rsidR="00B71F62" w:rsidRPr="007F3C5D" w:rsidRDefault="00B71F62" w:rsidP="00A14895">
      <w:r w:rsidRPr="007F3C5D">
        <w:t>On DIV 14, after the final MEA recording, an Alamar Blue Assay was performed to discriminate between specific neurotoxic and general cytotoxic effects. The Alamar Blue assay provides an indirect quantification of the cell viability by assessing the mitochondrial activity of cells using the blue, non-fluorescent resazurin which is reduced to the red, fluorescent resorufin by the mitochondrial product NADH. For the cell viability assay, a 25 µM Alamar Blue working solution was prepared by diluting the stock (5 mM resazurin in PBS) in HBSS. The medium of the wells was replaced by 300 µL of the Alamar Blue working solution and cells were incubated for 1.5 h at 37˚C with 5% CO</w:t>
      </w:r>
      <w:r w:rsidRPr="007F3C5D">
        <w:rPr>
          <w:vertAlign w:val="subscript"/>
        </w:rPr>
        <w:t>2</w:t>
      </w:r>
      <w:r w:rsidRPr="007F3C5D">
        <w:t xml:space="preserve"> and 95% air atmosphere. Subsequently, of each well, 200 µL incubated Alamar Blue working solution was transferred to a transparent 96-wells plate. Additionally, 200 µL of the Alamar Blue working solution was added to four extra wells serving as a blank control. The fluorescence was measured using a microplate reader </w:t>
      </w:r>
      <w:r w:rsidRPr="007F3C5D">
        <w:rPr>
          <w:color w:val="000000" w:themeColor="text1"/>
        </w:rPr>
        <w:t>(Infinite M200, TECAN, Switzerland)</w:t>
      </w:r>
      <w:r w:rsidRPr="007F3C5D">
        <w:t xml:space="preserve"> with an excitation wavelength of 540 nm and an emission wavelength of 590 nm.</w:t>
      </w:r>
    </w:p>
    <w:p w14:paraId="4A0AE9C9" w14:textId="6B384C70" w:rsidR="00CB5CFE" w:rsidRPr="007F3C5D" w:rsidRDefault="00A05075" w:rsidP="00A14895">
      <w:pPr>
        <w:ind w:firstLine="0"/>
      </w:pPr>
      <w:r w:rsidRPr="007F3C5D">
        <w:lastRenderedPageBreak/>
        <w:t>An Alamar Blue Assay was performed with carbon and copper oxide particles to</w:t>
      </w:r>
      <w:r w:rsidR="00CB5CFE" w:rsidRPr="007F3C5D">
        <w:t xml:space="preserve"> account for possible interference from particles known to affect fluorescence</w:t>
      </w:r>
      <w:r w:rsidRPr="007F3C5D">
        <w:t xml:space="preserve"> </w:t>
      </w:r>
      <w:r w:rsidRPr="007F3C5D">
        <w:fldChar w:fldCharType="begin" w:fldLock="1"/>
      </w:r>
      <w:r w:rsidR="001406E8" w:rsidRPr="007F3C5D">
        <w:instrText>ADDIN CSL_CITATION {"citationItems":[{"id":"ITEM-1","itemData":{"DOI":"10.1016/J.TIV.2014.09.009","ISSN":"0887-2333","PMID":"25283091","abstract":"In vitro cytotoxicity assays are essential tools in the screening of engineered nanomaterials (NM) for cellular toxicity. The resazurin live cell assay is widely used because it is non-destructive and is well suited for high-throughput platforms. However, NMs, in particular carbon nanotubes (CNT) can interfere in assays through quenching of transmitted light or fluorescence. We show that using the resazurin assay with time-point reading of clarified supernatants resolves this problem. Human lung epithelial (A549) and murine macrophage (J774A.1) cell lines were exposed to NMs in 96-well plates in 200μL of media/well. After 24h incubation, 100μL of supernatant was removed, replaced with resazurin reagent in culture media and aliquots at 10min and 120min were transferred to black-wall 96-well plates. The plates were quick-spun to sediment the residual CNTs and fluorescence was top-read (λ&lt;inf&gt;Ex&lt;/inf&gt;=540nm, λ&lt;inf&gt;Em&lt;/inf&gt;=600nm). The procedure was validated for CNTs as well as silica nanoparticles (SiNP). There was no indication of reduction of resazurin by the CNTs. Stability of resorufin, the fluorescent product of the resazurin reduction was then assessed. We found that polar CNTs could decrease the fluorescence signal for resorufin, possibly through oxidation to resazurin or hyper-reduction to hydroxyresorufin. This effect can be easily quantified for elimination of the bias. We recommend that careful consideration must be given to fluorimetric/colorimetric in vitro toxicological assessments of optically/chemically active NMs in order to relieve any potential artifacts due to the NMs themselves.","author":[{"dropping-particle":"","family":"Breznan","given":"Dalibor","non-dropping-particle":"","parse-names":false,"suffix":""},{"dropping-particle":"","family":"Das","given":"Dharani","non-dropping-particle":"","parse-names":false,"suffix":""},{"dropping-particle":"","family":"MacKinnon-Roy","given":"Christine","non-dropping-particle":"","parse-names":false,"suffix":""},{"dropping-particle":"","family":"Simard","given":"Benoit","non-dropping-particle":"","parse-names":false,"suffix":""},{"dropping-particle":"","family":"Kumarathasan","given":"Premkumari","non-dropping-particle":"","parse-names":false,"suffix":""},{"dropping-particle":"","family":"Vincent","given":"Renaud","non-dropping-particle":"","parse-names":false,"suffix":""}],"container-title":"Toxicology in Vitro","id":"ITEM-1","issue":"1","issued":{"date-parts":[["2015","2","1"]]},"page":"142-147","publisher":"Pergamon","title":"Non-specific interaction of carbon nanotubes with the resazurin assay reagent: Impact on in vitro assessment of nanoparticle cytotoxicity","type":"article-journal","volume":"29"},"uris":["http://www.mendeley.com/documents/?uuid=ff85803a-bf07-3e0e-ab47-38f0a18b144e"]}],"mendeley":{"formattedCitation":"(Breznan et al., 2015)","plainTextFormattedCitation":"(Breznan et al., 2015)","previouslyFormattedCitation":"(Breznan et al., 2015)"},"properties":{"noteIndex":0},"schema":"https://github.com/citation-style-language/schema/raw/master/csl-citation.json"}</w:instrText>
      </w:r>
      <w:r w:rsidRPr="007F3C5D">
        <w:fldChar w:fldCharType="separate"/>
      </w:r>
      <w:r w:rsidRPr="007F3C5D">
        <w:rPr>
          <w:noProof/>
        </w:rPr>
        <w:t>(Breznan et al., 2015)</w:t>
      </w:r>
      <w:r w:rsidRPr="007F3C5D">
        <w:fldChar w:fldCharType="end"/>
      </w:r>
      <w:r w:rsidRPr="007F3C5D">
        <w:t xml:space="preserve">. </w:t>
      </w:r>
      <w:r w:rsidR="00F64EBF" w:rsidRPr="007F3C5D">
        <w:t xml:space="preserve">Excess exposure solution from the MEA recording experiments was collected for three </w:t>
      </w:r>
      <w:r w:rsidR="00FE2B24">
        <w:t>doses</w:t>
      </w:r>
      <w:r w:rsidR="00F64EBF" w:rsidRPr="007F3C5D">
        <w:t xml:space="preserve"> of both copper and carbon oxide particles</w:t>
      </w:r>
      <w:r w:rsidR="009715D5" w:rsidRPr="007F3C5D">
        <w:t>.</w:t>
      </w:r>
      <w:r w:rsidR="00BA3CC8" w:rsidRPr="007F3C5D">
        <w:t xml:space="preserve"> 20 µL per concentration was diluted with 180 µL of either fresh resazurin or the reduced resorufin to obtain final </w:t>
      </w:r>
      <w:r w:rsidR="00FE2B24">
        <w:t>doses</w:t>
      </w:r>
      <w:r w:rsidR="00BA3CC8" w:rsidRPr="007F3C5D">
        <w:t xml:space="preserve"> of 1, 10 and 30 µg/mL for carbon particles </w:t>
      </w:r>
      <w:proofErr w:type="gramStart"/>
      <w:r w:rsidR="00BA3CC8" w:rsidRPr="007F3C5D">
        <w:t>and  0.01</w:t>
      </w:r>
      <w:proofErr w:type="gramEnd"/>
      <w:r w:rsidR="00BA3CC8" w:rsidRPr="007F3C5D">
        <w:t>, 0.1 and 1 µg/mL for copper oxide particles in resazurin and in resorufin. Additionally, 200 µL of resazurin and 200 µL of resorufin was added to three extra wells each</w:t>
      </w:r>
      <w:r w:rsidR="00DF1BB4" w:rsidRPr="007F3C5D">
        <w:t xml:space="preserve"> as a control. The fluorescence was measured using a microplate reader </w:t>
      </w:r>
      <w:r w:rsidR="00DF1BB4" w:rsidRPr="007F3C5D">
        <w:rPr>
          <w:color w:val="000000" w:themeColor="text1"/>
        </w:rPr>
        <w:t>(Infinite M200, TECAN, Switzerland)</w:t>
      </w:r>
      <w:r w:rsidR="00DF1BB4" w:rsidRPr="007F3C5D">
        <w:t xml:space="preserve"> with an excitation wavelength of 540 nm and an emission wavelength of 590 nm.</w:t>
      </w:r>
    </w:p>
    <w:p w14:paraId="3E507E0E" w14:textId="17453D90" w:rsidR="00B71F62" w:rsidRPr="007F3C5D" w:rsidRDefault="00B71F62" w:rsidP="00A14895">
      <w:pPr>
        <w:pStyle w:val="Heading2"/>
      </w:pPr>
      <w:bookmarkStart w:id="24" w:name="_Toc91592930"/>
      <w:bookmarkStart w:id="25" w:name="_Toc100781383"/>
      <w:bookmarkStart w:id="26" w:name="_Toc101374929"/>
      <w:r w:rsidRPr="007F3C5D">
        <w:t>Size distribution analysis</w:t>
      </w:r>
      <w:bookmarkEnd w:id="24"/>
      <w:bookmarkEnd w:id="25"/>
      <w:bookmarkEnd w:id="26"/>
    </w:p>
    <w:p w14:paraId="3100B1CF" w14:textId="0155D205" w:rsidR="00B71F62" w:rsidRPr="007F3C5D" w:rsidRDefault="00B71F62" w:rsidP="00A14895">
      <w:pPr>
        <w:rPr>
          <w:b/>
        </w:rPr>
      </w:pPr>
      <w:r w:rsidRPr="007F3C5D">
        <w:t>The particle size distribution (expressed as the hydrodynamic radius) of the samples was measured using Dynamic Light Scattering (DLS) (</w:t>
      </w:r>
      <w:proofErr w:type="spellStart"/>
      <w:r w:rsidRPr="007F3C5D">
        <w:t>Zetasizer</w:t>
      </w:r>
      <w:proofErr w:type="spellEnd"/>
      <w:r w:rsidRPr="007F3C5D">
        <w:t xml:space="preserve"> Ultra, Malvern </w:t>
      </w:r>
      <w:proofErr w:type="spellStart"/>
      <w:r w:rsidRPr="007F3C5D">
        <w:t>Panalytical</w:t>
      </w:r>
      <w:proofErr w:type="spellEnd"/>
      <w:r w:rsidRPr="007F3C5D">
        <w:t xml:space="preserve"> Ltd., Malvern, UK). Remaining exposure solution from the MEA experiments were thawed for 0.5 h at room temperature and sonicated for 10 minutes. To obtain </w:t>
      </w:r>
      <w:r w:rsidR="00EE3C5F" w:rsidRPr="007F3C5D">
        <w:t>identical</w:t>
      </w:r>
      <w:r w:rsidRPr="007F3C5D">
        <w:t xml:space="preserve"> </w:t>
      </w:r>
      <w:r w:rsidR="00FE2B24">
        <w:t>doses</w:t>
      </w:r>
      <w:r w:rsidRPr="007F3C5D">
        <w:t xml:space="preserve"> as for the MEA recording experiments, the exposure solutions were 10x diluted with glutamate-free culture</w:t>
      </w:r>
      <w:r w:rsidR="00EE3C5F" w:rsidRPr="007F3C5D">
        <w:t xml:space="preserve"> medium</w:t>
      </w:r>
      <w:r w:rsidRPr="007F3C5D">
        <w:rPr>
          <w:b/>
        </w:rPr>
        <w:t xml:space="preserve">. </w:t>
      </w:r>
      <w:r w:rsidRPr="007F3C5D">
        <w:t xml:space="preserve">For DLS measurements, the samples were vortexed and approximately 1 mL of the dilution was transferred to a </w:t>
      </w:r>
      <w:proofErr w:type="spellStart"/>
      <w:r w:rsidRPr="007F3C5D">
        <w:t>polysterene</w:t>
      </w:r>
      <w:proofErr w:type="spellEnd"/>
      <w:r w:rsidRPr="007F3C5D">
        <w:t xml:space="preserve"> cuvette</w:t>
      </w:r>
      <w:r w:rsidR="00EE3C5F" w:rsidRPr="007F3C5D">
        <w:t>.</w:t>
      </w:r>
      <w:r w:rsidRPr="007F3C5D">
        <w:t xml:space="preserve"> The optimal dispersant scattering mean count rate (</w:t>
      </w:r>
      <w:proofErr w:type="spellStart"/>
      <w:r w:rsidRPr="007F3C5D">
        <w:t>kcps</w:t>
      </w:r>
      <w:proofErr w:type="spellEnd"/>
      <w:r w:rsidRPr="007F3C5D">
        <w:t xml:space="preserve">) and attenuation were assessed using glutamate-free culture medium and the ZS Explorer software (Version 1.0.0, Malvern) and set on 340 and 9 for the </w:t>
      </w:r>
      <w:proofErr w:type="spellStart"/>
      <w:r w:rsidRPr="007F3C5D">
        <w:t>kcps</w:t>
      </w:r>
      <w:proofErr w:type="spellEnd"/>
      <w:r w:rsidRPr="007F3C5D">
        <w:t xml:space="preserve"> and attenuation respectively. The equilibrium time was set on 30 seconds, as the samples are on room temperature. Afterwards, the DLS size distribution is measured one time, the particle concentration three times and the multi-angle DLS (MADLS) one time, in sequence with no </w:t>
      </w:r>
      <w:proofErr w:type="spellStart"/>
      <w:r w:rsidRPr="007F3C5D">
        <w:t>equilibriation</w:t>
      </w:r>
      <w:proofErr w:type="spellEnd"/>
      <w:r w:rsidRPr="007F3C5D">
        <w:t xml:space="preserve"> time in between. </w:t>
      </w:r>
      <w:r w:rsidR="003C3833" w:rsidRPr="007F3C5D">
        <w:t xml:space="preserve">The median particle diameter (D50) of the highest </w:t>
      </w:r>
      <w:r w:rsidR="00FE2B24">
        <w:t>doses</w:t>
      </w:r>
      <w:r w:rsidR="003C3833" w:rsidRPr="007F3C5D">
        <w:t xml:space="preserve"> was used as the representative value for the size of the particles.</w:t>
      </w:r>
    </w:p>
    <w:p w14:paraId="02B21A0F" w14:textId="2141181A" w:rsidR="00B71F62" w:rsidRPr="007F3C5D" w:rsidRDefault="00B71F62" w:rsidP="00A14895">
      <w:pPr>
        <w:pStyle w:val="Heading2"/>
      </w:pPr>
      <w:bookmarkStart w:id="27" w:name="_Toc91592931"/>
      <w:bookmarkStart w:id="28" w:name="_Toc100781384"/>
      <w:bookmarkStart w:id="29" w:name="_Toc101374930"/>
      <w:r w:rsidRPr="007F3C5D">
        <w:t>Data Analysis</w:t>
      </w:r>
      <w:bookmarkEnd w:id="27"/>
      <w:bookmarkEnd w:id="28"/>
      <w:bookmarkEnd w:id="29"/>
    </w:p>
    <w:p w14:paraId="059E6C59" w14:textId="086410B3" w:rsidR="00B71F62" w:rsidRPr="007F3C5D" w:rsidRDefault="00B71F62" w:rsidP="00A14895">
      <w:pPr>
        <w:rPr>
          <w:color w:val="000000" w:themeColor="text1"/>
        </w:rPr>
      </w:pPr>
      <w:r w:rsidRPr="007F3C5D">
        <w:t xml:space="preserve">For the MEA recordings analysis, spike data were extracted from the MEA recordings raw files, as mentioned earlier. These raw data files were re-recorded, and spikes were detected using the </w:t>
      </w:r>
      <w:proofErr w:type="spellStart"/>
      <w:r w:rsidRPr="007F3C5D">
        <w:t>AxIS</w:t>
      </w:r>
      <w:proofErr w:type="spellEnd"/>
      <w:r w:rsidRPr="007F3C5D">
        <w:t xml:space="preserve"> spike detector (Adaptive threshold crossing, Ada </w:t>
      </w:r>
      <w:proofErr w:type="spellStart"/>
      <w:r w:rsidRPr="007F3C5D">
        <w:t>BandFlt</w:t>
      </w:r>
      <w:proofErr w:type="spellEnd"/>
      <w:r w:rsidRPr="007F3C5D">
        <w:t xml:space="preserve"> v2) with a post and pre spike duration of 3.6 2.4 </w:t>
      </w:r>
      <w:proofErr w:type="spellStart"/>
      <w:r w:rsidRPr="007F3C5D">
        <w:t>ms</w:t>
      </w:r>
      <w:proofErr w:type="spellEnd"/>
      <w:r w:rsidRPr="007F3C5D">
        <w:t>, respectively, and a variable threshold spike detector set at 7x standard deviation (SD) of the internal noise level (rms) on each individual electrode to obtain spike files (.</w:t>
      </w:r>
      <w:proofErr w:type="spellStart"/>
      <w:r w:rsidRPr="007F3C5D">
        <w:t>spk</w:t>
      </w:r>
      <w:proofErr w:type="spellEnd"/>
      <w:r w:rsidRPr="007F3C5D">
        <w:t xml:space="preserve">). The spike files were loaded into </w:t>
      </w:r>
      <w:proofErr w:type="spellStart"/>
      <w:r w:rsidRPr="007F3C5D">
        <w:t>NeuralMetric</w:t>
      </w:r>
      <w:proofErr w:type="spellEnd"/>
      <w:r w:rsidRPr="007F3C5D">
        <w:t xml:space="preserve"> Tool (version 3.1.7 Axion </w:t>
      </w:r>
      <w:proofErr w:type="spellStart"/>
      <w:r w:rsidRPr="007F3C5D">
        <w:t>BioSystems</w:t>
      </w:r>
      <w:proofErr w:type="spellEnd"/>
      <w:r w:rsidRPr="007F3C5D">
        <w:t xml:space="preserve">) for further analysis. To do so, the last 10 minutes of each recording (baseline and exposure) were used for data analysis and subsequent settings were chosen: only active electrodes (MSR ≥ 6/minute) within active wells (≥ 1 active electrode) were included, also excluding coincident artifacts; </w:t>
      </w:r>
      <w:r w:rsidRPr="007F3C5D">
        <w:rPr>
          <w:color w:val="000000" w:themeColor="text1"/>
        </w:rPr>
        <w:t xml:space="preserve">The Poisson Surprise method </w:t>
      </w:r>
      <w:r w:rsidRPr="007F3C5D">
        <w:rPr>
          <w:color w:val="000000" w:themeColor="text1"/>
        </w:rPr>
        <w:fldChar w:fldCharType="begin" w:fldLock="1"/>
      </w:r>
      <w:r w:rsidR="00165580" w:rsidRPr="007F3C5D">
        <w:rPr>
          <w:color w:val="000000" w:themeColor="text1"/>
        </w:rPr>
        <w:instrText>ADDIN CSL_CITATION {"citationItems":[{"id":"ITEM-1","itemData":{"DOI":"10.1152/jn.1985.53.4.926","ISSN":"0022-3077","PMID":"3998798","abstract":"Simultaneous recordings were made from small collections (2-7) of spontaneously active single units in the striate cortex of unanesthetized cats, by means of chronically implanted electrodes. The recorded spike trains were computer scanned for bursts of spikes, and the bursts were catalogued and studied. The firing rates of the neurons ranged from 0.16 to 32 spikes/s; the mean was 8.9 spikes/s, the standard deviation 7.0 spikes/s. Bursts of spikes were assigned a quantitative measure, termed Poisson surprise (S), defined as the negative logarithm of their probability in a random (Poisson) spike train. Only bursts having S greater than 10, corresponding to an occurrence rate of about 0.01 bursts/1,000 spikes in a random spike train, were considered to be of interest. Bursts having S greater than 10 occurred at a rate of about 5-15 bursts/1,000 spikes, or about 1-5 bursts/min. The rate slightly increased with spike rate; averaging about 2 bursts/min for neurons having 3 spikes/s and about 4.5 bursts/min for neurons having 30 spikes/s. About 21% of the recorded units emitted significantly fewer bursts than the rest (below 1 burst/1,000 spikes). The percentage of these neurons was independent of spike rate. The spike rate during bursts was found to be about 3-6 times the average spike rate; about the same for longer as for shorter bursts. Bursts typically contained 10-50 spikes and lasted 0.5-2.0 s. When the number of spikes in the successively emitted bursts was listed, it was found that in some neurons these numbers were not distributed at random but were clustered around one or more preferred values. In this sense, bursts occasionally \"recurred\" a few times in a few minutes. The finding suggests that neurons are highly reliable. When bursts of two or more simultaneously recorded neurons were compared, the bursts often appeared to be temporally close, especially between pairs of neurons recorded by the same electrode; but bursts seldom started and ended simultaneously on two channels. Recurring bursts emitted by one neuron were occasionally accompanied by time-locked recurring bursts by other neurons.","author":[{"dropping-particle":"","family":"Legendy","given":"C. R.","non-dropping-particle":"","parse-names":false,"suffix":""},{"dropping-particle":"","family":"Salcman","given":"M.","non-dropping-particle":"","parse-names":false,"suffix":""}],"container-title":"Journal of Neurophysiology","id":"ITEM-1","issue":"4","issued":{"date-parts":[["1985","4","1"]]},"page":"926-939","publisher":"American Physiological Society Bethesda, MD","title":"Bursts and recurrences of bursts in the spike trains of spontaneously active striate cortex neurons","type":"article-journal","volume":"53"},"uris":["http://www.mendeley.com/documents/?uuid=5f8a3998-975f-311d-b2de-0ee47406e53d"]}],"mendeley":{"formattedCitation":"(Legendy &amp; Salcman, 1985)","plainTextFormattedCitation":"(Legendy &amp; Salcman, 1985)","previouslyFormattedCitation":"(Legendy &amp; Salcman, 1985)"},"properties":{"noteIndex":0},"schema":"https://github.com/citation-style-language/schema/raw/master/csl-citation.json"}</w:instrText>
      </w:r>
      <w:r w:rsidRPr="007F3C5D">
        <w:rPr>
          <w:color w:val="000000" w:themeColor="text1"/>
        </w:rPr>
        <w:fldChar w:fldCharType="separate"/>
      </w:r>
      <w:r w:rsidR="006260C7" w:rsidRPr="007F3C5D">
        <w:rPr>
          <w:noProof/>
          <w:color w:val="000000" w:themeColor="text1"/>
        </w:rPr>
        <w:t>(Legendy &amp; Salcman, 1985)</w:t>
      </w:r>
      <w:r w:rsidRPr="007F3C5D">
        <w:rPr>
          <w:color w:val="000000" w:themeColor="text1"/>
        </w:rPr>
        <w:fldChar w:fldCharType="end"/>
      </w:r>
      <w:r w:rsidRPr="007F3C5D">
        <w:rPr>
          <w:color w:val="000000" w:themeColor="text1"/>
        </w:rPr>
        <w:t xml:space="preserve"> was used to detect the bursts and network bursts with a minimal surprise of 10 and with an Inter-Spike-interval (ISI) threshold algorithm with a minimum of 40 spikes, maximal ISI of 100 </w:t>
      </w:r>
      <w:proofErr w:type="spellStart"/>
      <w:r w:rsidRPr="007F3C5D">
        <w:rPr>
          <w:color w:val="000000" w:themeColor="text1"/>
        </w:rPr>
        <w:t>ms</w:t>
      </w:r>
      <w:proofErr w:type="spellEnd"/>
      <w:r w:rsidRPr="007F3C5D">
        <w:rPr>
          <w:color w:val="000000" w:themeColor="text1"/>
        </w:rPr>
        <w:t xml:space="preserve">, and a minimum of 15% active electrodes, respectively. The now obtained Comma Separated Values (.csv) files were used to compute the treatment ratios for a set of neuronal activity parameters by custom-made MS Excel macros. The treatment ratios were calculated for each well and each parameter by dividing the exposure values by the corresponding baseline value (exposure/baseline). After outlier analysis in the control wells (≥2x SD; %, Table </w:t>
      </w:r>
      <w:r w:rsidR="005F6099" w:rsidRPr="007F3C5D">
        <w:rPr>
          <w:color w:val="000000" w:themeColor="text1"/>
        </w:rPr>
        <w:t>2</w:t>
      </w:r>
      <w:r w:rsidRPr="007F3C5D">
        <w:rPr>
          <w:color w:val="000000" w:themeColor="text1"/>
        </w:rPr>
        <w:t xml:space="preserve">A), treatment ratios of the exposure wells were normalized to the treatment ratios of the control. Finally, the replicates of the experiments (N) were </w:t>
      </w:r>
      <w:proofErr w:type="gramStart"/>
      <w:r w:rsidRPr="007F3C5D">
        <w:rPr>
          <w:color w:val="000000" w:themeColor="text1"/>
        </w:rPr>
        <w:t>combined</w:t>
      </w:r>
      <w:proofErr w:type="gramEnd"/>
      <w:r w:rsidRPr="007F3C5D">
        <w:rPr>
          <w:color w:val="000000" w:themeColor="text1"/>
        </w:rPr>
        <w:t xml:space="preserve"> and outlier analysis was also performed for exposure wells (≥2x SD; %, Table </w:t>
      </w:r>
      <w:r w:rsidR="005F6099" w:rsidRPr="007F3C5D">
        <w:rPr>
          <w:color w:val="000000" w:themeColor="text1"/>
        </w:rPr>
        <w:t>2</w:t>
      </w:r>
      <w:r w:rsidRPr="007F3C5D">
        <w:rPr>
          <w:color w:val="000000" w:themeColor="text1"/>
        </w:rPr>
        <w:t>B).</w:t>
      </w:r>
    </w:p>
    <w:tbl>
      <w:tblPr>
        <w:tblStyle w:val="PlainTable1"/>
        <w:tblpPr w:leftFromText="180" w:rightFromText="180" w:vertAnchor="text" w:horzAnchor="margin" w:tblpY="502"/>
        <w:tblW w:w="9123" w:type="dxa"/>
        <w:tblLayout w:type="fixed"/>
        <w:tblLook w:val="04A0" w:firstRow="1" w:lastRow="0" w:firstColumn="1" w:lastColumn="0" w:noHBand="0" w:noVBand="1"/>
      </w:tblPr>
      <w:tblGrid>
        <w:gridCol w:w="970"/>
        <w:gridCol w:w="837"/>
        <w:gridCol w:w="786"/>
        <w:gridCol w:w="786"/>
        <w:gridCol w:w="916"/>
        <w:gridCol w:w="567"/>
        <w:gridCol w:w="936"/>
        <w:gridCol w:w="837"/>
        <w:gridCol w:w="786"/>
        <w:gridCol w:w="786"/>
        <w:gridCol w:w="916"/>
      </w:tblGrid>
      <w:tr w:rsidR="00ED4F68" w:rsidRPr="007F3C5D" w14:paraId="626B3A04" w14:textId="77777777" w:rsidTr="00ED4F68">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70" w:type="dxa"/>
            <w:tcBorders>
              <w:top w:val="single" w:sz="4" w:space="0" w:color="auto"/>
              <w:left w:val="single" w:sz="4" w:space="0" w:color="auto"/>
            </w:tcBorders>
            <w:noWrap/>
            <w:hideMark/>
          </w:tcPr>
          <w:p w14:paraId="17FEAFF5" w14:textId="77777777" w:rsidR="00ED4F68" w:rsidRPr="007F3C5D" w:rsidRDefault="00ED4F68" w:rsidP="00A14895">
            <w:pPr>
              <w:spacing w:after="0"/>
              <w:ind w:firstLine="0"/>
              <w:rPr>
                <w:rFonts w:eastAsia="Times New Roman"/>
                <w:lang w:eastAsia="en-GB"/>
              </w:rPr>
            </w:pPr>
            <w:r w:rsidRPr="007F3C5D">
              <w:rPr>
                <w:rFonts w:eastAsia="Times New Roman"/>
                <w:lang w:eastAsia="en-GB"/>
              </w:rPr>
              <w:lastRenderedPageBreak/>
              <w:t>A</w:t>
            </w:r>
          </w:p>
        </w:tc>
        <w:tc>
          <w:tcPr>
            <w:tcW w:w="837" w:type="dxa"/>
            <w:tcBorders>
              <w:top w:val="single" w:sz="4" w:space="0" w:color="auto"/>
            </w:tcBorders>
            <w:noWrap/>
            <w:hideMark/>
          </w:tcPr>
          <w:p w14:paraId="20B103ED" w14:textId="77777777" w:rsidR="00ED4F68" w:rsidRPr="007F3C5D" w:rsidRDefault="00ED4F68" w:rsidP="00A14895">
            <w:pPr>
              <w:spacing w:after="0"/>
              <w:ind w:firstLine="0"/>
              <w:cnfStyle w:val="100000000000" w:firstRow="1"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0.5 h</w:t>
            </w:r>
          </w:p>
        </w:tc>
        <w:tc>
          <w:tcPr>
            <w:tcW w:w="786" w:type="dxa"/>
            <w:tcBorders>
              <w:top w:val="single" w:sz="4" w:space="0" w:color="auto"/>
            </w:tcBorders>
            <w:noWrap/>
            <w:hideMark/>
          </w:tcPr>
          <w:p w14:paraId="41F05E3C" w14:textId="77777777" w:rsidR="00ED4F68" w:rsidRPr="007F3C5D" w:rsidRDefault="00ED4F68" w:rsidP="00A14895">
            <w:pPr>
              <w:spacing w:after="0"/>
              <w:ind w:firstLine="0"/>
              <w:cnfStyle w:val="100000000000" w:firstRow="1"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24 h</w:t>
            </w:r>
          </w:p>
        </w:tc>
        <w:tc>
          <w:tcPr>
            <w:tcW w:w="786" w:type="dxa"/>
            <w:tcBorders>
              <w:top w:val="single" w:sz="4" w:space="0" w:color="auto"/>
            </w:tcBorders>
            <w:noWrap/>
            <w:hideMark/>
          </w:tcPr>
          <w:p w14:paraId="3D5BF40C" w14:textId="77777777" w:rsidR="00ED4F68" w:rsidRPr="007F3C5D" w:rsidRDefault="00ED4F68" w:rsidP="00A14895">
            <w:pPr>
              <w:spacing w:after="0"/>
              <w:ind w:firstLine="0"/>
              <w:cnfStyle w:val="100000000000" w:firstRow="1"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48 h</w:t>
            </w:r>
          </w:p>
        </w:tc>
        <w:tc>
          <w:tcPr>
            <w:tcW w:w="916" w:type="dxa"/>
            <w:tcBorders>
              <w:top w:val="single" w:sz="4" w:space="0" w:color="auto"/>
              <w:right w:val="single" w:sz="4" w:space="0" w:color="auto"/>
            </w:tcBorders>
            <w:noWrap/>
            <w:hideMark/>
          </w:tcPr>
          <w:p w14:paraId="0BAE3872" w14:textId="77777777" w:rsidR="00ED4F68" w:rsidRPr="007F3C5D" w:rsidRDefault="00ED4F68" w:rsidP="00A14895">
            <w:pPr>
              <w:spacing w:after="0"/>
              <w:ind w:firstLine="0"/>
              <w:cnfStyle w:val="100000000000" w:firstRow="1"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120 h</w:t>
            </w:r>
          </w:p>
        </w:tc>
        <w:tc>
          <w:tcPr>
            <w:tcW w:w="567" w:type="dxa"/>
            <w:tcBorders>
              <w:top w:val="single" w:sz="4" w:space="0" w:color="FFFFFF" w:themeColor="background1"/>
              <w:left w:val="single" w:sz="4" w:space="0" w:color="auto"/>
              <w:bottom w:val="single" w:sz="4" w:space="0" w:color="FFFFFF" w:themeColor="background1"/>
              <w:right w:val="single" w:sz="4" w:space="0" w:color="auto"/>
            </w:tcBorders>
            <w:shd w:val="clear" w:color="auto" w:fill="auto"/>
            <w:noWrap/>
            <w:hideMark/>
          </w:tcPr>
          <w:p w14:paraId="35B816DA" w14:textId="77777777" w:rsidR="00ED4F68" w:rsidRPr="007F3C5D" w:rsidRDefault="00ED4F68" w:rsidP="00A14895">
            <w:pPr>
              <w:spacing w:after="0"/>
              <w:ind w:firstLine="0"/>
              <w:cnfStyle w:val="100000000000" w:firstRow="1" w:lastRow="0" w:firstColumn="0" w:lastColumn="0" w:oddVBand="0" w:evenVBand="0" w:oddHBand="0" w:evenHBand="0" w:firstRowFirstColumn="0" w:firstRowLastColumn="0" w:lastRowFirstColumn="0" w:lastRowLastColumn="0"/>
              <w:rPr>
                <w:rFonts w:eastAsia="Times New Roman"/>
                <w:lang w:eastAsia="en-GB"/>
              </w:rPr>
            </w:pPr>
          </w:p>
        </w:tc>
        <w:tc>
          <w:tcPr>
            <w:tcW w:w="936" w:type="dxa"/>
            <w:tcBorders>
              <w:top w:val="single" w:sz="4" w:space="0" w:color="auto"/>
              <w:left w:val="single" w:sz="4" w:space="0" w:color="auto"/>
            </w:tcBorders>
            <w:noWrap/>
            <w:hideMark/>
          </w:tcPr>
          <w:p w14:paraId="72516DD4" w14:textId="77777777" w:rsidR="00ED4F68" w:rsidRPr="007F3C5D" w:rsidRDefault="00ED4F68" w:rsidP="00A14895">
            <w:pPr>
              <w:spacing w:after="0"/>
              <w:ind w:firstLine="0"/>
              <w:cnfStyle w:val="100000000000" w:firstRow="1"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B</w:t>
            </w:r>
          </w:p>
        </w:tc>
        <w:tc>
          <w:tcPr>
            <w:tcW w:w="837" w:type="dxa"/>
            <w:tcBorders>
              <w:top w:val="single" w:sz="4" w:space="0" w:color="auto"/>
            </w:tcBorders>
            <w:noWrap/>
            <w:hideMark/>
          </w:tcPr>
          <w:p w14:paraId="38EF468B" w14:textId="77777777" w:rsidR="00ED4F68" w:rsidRPr="007F3C5D" w:rsidRDefault="00ED4F68" w:rsidP="00A14895">
            <w:pPr>
              <w:spacing w:after="0"/>
              <w:ind w:firstLine="0"/>
              <w:cnfStyle w:val="100000000000" w:firstRow="1"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0.5 h</w:t>
            </w:r>
          </w:p>
        </w:tc>
        <w:tc>
          <w:tcPr>
            <w:tcW w:w="786" w:type="dxa"/>
            <w:tcBorders>
              <w:top w:val="single" w:sz="4" w:space="0" w:color="auto"/>
            </w:tcBorders>
            <w:noWrap/>
            <w:hideMark/>
          </w:tcPr>
          <w:p w14:paraId="4E7204F5" w14:textId="77777777" w:rsidR="00ED4F68" w:rsidRPr="007F3C5D" w:rsidRDefault="00ED4F68" w:rsidP="00A14895">
            <w:pPr>
              <w:spacing w:after="0"/>
              <w:ind w:firstLine="0"/>
              <w:cnfStyle w:val="100000000000" w:firstRow="1"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24 h</w:t>
            </w:r>
          </w:p>
        </w:tc>
        <w:tc>
          <w:tcPr>
            <w:tcW w:w="786" w:type="dxa"/>
            <w:tcBorders>
              <w:top w:val="single" w:sz="4" w:space="0" w:color="auto"/>
            </w:tcBorders>
            <w:noWrap/>
            <w:hideMark/>
          </w:tcPr>
          <w:p w14:paraId="07350944" w14:textId="77777777" w:rsidR="00ED4F68" w:rsidRPr="007F3C5D" w:rsidRDefault="00ED4F68" w:rsidP="00A14895">
            <w:pPr>
              <w:spacing w:after="0"/>
              <w:ind w:firstLine="0"/>
              <w:cnfStyle w:val="100000000000" w:firstRow="1"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48 h</w:t>
            </w:r>
          </w:p>
        </w:tc>
        <w:tc>
          <w:tcPr>
            <w:tcW w:w="916" w:type="dxa"/>
            <w:tcBorders>
              <w:top w:val="single" w:sz="4" w:space="0" w:color="auto"/>
              <w:right w:val="single" w:sz="4" w:space="0" w:color="auto"/>
            </w:tcBorders>
            <w:noWrap/>
            <w:hideMark/>
          </w:tcPr>
          <w:p w14:paraId="18B13C83" w14:textId="77777777" w:rsidR="00ED4F68" w:rsidRPr="007F3C5D" w:rsidRDefault="00ED4F68" w:rsidP="00A14895">
            <w:pPr>
              <w:spacing w:after="0"/>
              <w:ind w:firstLine="0"/>
              <w:cnfStyle w:val="100000000000" w:firstRow="1"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120 h</w:t>
            </w:r>
          </w:p>
        </w:tc>
      </w:tr>
      <w:tr w:rsidR="00ED4F68" w:rsidRPr="007F3C5D" w14:paraId="613547C4" w14:textId="77777777" w:rsidTr="00ED4F6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70" w:type="dxa"/>
            <w:tcBorders>
              <w:left w:val="single" w:sz="4" w:space="0" w:color="auto"/>
            </w:tcBorders>
            <w:noWrap/>
            <w:hideMark/>
          </w:tcPr>
          <w:p w14:paraId="469D8FC8" w14:textId="77777777" w:rsidR="00ED4F68" w:rsidRPr="007F3C5D" w:rsidRDefault="00ED4F68" w:rsidP="00A14895">
            <w:pPr>
              <w:spacing w:after="0"/>
              <w:ind w:firstLine="0"/>
              <w:rPr>
                <w:rFonts w:eastAsia="Times New Roman"/>
                <w:lang w:eastAsia="en-GB"/>
              </w:rPr>
            </w:pPr>
            <w:r w:rsidRPr="007F3C5D">
              <w:rPr>
                <w:rFonts w:eastAsia="Times New Roman"/>
                <w:lang w:eastAsia="en-GB"/>
              </w:rPr>
              <w:t>MSR</w:t>
            </w:r>
          </w:p>
        </w:tc>
        <w:tc>
          <w:tcPr>
            <w:tcW w:w="837" w:type="dxa"/>
            <w:noWrap/>
            <w:hideMark/>
          </w:tcPr>
          <w:p w14:paraId="25A1CDD0"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1.8</w:t>
            </w:r>
          </w:p>
        </w:tc>
        <w:tc>
          <w:tcPr>
            <w:tcW w:w="786" w:type="dxa"/>
            <w:noWrap/>
            <w:hideMark/>
          </w:tcPr>
          <w:p w14:paraId="4B617C74"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2.1</w:t>
            </w:r>
          </w:p>
        </w:tc>
        <w:tc>
          <w:tcPr>
            <w:tcW w:w="786" w:type="dxa"/>
            <w:noWrap/>
            <w:hideMark/>
          </w:tcPr>
          <w:p w14:paraId="75F04A73"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1.7</w:t>
            </w:r>
          </w:p>
        </w:tc>
        <w:tc>
          <w:tcPr>
            <w:tcW w:w="916" w:type="dxa"/>
            <w:tcBorders>
              <w:right w:val="single" w:sz="4" w:space="0" w:color="auto"/>
            </w:tcBorders>
            <w:noWrap/>
            <w:hideMark/>
          </w:tcPr>
          <w:p w14:paraId="1E651597"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2.9</w:t>
            </w:r>
          </w:p>
        </w:tc>
        <w:tc>
          <w:tcPr>
            <w:tcW w:w="567" w:type="dxa"/>
            <w:tcBorders>
              <w:top w:val="single" w:sz="4" w:space="0" w:color="FFFFFF" w:themeColor="background1"/>
              <w:left w:val="single" w:sz="4" w:space="0" w:color="auto"/>
              <w:bottom w:val="single" w:sz="4" w:space="0" w:color="FFFFFF" w:themeColor="background1"/>
              <w:right w:val="single" w:sz="4" w:space="0" w:color="auto"/>
            </w:tcBorders>
            <w:shd w:val="clear" w:color="auto" w:fill="auto"/>
            <w:noWrap/>
            <w:hideMark/>
          </w:tcPr>
          <w:p w14:paraId="26FA066B"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p>
        </w:tc>
        <w:tc>
          <w:tcPr>
            <w:tcW w:w="936" w:type="dxa"/>
            <w:tcBorders>
              <w:left w:val="single" w:sz="4" w:space="0" w:color="auto"/>
            </w:tcBorders>
            <w:noWrap/>
            <w:hideMark/>
          </w:tcPr>
          <w:p w14:paraId="60D4F210" w14:textId="77777777" w:rsidR="00ED4F68" w:rsidRPr="000C59BB"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b/>
                <w:bCs/>
                <w:lang w:eastAsia="en-GB"/>
              </w:rPr>
            </w:pPr>
            <w:r w:rsidRPr="000C59BB">
              <w:rPr>
                <w:rFonts w:eastAsia="Times New Roman"/>
                <w:b/>
                <w:bCs/>
                <w:lang w:eastAsia="en-GB"/>
              </w:rPr>
              <w:t>MSR</w:t>
            </w:r>
          </w:p>
        </w:tc>
        <w:tc>
          <w:tcPr>
            <w:tcW w:w="837" w:type="dxa"/>
            <w:noWrap/>
            <w:hideMark/>
          </w:tcPr>
          <w:p w14:paraId="64573CAE"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4.1</w:t>
            </w:r>
          </w:p>
        </w:tc>
        <w:tc>
          <w:tcPr>
            <w:tcW w:w="786" w:type="dxa"/>
            <w:noWrap/>
            <w:hideMark/>
          </w:tcPr>
          <w:p w14:paraId="01BFDC7F"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3.8</w:t>
            </w:r>
          </w:p>
        </w:tc>
        <w:tc>
          <w:tcPr>
            <w:tcW w:w="786" w:type="dxa"/>
            <w:noWrap/>
            <w:hideMark/>
          </w:tcPr>
          <w:p w14:paraId="387A9C39"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4.6</w:t>
            </w:r>
          </w:p>
        </w:tc>
        <w:tc>
          <w:tcPr>
            <w:tcW w:w="916" w:type="dxa"/>
            <w:tcBorders>
              <w:right w:val="single" w:sz="4" w:space="0" w:color="auto"/>
            </w:tcBorders>
            <w:noWrap/>
            <w:hideMark/>
          </w:tcPr>
          <w:p w14:paraId="52C8175E"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4.7</w:t>
            </w:r>
          </w:p>
        </w:tc>
      </w:tr>
      <w:tr w:rsidR="00ED4F68" w:rsidRPr="007F3C5D" w14:paraId="29F5BA23" w14:textId="77777777" w:rsidTr="00ED4F68">
        <w:trPr>
          <w:trHeight w:val="348"/>
        </w:trPr>
        <w:tc>
          <w:tcPr>
            <w:cnfStyle w:val="001000000000" w:firstRow="0" w:lastRow="0" w:firstColumn="1" w:lastColumn="0" w:oddVBand="0" w:evenVBand="0" w:oddHBand="0" w:evenHBand="0" w:firstRowFirstColumn="0" w:firstRowLastColumn="0" w:lastRowFirstColumn="0" w:lastRowLastColumn="0"/>
            <w:tcW w:w="970" w:type="dxa"/>
            <w:tcBorders>
              <w:left w:val="single" w:sz="4" w:space="0" w:color="auto"/>
            </w:tcBorders>
            <w:noWrap/>
            <w:hideMark/>
          </w:tcPr>
          <w:p w14:paraId="540F0324" w14:textId="77777777" w:rsidR="00ED4F68" w:rsidRPr="007F3C5D" w:rsidRDefault="00ED4F68" w:rsidP="00A14895">
            <w:pPr>
              <w:spacing w:after="0"/>
              <w:ind w:firstLine="0"/>
              <w:rPr>
                <w:rFonts w:eastAsia="Times New Roman"/>
                <w:lang w:eastAsia="en-GB"/>
              </w:rPr>
            </w:pPr>
            <w:r w:rsidRPr="007F3C5D">
              <w:rPr>
                <w:rFonts w:eastAsia="Times New Roman"/>
                <w:lang w:eastAsia="en-GB"/>
              </w:rPr>
              <w:t>MBR</w:t>
            </w:r>
          </w:p>
        </w:tc>
        <w:tc>
          <w:tcPr>
            <w:tcW w:w="837" w:type="dxa"/>
            <w:noWrap/>
            <w:hideMark/>
          </w:tcPr>
          <w:p w14:paraId="5EF86D38" w14:textId="77777777" w:rsidR="00ED4F68" w:rsidRPr="007F3C5D" w:rsidRDefault="00ED4F68" w:rsidP="00A14895">
            <w:pPr>
              <w:spacing w:after="0"/>
              <w:ind w:firstLine="0"/>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3.0</w:t>
            </w:r>
          </w:p>
        </w:tc>
        <w:tc>
          <w:tcPr>
            <w:tcW w:w="786" w:type="dxa"/>
            <w:noWrap/>
            <w:hideMark/>
          </w:tcPr>
          <w:p w14:paraId="7B82E1D2" w14:textId="77777777" w:rsidR="00ED4F68" w:rsidRPr="007F3C5D" w:rsidRDefault="00ED4F68" w:rsidP="00A14895">
            <w:pPr>
              <w:spacing w:after="0"/>
              <w:ind w:firstLine="0"/>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2.3</w:t>
            </w:r>
          </w:p>
        </w:tc>
        <w:tc>
          <w:tcPr>
            <w:tcW w:w="786" w:type="dxa"/>
            <w:noWrap/>
            <w:hideMark/>
          </w:tcPr>
          <w:p w14:paraId="671E2561" w14:textId="77777777" w:rsidR="00ED4F68" w:rsidRPr="007F3C5D" w:rsidRDefault="00ED4F68" w:rsidP="00A14895">
            <w:pPr>
              <w:spacing w:after="0"/>
              <w:ind w:firstLine="0"/>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3.4</w:t>
            </w:r>
          </w:p>
        </w:tc>
        <w:tc>
          <w:tcPr>
            <w:tcW w:w="916" w:type="dxa"/>
            <w:tcBorders>
              <w:right w:val="single" w:sz="4" w:space="0" w:color="auto"/>
            </w:tcBorders>
            <w:noWrap/>
            <w:hideMark/>
          </w:tcPr>
          <w:p w14:paraId="0A8CF041" w14:textId="77777777" w:rsidR="00ED4F68" w:rsidRPr="007F3C5D" w:rsidRDefault="00ED4F68" w:rsidP="00A14895">
            <w:pPr>
              <w:spacing w:after="0"/>
              <w:ind w:firstLine="0"/>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4.3</w:t>
            </w:r>
          </w:p>
        </w:tc>
        <w:tc>
          <w:tcPr>
            <w:tcW w:w="567" w:type="dxa"/>
            <w:tcBorders>
              <w:top w:val="single" w:sz="4" w:space="0" w:color="FFFFFF" w:themeColor="background1"/>
              <w:left w:val="single" w:sz="4" w:space="0" w:color="auto"/>
              <w:bottom w:val="single" w:sz="4" w:space="0" w:color="FFFFFF" w:themeColor="background1"/>
              <w:right w:val="single" w:sz="4" w:space="0" w:color="auto"/>
            </w:tcBorders>
            <w:shd w:val="clear" w:color="auto" w:fill="auto"/>
            <w:noWrap/>
            <w:hideMark/>
          </w:tcPr>
          <w:p w14:paraId="5BE9A44F" w14:textId="77777777" w:rsidR="00ED4F68" w:rsidRPr="007F3C5D" w:rsidRDefault="00ED4F68" w:rsidP="00A14895">
            <w:pPr>
              <w:spacing w:after="0"/>
              <w:ind w:firstLine="0"/>
              <w:cnfStyle w:val="000000000000" w:firstRow="0" w:lastRow="0" w:firstColumn="0" w:lastColumn="0" w:oddVBand="0" w:evenVBand="0" w:oddHBand="0" w:evenHBand="0" w:firstRowFirstColumn="0" w:firstRowLastColumn="0" w:lastRowFirstColumn="0" w:lastRowLastColumn="0"/>
              <w:rPr>
                <w:rFonts w:eastAsia="Times New Roman"/>
                <w:lang w:eastAsia="en-GB"/>
              </w:rPr>
            </w:pPr>
          </w:p>
        </w:tc>
        <w:tc>
          <w:tcPr>
            <w:tcW w:w="936" w:type="dxa"/>
            <w:tcBorders>
              <w:left w:val="single" w:sz="4" w:space="0" w:color="auto"/>
            </w:tcBorders>
            <w:noWrap/>
            <w:hideMark/>
          </w:tcPr>
          <w:p w14:paraId="2D515B78" w14:textId="77777777" w:rsidR="00ED4F68" w:rsidRPr="000C59BB" w:rsidRDefault="00ED4F68" w:rsidP="00A14895">
            <w:pPr>
              <w:spacing w:after="0"/>
              <w:ind w:firstLine="0"/>
              <w:cnfStyle w:val="000000000000" w:firstRow="0" w:lastRow="0" w:firstColumn="0" w:lastColumn="0" w:oddVBand="0" w:evenVBand="0" w:oddHBand="0" w:evenHBand="0" w:firstRowFirstColumn="0" w:firstRowLastColumn="0" w:lastRowFirstColumn="0" w:lastRowLastColumn="0"/>
              <w:rPr>
                <w:rFonts w:eastAsia="Times New Roman"/>
                <w:b/>
                <w:bCs/>
                <w:lang w:eastAsia="en-GB"/>
              </w:rPr>
            </w:pPr>
            <w:r w:rsidRPr="000C59BB">
              <w:rPr>
                <w:rFonts w:eastAsia="Times New Roman"/>
                <w:b/>
                <w:bCs/>
                <w:lang w:eastAsia="en-GB"/>
              </w:rPr>
              <w:t>MBR</w:t>
            </w:r>
          </w:p>
        </w:tc>
        <w:tc>
          <w:tcPr>
            <w:tcW w:w="837" w:type="dxa"/>
            <w:noWrap/>
            <w:hideMark/>
          </w:tcPr>
          <w:p w14:paraId="252ECC3C" w14:textId="77777777" w:rsidR="00ED4F68" w:rsidRPr="007F3C5D" w:rsidRDefault="00ED4F68" w:rsidP="00A14895">
            <w:pPr>
              <w:spacing w:after="0"/>
              <w:ind w:firstLine="0"/>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4.5</w:t>
            </w:r>
          </w:p>
        </w:tc>
        <w:tc>
          <w:tcPr>
            <w:tcW w:w="786" w:type="dxa"/>
            <w:noWrap/>
            <w:hideMark/>
          </w:tcPr>
          <w:p w14:paraId="0F5DD1C6" w14:textId="77777777" w:rsidR="00ED4F68" w:rsidRPr="007F3C5D" w:rsidRDefault="00ED4F68" w:rsidP="00A14895">
            <w:pPr>
              <w:spacing w:after="0"/>
              <w:ind w:firstLine="0"/>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5.1</w:t>
            </w:r>
          </w:p>
        </w:tc>
        <w:tc>
          <w:tcPr>
            <w:tcW w:w="786" w:type="dxa"/>
            <w:noWrap/>
            <w:hideMark/>
          </w:tcPr>
          <w:p w14:paraId="1D454058" w14:textId="77777777" w:rsidR="00ED4F68" w:rsidRPr="007F3C5D" w:rsidRDefault="00ED4F68" w:rsidP="00A14895">
            <w:pPr>
              <w:spacing w:after="0"/>
              <w:ind w:firstLine="0"/>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4.4</w:t>
            </w:r>
          </w:p>
        </w:tc>
        <w:tc>
          <w:tcPr>
            <w:tcW w:w="916" w:type="dxa"/>
            <w:tcBorders>
              <w:right w:val="single" w:sz="4" w:space="0" w:color="auto"/>
            </w:tcBorders>
            <w:noWrap/>
            <w:hideMark/>
          </w:tcPr>
          <w:p w14:paraId="04C23847" w14:textId="77777777" w:rsidR="00ED4F68" w:rsidRPr="007F3C5D" w:rsidRDefault="00ED4F68" w:rsidP="00A14895">
            <w:pPr>
              <w:spacing w:after="0"/>
              <w:ind w:firstLine="0"/>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7F3C5D">
              <w:rPr>
                <w:rFonts w:eastAsia="Times New Roman"/>
                <w:lang w:eastAsia="en-GB"/>
              </w:rPr>
              <w:t>4.5</w:t>
            </w:r>
          </w:p>
        </w:tc>
      </w:tr>
      <w:tr w:rsidR="00ED4F68" w:rsidRPr="007F3C5D" w14:paraId="769F95E4" w14:textId="77777777" w:rsidTr="00ED4F6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70" w:type="dxa"/>
            <w:tcBorders>
              <w:left w:val="single" w:sz="4" w:space="0" w:color="auto"/>
              <w:bottom w:val="single" w:sz="4" w:space="0" w:color="auto"/>
            </w:tcBorders>
            <w:noWrap/>
            <w:hideMark/>
          </w:tcPr>
          <w:p w14:paraId="52F288FC" w14:textId="77777777" w:rsidR="00ED4F68" w:rsidRPr="007F3C5D" w:rsidRDefault="00ED4F68" w:rsidP="00A14895">
            <w:pPr>
              <w:spacing w:after="0"/>
              <w:ind w:firstLine="0"/>
              <w:rPr>
                <w:rFonts w:eastAsia="Times New Roman"/>
                <w:lang w:eastAsia="en-GB"/>
              </w:rPr>
            </w:pPr>
            <w:r w:rsidRPr="007F3C5D">
              <w:rPr>
                <w:rFonts w:eastAsia="Times New Roman"/>
                <w:lang w:eastAsia="en-GB"/>
              </w:rPr>
              <w:t>MNBR</w:t>
            </w:r>
          </w:p>
        </w:tc>
        <w:tc>
          <w:tcPr>
            <w:tcW w:w="837" w:type="dxa"/>
            <w:tcBorders>
              <w:bottom w:val="single" w:sz="4" w:space="0" w:color="auto"/>
            </w:tcBorders>
            <w:noWrap/>
            <w:hideMark/>
          </w:tcPr>
          <w:p w14:paraId="3D7E1532"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3.2</w:t>
            </w:r>
          </w:p>
        </w:tc>
        <w:tc>
          <w:tcPr>
            <w:tcW w:w="786" w:type="dxa"/>
            <w:tcBorders>
              <w:bottom w:val="single" w:sz="4" w:space="0" w:color="auto"/>
            </w:tcBorders>
            <w:noWrap/>
            <w:hideMark/>
          </w:tcPr>
          <w:p w14:paraId="28FFFD5A"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1.9</w:t>
            </w:r>
          </w:p>
        </w:tc>
        <w:tc>
          <w:tcPr>
            <w:tcW w:w="786" w:type="dxa"/>
            <w:tcBorders>
              <w:bottom w:val="single" w:sz="4" w:space="0" w:color="auto"/>
            </w:tcBorders>
            <w:noWrap/>
            <w:hideMark/>
          </w:tcPr>
          <w:p w14:paraId="7FA72588"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2.3</w:t>
            </w:r>
          </w:p>
        </w:tc>
        <w:tc>
          <w:tcPr>
            <w:tcW w:w="916" w:type="dxa"/>
            <w:tcBorders>
              <w:bottom w:val="single" w:sz="4" w:space="0" w:color="auto"/>
              <w:right w:val="single" w:sz="4" w:space="0" w:color="auto"/>
            </w:tcBorders>
            <w:noWrap/>
            <w:hideMark/>
          </w:tcPr>
          <w:p w14:paraId="4A57C951"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4.1</w:t>
            </w:r>
          </w:p>
        </w:tc>
        <w:tc>
          <w:tcPr>
            <w:tcW w:w="567" w:type="dxa"/>
            <w:tcBorders>
              <w:top w:val="single" w:sz="4" w:space="0" w:color="FFFFFF" w:themeColor="background1"/>
              <w:left w:val="single" w:sz="4" w:space="0" w:color="auto"/>
              <w:bottom w:val="single" w:sz="4" w:space="0" w:color="FFFFFF" w:themeColor="background1"/>
              <w:right w:val="single" w:sz="4" w:space="0" w:color="auto"/>
            </w:tcBorders>
            <w:shd w:val="clear" w:color="auto" w:fill="auto"/>
            <w:noWrap/>
            <w:hideMark/>
          </w:tcPr>
          <w:p w14:paraId="24D30C75"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p>
        </w:tc>
        <w:tc>
          <w:tcPr>
            <w:tcW w:w="936" w:type="dxa"/>
            <w:tcBorders>
              <w:left w:val="single" w:sz="4" w:space="0" w:color="auto"/>
              <w:bottom w:val="single" w:sz="4" w:space="0" w:color="auto"/>
            </w:tcBorders>
            <w:noWrap/>
            <w:hideMark/>
          </w:tcPr>
          <w:p w14:paraId="4F91AAC9" w14:textId="77777777" w:rsidR="00ED4F68" w:rsidRPr="000C59BB"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b/>
                <w:bCs/>
                <w:lang w:eastAsia="en-GB"/>
              </w:rPr>
            </w:pPr>
            <w:r w:rsidRPr="000C59BB">
              <w:rPr>
                <w:rFonts w:eastAsia="Times New Roman"/>
                <w:b/>
                <w:bCs/>
                <w:lang w:eastAsia="en-GB"/>
              </w:rPr>
              <w:t>MNBR</w:t>
            </w:r>
          </w:p>
        </w:tc>
        <w:tc>
          <w:tcPr>
            <w:tcW w:w="837" w:type="dxa"/>
            <w:tcBorders>
              <w:bottom w:val="single" w:sz="4" w:space="0" w:color="auto"/>
            </w:tcBorders>
            <w:noWrap/>
            <w:hideMark/>
          </w:tcPr>
          <w:p w14:paraId="2251C966"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4.7</w:t>
            </w:r>
          </w:p>
        </w:tc>
        <w:tc>
          <w:tcPr>
            <w:tcW w:w="786" w:type="dxa"/>
            <w:tcBorders>
              <w:bottom w:val="single" w:sz="4" w:space="0" w:color="auto"/>
            </w:tcBorders>
            <w:noWrap/>
            <w:hideMark/>
          </w:tcPr>
          <w:p w14:paraId="36A80281"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5.0</w:t>
            </w:r>
          </w:p>
        </w:tc>
        <w:tc>
          <w:tcPr>
            <w:tcW w:w="786" w:type="dxa"/>
            <w:tcBorders>
              <w:bottom w:val="single" w:sz="4" w:space="0" w:color="auto"/>
            </w:tcBorders>
            <w:noWrap/>
            <w:hideMark/>
          </w:tcPr>
          <w:p w14:paraId="6674EE65"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4.6</w:t>
            </w:r>
          </w:p>
        </w:tc>
        <w:tc>
          <w:tcPr>
            <w:tcW w:w="916" w:type="dxa"/>
            <w:tcBorders>
              <w:bottom w:val="single" w:sz="4" w:space="0" w:color="auto"/>
              <w:right w:val="single" w:sz="4" w:space="0" w:color="auto"/>
            </w:tcBorders>
            <w:noWrap/>
            <w:hideMark/>
          </w:tcPr>
          <w:p w14:paraId="2EEA893C" w14:textId="77777777" w:rsidR="00ED4F68" w:rsidRPr="007F3C5D" w:rsidRDefault="00ED4F68" w:rsidP="00A14895">
            <w:pPr>
              <w:spacing w:after="0"/>
              <w:ind w:firstLine="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7F3C5D">
              <w:rPr>
                <w:rFonts w:eastAsia="Times New Roman"/>
                <w:lang w:eastAsia="en-GB"/>
              </w:rPr>
              <w:t>5.1</w:t>
            </w:r>
          </w:p>
        </w:tc>
      </w:tr>
    </w:tbl>
    <w:p w14:paraId="29AF3CF8" w14:textId="63463686" w:rsidR="00B71F62" w:rsidRPr="007F3C5D" w:rsidRDefault="00ED4F68" w:rsidP="00A14895">
      <w:pPr>
        <w:ind w:firstLine="0"/>
        <w:rPr>
          <w:sz w:val="18"/>
          <w:szCs w:val="18"/>
        </w:rPr>
      </w:pPr>
      <w:r w:rsidRPr="007F3C5D">
        <w:rPr>
          <w:sz w:val="18"/>
          <w:szCs w:val="18"/>
        </w:rPr>
        <w:t xml:space="preserve"> </w:t>
      </w:r>
      <w:r w:rsidR="00B71F62" w:rsidRPr="007F3C5D">
        <w:rPr>
          <w:sz w:val="18"/>
          <w:szCs w:val="18"/>
        </w:rPr>
        <w:t xml:space="preserve">Table </w:t>
      </w:r>
      <w:r w:rsidR="00C41834" w:rsidRPr="007F3C5D">
        <w:rPr>
          <w:sz w:val="18"/>
          <w:szCs w:val="18"/>
        </w:rPr>
        <w:t>2</w:t>
      </w:r>
      <w:r w:rsidR="00B71F62" w:rsidRPr="007F3C5D">
        <w:rPr>
          <w:sz w:val="18"/>
          <w:szCs w:val="18"/>
        </w:rPr>
        <w:t>: Percentage of excluded outliers, relative to the total amount of wells for the control (A) and the exposure conditions (B). Expressed as the mean percentage of all exposure conditions</w:t>
      </w:r>
      <w:r w:rsidR="00C41834" w:rsidRPr="007F3C5D">
        <w:rPr>
          <w:sz w:val="18"/>
          <w:szCs w:val="18"/>
        </w:rPr>
        <w:t>.</w:t>
      </w:r>
    </w:p>
    <w:p w14:paraId="543E94E1" w14:textId="77777777" w:rsidR="00ED4F68" w:rsidRDefault="00ED4F68" w:rsidP="00A14895"/>
    <w:p w14:paraId="472FB639" w14:textId="6E6282BE" w:rsidR="00B71F62" w:rsidRPr="007F3C5D" w:rsidRDefault="00B71F62" w:rsidP="00A14895">
      <w:r w:rsidRPr="007F3C5D">
        <w:t xml:space="preserve">For the cell viability assay analysis, the average of the blank was subtracted from raw values to correct for background fluorescence. Afterwards, the average of the control was calculated and values for exposure wells were normalized to control average (control set to 100% mitochondrial activity). Experiments were combined and averages of metabolic activity per concentration were calculated. Values exceeding 2x SD </w:t>
      </w:r>
      <w:proofErr w:type="gramStart"/>
      <w:r w:rsidRPr="007F3C5D">
        <w:t>are considered to be</w:t>
      </w:r>
      <w:proofErr w:type="gramEnd"/>
      <w:r w:rsidRPr="007F3C5D">
        <w:t xml:space="preserve"> outliers and excluded from the analysis. The values are normalized to control and expressed in the mean percentage of control, where the control is set to 100%. </w:t>
      </w:r>
    </w:p>
    <w:p w14:paraId="0C6E86D2" w14:textId="5D51C1C9" w:rsidR="00B71F62" w:rsidRPr="007F3C5D" w:rsidRDefault="00B71F62" w:rsidP="00A14895">
      <w:r w:rsidRPr="007F3C5D">
        <w:t xml:space="preserve">For size distribution, measurements were analyzed using ZS </w:t>
      </w:r>
      <w:proofErr w:type="spellStart"/>
      <w:r w:rsidRPr="007F3C5D">
        <w:t>Xplorer</w:t>
      </w:r>
      <w:proofErr w:type="spellEnd"/>
      <w:r w:rsidRPr="007F3C5D">
        <w:t xml:space="preserve"> (Version 1.0.0, </w:t>
      </w:r>
      <w:proofErr w:type="gramStart"/>
      <w:r w:rsidRPr="007F3C5D">
        <w:t>Malvern)  and</w:t>
      </w:r>
      <w:proofErr w:type="gramEnd"/>
      <w:r w:rsidRPr="007F3C5D">
        <w:t xml:space="preserve"> the </w:t>
      </w:r>
      <w:r w:rsidR="003C3833" w:rsidRPr="007F3C5D">
        <w:t>D50</w:t>
      </w:r>
      <w:r w:rsidRPr="007F3C5D">
        <w:t xml:space="preserve"> values of the hydrodynamic </w:t>
      </w:r>
      <w:r w:rsidR="00ED008B" w:rsidRPr="007F3C5D">
        <w:t>diameter</w:t>
      </w:r>
      <w:r w:rsidRPr="007F3C5D">
        <w:t xml:space="preserve"> </w:t>
      </w:r>
      <w:r w:rsidR="00ED008B" w:rsidRPr="007F3C5D">
        <w:t>were</w:t>
      </w:r>
      <w:r w:rsidRPr="007F3C5D">
        <w:t xml:space="preserve"> used to assess the </w:t>
      </w:r>
      <w:r w:rsidR="00ED008B" w:rsidRPr="007F3C5D">
        <w:t>median</w:t>
      </w:r>
      <w:r w:rsidRPr="007F3C5D">
        <w:t xml:space="preserve"> and standard deviation.</w:t>
      </w:r>
    </w:p>
    <w:p w14:paraId="0736DF2A" w14:textId="4CE196DB" w:rsidR="00B71F62" w:rsidRPr="007F3C5D" w:rsidRDefault="00B71F62" w:rsidP="00A14895">
      <w:pPr>
        <w:pStyle w:val="Heading2"/>
      </w:pPr>
      <w:bookmarkStart w:id="30" w:name="_Toc91592932"/>
      <w:bookmarkStart w:id="31" w:name="_Toc100781385"/>
      <w:bookmarkStart w:id="32" w:name="_Toc101374931"/>
      <w:r w:rsidRPr="007F3C5D">
        <w:t>Statistical analysis</w:t>
      </w:r>
      <w:bookmarkEnd w:id="30"/>
      <w:bookmarkEnd w:id="31"/>
      <w:bookmarkEnd w:id="32"/>
    </w:p>
    <w:p w14:paraId="2A4967B6" w14:textId="5D1C8017" w:rsidR="00ED4F68" w:rsidRDefault="00B71F62" w:rsidP="00A14895">
      <w:r w:rsidRPr="007F3C5D">
        <w:t xml:space="preserve">All statistical analyses were performed using GraphPad Prism (version 9.0.0, GraphPad Software, La Jolla CA, USA). Welch’s ANOVA followed by a Dunnett's T3 multiple comparisons test were used to determine the significant changes in neuronal activity parameters of exposure compared to control. The resulting data is presented as mean ± standard error of the mean (SEM) normalized to the control. P-values &lt; 0.05 were considered statistically significant. Significant effects on neuronal activity within 75-125 </w:t>
      </w:r>
      <w:proofErr w:type="gramStart"/>
      <w:r w:rsidRPr="007F3C5D">
        <w:t>were considered to be</w:t>
      </w:r>
      <w:proofErr w:type="gramEnd"/>
      <w:r w:rsidRPr="007F3C5D">
        <w:t xml:space="preserve"> of limited toxicological relevance. One-way ANOVA followed by </w:t>
      </w:r>
      <w:r w:rsidRPr="007F3C5D">
        <w:rPr>
          <w:i/>
        </w:rPr>
        <w:t>post-hoc</w:t>
      </w:r>
      <w:r w:rsidRPr="007F3C5D">
        <w:t xml:space="preserve"> Dunnett's multiple comparisons test was used to determine significant changes in mitochondrial activity for the cytotoxicity analysis. The resulting data is presented as mean ± SD normalized to the control. P-values &lt; 0.05 were considered statistically significant.</w:t>
      </w:r>
      <w:bookmarkStart w:id="33" w:name="_Toc91775070"/>
      <w:bookmarkStart w:id="34" w:name="_Toc100781386"/>
      <w:r w:rsidR="00ED4F68">
        <w:br w:type="page"/>
      </w:r>
    </w:p>
    <w:p w14:paraId="47825555" w14:textId="678667CF" w:rsidR="00AC7376" w:rsidRPr="007F3C5D" w:rsidRDefault="00AC7376" w:rsidP="00A14895">
      <w:pPr>
        <w:pStyle w:val="Heading1"/>
        <w:spacing w:line="276" w:lineRule="auto"/>
      </w:pPr>
      <w:bookmarkStart w:id="35" w:name="_Toc101374932"/>
      <w:r w:rsidRPr="007F3C5D">
        <w:lastRenderedPageBreak/>
        <w:t>Results</w:t>
      </w:r>
      <w:bookmarkEnd w:id="33"/>
      <w:bookmarkEnd w:id="34"/>
      <w:bookmarkEnd w:id="35"/>
    </w:p>
    <w:p w14:paraId="6E106EE0" w14:textId="7C4B53C6" w:rsidR="00AC7376" w:rsidRPr="007F3C5D" w:rsidRDefault="00AC7376" w:rsidP="00A14895">
      <w:pPr>
        <w:pStyle w:val="Heading2"/>
      </w:pPr>
      <w:bookmarkStart w:id="36" w:name="_Toc91775071"/>
      <w:bookmarkStart w:id="37" w:name="_Toc100781387"/>
      <w:bookmarkStart w:id="38" w:name="_Toc101374933"/>
      <w:r w:rsidRPr="007F3C5D">
        <w:t>Acute and subchronic exposure to the blank extract did not affect neuronal activity or viability</w:t>
      </w:r>
      <w:bookmarkEnd w:id="36"/>
      <w:bookmarkEnd w:id="37"/>
      <w:bookmarkEnd w:id="38"/>
    </w:p>
    <w:p w14:paraId="077A6EC8" w14:textId="66180381" w:rsidR="00A14895" w:rsidRDefault="008445AE" w:rsidP="00A14895">
      <w:r w:rsidRPr="007F3C5D">
        <w:t xml:space="preserve">The blank control assessed differences potentially made by the extraction method. Therefore, no particles were </w:t>
      </w:r>
      <w:proofErr w:type="gramStart"/>
      <w:r w:rsidRPr="007F3C5D">
        <w:t>collected</w:t>
      </w:r>
      <w:proofErr w:type="gramEnd"/>
      <w:r w:rsidRPr="007F3C5D">
        <w:t xml:space="preserve"> and the doses mentioned are regarded as equivalent of the other sample doses. </w:t>
      </w:r>
      <w:r w:rsidR="00AC7376" w:rsidRPr="007F3C5D">
        <w:t xml:space="preserve">None of the tested </w:t>
      </w:r>
      <w:r w:rsidR="0068159E">
        <w:t>doses</w:t>
      </w:r>
      <w:r w:rsidR="00AC7376" w:rsidRPr="007F3C5D">
        <w:t xml:space="preserve"> of the blank extract did induce relevant change of MSR and MBR at any time point (0.5</w:t>
      </w:r>
      <w:r w:rsidR="00670906" w:rsidRPr="007F3C5D">
        <w:t> </w:t>
      </w:r>
      <w:r w:rsidR="00AC7376" w:rsidRPr="007F3C5D">
        <w:t>h, 24</w:t>
      </w:r>
      <w:r w:rsidR="00670906" w:rsidRPr="007F3C5D">
        <w:t> </w:t>
      </w:r>
      <w:r w:rsidR="00AC7376" w:rsidRPr="007F3C5D">
        <w:t>h, 48</w:t>
      </w:r>
      <w:r w:rsidR="00670906" w:rsidRPr="007F3C5D">
        <w:t> </w:t>
      </w:r>
      <w:r w:rsidR="00AC7376" w:rsidRPr="007F3C5D">
        <w:t>h or 120</w:t>
      </w:r>
      <w:r w:rsidR="00670906" w:rsidRPr="007F3C5D">
        <w:t> </w:t>
      </w:r>
      <w:proofErr w:type="gramStart"/>
      <w:r w:rsidR="00AC7376" w:rsidRPr="007F3C5D">
        <w:t>h;</w:t>
      </w:r>
      <w:proofErr w:type="gramEnd"/>
      <w:r w:rsidR="00AC7376" w:rsidRPr="007F3C5D">
        <w:t xml:space="preserve"> fig. </w:t>
      </w:r>
      <w:r w:rsidR="002876C0" w:rsidRPr="007F3C5D">
        <w:t>2</w:t>
      </w:r>
      <w:r w:rsidR="00AC7376" w:rsidRPr="007F3C5D">
        <w:t>A). MNBR was reduced after acute and 120</w:t>
      </w:r>
      <w:r w:rsidR="00670906" w:rsidRPr="007F3C5D">
        <w:t> </w:t>
      </w:r>
      <w:r w:rsidR="00AC7376" w:rsidRPr="007F3C5D">
        <w:t>h exposure to</w:t>
      </w:r>
      <w:r w:rsidR="00756E54" w:rsidRPr="007F3C5D">
        <w:t xml:space="preserve"> a dose </w:t>
      </w:r>
      <w:r w:rsidR="00AC7376" w:rsidRPr="007F3C5D">
        <w:t>of 1</w:t>
      </w:r>
      <w:r w:rsidR="00670906" w:rsidRPr="007F3C5D">
        <w:t> </w:t>
      </w:r>
      <w:r w:rsidR="00AC7376" w:rsidRPr="007F3C5D">
        <w:t>µg/mL and 30</w:t>
      </w:r>
      <w:r w:rsidR="00670906" w:rsidRPr="007F3C5D">
        <w:t> </w:t>
      </w:r>
      <w:r w:rsidR="00AC7376" w:rsidRPr="007F3C5D">
        <w:t>µg/mL, respectively. However, no concentration- or time-dependent relationship was observed. Furthermore, 120</w:t>
      </w:r>
      <w:r w:rsidR="00670906" w:rsidRPr="007F3C5D">
        <w:t> </w:t>
      </w:r>
      <w:r w:rsidR="00AC7376" w:rsidRPr="007F3C5D">
        <w:t xml:space="preserve">h exposure to the blank extract did not reduce the metabolic activity of the culture (fig. </w:t>
      </w:r>
      <w:r w:rsidR="002876C0" w:rsidRPr="007F3C5D">
        <w:t>2</w:t>
      </w:r>
      <w:r w:rsidR="00AC7376" w:rsidRPr="007F3C5D">
        <w:t xml:space="preserve">B). Therefore, we concluded that the blank filter extract did not exhibit relevant effects on neuronal (network) activity or viability of the rat primary cortical </w:t>
      </w:r>
      <w:r w:rsidR="0011236D" w:rsidRPr="007F3C5D">
        <w:t>cultures</w:t>
      </w:r>
      <w:r w:rsidR="00AC7376" w:rsidRPr="007F3C5D">
        <w:t xml:space="preserve"> and that in further experiments 0.1% DMSO can be used as control. </w:t>
      </w:r>
    </w:p>
    <w:p w14:paraId="424B50DE" w14:textId="77777777" w:rsidR="00A14895" w:rsidRDefault="00A14895">
      <w:pPr>
        <w:spacing w:after="0" w:line="240" w:lineRule="auto"/>
        <w:ind w:firstLine="0"/>
        <w:jc w:val="left"/>
      </w:pPr>
      <w:r>
        <w:br w:type="page"/>
      </w:r>
    </w:p>
    <w:p w14:paraId="5B49B6CC" w14:textId="3ECA6CB2" w:rsidR="00670906" w:rsidRPr="007F3C5D" w:rsidRDefault="00AC7376" w:rsidP="00A14895">
      <w:pPr>
        <w:ind w:firstLine="0"/>
        <w:rPr>
          <w:sz w:val="16"/>
          <w:szCs w:val="16"/>
        </w:rPr>
      </w:pPr>
      <w:r w:rsidRPr="007F3C5D">
        <w:rPr>
          <w:noProof/>
        </w:rPr>
        <w:lastRenderedPageBreak/>
        <mc:AlternateContent>
          <mc:Choice Requires="wps">
            <w:drawing>
              <wp:inline distT="0" distB="0" distL="0" distR="0" wp14:anchorId="5AED4507" wp14:editId="24826BFF">
                <wp:extent cx="5724000" cy="4493260"/>
                <wp:effectExtent l="0" t="0" r="16510" b="15240"/>
                <wp:docPr id="1" name="Text Box 1"/>
                <wp:cNvGraphicFramePr/>
                <a:graphic xmlns:a="http://schemas.openxmlformats.org/drawingml/2006/main">
                  <a:graphicData uri="http://schemas.microsoft.com/office/word/2010/wordprocessingShape">
                    <wps:wsp>
                      <wps:cNvSpPr txBox="1"/>
                      <wps:spPr>
                        <a:xfrm>
                          <a:off x="0" y="0"/>
                          <a:ext cx="5724000" cy="4493260"/>
                        </a:xfrm>
                        <a:prstGeom prst="rect">
                          <a:avLst/>
                        </a:prstGeom>
                        <a:noFill/>
                        <a:ln w="6350">
                          <a:solidFill>
                            <a:schemeClr val="tx1"/>
                          </a:solidFill>
                        </a:ln>
                      </wps:spPr>
                      <wps:txbx>
                        <w:txbxContent>
                          <w:p w14:paraId="7BA2BA8A" w14:textId="050EE333" w:rsidR="00AC7376" w:rsidRDefault="00AC7376" w:rsidP="00EE6B5C">
                            <w:pPr>
                              <w:spacing w:after="0" w:line="240" w:lineRule="auto"/>
                              <w:ind w:firstLine="0"/>
                              <w:rPr>
                                <w:noProof/>
                              </w:rPr>
                            </w:pPr>
                            <w:r w:rsidRPr="00AE6573">
                              <w:rPr>
                                <w:noProof/>
                              </w:rPr>
                              <w:drawing>
                                <wp:inline distT="0" distB="0" distL="0" distR="0" wp14:anchorId="74937A41" wp14:editId="58C61775">
                                  <wp:extent cx="5482590" cy="185195"/>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95534"/>
                                          <a:stretch/>
                                        </pic:blipFill>
                                        <pic:spPr bwMode="auto">
                                          <a:xfrm>
                                            <a:off x="0" y="0"/>
                                            <a:ext cx="5482590" cy="185195"/>
                                          </a:xfrm>
                                          <a:prstGeom prst="rect">
                                            <a:avLst/>
                                          </a:prstGeom>
                                          <a:ln>
                                            <a:noFill/>
                                          </a:ln>
                                          <a:extLst>
                                            <a:ext uri="{53640926-AAD7-44D8-BBD7-CCE9431645EC}">
                                              <a14:shadowObscured xmlns:a14="http://schemas.microsoft.com/office/drawing/2010/main"/>
                                            </a:ext>
                                          </a:extLst>
                                        </pic:spPr>
                                      </pic:pic>
                                    </a:graphicData>
                                  </a:graphic>
                                </wp:inline>
                              </w:drawing>
                            </w:r>
                          </w:p>
                          <w:p w14:paraId="73BD33F5" w14:textId="3D13FDF9" w:rsidR="006F4D48" w:rsidRDefault="00AC7376" w:rsidP="006F4D48">
                            <w:pPr>
                              <w:spacing w:after="0" w:line="240" w:lineRule="auto"/>
                              <w:ind w:firstLine="0"/>
                              <w:rPr>
                                <w:rFonts w:asciiTheme="minorHAnsi" w:hAnsiTheme="minorHAnsi" w:cstheme="minorHAnsi"/>
                                <w:b/>
                                <w:bCs/>
                                <w:noProof/>
                                <w:sz w:val="24"/>
                                <w:szCs w:val="24"/>
                              </w:rPr>
                            </w:pPr>
                            <w:r w:rsidRPr="00AE5A8D">
                              <w:rPr>
                                <w:rFonts w:asciiTheme="minorHAnsi" w:hAnsiTheme="minorHAnsi" w:cstheme="minorHAnsi"/>
                                <w:b/>
                                <w:bCs/>
                                <w:noProof/>
                                <w:sz w:val="24"/>
                                <w:szCs w:val="24"/>
                              </w:rPr>
                              <w:t>A</w:t>
                            </w:r>
                            <w:r>
                              <w:rPr>
                                <w:rFonts w:asciiTheme="minorHAnsi" w:hAnsiTheme="minorHAnsi" w:cstheme="minorHAnsi"/>
                                <w:b/>
                                <w:bCs/>
                                <w:noProof/>
                                <w:sz w:val="24"/>
                                <w:szCs w:val="24"/>
                              </w:rPr>
                              <w:t>)</w:t>
                            </w:r>
                            <w:r w:rsidR="00AE4A9E">
                              <w:rPr>
                                <w:rFonts w:asciiTheme="minorHAnsi" w:hAnsiTheme="minorHAnsi" w:cstheme="minorHAnsi"/>
                                <w:b/>
                                <w:bCs/>
                                <w:noProof/>
                                <w:sz w:val="24"/>
                                <w:szCs w:val="24"/>
                              </w:rPr>
                              <w:t xml:space="preserve"> </w:t>
                            </w:r>
                            <w:r w:rsidRPr="00AE5A8D">
                              <w:rPr>
                                <w:rFonts w:asciiTheme="minorHAnsi" w:hAnsiTheme="minorHAnsi" w:cstheme="minorHAnsi"/>
                                <w:b/>
                                <w:bCs/>
                                <w:noProof/>
                                <w:sz w:val="24"/>
                                <w:szCs w:val="24"/>
                              </w:rPr>
                              <w:t>Blank extract</w:t>
                            </w:r>
                          </w:p>
                          <w:p w14:paraId="7997C11C" w14:textId="77777777" w:rsidR="00C00072" w:rsidRDefault="00AC7376" w:rsidP="006F4D48">
                            <w:pPr>
                              <w:spacing w:after="0" w:line="240" w:lineRule="auto"/>
                              <w:ind w:firstLine="0"/>
                              <w:rPr>
                                <w:rFonts w:asciiTheme="minorHAnsi" w:hAnsiTheme="minorHAnsi" w:cstheme="minorHAnsi"/>
                                <w:b/>
                                <w:bCs/>
                                <w:noProof/>
                                <w:sz w:val="28"/>
                                <w:szCs w:val="28"/>
                              </w:rPr>
                            </w:pPr>
                            <w:r w:rsidRPr="00B26652">
                              <w:rPr>
                                <w:noProof/>
                              </w:rPr>
                              <w:drawing>
                                <wp:inline distT="0" distB="0" distL="0" distR="0" wp14:anchorId="427EC97B" wp14:editId="656627DD">
                                  <wp:extent cx="2747715" cy="1956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2747715" cy="1956000"/>
                                          </a:xfrm>
                                          <a:prstGeom prst="rect">
                                            <a:avLst/>
                                          </a:prstGeom>
                                        </pic:spPr>
                                      </pic:pic>
                                    </a:graphicData>
                                  </a:graphic>
                                </wp:inline>
                              </w:drawing>
                            </w:r>
                            <w:r w:rsidRPr="00B26652">
                              <w:rPr>
                                <w:noProof/>
                              </w:rPr>
                              <w:drawing>
                                <wp:inline distT="0" distB="0" distL="0" distR="0" wp14:anchorId="62583141" wp14:editId="6F9CC865">
                                  <wp:extent cx="2747209" cy="1944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a:extLst>
                                              <a:ext uri="{28A0092B-C50C-407E-A947-70E740481C1C}">
                                                <a14:useLocalDpi xmlns:a14="http://schemas.microsoft.com/office/drawing/2010/main" val="0"/>
                                              </a:ext>
                                            </a:extLst>
                                          </a:blip>
                                          <a:stretch>
                                            <a:fillRect/>
                                          </a:stretch>
                                        </pic:blipFill>
                                        <pic:spPr>
                                          <a:xfrm>
                                            <a:off x="0" y="0"/>
                                            <a:ext cx="2747209" cy="1944000"/>
                                          </a:xfrm>
                                          <a:prstGeom prst="rect">
                                            <a:avLst/>
                                          </a:prstGeom>
                                        </pic:spPr>
                                      </pic:pic>
                                    </a:graphicData>
                                  </a:graphic>
                                </wp:inline>
                              </w:drawing>
                            </w:r>
                          </w:p>
                          <w:p w14:paraId="7D5BB3C6" w14:textId="1FED676C" w:rsidR="00C00072" w:rsidRDefault="00C00072" w:rsidP="006F4D48">
                            <w:pPr>
                              <w:spacing w:after="0" w:line="240" w:lineRule="auto"/>
                              <w:ind w:firstLine="0"/>
                              <w:rPr>
                                <w:rFonts w:asciiTheme="minorHAnsi" w:hAnsiTheme="minorHAnsi" w:cstheme="minorHAnsi"/>
                                <w:b/>
                                <w:bCs/>
                                <w:noProof/>
                                <w:sz w:val="28"/>
                                <w:szCs w:val="28"/>
                              </w:rPr>
                            </w:pPr>
                            <w:r>
                              <w:rPr>
                                <w:rFonts w:asciiTheme="minorHAnsi" w:hAnsiTheme="minorHAnsi" w:cstheme="minorHAnsi"/>
                                <w:b/>
                                <w:bCs/>
                                <w:noProof/>
                                <w:sz w:val="28"/>
                                <w:szCs w:val="28"/>
                              </w:rPr>
                              <w:tab/>
                            </w:r>
                            <w:r>
                              <w:rPr>
                                <w:rFonts w:asciiTheme="minorHAnsi" w:hAnsiTheme="minorHAnsi" w:cstheme="minorHAnsi"/>
                                <w:b/>
                                <w:bCs/>
                                <w:noProof/>
                                <w:sz w:val="28"/>
                                <w:szCs w:val="28"/>
                              </w:rPr>
                              <w:tab/>
                            </w:r>
                            <w:r>
                              <w:rPr>
                                <w:rFonts w:asciiTheme="minorHAnsi" w:hAnsiTheme="minorHAnsi" w:cstheme="minorHAnsi"/>
                                <w:b/>
                                <w:bCs/>
                                <w:noProof/>
                                <w:sz w:val="28"/>
                                <w:szCs w:val="28"/>
                              </w:rPr>
                              <w:tab/>
                            </w:r>
                            <w:r>
                              <w:rPr>
                                <w:rFonts w:asciiTheme="minorHAnsi" w:hAnsiTheme="minorHAnsi" w:cstheme="minorHAnsi"/>
                                <w:b/>
                                <w:bCs/>
                                <w:noProof/>
                                <w:sz w:val="28"/>
                                <w:szCs w:val="28"/>
                              </w:rPr>
                              <w:tab/>
                            </w:r>
                            <w:r>
                              <w:rPr>
                                <w:rFonts w:asciiTheme="minorHAnsi" w:hAnsiTheme="minorHAnsi" w:cstheme="minorHAnsi"/>
                                <w:b/>
                                <w:bCs/>
                                <w:noProof/>
                                <w:sz w:val="28"/>
                                <w:szCs w:val="28"/>
                              </w:rPr>
                              <w:tab/>
                            </w:r>
                            <w:r>
                              <w:rPr>
                                <w:rFonts w:asciiTheme="minorHAnsi" w:hAnsiTheme="minorHAnsi" w:cstheme="minorHAnsi"/>
                                <w:b/>
                                <w:bCs/>
                                <w:noProof/>
                                <w:sz w:val="28"/>
                                <w:szCs w:val="28"/>
                              </w:rPr>
                              <w:tab/>
                              <w:t>B)</w:t>
                            </w:r>
                          </w:p>
                          <w:p w14:paraId="50F98F04" w14:textId="5821E00C" w:rsidR="00AC7376" w:rsidRDefault="00AC7376" w:rsidP="006F4D48">
                            <w:pPr>
                              <w:spacing w:after="0" w:line="240" w:lineRule="auto"/>
                              <w:ind w:firstLine="0"/>
                              <w:rPr>
                                <w:rFonts w:asciiTheme="minorHAnsi" w:hAnsiTheme="minorHAnsi" w:cstheme="minorHAnsi"/>
                                <w:b/>
                                <w:bCs/>
                                <w:noProof/>
                                <w:sz w:val="28"/>
                                <w:szCs w:val="28"/>
                              </w:rPr>
                            </w:pPr>
                            <w:r w:rsidRPr="00B26652">
                              <w:rPr>
                                <w:noProof/>
                              </w:rPr>
                              <w:drawing>
                                <wp:inline distT="0" distB="0" distL="0" distR="0" wp14:anchorId="30C39552" wp14:editId="3BCFBDF5">
                                  <wp:extent cx="2747210" cy="194400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a:extLst>
                                              <a:ext uri="{28A0092B-C50C-407E-A947-70E740481C1C}">
                                                <a14:useLocalDpi xmlns:a14="http://schemas.microsoft.com/office/drawing/2010/main" val="0"/>
                                              </a:ext>
                                            </a:extLst>
                                          </a:blip>
                                          <a:stretch>
                                            <a:fillRect/>
                                          </a:stretch>
                                        </pic:blipFill>
                                        <pic:spPr>
                                          <a:xfrm>
                                            <a:off x="0" y="0"/>
                                            <a:ext cx="2747210" cy="1944000"/>
                                          </a:xfrm>
                                          <a:prstGeom prst="rect">
                                            <a:avLst/>
                                          </a:prstGeom>
                                        </pic:spPr>
                                      </pic:pic>
                                    </a:graphicData>
                                  </a:graphic>
                                </wp:inline>
                              </w:drawing>
                            </w:r>
                            <w:r w:rsidR="00C00072" w:rsidRPr="00B8258D">
                              <w:rPr>
                                <w:rFonts w:asciiTheme="minorHAnsi" w:hAnsiTheme="minorHAnsi" w:cstheme="minorHAnsi"/>
                                <w:b/>
                                <w:bCs/>
                                <w:noProof/>
                                <w:sz w:val="28"/>
                                <w:szCs w:val="28"/>
                              </w:rPr>
                              <w:drawing>
                                <wp:inline distT="0" distB="0" distL="0" distR="0" wp14:anchorId="7B2595FB" wp14:editId="6BF7AA01">
                                  <wp:extent cx="2592736" cy="1864563"/>
                                  <wp:effectExtent l="0" t="0" r="0" b="2540"/>
                                  <wp:docPr id="513" name="Picture 51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bar 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592736" cy="1864563"/>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type w14:anchorId="5AED4507" id="_x0000_t202" coordsize="21600,21600" o:spt="202" path="m,l,21600r21600,l21600,xe">
                <v:stroke joinstyle="miter"/>
                <v:path gradientshapeok="t" o:connecttype="rect"/>
              </v:shapetype>
              <v:shape id="Text Box 1" o:spid="_x0000_s1026" type="#_x0000_t202" style="width:450.7pt;height:35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" filled="f" strokecolor="black [3213]" strokeweight=".5pt">
                <v:textbox inset="1mm,0,1mm,0">
                  <w:txbxContent>
                    <w:p w14:paraId="7BA2BA8A" w14:textId="050EE333" w:rsidR="00AC7376" w:rsidRDefault="00AC7376" w:rsidP="00EE6B5C">
                      <w:pPr>
                        <w:spacing w:after="0" w:line="240" w:lineRule="auto"/>
                        <w:ind w:firstLine="0"/>
                        <w:rPr>
                          <w:noProof/>
                        </w:rPr>
                      </w:pPr>
                      <w:r w:rsidRPr="00AE6573">
                        <w:rPr>
                          <w:noProof/>
                        </w:rPr>
                        <w:drawing>
                          <wp:inline distT="0" distB="0" distL="0" distR="0" wp14:anchorId="74937A41" wp14:editId="58C61775">
                            <wp:extent cx="5482590" cy="185195"/>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95534"/>
                                    <a:stretch/>
                                  </pic:blipFill>
                                  <pic:spPr bwMode="auto">
                                    <a:xfrm>
                                      <a:off x="0" y="0"/>
                                      <a:ext cx="5482590" cy="185195"/>
                                    </a:xfrm>
                                    <a:prstGeom prst="rect">
                                      <a:avLst/>
                                    </a:prstGeom>
                                    <a:ln>
                                      <a:noFill/>
                                    </a:ln>
                                    <a:extLst>
                                      <a:ext uri="{53640926-AAD7-44D8-BBD7-CCE9431645EC}">
                                        <a14:shadowObscured xmlns:a14="http://schemas.microsoft.com/office/drawing/2010/main"/>
                                      </a:ext>
                                    </a:extLst>
                                  </pic:spPr>
                                </pic:pic>
                              </a:graphicData>
                            </a:graphic>
                          </wp:inline>
                        </w:drawing>
                      </w:r>
                    </w:p>
                    <w:p w14:paraId="73BD33F5" w14:textId="3D13FDF9" w:rsidR="006F4D48" w:rsidRDefault="00AC7376" w:rsidP="006F4D48">
                      <w:pPr>
                        <w:spacing w:after="0" w:line="240" w:lineRule="auto"/>
                        <w:ind w:firstLine="0"/>
                        <w:rPr>
                          <w:rFonts w:asciiTheme="minorHAnsi" w:hAnsiTheme="minorHAnsi" w:cstheme="minorHAnsi"/>
                          <w:b/>
                          <w:bCs/>
                          <w:noProof/>
                          <w:sz w:val="24"/>
                          <w:szCs w:val="24"/>
                        </w:rPr>
                      </w:pPr>
                      <w:r w:rsidRPr="00AE5A8D">
                        <w:rPr>
                          <w:rFonts w:asciiTheme="minorHAnsi" w:hAnsiTheme="minorHAnsi" w:cstheme="minorHAnsi"/>
                          <w:b/>
                          <w:bCs/>
                          <w:noProof/>
                          <w:sz w:val="24"/>
                          <w:szCs w:val="24"/>
                        </w:rPr>
                        <w:t>A</w:t>
                      </w:r>
                      <w:r>
                        <w:rPr>
                          <w:rFonts w:asciiTheme="minorHAnsi" w:hAnsiTheme="minorHAnsi" w:cstheme="minorHAnsi"/>
                          <w:b/>
                          <w:bCs/>
                          <w:noProof/>
                          <w:sz w:val="24"/>
                          <w:szCs w:val="24"/>
                        </w:rPr>
                        <w:t>)</w:t>
                      </w:r>
                      <w:r w:rsidR="00AE4A9E">
                        <w:rPr>
                          <w:rFonts w:asciiTheme="minorHAnsi" w:hAnsiTheme="minorHAnsi" w:cstheme="minorHAnsi"/>
                          <w:b/>
                          <w:bCs/>
                          <w:noProof/>
                          <w:sz w:val="24"/>
                          <w:szCs w:val="24"/>
                        </w:rPr>
                        <w:t xml:space="preserve"> </w:t>
                      </w:r>
                      <w:r w:rsidRPr="00AE5A8D">
                        <w:rPr>
                          <w:rFonts w:asciiTheme="minorHAnsi" w:hAnsiTheme="minorHAnsi" w:cstheme="minorHAnsi"/>
                          <w:b/>
                          <w:bCs/>
                          <w:noProof/>
                          <w:sz w:val="24"/>
                          <w:szCs w:val="24"/>
                        </w:rPr>
                        <w:t>Blank extract</w:t>
                      </w:r>
                    </w:p>
                    <w:p w14:paraId="7997C11C" w14:textId="77777777" w:rsidR="00C00072" w:rsidRDefault="00AC7376" w:rsidP="006F4D48">
                      <w:pPr>
                        <w:spacing w:after="0" w:line="240" w:lineRule="auto"/>
                        <w:ind w:firstLine="0"/>
                        <w:rPr>
                          <w:rFonts w:asciiTheme="minorHAnsi" w:hAnsiTheme="minorHAnsi" w:cstheme="minorHAnsi"/>
                          <w:b/>
                          <w:bCs/>
                          <w:noProof/>
                          <w:sz w:val="28"/>
                          <w:szCs w:val="28"/>
                        </w:rPr>
                      </w:pPr>
                      <w:r w:rsidRPr="00B26652">
                        <w:rPr>
                          <w:noProof/>
                        </w:rPr>
                        <w:drawing>
                          <wp:inline distT="0" distB="0" distL="0" distR="0" wp14:anchorId="427EC97B" wp14:editId="656627DD">
                            <wp:extent cx="2747715" cy="1956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7">
                                      <a:extLst>
                                        <a:ext uri="{28A0092B-C50C-407E-A947-70E740481C1C}">
                                          <a14:useLocalDpi xmlns:a14="http://schemas.microsoft.com/office/drawing/2010/main" val="0"/>
                                        </a:ext>
                                      </a:extLst>
                                    </a:blip>
                                    <a:stretch>
                                      <a:fillRect/>
                                    </a:stretch>
                                  </pic:blipFill>
                                  <pic:spPr>
                                    <a:xfrm>
                                      <a:off x="0" y="0"/>
                                      <a:ext cx="2747715" cy="1956000"/>
                                    </a:xfrm>
                                    <a:prstGeom prst="rect">
                                      <a:avLst/>
                                    </a:prstGeom>
                                  </pic:spPr>
                                </pic:pic>
                              </a:graphicData>
                            </a:graphic>
                          </wp:inline>
                        </w:drawing>
                      </w:r>
                      <w:r w:rsidRPr="00B26652">
                        <w:rPr>
                          <w:noProof/>
                        </w:rPr>
                        <w:drawing>
                          <wp:inline distT="0" distB="0" distL="0" distR="0" wp14:anchorId="62583141" wp14:editId="6F9CC865">
                            <wp:extent cx="2747209" cy="1944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8">
                                      <a:extLst>
                                        <a:ext uri="{28A0092B-C50C-407E-A947-70E740481C1C}">
                                          <a14:useLocalDpi xmlns:a14="http://schemas.microsoft.com/office/drawing/2010/main" val="0"/>
                                        </a:ext>
                                      </a:extLst>
                                    </a:blip>
                                    <a:stretch>
                                      <a:fillRect/>
                                    </a:stretch>
                                  </pic:blipFill>
                                  <pic:spPr>
                                    <a:xfrm>
                                      <a:off x="0" y="0"/>
                                      <a:ext cx="2747209" cy="1944000"/>
                                    </a:xfrm>
                                    <a:prstGeom prst="rect">
                                      <a:avLst/>
                                    </a:prstGeom>
                                  </pic:spPr>
                                </pic:pic>
                              </a:graphicData>
                            </a:graphic>
                          </wp:inline>
                        </w:drawing>
                      </w:r>
                    </w:p>
                    <w:p w14:paraId="7D5BB3C6" w14:textId="1FED676C" w:rsidR="00C00072" w:rsidRDefault="00C00072" w:rsidP="006F4D48">
                      <w:pPr>
                        <w:spacing w:after="0" w:line="240" w:lineRule="auto"/>
                        <w:ind w:firstLine="0"/>
                        <w:rPr>
                          <w:rFonts w:asciiTheme="minorHAnsi" w:hAnsiTheme="minorHAnsi" w:cstheme="minorHAnsi"/>
                          <w:b/>
                          <w:bCs/>
                          <w:noProof/>
                          <w:sz w:val="28"/>
                          <w:szCs w:val="28"/>
                        </w:rPr>
                      </w:pPr>
                      <w:r>
                        <w:rPr>
                          <w:rFonts w:asciiTheme="minorHAnsi" w:hAnsiTheme="minorHAnsi" w:cstheme="minorHAnsi"/>
                          <w:b/>
                          <w:bCs/>
                          <w:noProof/>
                          <w:sz w:val="28"/>
                          <w:szCs w:val="28"/>
                        </w:rPr>
                        <w:tab/>
                      </w:r>
                      <w:r>
                        <w:rPr>
                          <w:rFonts w:asciiTheme="minorHAnsi" w:hAnsiTheme="minorHAnsi" w:cstheme="minorHAnsi"/>
                          <w:b/>
                          <w:bCs/>
                          <w:noProof/>
                          <w:sz w:val="28"/>
                          <w:szCs w:val="28"/>
                        </w:rPr>
                        <w:tab/>
                      </w:r>
                      <w:r>
                        <w:rPr>
                          <w:rFonts w:asciiTheme="minorHAnsi" w:hAnsiTheme="minorHAnsi" w:cstheme="minorHAnsi"/>
                          <w:b/>
                          <w:bCs/>
                          <w:noProof/>
                          <w:sz w:val="28"/>
                          <w:szCs w:val="28"/>
                        </w:rPr>
                        <w:tab/>
                      </w:r>
                      <w:r>
                        <w:rPr>
                          <w:rFonts w:asciiTheme="minorHAnsi" w:hAnsiTheme="minorHAnsi" w:cstheme="minorHAnsi"/>
                          <w:b/>
                          <w:bCs/>
                          <w:noProof/>
                          <w:sz w:val="28"/>
                          <w:szCs w:val="28"/>
                        </w:rPr>
                        <w:tab/>
                      </w:r>
                      <w:r>
                        <w:rPr>
                          <w:rFonts w:asciiTheme="minorHAnsi" w:hAnsiTheme="minorHAnsi" w:cstheme="minorHAnsi"/>
                          <w:b/>
                          <w:bCs/>
                          <w:noProof/>
                          <w:sz w:val="28"/>
                          <w:szCs w:val="28"/>
                        </w:rPr>
                        <w:tab/>
                      </w:r>
                      <w:r>
                        <w:rPr>
                          <w:rFonts w:asciiTheme="minorHAnsi" w:hAnsiTheme="minorHAnsi" w:cstheme="minorHAnsi"/>
                          <w:b/>
                          <w:bCs/>
                          <w:noProof/>
                          <w:sz w:val="28"/>
                          <w:szCs w:val="28"/>
                        </w:rPr>
                        <w:tab/>
                        <w:t>B)</w:t>
                      </w:r>
                    </w:p>
                    <w:p w14:paraId="50F98F04" w14:textId="5821E00C" w:rsidR="00AC7376" w:rsidRDefault="00AC7376" w:rsidP="006F4D48">
                      <w:pPr>
                        <w:spacing w:after="0" w:line="240" w:lineRule="auto"/>
                        <w:ind w:firstLine="0"/>
                        <w:rPr>
                          <w:rFonts w:asciiTheme="minorHAnsi" w:hAnsiTheme="minorHAnsi" w:cstheme="minorHAnsi"/>
                          <w:b/>
                          <w:bCs/>
                          <w:noProof/>
                          <w:sz w:val="28"/>
                          <w:szCs w:val="28"/>
                        </w:rPr>
                      </w:pPr>
                      <w:r w:rsidRPr="00B26652">
                        <w:rPr>
                          <w:noProof/>
                        </w:rPr>
                        <w:drawing>
                          <wp:inline distT="0" distB="0" distL="0" distR="0" wp14:anchorId="30C39552" wp14:editId="3BCFBDF5">
                            <wp:extent cx="2747210" cy="194400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9">
                                      <a:extLst>
                                        <a:ext uri="{28A0092B-C50C-407E-A947-70E740481C1C}">
                                          <a14:useLocalDpi xmlns:a14="http://schemas.microsoft.com/office/drawing/2010/main" val="0"/>
                                        </a:ext>
                                      </a:extLst>
                                    </a:blip>
                                    <a:stretch>
                                      <a:fillRect/>
                                    </a:stretch>
                                  </pic:blipFill>
                                  <pic:spPr>
                                    <a:xfrm>
                                      <a:off x="0" y="0"/>
                                      <a:ext cx="2747210" cy="1944000"/>
                                    </a:xfrm>
                                    <a:prstGeom prst="rect">
                                      <a:avLst/>
                                    </a:prstGeom>
                                  </pic:spPr>
                                </pic:pic>
                              </a:graphicData>
                            </a:graphic>
                          </wp:inline>
                        </w:drawing>
                      </w:r>
                      <w:r w:rsidR="00C00072" w:rsidRPr="00B8258D">
                        <w:rPr>
                          <w:rFonts w:asciiTheme="minorHAnsi" w:hAnsiTheme="minorHAnsi" w:cstheme="minorHAnsi"/>
                          <w:b/>
                          <w:bCs/>
                          <w:noProof/>
                          <w:sz w:val="28"/>
                          <w:szCs w:val="28"/>
                        </w:rPr>
                        <w:drawing>
                          <wp:inline distT="0" distB="0" distL="0" distR="0" wp14:anchorId="7B2595FB" wp14:editId="6BF7AA01">
                            <wp:extent cx="2592736" cy="1864563"/>
                            <wp:effectExtent l="0" t="0" r="0" b="2540"/>
                            <wp:docPr id="513" name="Picture 51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bar char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592736" cy="1864563"/>
                                    </a:xfrm>
                                    <a:prstGeom prst="rect">
                                      <a:avLst/>
                                    </a:prstGeom>
                                  </pic:spPr>
                                </pic:pic>
                              </a:graphicData>
                            </a:graphic>
                          </wp:inline>
                        </w:drawing>
                      </w:r>
                    </w:p>
                  </w:txbxContent>
                </v:textbox>
                <w10:anchorlock/>
              </v:shape>
            </w:pict>
          </mc:Fallback>
        </mc:AlternateContent>
      </w:r>
      <w:r w:rsidR="00670906" w:rsidRPr="007F3C5D">
        <w:rPr>
          <w:b/>
          <w:bCs/>
          <w:sz w:val="16"/>
          <w:szCs w:val="16"/>
        </w:rPr>
        <w:t xml:space="preserve">Figure </w:t>
      </w:r>
      <w:r w:rsidR="002876C0" w:rsidRPr="007F3C5D">
        <w:rPr>
          <w:b/>
          <w:bCs/>
          <w:sz w:val="16"/>
          <w:szCs w:val="16"/>
        </w:rPr>
        <w:t>2</w:t>
      </w:r>
      <w:r w:rsidR="00670906" w:rsidRPr="007F3C5D">
        <w:rPr>
          <w:b/>
          <w:bCs/>
          <w:sz w:val="16"/>
          <w:szCs w:val="16"/>
        </w:rPr>
        <w:t xml:space="preserve">: Effect of Blank extract on neuronal (network) activity (A) and metabolic activity (B) of rat primary cortical </w:t>
      </w:r>
      <w:r w:rsidR="0011236D" w:rsidRPr="007F3C5D">
        <w:rPr>
          <w:b/>
          <w:bCs/>
          <w:sz w:val="16"/>
          <w:szCs w:val="16"/>
        </w:rPr>
        <w:t>cultures</w:t>
      </w:r>
      <w:r w:rsidR="00670906" w:rsidRPr="007F3C5D">
        <w:rPr>
          <w:b/>
          <w:bCs/>
          <w:sz w:val="16"/>
          <w:szCs w:val="16"/>
        </w:rPr>
        <w:t>.</w:t>
      </w:r>
      <w:r w:rsidR="00670906" w:rsidRPr="007F3C5D">
        <w:rPr>
          <w:sz w:val="16"/>
          <w:szCs w:val="16"/>
        </w:rPr>
        <w:t xml:space="preserve"> Effects on neuronal activity were assessed after 0.5 h, 24 h, 48 h and 120 h exposure.</w:t>
      </w:r>
      <w:r w:rsidR="00670906" w:rsidRPr="007F3C5D">
        <w:rPr>
          <w:b/>
          <w:bCs/>
          <w:sz w:val="16"/>
          <w:szCs w:val="16"/>
        </w:rPr>
        <w:t xml:space="preserve"> </w:t>
      </w:r>
      <w:r w:rsidR="00670906" w:rsidRPr="007F3C5D">
        <w:rPr>
          <w:sz w:val="16"/>
          <w:szCs w:val="16"/>
        </w:rPr>
        <w:t xml:space="preserve">Mean Spike Rate (MSR), Mean Burst Rate (MBR), and Mean Network Burst Rate (MNBR) are presented as mean treatment ratio (± SEM) normalized to </w:t>
      </w:r>
      <w:r w:rsidR="00670906" w:rsidRPr="007F3C5D">
        <w:rPr>
          <w:color w:val="000000" w:themeColor="text1"/>
          <w:sz w:val="16"/>
          <w:szCs w:val="16"/>
        </w:rPr>
        <w:t xml:space="preserve">control from n = 18 - 24 wells, N = 3. Effects ≤ 25% (2xSD of control; indicated by the grey area) </w:t>
      </w:r>
      <w:proofErr w:type="gramStart"/>
      <w:r w:rsidR="00670906" w:rsidRPr="007F3C5D">
        <w:rPr>
          <w:color w:val="000000" w:themeColor="text1"/>
          <w:sz w:val="16"/>
          <w:szCs w:val="16"/>
        </w:rPr>
        <w:t>are considered to be</w:t>
      </w:r>
      <w:proofErr w:type="gramEnd"/>
      <w:r w:rsidR="00670906" w:rsidRPr="007F3C5D">
        <w:rPr>
          <w:color w:val="000000" w:themeColor="text1"/>
          <w:sz w:val="16"/>
          <w:szCs w:val="16"/>
        </w:rPr>
        <w:t xml:space="preserve"> of limited toxicological relevance. Significant effects were determined by Welch’s ANOVA and if exceeding 25% of control indicated </w:t>
      </w:r>
      <w:proofErr w:type="gramStart"/>
      <w:r w:rsidR="00670906" w:rsidRPr="007F3C5D">
        <w:rPr>
          <w:color w:val="000000" w:themeColor="text1"/>
          <w:sz w:val="16"/>
          <w:szCs w:val="16"/>
        </w:rPr>
        <w:t xml:space="preserve">by  </w:t>
      </w:r>
      <w:r w:rsidR="00670906" w:rsidRPr="007F3C5D">
        <w:rPr>
          <w:color w:val="000000" w:themeColor="text1"/>
          <w:sz w:val="16"/>
          <w:szCs w:val="16"/>
          <w:vertAlign w:val="superscript"/>
        </w:rPr>
        <w:t>a</w:t>
      </w:r>
      <w:proofErr w:type="gramEnd"/>
      <w:r w:rsidR="00670906" w:rsidRPr="007F3C5D">
        <w:rPr>
          <w:color w:val="000000" w:themeColor="text1"/>
          <w:sz w:val="16"/>
          <w:szCs w:val="16"/>
        </w:rPr>
        <w:t xml:space="preserve">=p &lt; 0.05 for 0.5 h exposure compared to time-matched control, </w:t>
      </w:r>
      <w:r w:rsidR="00670906" w:rsidRPr="007F3C5D">
        <w:rPr>
          <w:color w:val="000000" w:themeColor="text1"/>
          <w:sz w:val="16"/>
          <w:szCs w:val="16"/>
          <w:vertAlign w:val="superscript"/>
        </w:rPr>
        <w:t>b</w:t>
      </w:r>
      <w:r w:rsidR="00670906" w:rsidRPr="007F3C5D">
        <w:rPr>
          <w:color w:val="000000" w:themeColor="text1"/>
          <w:sz w:val="16"/>
          <w:szCs w:val="16"/>
        </w:rPr>
        <w:t xml:space="preserve">=p &lt; 0.05 for 24 h exposure compared to time-matched control, </w:t>
      </w:r>
      <w:r w:rsidR="00670906" w:rsidRPr="007F3C5D">
        <w:rPr>
          <w:color w:val="000000" w:themeColor="text1"/>
          <w:sz w:val="16"/>
          <w:szCs w:val="16"/>
          <w:vertAlign w:val="superscript"/>
        </w:rPr>
        <w:t>c</w:t>
      </w:r>
      <w:r w:rsidR="00670906" w:rsidRPr="007F3C5D">
        <w:rPr>
          <w:color w:val="000000" w:themeColor="text1"/>
          <w:sz w:val="16"/>
          <w:szCs w:val="16"/>
        </w:rPr>
        <w:t xml:space="preserve">=p &lt; 0.05 for 48 h exposure compared to time-matched control, </w:t>
      </w:r>
      <w:r w:rsidR="00670906" w:rsidRPr="007F3C5D">
        <w:rPr>
          <w:color w:val="000000" w:themeColor="text1"/>
          <w:sz w:val="16"/>
          <w:szCs w:val="16"/>
          <w:vertAlign w:val="superscript"/>
        </w:rPr>
        <w:t>d</w:t>
      </w:r>
      <w:r w:rsidR="00670906" w:rsidRPr="007F3C5D">
        <w:rPr>
          <w:color w:val="000000" w:themeColor="text1"/>
          <w:sz w:val="16"/>
          <w:szCs w:val="16"/>
        </w:rPr>
        <w:t xml:space="preserve">=p &lt; 0.05 for 120 h exposure compared to time-matched control. Cell viability was determined after 120 h exposure and data is presented as mean (± SD) normalized to control from n = 19 - 24 wells, N = 3. </w:t>
      </w:r>
      <w:r w:rsidR="00670906" w:rsidRPr="007F3C5D">
        <w:rPr>
          <w:sz w:val="16"/>
          <w:szCs w:val="16"/>
        </w:rPr>
        <w:t>Effects ≤ 10% (indicated by the grey area) are considered as biological variability. Significant effects were determined by ordinary one-way ANOVA. *=p &lt; 0.05 compared to control and exceeding 10%.</w:t>
      </w:r>
      <w:bookmarkStart w:id="39" w:name="_Toc91775072"/>
    </w:p>
    <w:p w14:paraId="5226706D" w14:textId="210C6F61" w:rsidR="006F4D48" w:rsidRPr="007F3C5D" w:rsidRDefault="006F4D48" w:rsidP="00A14895">
      <w:pPr>
        <w:pStyle w:val="Heading2"/>
      </w:pPr>
      <w:bookmarkStart w:id="40" w:name="_Toc100781388"/>
      <w:bookmarkStart w:id="41" w:name="_Toc101374934"/>
      <w:r w:rsidRPr="007F3C5D">
        <w:t>Carbon and Copper oxide particles exposure did not induce change in neuronal activity in non-cytotoxic range</w:t>
      </w:r>
      <w:bookmarkEnd w:id="39"/>
      <w:bookmarkEnd w:id="40"/>
      <w:bookmarkEnd w:id="41"/>
    </w:p>
    <w:p w14:paraId="27B3D9E5" w14:textId="01E1692A" w:rsidR="006F4D48" w:rsidRPr="007F3C5D" w:rsidRDefault="006F4D48" w:rsidP="00A14895">
      <w:r w:rsidRPr="007F3C5D">
        <w:t>For acute and subchronic exposure to 1</w:t>
      </w:r>
      <w:r w:rsidR="00670906" w:rsidRPr="007F3C5D">
        <w:t> </w:t>
      </w:r>
      <w:r w:rsidRPr="007F3C5D">
        <w:t>-</w:t>
      </w:r>
      <w:r w:rsidR="00670906" w:rsidRPr="007F3C5D">
        <w:t> </w:t>
      </w:r>
      <w:r w:rsidRPr="007F3C5D">
        <w:t xml:space="preserve">100 µg/mL carbon particles no change in any of the neuronal activity parameters was observed (fig. </w:t>
      </w:r>
      <w:r w:rsidR="002876C0" w:rsidRPr="007F3C5D">
        <w:t>3</w:t>
      </w:r>
      <w:r w:rsidRPr="007F3C5D">
        <w:t>A). However, after 120 h exposure the metabolic activity was significantly decreased at 30</w:t>
      </w:r>
      <w:r w:rsidR="00670906" w:rsidRPr="007F3C5D">
        <w:t> </w:t>
      </w:r>
      <w:r w:rsidRPr="007F3C5D">
        <w:t>µg/mL (fig</w:t>
      </w:r>
      <w:r w:rsidR="005F6099" w:rsidRPr="007F3C5D">
        <w:t>.</w:t>
      </w:r>
      <w:r w:rsidRPr="007F3C5D">
        <w:t xml:space="preserve"> </w:t>
      </w:r>
      <w:r w:rsidR="002876C0" w:rsidRPr="007F3C5D">
        <w:t>4</w:t>
      </w:r>
      <w:r w:rsidRPr="007F3C5D">
        <w:t>A), indicating decreased cell viability.</w:t>
      </w:r>
    </w:p>
    <w:p w14:paraId="3CC62862" w14:textId="53D56DDE" w:rsidR="00866F09" w:rsidRPr="007F3C5D" w:rsidRDefault="006F4D48" w:rsidP="00A14895">
      <w:r w:rsidRPr="007F3C5D">
        <w:t>Copper oxide particles decreased the MSR, MBR and MNBR after subchronic 24</w:t>
      </w:r>
      <w:r w:rsidR="00670906" w:rsidRPr="007F3C5D">
        <w:t> </w:t>
      </w:r>
      <w:r w:rsidRPr="007F3C5D">
        <w:t>h exposure to 1</w:t>
      </w:r>
      <w:r w:rsidR="00670906" w:rsidRPr="007F3C5D">
        <w:t> </w:t>
      </w:r>
      <w:r w:rsidRPr="007F3C5D">
        <w:t xml:space="preserve">µg/mL (fig. </w:t>
      </w:r>
      <w:r w:rsidR="002876C0" w:rsidRPr="007F3C5D">
        <w:t>3</w:t>
      </w:r>
      <w:r w:rsidRPr="007F3C5D">
        <w:t>B). However, after 120 h the metabolic activity shows a concentration-dependent reduction for concentration from 0.3</w:t>
      </w:r>
      <w:r w:rsidR="00670906" w:rsidRPr="007F3C5D">
        <w:t> </w:t>
      </w:r>
      <w:r w:rsidRPr="007F3C5D">
        <w:t xml:space="preserve">µg/mL (fig. </w:t>
      </w:r>
      <w:r w:rsidR="002876C0" w:rsidRPr="007F3C5D">
        <w:t>4</w:t>
      </w:r>
      <w:r w:rsidRPr="007F3C5D">
        <w:t>B).</w:t>
      </w:r>
    </w:p>
    <w:p w14:paraId="523A0FE7" w14:textId="1CA7D0EA" w:rsidR="006F4D48" w:rsidRPr="007F3C5D" w:rsidRDefault="006F4D48" w:rsidP="00A14895">
      <w:pPr>
        <w:pStyle w:val="Caption"/>
        <w:spacing w:after="0" w:line="276" w:lineRule="auto"/>
        <w:rPr>
          <w:rFonts w:ascii="Cambria" w:hAnsi="Cambria"/>
          <w:i w:val="0"/>
          <w:iCs w:val="0"/>
          <w:color w:val="auto"/>
          <w:sz w:val="16"/>
          <w:szCs w:val="16"/>
          <w:lang w:val="en-US"/>
        </w:rPr>
      </w:pPr>
      <w:r w:rsidRPr="007F3C5D">
        <w:rPr>
          <w:rFonts w:ascii="Cambria" w:hAnsi="Cambria"/>
          <w:noProof/>
          <w:lang w:val="en-US"/>
        </w:rPr>
        <w:lastRenderedPageBreak/>
        <mc:AlternateContent>
          <mc:Choice Requires="wps">
            <w:drawing>
              <wp:inline distT="0" distB="0" distL="0" distR="0" wp14:anchorId="194537C9" wp14:editId="70254023">
                <wp:extent cx="5724000" cy="6127075"/>
                <wp:effectExtent l="0" t="0" r="16510" b="7620"/>
                <wp:docPr id="65" name="Text Box 65"/>
                <wp:cNvGraphicFramePr/>
                <a:graphic xmlns:a="http://schemas.openxmlformats.org/drawingml/2006/main">
                  <a:graphicData uri="http://schemas.microsoft.com/office/word/2010/wordprocessingShape">
                    <wps:wsp>
                      <wps:cNvSpPr txBox="1"/>
                      <wps:spPr>
                        <a:xfrm>
                          <a:off x="0" y="0"/>
                          <a:ext cx="5724000" cy="6127075"/>
                        </a:xfrm>
                        <a:prstGeom prst="rect">
                          <a:avLst/>
                        </a:prstGeom>
                        <a:noFill/>
                        <a:ln w="6350">
                          <a:solidFill>
                            <a:schemeClr val="tx1"/>
                          </a:solidFill>
                        </a:ln>
                      </wps:spPr>
                      <wps:txbx>
                        <w:txbxContent>
                          <w:p w14:paraId="4EDCB550" w14:textId="79B0FA3F" w:rsidR="006F4D48" w:rsidRDefault="006F4D48" w:rsidP="00EE6B5C">
                            <w:pPr>
                              <w:spacing w:after="0" w:line="240" w:lineRule="auto"/>
                              <w:ind w:firstLine="0"/>
                              <w:rPr>
                                <w:rFonts w:asciiTheme="minorHAnsi" w:hAnsiTheme="minorHAnsi" w:cstheme="minorHAnsi"/>
                                <w:b/>
                                <w:bCs/>
                                <w:noProof/>
                                <w:sz w:val="28"/>
                                <w:szCs w:val="28"/>
                              </w:rPr>
                            </w:pPr>
                            <w:r w:rsidRPr="00AE6573">
                              <w:rPr>
                                <w:noProof/>
                              </w:rPr>
                              <w:drawing>
                                <wp:inline distT="0" distB="0" distL="0" distR="0" wp14:anchorId="096AAA5C" wp14:editId="5C164843">
                                  <wp:extent cx="5482590" cy="185195"/>
                                  <wp:effectExtent l="0" t="0" r="0" b="571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95534"/>
                                          <a:stretch/>
                                        </pic:blipFill>
                                        <pic:spPr bwMode="auto">
                                          <a:xfrm>
                                            <a:off x="0" y="0"/>
                                            <a:ext cx="5482590" cy="185195"/>
                                          </a:xfrm>
                                          <a:prstGeom prst="rect">
                                            <a:avLst/>
                                          </a:prstGeom>
                                          <a:ln>
                                            <a:noFill/>
                                          </a:ln>
                                          <a:extLst>
                                            <a:ext uri="{53640926-AAD7-44D8-BBD7-CCE9431645EC}">
                                              <a14:shadowObscured xmlns:a14="http://schemas.microsoft.com/office/drawing/2010/main"/>
                                            </a:ext>
                                          </a:extLst>
                                        </pic:spPr>
                                      </pic:pic>
                                    </a:graphicData>
                                  </a:graphic>
                                </wp:inline>
                              </w:drawing>
                            </w:r>
                          </w:p>
                          <w:p w14:paraId="0424A95D" w14:textId="6F753F24" w:rsidR="006F4D48" w:rsidRPr="00C03225" w:rsidRDefault="006F4D48" w:rsidP="00E038A6">
                            <w:pPr>
                              <w:spacing w:after="0" w:line="240" w:lineRule="auto"/>
                              <w:ind w:firstLine="0"/>
                              <w:rPr>
                                <w:rFonts w:asciiTheme="minorHAnsi" w:hAnsiTheme="minorHAnsi" w:cstheme="minorHAnsi"/>
                                <w:b/>
                                <w:bCs/>
                                <w:noProof/>
                                <w:sz w:val="24"/>
                                <w:szCs w:val="24"/>
                              </w:rPr>
                            </w:pPr>
                            <w:r w:rsidRPr="00C03225">
                              <w:rPr>
                                <w:rFonts w:asciiTheme="minorHAnsi" w:hAnsiTheme="minorHAnsi" w:cstheme="minorHAnsi"/>
                                <w:b/>
                                <w:bCs/>
                                <w:noProof/>
                                <w:sz w:val="24"/>
                                <w:szCs w:val="24"/>
                              </w:rPr>
                              <w:t>A)</w:t>
                            </w:r>
                            <w:r w:rsidR="00AE4A9E" w:rsidRPr="00C03225">
                              <w:rPr>
                                <w:rFonts w:asciiTheme="minorHAnsi" w:hAnsiTheme="minorHAnsi" w:cstheme="minorHAnsi"/>
                                <w:b/>
                                <w:bCs/>
                                <w:noProof/>
                                <w:sz w:val="24"/>
                                <w:szCs w:val="24"/>
                              </w:rPr>
                              <w:t xml:space="preserve"> </w:t>
                            </w:r>
                            <w:r w:rsidRPr="00C03225">
                              <w:rPr>
                                <w:rFonts w:asciiTheme="minorHAnsi" w:hAnsiTheme="minorHAnsi" w:cstheme="minorHAnsi"/>
                                <w:b/>
                                <w:bCs/>
                                <w:noProof/>
                                <w:sz w:val="24"/>
                                <w:szCs w:val="24"/>
                              </w:rPr>
                              <w:t>Carbon particles</w:t>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00AE4A9E"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t>B)</w:t>
                            </w:r>
                            <w:r w:rsidR="00AE4A9E" w:rsidRPr="00C03225">
                              <w:rPr>
                                <w:rFonts w:asciiTheme="minorHAnsi" w:hAnsiTheme="minorHAnsi" w:cstheme="minorHAnsi"/>
                                <w:b/>
                                <w:bCs/>
                                <w:noProof/>
                                <w:sz w:val="24"/>
                                <w:szCs w:val="24"/>
                              </w:rPr>
                              <w:t xml:space="preserve"> </w:t>
                            </w:r>
                            <w:r w:rsidRPr="00C03225">
                              <w:rPr>
                                <w:rFonts w:asciiTheme="minorHAnsi" w:hAnsiTheme="minorHAnsi" w:cstheme="minorHAnsi"/>
                                <w:b/>
                                <w:bCs/>
                                <w:noProof/>
                                <w:sz w:val="24"/>
                                <w:szCs w:val="24"/>
                              </w:rPr>
                              <w:t>Copper oxide particles</w:t>
                            </w:r>
                          </w:p>
                          <w:p w14:paraId="0D820C76" w14:textId="77777777" w:rsidR="006F4D48" w:rsidRDefault="006F4D48" w:rsidP="006F4D48">
                            <w:pPr>
                              <w:spacing w:after="0" w:line="240" w:lineRule="auto"/>
                              <w:ind w:firstLine="0"/>
                              <w:rPr>
                                <w:rFonts w:asciiTheme="minorHAnsi" w:hAnsiTheme="minorHAnsi" w:cstheme="minorHAnsi"/>
                                <w:b/>
                                <w:bCs/>
                                <w:noProof/>
                                <w:sz w:val="28"/>
                                <w:szCs w:val="28"/>
                              </w:rPr>
                            </w:pPr>
                            <w:r w:rsidRPr="0005424D">
                              <w:rPr>
                                <w:noProof/>
                              </w:rPr>
                              <w:drawing>
                                <wp:inline distT="0" distB="0" distL="0" distR="0" wp14:anchorId="5DDF1F0F" wp14:editId="7CA6FA2C">
                                  <wp:extent cx="2689005" cy="1914207"/>
                                  <wp:effectExtent l="0" t="0" r="3810" b="381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1">
                                            <a:extLst>
                                              <a:ext uri="{28A0092B-C50C-407E-A947-70E740481C1C}">
                                                <a14:useLocalDpi xmlns:a14="http://schemas.microsoft.com/office/drawing/2010/main" val="0"/>
                                              </a:ext>
                                            </a:extLst>
                                          </a:blip>
                                          <a:stretch>
                                            <a:fillRect/>
                                          </a:stretch>
                                        </pic:blipFill>
                                        <pic:spPr>
                                          <a:xfrm>
                                            <a:off x="0" y="0"/>
                                            <a:ext cx="2689005" cy="1914207"/>
                                          </a:xfrm>
                                          <a:prstGeom prst="rect">
                                            <a:avLst/>
                                          </a:prstGeom>
                                        </pic:spPr>
                                      </pic:pic>
                                    </a:graphicData>
                                  </a:graphic>
                                </wp:inline>
                              </w:drawing>
                            </w:r>
                            <w:r w:rsidRPr="0005424D">
                              <w:rPr>
                                <w:rFonts w:asciiTheme="minorHAnsi" w:hAnsiTheme="minorHAnsi" w:cstheme="minorHAnsi"/>
                                <w:b/>
                                <w:bCs/>
                                <w:noProof/>
                                <w:sz w:val="28"/>
                                <w:szCs w:val="28"/>
                              </w:rPr>
                              <w:drawing>
                                <wp:inline distT="0" distB="0" distL="0" distR="0" wp14:anchorId="3F954F70" wp14:editId="6B37AF90">
                                  <wp:extent cx="2705106" cy="1914207"/>
                                  <wp:effectExtent l="0" t="0" r="0" b="381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2">
                                            <a:extLst>
                                              <a:ext uri="{28A0092B-C50C-407E-A947-70E740481C1C}">
                                                <a14:useLocalDpi xmlns:a14="http://schemas.microsoft.com/office/drawing/2010/main" val="0"/>
                                              </a:ext>
                                            </a:extLst>
                                          </a:blip>
                                          <a:stretch>
                                            <a:fillRect/>
                                          </a:stretch>
                                        </pic:blipFill>
                                        <pic:spPr>
                                          <a:xfrm>
                                            <a:off x="0" y="0"/>
                                            <a:ext cx="2705106" cy="1914207"/>
                                          </a:xfrm>
                                          <a:prstGeom prst="rect">
                                            <a:avLst/>
                                          </a:prstGeom>
                                        </pic:spPr>
                                      </pic:pic>
                                    </a:graphicData>
                                  </a:graphic>
                                </wp:inline>
                              </w:drawing>
                            </w:r>
                            <w:r w:rsidRPr="0005424D">
                              <w:rPr>
                                <w:noProof/>
                              </w:rPr>
                              <w:drawing>
                                <wp:inline distT="0" distB="0" distL="0" distR="0" wp14:anchorId="7467C33D" wp14:editId="03607CC8">
                                  <wp:extent cx="2705106" cy="1914207"/>
                                  <wp:effectExtent l="0" t="0" r="0" b="381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3">
                                            <a:extLst>
                                              <a:ext uri="{28A0092B-C50C-407E-A947-70E740481C1C}">
                                                <a14:useLocalDpi xmlns:a14="http://schemas.microsoft.com/office/drawing/2010/main" val="0"/>
                                              </a:ext>
                                            </a:extLst>
                                          </a:blip>
                                          <a:stretch>
                                            <a:fillRect/>
                                          </a:stretch>
                                        </pic:blipFill>
                                        <pic:spPr>
                                          <a:xfrm>
                                            <a:off x="0" y="0"/>
                                            <a:ext cx="2705106" cy="1914207"/>
                                          </a:xfrm>
                                          <a:prstGeom prst="rect">
                                            <a:avLst/>
                                          </a:prstGeom>
                                        </pic:spPr>
                                      </pic:pic>
                                    </a:graphicData>
                                  </a:graphic>
                                </wp:inline>
                              </w:drawing>
                            </w:r>
                            <w:r w:rsidRPr="0005424D">
                              <w:rPr>
                                <w:rFonts w:asciiTheme="minorHAnsi" w:hAnsiTheme="minorHAnsi" w:cstheme="minorHAnsi"/>
                                <w:b/>
                                <w:bCs/>
                                <w:noProof/>
                                <w:sz w:val="28"/>
                                <w:szCs w:val="28"/>
                              </w:rPr>
                              <w:drawing>
                                <wp:inline distT="0" distB="0" distL="0" distR="0" wp14:anchorId="34D3BFD0" wp14:editId="7A4F115E">
                                  <wp:extent cx="2689005" cy="1914207"/>
                                  <wp:effectExtent l="0" t="0" r="3810" b="381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4">
                                            <a:extLst>
                                              <a:ext uri="{28A0092B-C50C-407E-A947-70E740481C1C}">
                                                <a14:useLocalDpi xmlns:a14="http://schemas.microsoft.com/office/drawing/2010/main" val="0"/>
                                              </a:ext>
                                            </a:extLst>
                                          </a:blip>
                                          <a:stretch>
                                            <a:fillRect/>
                                          </a:stretch>
                                        </pic:blipFill>
                                        <pic:spPr>
                                          <a:xfrm>
                                            <a:off x="0" y="0"/>
                                            <a:ext cx="2689005" cy="1914207"/>
                                          </a:xfrm>
                                          <a:prstGeom prst="rect">
                                            <a:avLst/>
                                          </a:prstGeom>
                                        </pic:spPr>
                                      </pic:pic>
                                    </a:graphicData>
                                  </a:graphic>
                                </wp:inline>
                              </w:drawing>
                            </w:r>
                            <w:r w:rsidRPr="0005424D">
                              <w:rPr>
                                <w:noProof/>
                              </w:rPr>
                              <w:drawing>
                                <wp:inline distT="0" distB="0" distL="0" distR="0" wp14:anchorId="4F954630" wp14:editId="335F796F">
                                  <wp:extent cx="2705106" cy="1914207"/>
                                  <wp:effectExtent l="0" t="0" r="0" b="381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5">
                                            <a:extLst>
                                              <a:ext uri="{28A0092B-C50C-407E-A947-70E740481C1C}">
                                                <a14:useLocalDpi xmlns:a14="http://schemas.microsoft.com/office/drawing/2010/main" val="0"/>
                                              </a:ext>
                                            </a:extLst>
                                          </a:blip>
                                          <a:stretch>
                                            <a:fillRect/>
                                          </a:stretch>
                                        </pic:blipFill>
                                        <pic:spPr>
                                          <a:xfrm>
                                            <a:off x="0" y="0"/>
                                            <a:ext cx="2705106" cy="1914207"/>
                                          </a:xfrm>
                                          <a:prstGeom prst="rect">
                                            <a:avLst/>
                                          </a:prstGeom>
                                        </pic:spPr>
                                      </pic:pic>
                                    </a:graphicData>
                                  </a:graphic>
                                </wp:inline>
                              </w:drawing>
                            </w:r>
                            <w:r w:rsidRPr="0005424D">
                              <w:rPr>
                                <w:noProof/>
                              </w:rPr>
                              <w:drawing>
                                <wp:inline distT="0" distB="0" distL="0" distR="0" wp14:anchorId="56CC3FFD" wp14:editId="4294A928">
                                  <wp:extent cx="2705106" cy="1914207"/>
                                  <wp:effectExtent l="0" t="0" r="0" b="381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a:extLst>
                                              <a:ext uri="{28A0092B-C50C-407E-A947-70E740481C1C}">
                                                <a14:useLocalDpi xmlns:a14="http://schemas.microsoft.com/office/drawing/2010/main" val="0"/>
                                              </a:ext>
                                            </a:extLst>
                                          </a:blip>
                                          <a:stretch>
                                            <a:fillRect/>
                                          </a:stretch>
                                        </pic:blipFill>
                                        <pic:spPr>
                                          <a:xfrm>
                                            <a:off x="0" y="0"/>
                                            <a:ext cx="2705106" cy="1914207"/>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194537C9" id="Text Box 65" o:spid="_x0000_s1027" type="#_x0000_t202" style="width:450.7pt;height:48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" filled="f" strokecolor="black [3213]" strokeweight=".5pt">
                <v:textbox inset="1mm,0,1mm,0">
                  <w:txbxContent>
                    <w:p w14:paraId="4EDCB550" w14:textId="79B0FA3F" w:rsidR="006F4D48" w:rsidRDefault="006F4D48" w:rsidP="00EE6B5C">
                      <w:pPr>
                        <w:spacing w:after="0" w:line="240" w:lineRule="auto"/>
                        <w:ind w:firstLine="0"/>
                        <w:rPr>
                          <w:rFonts w:asciiTheme="minorHAnsi" w:hAnsiTheme="minorHAnsi" w:cstheme="minorHAnsi"/>
                          <w:b/>
                          <w:bCs/>
                          <w:noProof/>
                          <w:sz w:val="28"/>
                          <w:szCs w:val="28"/>
                        </w:rPr>
                      </w:pPr>
                      <w:r w:rsidRPr="00AE6573">
                        <w:rPr>
                          <w:noProof/>
                        </w:rPr>
                        <w:drawing>
                          <wp:inline distT="0" distB="0" distL="0" distR="0" wp14:anchorId="096AAA5C" wp14:editId="5C164843">
                            <wp:extent cx="5482590" cy="185195"/>
                            <wp:effectExtent l="0" t="0" r="0" b="571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95534"/>
                                    <a:stretch/>
                                  </pic:blipFill>
                                  <pic:spPr bwMode="auto">
                                    <a:xfrm>
                                      <a:off x="0" y="0"/>
                                      <a:ext cx="5482590" cy="185195"/>
                                    </a:xfrm>
                                    <a:prstGeom prst="rect">
                                      <a:avLst/>
                                    </a:prstGeom>
                                    <a:ln>
                                      <a:noFill/>
                                    </a:ln>
                                    <a:extLst>
                                      <a:ext uri="{53640926-AAD7-44D8-BBD7-CCE9431645EC}">
                                        <a14:shadowObscured xmlns:a14="http://schemas.microsoft.com/office/drawing/2010/main"/>
                                      </a:ext>
                                    </a:extLst>
                                  </pic:spPr>
                                </pic:pic>
                              </a:graphicData>
                            </a:graphic>
                          </wp:inline>
                        </w:drawing>
                      </w:r>
                    </w:p>
                    <w:p w14:paraId="0424A95D" w14:textId="6F753F24" w:rsidR="006F4D48" w:rsidRPr="00C03225" w:rsidRDefault="006F4D48" w:rsidP="00E038A6">
                      <w:pPr>
                        <w:spacing w:after="0" w:line="240" w:lineRule="auto"/>
                        <w:ind w:firstLine="0"/>
                        <w:rPr>
                          <w:rFonts w:asciiTheme="minorHAnsi" w:hAnsiTheme="minorHAnsi" w:cstheme="minorHAnsi"/>
                          <w:b/>
                          <w:bCs/>
                          <w:noProof/>
                          <w:sz w:val="24"/>
                          <w:szCs w:val="24"/>
                        </w:rPr>
                      </w:pPr>
                      <w:r w:rsidRPr="00C03225">
                        <w:rPr>
                          <w:rFonts w:asciiTheme="minorHAnsi" w:hAnsiTheme="minorHAnsi" w:cstheme="minorHAnsi"/>
                          <w:b/>
                          <w:bCs/>
                          <w:noProof/>
                          <w:sz w:val="24"/>
                          <w:szCs w:val="24"/>
                        </w:rPr>
                        <w:t>A)</w:t>
                      </w:r>
                      <w:r w:rsidR="00AE4A9E" w:rsidRPr="00C03225">
                        <w:rPr>
                          <w:rFonts w:asciiTheme="minorHAnsi" w:hAnsiTheme="minorHAnsi" w:cstheme="minorHAnsi"/>
                          <w:b/>
                          <w:bCs/>
                          <w:noProof/>
                          <w:sz w:val="24"/>
                          <w:szCs w:val="24"/>
                        </w:rPr>
                        <w:t xml:space="preserve"> </w:t>
                      </w:r>
                      <w:r w:rsidRPr="00C03225">
                        <w:rPr>
                          <w:rFonts w:asciiTheme="minorHAnsi" w:hAnsiTheme="minorHAnsi" w:cstheme="minorHAnsi"/>
                          <w:b/>
                          <w:bCs/>
                          <w:noProof/>
                          <w:sz w:val="24"/>
                          <w:szCs w:val="24"/>
                        </w:rPr>
                        <w:t>Carbon particles</w:t>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00AE4A9E"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t>B)</w:t>
                      </w:r>
                      <w:r w:rsidR="00AE4A9E" w:rsidRPr="00C03225">
                        <w:rPr>
                          <w:rFonts w:asciiTheme="minorHAnsi" w:hAnsiTheme="minorHAnsi" w:cstheme="minorHAnsi"/>
                          <w:b/>
                          <w:bCs/>
                          <w:noProof/>
                          <w:sz w:val="24"/>
                          <w:szCs w:val="24"/>
                        </w:rPr>
                        <w:t xml:space="preserve"> </w:t>
                      </w:r>
                      <w:r w:rsidRPr="00C03225">
                        <w:rPr>
                          <w:rFonts w:asciiTheme="minorHAnsi" w:hAnsiTheme="minorHAnsi" w:cstheme="minorHAnsi"/>
                          <w:b/>
                          <w:bCs/>
                          <w:noProof/>
                          <w:sz w:val="24"/>
                          <w:szCs w:val="24"/>
                        </w:rPr>
                        <w:t>Copper oxide particles</w:t>
                      </w:r>
                    </w:p>
                    <w:p w14:paraId="0D820C76" w14:textId="77777777" w:rsidR="006F4D48" w:rsidRDefault="006F4D48" w:rsidP="006F4D48">
                      <w:pPr>
                        <w:spacing w:after="0" w:line="240" w:lineRule="auto"/>
                        <w:ind w:firstLine="0"/>
                        <w:rPr>
                          <w:rFonts w:asciiTheme="minorHAnsi" w:hAnsiTheme="minorHAnsi" w:cstheme="minorHAnsi"/>
                          <w:b/>
                          <w:bCs/>
                          <w:noProof/>
                          <w:sz w:val="28"/>
                          <w:szCs w:val="28"/>
                        </w:rPr>
                      </w:pPr>
                      <w:r w:rsidRPr="0005424D">
                        <w:rPr>
                          <w:noProof/>
                        </w:rPr>
                        <w:drawing>
                          <wp:inline distT="0" distB="0" distL="0" distR="0" wp14:anchorId="5DDF1F0F" wp14:editId="7CA6FA2C">
                            <wp:extent cx="2689005" cy="1914207"/>
                            <wp:effectExtent l="0" t="0" r="3810" b="381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7">
                                      <a:extLst>
                                        <a:ext uri="{28A0092B-C50C-407E-A947-70E740481C1C}">
                                          <a14:useLocalDpi xmlns:a14="http://schemas.microsoft.com/office/drawing/2010/main" val="0"/>
                                        </a:ext>
                                      </a:extLst>
                                    </a:blip>
                                    <a:stretch>
                                      <a:fillRect/>
                                    </a:stretch>
                                  </pic:blipFill>
                                  <pic:spPr>
                                    <a:xfrm>
                                      <a:off x="0" y="0"/>
                                      <a:ext cx="2689005" cy="1914207"/>
                                    </a:xfrm>
                                    <a:prstGeom prst="rect">
                                      <a:avLst/>
                                    </a:prstGeom>
                                  </pic:spPr>
                                </pic:pic>
                              </a:graphicData>
                            </a:graphic>
                          </wp:inline>
                        </w:drawing>
                      </w:r>
                      <w:r w:rsidRPr="0005424D">
                        <w:rPr>
                          <w:rFonts w:asciiTheme="minorHAnsi" w:hAnsiTheme="minorHAnsi" w:cstheme="minorHAnsi"/>
                          <w:b/>
                          <w:bCs/>
                          <w:noProof/>
                          <w:sz w:val="28"/>
                          <w:szCs w:val="28"/>
                        </w:rPr>
                        <w:drawing>
                          <wp:inline distT="0" distB="0" distL="0" distR="0" wp14:anchorId="3F954F70" wp14:editId="6B37AF90">
                            <wp:extent cx="2705106" cy="1914207"/>
                            <wp:effectExtent l="0" t="0" r="0" b="381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8">
                                      <a:extLst>
                                        <a:ext uri="{28A0092B-C50C-407E-A947-70E740481C1C}">
                                          <a14:useLocalDpi xmlns:a14="http://schemas.microsoft.com/office/drawing/2010/main" val="0"/>
                                        </a:ext>
                                      </a:extLst>
                                    </a:blip>
                                    <a:stretch>
                                      <a:fillRect/>
                                    </a:stretch>
                                  </pic:blipFill>
                                  <pic:spPr>
                                    <a:xfrm>
                                      <a:off x="0" y="0"/>
                                      <a:ext cx="2705106" cy="1914207"/>
                                    </a:xfrm>
                                    <a:prstGeom prst="rect">
                                      <a:avLst/>
                                    </a:prstGeom>
                                  </pic:spPr>
                                </pic:pic>
                              </a:graphicData>
                            </a:graphic>
                          </wp:inline>
                        </w:drawing>
                      </w:r>
                      <w:r w:rsidRPr="0005424D">
                        <w:rPr>
                          <w:noProof/>
                        </w:rPr>
                        <w:drawing>
                          <wp:inline distT="0" distB="0" distL="0" distR="0" wp14:anchorId="7467C33D" wp14:editId="03607CC8">
                            <wp:extent cx="2705106" cy="1914207"/>
                            <wp:effectExtent l="0" t="0" r="0" b="381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9">
                                      <a:extLst>
                                        <a:ext uri="{28A0092B-C50C-407E-A947-70E740481C1C}">
                                          <a14:useLocalDpi xmlns:a14="http://schemas.microsoft.com/office/drawing/2010/main" val="0"/>
                                        </a:ext>
                                      </a:extLst>
                                    </a:blip>
                                    <a:stretch>
                                      <a:fillRect/>
                                    </a:stretch>
                                  </pic:blipFill>
                                  <pic:spPr>
                                    <a:xfrm>
                                      <a:off x="0" y="0"/>
                                      <a:ext cx="2705106" cy="1914207"/>
                                    </a:xfrm>
                                    <a:prstGeom prst="rect">
                                      <a:avLst/>
                                    </a:prstGeom>
                                  </pic:spPr>
                                </pic:pic>
                              </a:graphicData>
                            </a:graphic>
                          </wp:inline>
                        </w:drawing>
                      </w:r>
                      <w:r w:rsidRPr="0005424D">
                        <w:rPr>
                          <w:rFonts w:asciiTheme="minorHAnsi" w:hAnsiTheme="minorHAnsi" w:cstheme="minorHAnsi"/>
                          <w:b/>
                          <w:bCs/>
                          <w:noProof/>
                          <w:sz w:val="28"/>
                          <w:szCs w:val="28"/>
                        </w:rPr>
                        <w:drawing>
                          <wp:inline distT="0" distB="0" distL="0" distR="0" wp14:anchorId="34D3BFD0" wp14:editId="7A4F115E">
                            <wp:extent cx="2689005" cy="1914207"/>
                            <wp:effectExtent l="0" t="0" r="3810" b="381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0">
                                      <a:extLst>
                                        <a:ext uri="{28A0092B-C50C-407E-A947-70E740481C1C}">
                                          <a14:useLocalDpi xmlns:a14="http://schemas.microsoft.com/office/drawing/2010/main" val="0"/>
                                        </a:ext>
                                      </a:extLst>
                                    </a:blip>
                                    <a:stretch>
                                      <a:fillRect/>
                                    </a:stretch>
                                  </pic:blipFill>
                                  <pic:spPr>
                                    <a:xfrm>
                                      <a:off x="0" y="0"/>
                                      <a:ext cx="2689005" cy="1914207"/>
                                    </a:xfrm>
                                    <a:prstGeom prst="rect">
                                      <a:avLst/>
                                    </a:prstGeom>
                                  </pic:spPr>
                                </pic:pic>
                              </a:graphicData>
                            </a:graphic>
                          </wp:inline>
                        </w:drawing>
                      </w:r>
                      <w:r w:rsidRPr="0005424D">
                        <w:rPr>
                          <w:noProof/>
                        </w:rPr>
                        <w:drawing>
                          <wp:inline distT="0" distB="0" distL="0" distR="0" wp14:anchorId="4F954630" wp14:editId="335F796F">
                            <wp:extent cx="2705106" cy="1914207"/>
                            <wp:effectExtent l="0" t="0" r="0" b="381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1">
                                      <a:extLst>
                                        <a:ext uri="{28A0092B-C50C-407E-A947-70E740481C1C}">
                                          <a14:useLocalDpi xmlns:a14="http://schemas.microsoft.com/office/drawing/2010/main" val="0"/>
                                        </a:ext>
                                      </a:extLst>
                                    </a:blip>
                                    <a:stretch>
                                      <a:fillRect/>
                                    </a:stretch>
                                  </pic:blipFill>
                                  <pic:spPr>
                                    <a:xfrm>
                                      <a:off x="0" y="0"/>
                                      <a:ext cx="2705106" cy="1914207"/>
                                    </a:xfrm>
                                    <a:prstGeom prst="rect">
                                      <a:avLst/>
                                    </a:prstGeom>
                                  </pic:spPr>
                                </pic:pic>
                              </a:graphicData>
                            </a:graphic>
                          </wp:inline>
                        </w:drawing>
                      </w:r>
                      <w:r w:rsidRPr="0005424D">
                        <w:rPr>
                          <w:noProof/>
                        </w:rPr>
                        <w:drawing>
                          <wp:inline distT="0" distB="0" distL="0" distR="0" wp14:anchorId="56CC3FFD" wp14:editId="4294A928">
                            <wp:extent cx="2705106" cy="1914207"/>
                            <wp:effectExtent l="0" t="0" r="0" b="381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2">
                                      <a:extLst>
                                        <a:ext uri="{28A0092B-C50C-407E-A947-70E740481C1C}">
                                          <a14:useLocalDpi xmlns:a14="http://schemas.microsoft.com/office/drawing/2010/main" val="0"/>
                                        </a:ext>
                                      </a:extLst>
                                    </a:blip>
                                    <a:stretch>
                                      <a:fillRect/>
                                    </a:stretch>
                                  </pic:blipFill>
                                  <pic:spPr>
                                    <a:xfrm>
                                      <a:off x="0" y="0"/>
                                      <a:ext cx="2705106" cy="1914207"/>
                                    </a:xfrm>
                                    <a:prstGeom prst="rect">
                                      <a:avLst/>
                                    </a:prstGeom>
                                  </pic:spPr>
                                </pic:pic>
                              </a:graphicData>
                            </a:graphic>
                          </wp:inline>
                        </w:drawing>
                      </w:r>
                    </w:p>
                  </w:txbxContent>
                </v:textbox>
                <w10:anchorlock/>
              </v:shape>
            </w:pict>
          </mc:Fallback>
        </mc:AlternateContent>
      </w:r>
      <w:r w:rsidR="00670906" w:rsidRPr="007F3C5D">
        <w:rPr>
          <w:rFonts w:ascii="Cambria" w:hAnsi="Cambria"/>
          <w:b/>
          <w:bCs/>
          <w:i w:val="0"/>
          <w:iCs w:val="0"/>
          <w:color w:val="auto"/>
          <w:sz w:val="16"/>
          <w:szCs w:val="16"/>
          <w:lang w:val="en-US"/>
        </w:rPr>
        <w:t xml:space="preserve"> Figure </w:t>
      </w:r>
      <w:r w:rsidR="002876C0" w:rsidRPr="007F3C5D">
        <w:rPr>
          <w:rFonts w:ascii="Cambria" w:hAnsi="Cambria"/>
          <w:b/>
          <w:bCs/>
          <w:i w:val="0"/>
          <w:iCs w:val="0"/>
          <w:color w:val="auto"/>
          <w:sz w:val="16"/>
          <w:szCs w:val="16"/>
          <w:lang w:val="en-US"/>
        </w:rPr>
        <w:t>3</w:t>
      </w:r>
      <w:r w:rsidR="00670906" w:rsidRPr="007F3C5D">
        <w:rPr>
          <w:rFonts w:ascii="Cambria" w:hAnsi="Cambria"/>
          <w:b/>
          <w:bCs/>
          <w:i w:val="0"/>
          <w:iCs w:val="0"/>
          <w:color w:val="auto"/>
          <w:sz w:val="16"/>
          <w:szCs w:val="16"/>
          <w:lang w:val="en-US"/>
        </w:rPr>
        <w:t xml:space="preserve">: Effect of Carbon particles (A) and Copper oxide particles (B) on neuronal (network) activity of rat primary cortical </w:t>
      </w:r>
      <w:r w:rsidR="0011236D" w:rsidRPr="007F3C5D">
        <w:rPr>
          <w:rFonts w:ascii="Cambria" w:hAnsi="Cambria"/>
          <w:b/>
          <w:bCs/>
          <w:i w:val="0"/>
          <w:iCs w:val="0"/>
          <w:color w:val="auto"/>
          <w:sz w:val="16"/>
          <w:szCs w:val="16"/>
          <w:lang w:val="en-US"/>
        </w:rPr>
        <w:t>cultures</w:t>
      </w:r>
      <w:r w:rsidR="00670906" w:rsidRPr="007F3C5D">
        <w:rPr>
          <w:rFonts w:ascii="Cambria" w:hAnsi="Cambria"/>
          <w:b/>
          <w:bCs/>
          <w:i w:val="0"/>
          <w:iCs w:val="0"/>
          <w:color w:val="auto"/>
          <w:sz w:val="16"/>
          <w:szCs w:val="16"/>
          <w:lang w:val="en-US"/>
        </w:rPr>
        <w:t>.</w:t>
      </w:r>
      <w:r w:rsidR="00670906" w:rsidRPr="007F3C5D">
        <w:rPr>
          <w:rFonts w:ascii="Cambria" w:hAnsi="Cambria"/>
          <w:i w:val="0"/>
          <w:iCs w:val="0"/>
          <w:color w:val="auto"/>
          <w:sz w:val="16"/>
          <w:szCs w:val="16"/>
          <w:lang w:val="en-US"/>
        </w:rPr>
        <w:t xml:space="preserve"> Effects on neuronal activity were assessed after 0.5 h, 24 h, 48 h and 120 h exposure.</w:t>
      </w:r>
      <w:r w:rsidR="00670906" w:rsidRPr="007F3C5D">
        <w:rPr>
          <w:rFonts w:ascii="Cambria" w:hAnsi="Cambria"/>
          <w:b/>
          <w:bCs/>
          <w:i w:val="0"/>
          <w:iCs w:val="0"/>
          <w:color w:val="auto"/>
          <w:sz w:val="16"/>
          <w:szCs w:val="16"/>
          <w:lang w:val="en-US"/>
        </w:rPr>
        <w:t xml:space="preserve"> </w:t>
      </w:r>
      <w:r w:rsidR="00670906" w:rsidRPr="007F3C5D">
        <w:rPr>
          <w:rFonts w:ascii="Cambria" w:hAnsi="Cambria"/>
          <w:i w:val="0"/>
          <w:iCs w:val="0"/>
          <w:color w:val="auto"/>
          <w:sz w:val="16"/>
          <w:szCs w:val="16"/>
          <w:lang w:val="en-US"/>
        </w:rPr>
        <w:t xml:space="preserve">Mean Spike Rate (MSR), Mean Burst Rate (MBR), and Mean Network Burst Rate (MNBR) are presented as mean treatment ratio (± SEM) normalized to </w:t>
      </w:r>
      <w:r w:rsidR="00670906" w:rsidRPr="007F3C5D">
        <w:rPr>
          <w:rFonts w:ascii="Cambria" w:hAnsi="Cambria"/>
          <w:i w:val="0"/>
          <w:iCs w:val="0"/>
          <w:color w:val="000000" w:themeColor="text1"/>
          <w:sz w:val="16"/>
          <w:szCs w:val="16"/>
          <w:lang w:val="en-US"/>
        </w:rPr>
        <w:t xml:space="preserve">control from n = 18 - 24 wells, N = 3. Effects ≤ 25% (2xSD of control; indicated by the grey area) </w:t>
      </w:r>
      <w:proofErr w:type="gramStart"/>
      <w:r w:rsidR="00670906" w:rsidRPr="007F3C5D">
        <w:rPr>
          <w:rFonts w:ascii="Cambria" w:hAnsi="Cambria"/>
          <w:i w:val="0"/>
          <w:iCs w:val="0"/>
          <w:color w:val="000000" w:themeColor="text1"/>
          <w:sz w:val="16"/>
          <w:szCs w:val="16"/>
          <w:lang w:val="en-US"/>
        </w:rPr>
        <w:t>are considered to be</w:t>
      </w:r>
      <w:proofErr w:type="gramEnd"/>
      <w:r w:rsidR="00670906" w:rsidRPr="007F3C5D">
        <w:rPr>
          <w:rFonts w:ascii="Cambria" w:hAnsi="Cambria"/>
          <w:i w:val="0"/>
          <w:iCs w:val="0"/>
          <w:color w:val="000000" w:themeColor="text1"/>
          <w:sz w:val="16"/>
          <w:szCs w:val="16"/>
          <w:lang w:val="en-US"/>
        </w:rPr>
        <w:t xml:space="preserve"> of limited toxicological relevance. Significant effects were determined by Welch’s ANOVA and if exceeding 25% of control indicated </w:t>
      </w:r>
      <w:proofErr w:type="gramStart"/>
      <w:r w:rsidR="00670906" w:rsidRPr="007F3C5D">
        <w:rPr>
          <w:rFonts w:ascii="Cambria" w:hAnsi="Cambria"/>
          <w:i w:val="0"/>
          <w:iCs w:val="0"/>
          <w:color w:val="000000" w:themeColor="text1"/>
          <w:sz w:val="16"/>
          <w:szCs w:val="16"/>
          <w:lang w:val="en-US"/>
        </w:rPr>
        <w:t xml:space="preserve">by  </w:t>
      </w:r>
      <w:r w:rsidR="00670906" w:rsidRPr="007F3C5D">
        <w:rPr>
          <w:rFonts w:ascii="Cambria" w:hAnsi="Cambria"/>
          <w:i w:val="0"/>
          <w:iCs w:val="0"/>
          <w:color w:val="000000" w:themeColor="text1"/>
          <w:sz w:val="16"/>
          <w:szCs w:val="16"/>
          <w:vertAlign w:val="superscript"/>
          <w:lang w:val="en-US"/>
        </w:rPr>
        <w:t>a</w:t>
      </w:r>
      <w:proofErr w:type="gramEnd"/>
      <w:r w:rsidR="00670906" w:rsidRPr="007F3C5D">
        <w:rPr>
          <w:rFonts w:ascii="Cambria" w:hAnsi="Cambria"/>
          <w:i w:val="0"/>
          <w:iCs w:val="0"/>
          <w:color w:val="000000" w:themeColor="text1"/>
          <w:sz w:val="16"/>
          <w:szCs w:val="16"/>
          <w:lang w:val="en-US"/>
        </w:rPr>
        <w:t xml:space="preserve">=p &lt; 0.05 for 0.5 h exposure compared to time-matched control, </w:t>
      </w:r>
      <w:r w:rsidR="00670906" w:rsidRPr="007F3C5D">
        <w:rPr>
          <w:rFonts w:ascii="Cambria" w:hAnsi="Cambria"/>
          <w:i w:val="0"/>
          <w:iCs w:val="0"/>
          <w:color w:val="000000" w:themeColor="text1"/>
          <w:sz w:val="16"/>
          <w:szCs w:val="16"/>
          <w:vertAlign w:val="superscript"/>
          <w:lang w:val="en-US"/>
        </w:rPr>
        <w:t>b</w:t>
      </w:r>
      <w:r w:rsidR="00670906" w:rsidRPr="007F3C5D">
        <w:rPr>
          <w:rFonts w:ascii="Cambria" w:hAnsi="Cambria"/>
          <w:i w:val="0"/>
          <w:iCs w:val="0"/>
          <w:color w:val="000000" w:themeColor="text1"/>
          <w:sz w:val="16"/>
          <w:szCs w:val="16"/>
          <w:lang w:val="en-US"/>
        </w:rPr>
        <w:t xml:space="preserve">=p &lt; 0.05 for 24 h exposure compared to time-matched control, </w:t>
      </w:r>
      <w:r w:rsidR="00670906" w:rsidRPr="007F3C5D">
        <w:rPr>
          <w:rFonts w:ascii="Cambria" w:hAnsi="Cambria"/>
          <w:i w:val="0"/>
          <w:iCs w:val="0"/>
          <w:color w:val="000000" w:themeColor="text1"/>
          <w:sz w:val="16"/>
          <w:szCs w:val="16"/>
          <w:vertAlign w:val="superscript"/>
          <w:lang w:val="en-US"/>
        </w:rPr>
        <w:t>c</w:t>
      </w:r>
      <w:r w:rsidR="00670906" w:rsidRPr="007F3C5D">
        <w:rPr>
          <w:rFonts w:ascii="Cambria" w:hAnsi="Cambria"/>
          <w:i w:val="0"/>
          <w:iCs w:val="0"/>
          <w:color w:val="000000" w:themeColor="text1"/>
          <w:sz w:val="16"/>
          <w:szCs w:val="16"/>
          <w:lang w:val="en-US"/>
        </w:rPr>
        <w:t xml:space="preserve">=p &lt; 0.05 for 48 h exposure compared to time-matched control, </w:t>
      </w:r>
      <w:r w:rsidR="00670906" w:rsidRPr="007F3C5D">
        <w:rPr>
          <w:rFonts w:ascii="Cambria" w:hAnsi="Cambria"/>
          <w:i w:val="0"/>
          <w:iCs w:val="0"/>
          <w:color w:val="000000" w:themeColor="text1"/>
          <w:sz w:val="16"/>
          <w:szCs w:val="16"/>
          <w:vertAlign w:val="superscript"/>
          <w:lang w:val="en-US"/>
        </w:rPr>
        <w:t>d</w:t>
      </w:r>
      <w:r w:rsidR="00670906" w:rsidRPr="007F3C5D">
        <w:rPr>
          <w:rFonts w:ascii="Cambria" w:hAnsi="Cambria"/>
          <w:i w:val="0"/>
          <w:iCs w:val="0"/>
          <w:color w:val="000000" w:themeColor="text1"/>
          <w:sz w:val="16"/>
          <w:szCs w:val="16"/>
          <w:lang w:val="en-US"/>
        </w:rPr>
        <w:t>=p &lt; 0.05 for 120 h exposure compared to time-matched control.</w:t>
      </w:r>
    </w:p>
    <w:p w14:paraId="3E7D400C" w14:textId="26580834" w:rsidR="00017935" w:rsidRPr="007F3C5D" w:rsidRDefault="006F4D48" w:rsidP="00A14895">
      <w:pPr>
        <w:pStyle w:val="Caption"/>
        <w:spacing w:after="0" w:line="276" w:lineRule="auto"/>
        <w:rPr>
          <w:rFonts w:ascii="Cambria" w:hAnsi="Cambria"/>
          <w:i w:val="0"/>
          <w:iCs w:val="0"/>
          <w:color w:val="auto"/>
          <w:sz w:val="16"/>
          <w:szCs w:val="16"/>
          <w:lang w:val="en-US"/>
        </w:rPr>
      </w:pPr>
      <w:r w:rsidRPr="007F3C5D">
        <w:rPr>
          <w:rFonts w:ascii="Cambria" w:hAnsi="Cambria"/>
          <w:noProof/>
          <w:lang w:val="en-US"/>
        </w:rPr>
        <w:lastRenderedPageBreak/>
        <mc:AlternateContent>
          <mc:Choice Requires="wps">
            <w:drawing>
              <wp:inline distT="0" distB="0" distL="0" distR="0" wp14:anchorId="50E6DAA0" wp14:editId="4BCCDBCA">
                <wp:extent cx="5724000" cy="2106705"/>
                <wp:effectExtent l="0" t="0" r="16510" b="14605"/>
                <wp:docPr id="16" name="Text Box 16"/>
                <wp:cNvGraphicFramePr/>
                <a:graphic xmlns:a="http://schemas.openxmlformats.org/drawingml/2006/main">
                  <a:graphicData uri="http://schemas.microsoft.com/office/word/2010/wordprocessingShape">
                    <wps:wsp>
                      <wps:cNvSpPr txBox="1"/>
                      <wps:spPr>
                        <a:xfrm>
                          <a:off x="0" y="0"/>
                          <a:ext cx="5724000" cy="2106705"/>
                        </a:xfrm>
                        <a:prstGeom prst="rect">
                          <a:avLst/>
                        </a:prstGeom>
                        <a:noFill/>
                        <a:ln w="6350">
                          <a:solidFill>
                            <a:schemeClr val="tx1"/>
                          </a:solidFill>
                        </a:ln>
                      </wps:spPr>
                      <wps:txbx>
                        <w:txbxContent>
                          <w:p w14:paraId="79137268" w14:textId="575C5830" w:rsidR="006F4D48" w:rsidRPr="00C03225" w:rsidRDefault="006F4D48" w:rsidP="006F4D48">
                            <w:pPr>
                              <w:spacing w:after="0" w:line="240" w:lineRule="auto"/>
                              <w:ind w:firstLine="0"/>
                              <w:rPr>
                                <w:rFonts w:asciiTheme="minorHAnsi" w:hAnsiTheme="minorHAnsi" w:cstheme="minorHAnsi"/>
                                <w:b/>
                                <w:bCs/>
                                <w:noProof/>
                                <w:sz w:val="24"/>
                                <w:szCs w:val="24"/>
                              </w:rPr>
                            </w:pPr>
                            <w:r w:rsidRPr="00C03225">
                              <w:rPr>
                                <w:rFonts w:asciiTheme="minorHAnsi" w:hAnsiTheme="minorHAnsi" w:cstheme="minorHAnsi"/>
                                <w:b/>
                                <w:bCs/>
                                <w:noProof/>
                                <w:sz w:val="24"/>
                                <w:szCs w:val="24"/>
                              </w:rPr>
                              <w:t>A)</w:t>
                            </w:r>
                            <w:r w:rsidR="00AE4A9E" w:rsidRPr="00C03225">
                              <w:rPr>
                                <w:rFonts w:asciiTheme="minorHAnsi" w:hAnsiTheme="minorHAnsi" w:cstheme="minorHAnsi"/>
                                <w:b/>
                                <w:bCs/>
                                <w:noProof/>
                                <w:sz w:val="24"/>
                                <w:szCs w:val="24"/>
                              </w:rPr>
                              <w:t xml:space="preserve"> </w:t>
                            </w:r>
                            <w:r w:rsidRPr="00C03225">
                              <w:rPr>
                                <w:rFonts w:asciiTheme="minorHAnsi" w:hAnsiTheme="minorHAnsi" w:cstheme="minorHAnsi"/>
                                <w:b/>
                                <w:bCs/>
                                <w:noProof/>
                                <w:sz w:val="24"/>
                                <w:szCs w:val="24"/>
                              </w:rPr>
                              <w:t>Carbon particles</w:t>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00AE4A9E"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t>B)</w:t>
                            </w:r>
                            <w:r w:rsidR="00AE4A9E" w:rsidRPr="00C03225">
                              <w:rPr>
                                <w:rFonts w:asciiTheme="minorHAnsi" w:hAnsiTheme="minorHAnsi" w:cstheme="minorHAnsi"/>
                                <w:b/>
                                <w:bCs/>
                                <w:noProof/>
                                <w:sz w:val="24"/>
                                <w:szCs w:val="24"/>
                              </w:rPr>
                              <w:t xml:space="preserve"> </w:t>
                            </w:r>
                            <w:r w:rsidRPr="00C03225">
                              <w:rPr>
                                <w:rFonts w:asciiTheme="minorHAnsi" w:hAnsiTheme="minorHAnsi" w:cstheme="minorHAnsi"/>
                                <w:b/>
                                <w:bCs/>
                                <w:noProof/>
                                <w:sz w:val="24"/>
                                <w:szCs w:val="24"/>
                              </w:rPr>
                              <w:t>Copper oxide particles</w:t>
                            </w:r>
                          </w:p>
                          <w:p w14:paraId="7A19079F" w14:textId="77777777" w:rsidR="006F4D48" w:rsidRDefault="006F4D48" w:rsidP="006F4D48">
                            <w:pPr>
                              <w:spacing w:after="0" w:line="240" w:lineRule="auto"/>
                              <w:ind w:firstLine="0"/>
                              <w:contextualSpacing/>
                              <w:rPr>
                                <w:rFonts w:asciiTheme="minorHAnsi" w:hAnsiTheme="minorHAnsi" w:cstheme="minorHAnsi"/>
                                <w:b/>
                                <w:bCs/>
                                <w:noProof/>
                                <w:sz w:val="28"/>
                                <w:szCs w:val="28"/>
                              </w:rPr>
                            </w:pPr>
                            <w:r w:rsidRPr="00BE6CE1">
                              <w:rPr>
                                <w:rFonts w:asciiTheme="minorHAnsi" w:hAnsiTheme="minorHAnsi" w:cstheme="minorHAnsi"/>
                                <w:b/>
                                <w:bCs/>
                                <w:noProof/>
                                <w:sz w:val="28"/>
                                <w:szCs w:val="28"/>
                              </w:rPr>
                              <w:drawing>
                                <wp:inline distT="0" distB="0" distL="0" distR="0" wp14:anchorId="0187A688" wp14:editId="5A6783DB">
                                  <wp:extent cx="2672677" cy="1922053"/>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3">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r w:rsidRPr="00BE6CE1">
                              <w:rPr>
                                <w:rFonts w:asciiTheme="minorHAnsi" w:hAnsiTheme="minorHAnsi" w:cstheme="minorHAnsi"/>
                                <w:b/>
                                <w:bCs/>
                                <w:noProof/>
                                <w:sz w:val="28"/>
                                <w:szCs w:val="28"/>
                              </w:rPr>
                              <w:drawing>
                                <wp:inline distT="0" distB="0" distL="0" distR="0" wp14:anchorId="10E4392B" wp14:editId="6908F295">
                                  <wp:extent cx="2672677" cy="1922053"/>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4">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50E6DAA0" id="Text Box 16" o:spid="_x0000_s1028" type="#_x0000_t202" style="width:450.7pt;height:16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" filled="f" strokecolor="black [3213]" strokeweight=".5pt">
                <v:textbox inset="1mm,0,1mm,0">
                  <w:txbxContent>
                    <w:p w14:paraId="79137268" w14:textId="575C5830" w:rsidR="006F4D48" w:rsidRPr="00C03225" w:rsidRDefault="006F4D48" w:rsidP="006F4D48">
                      <w:pPr>
                        <w:spacing w:after="0" w:line="240" w:lineRule="auto"/>
                        <w:ind w:firstLine="0"/>
                        <w:rPr>
                          <w:rFonts w:asciiTheme="minorHAnsi" w:hAnsiTheme="minorHAnsi" w:cstheme="minorHAnsi"/>
                          <w:b/>
                          <w:bCs/>
                          <w:noProof/>
                          <w:sz w:val="24"/>
                          <w:szCs w:val="24"/>
                        </w:rPr>
                      </w:pPr>
                      <w:r w:rsidRPr="00C03225">
                        <w:rPr>
                          <w:rFonts w:asciiTheme="minorHAnsi" w:hAnsiTheme="minorHAnsi" w:cstheme="minorHAnsi"/>
                          <w:b/>
                          <w:bCs/>
                          <w:noProof/>
                          <w:sz w:val="24"/>
                          <w:szCs w:val="24"/>
                        </w:rPr>
                        <w:t>A)</w:t>
                      </w:r>
                      <w:r w:rsidR="00AE4A9E" w:rsidRPr="00C03225">
                        <w:rPr>
                          <w:rFonts w:asciiTheme="minorHAnsi" w:hAnsiTheme="minorHAnsi" w:cstheme="minorHAnsi"/>
                          <w:b/>
                          <w:bCs/>
                          <w:noProof/>
                          <w:sz w:val="24"/>
                          <w:szCs w:val="24"/>
                        </w:rPr>
                        <w:t xml:space="preserve"> </w:t>
                      </w:r>
                      <w:r w:rsidRPr="00C03225">
                        <w:rPr>
                          <w:rFonts w:asciiTheme="minorHAnsi" w:hAnsiTheme="minorHAnsi" w:cstheme="minorHAnsi"/>
                          <w:b/>
                          <w:bCs/>
                          <w:noProof/>
                          <w:sz w:val="24"/>
                          <w:szCs w:val="24"/>
                        </w:rPr>
                        <w:t>Carbon particles</w:t>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00AE4A9E"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t>B)</w:t>
                      </w:r>
                      <w:r w:rsidR="00AE4A9E" w:rsidRPr="00C03225">
                        <w:rPr>
                          <w:rFonts w:asciiTheme="minorHAnsi" w:hAnsiTheme="minorHAnsi" w:cstheme="minorHAnsi"/>
                          <w:b/>
                          <w:bCs/>
                          <w:noProof/>
                          <w:sz w:val="24"/>
                          <w:szCs w:val="24"/>
                        </w:rPr>
                        <w:t xml:space="preserve"> </w:t>
                      </w:r>
                      <w:r w:rsidRPr="00C03225">
                        <w:rPr>
                          <w:rFonts w:asciiTheme="minorHAnsi" w:hAnsiTheme="minorHAnsi" w:cstheme="minorHAnsi"/>
                          <w:b/>
                          <w:bCs/>
                          <w:noProof/>
                          <w:sz w:val="24"/>
                          <w:szCs w:val="24"/>
                        </w:rPr>
                        <w:t>Copper oxide particles</w:t>
                      </w:r>
                    </w:p>
                    <w:p w14:paraId="7A19079F" w14:textId="77777777" w:rsidR="006F4D48" w:rsidRDefault="006F4D48" w:rsidP="006F4D48">
                      <w:pPr>
                        <w:spacing w:after="0" w:line="240" w:lineRule="auto"/>
                        <w:ind w:firstLine="0"/>
                        <w:contextualSpacing/>
                        <w:rPr>
                          <w:rFonts w:asciiTheme="minorHAnsi" w:hAnsiTheme="minorHAnsi" w:cstheme="minorHAnsi"/>
                          <w:b/>
                          <w:bCs/>
                          <w:noProof/>
                          <w:sz w:val="28"/>
                          <w:szCs w:val="28"/>
                        </w:rPr>
                      </w:pPr>
                      <w:r w:rsidRPr="00BE6CE1">
                        <w:rPr>
                          <w:rFonts w:asciiTheme="minorHAnsi" w:hAnsiTheme="minorHAnsi" w:cstheme="minorHAnsi"/>
                          <w:b/>
                          <w:bCs/>
                          <w:noProof/>
                          <w:sz w:val="28"/>
                          <w:szCs w:val="28"/>
                        </w:rPr>
                        <w:drawing>
                          <wp:inline distT="0" distB="0" distL="0" distR="0" wp14:anchorId="0187A688" wp14:editId="5A6783DB">
                            <wp:extent cx="2672677" cy="1922053"/>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5">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r w:rsidRPr="00BE6CE1">
                        <w:rPr>
                          <w:rFonts w:asciiTheme="minorHAnsi" w:hAnsiTheme="minorHAnsi" w:cstheme="minorHAnsi"/>
                          <w:b/>
                          <w:bCs/>
                          <w:noProof/>
                          <w:sz w:val="28"/>
                          <w:szCs w:val="28"/>
                        </w:rPr>
                        <w:drawing>
                          <wp:inline distT="0" distB="0" distL="0" distR="0" wp14:anchorId="10E4392B" wp14:editId="6908F295">
                            <wp:extent cx="2672677" cy="1922053"/>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6">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p>
                  </w:txbxContent>
                </v:textbox>
                <w10:anchorlock/>
              </v:shape>
            </w:pict>
          </mc:Fallback>
        </mc:AlternateContent>
      </w:r>
      <w:r w:rsidR="00670906" w:rsidRPr="007F3C5D">
        <w:rPr>
          <w:rFonts w:ascii="Cambria" w:hAnsi="Cambria"/>
          <w:b/>
          <w:bCs/>
          <w:i w:val="0"/>
          <w:iCs w:val="0"/>
          <w:color w:val="auto"/>
          <w:sz w:val="16"/>
          <w:szCs w:val="16"/>
          <w:lang w:val="en-US"/>
        </w:rPr>
        <w:t xml:space="preserve"> Figure </w:t>
      </w:r>
      <w:r w:rsidR="002876C0" w:rsidRPr="007F3C5D">
        <w:rPr>
          <w:rFonts w:ascii="Cambria" w:hAnsi="Cambria"/>
          <w:b/>
          <w:bCs/>
          <w:i w:val="0"/>
          <w:iCs w:val="0"/>
          <w:color w:val="auto"/>
          <w:sz w:val="16"/>
          <w:szCs w:val="16"/>
          <w:lang w:val="en-US"/>
        </w:rPr>
        <w:t>4</w:t>
      </w:r>
      <w:r w:rsidR="00670906" w:rsidRPr="007F3C5D">
        <w:rPr>
          <w:rFonts w:ascii="Cambria" w:hAnsi="Cambria"/>
          <w:b/>
          <w:bCs/>
          <w:i w:val="0"/>
          <w:iCs w:val="0"/>
          <w:color w:val="auto"/>
          <w:sz w:val="16"/>
          <w:szCs w:val="16"/>
          <w:lang w:val="en-US"/>
        </w:rPr>
        <w:t xml:space="preserve">: Effect of Carbon particles (A) and Copper oxide particles (B) on metabolic activity of rat primary cortical </w:t>
      </w:r>
      <w:r w:rsidR="0011236D" w:rsidRPr="007F3C5D">
        <w:rPr>
          <w:rFonts w:ascii="Cambria" w:hAnsi="Cambria"/>
          <w:b/>
          <w:bCs/>
          <w:i w:val="0"/>
          <w:iCs w:val="0"/>
          <w:color w:val="auto"/>
          <w:sz w:val="16"/>
          <w:szCs w:val="16"/>
          <w:lang w:val="en-US"/>
        </w:rPr>
        <w:t xml:space="preserve">cultures </w:t>
      </w:r>
      <w:r w:rsidR="00670906" w:rsidRPr="007F3C5D">
        <w:rPr>
          <w:rFonts w:ascii="Cambria" w:hAnsi="Cambria"/>
          <w:b/>
          <w:bCs/>
          <w:i w:val="0"/>
          <w:iCs w:val="0"/>
          <w:color w:val="auto"/>
          <w:sz w:val="16"/>
          <w:szCs w:val="16"/>
          <w:lang w:val="en-US"/>
        </w:rPr>
        <w:t>after 120 h exposure</w:t>
      </w:r>
      <w:r w:rsidR="00670906" w:rsidRPr="007F3C5D">
        <w:rPr>
          <w:rFonts w:ascii="Cambria" w:hAnsi="Cambria"/>
          <w:i w:val="0"/>
          <w:iCs w:val="0"/>
          <w:color w:val="auto"/>
          <w:sz w:val="16"/>
          <w:szCs w:val="16"/>
          <w:lang w:val="en-US"/>
        </w:rPr>
        <w:t xml:space="preserve">. </w:t>
      </w:r>
      <w:r w:rsidR="00670906" w:rsidRPr="007F3C5D">
        <w:rPr>
          <w:rFonts w:ascii="Cambria" w:hAnsi="Cambria"/>
          <w:i w:val="0"/>
          <w:iCs w:val="0"/>
          <w:color w:val="000000" w:themeColor="text1"/>
          <w:sz w:val="16"/>
          <w:szCs w:val="16"/>
          <w:lang w:val="en-US"/>
        </w:rPr>
        <w:t xml:space="preserve">Cell viability data is presented as mean (± SD) normalized to control from n = 19 - 24 wells, N = 3. </w:t>
      </w:r>
      <w:r w:rsidR="00670906" w:rsidRPr="007F3C5D">
        <w:rPr>
          <w:rFonts w:ascii="Cambria" w:hAnsi="Cambria"/>
          <w:i w:val="0"/>
          <w:iCs w:val="0"/>
          <w:color w:val="auto"/>
          <w:sz w:val="16"/>
          <w:szCs w:val="16"/>
          <w:lang w:val="en-US"/>
        </w:rPr>
        <w:t>Effects ≤ 10% are of limited toxicological relevance and indicated by the grey area. Significant effects were determined by ordinary one-way ANOVA. *=p &lt; 0.05 compared to control and exceeding 10%.</w:t>
      </w:r>
      <w:bookmarkStart w:id="42" w:name="_Toc91775073"/>
    </w:p>
    <w:p w14:paraId="686360A6" w14:textId="77777777" w:rsidR="00C03225" w:rsidRPr="007F3C5D" w:rsidRDefault="00C03225" w:rsidP="00A14895"/>
    <w:p w14:paraId="0E046622" w14:textId="1A8DEBC1" w:rsidR="00017935" w:rsidRPr="007F3C5D" w:rsidRDefault="00017935" w:rsidP="00A14895">
      <w:r w:rsidRPr="007F3C5D">
        <w:t xml:space="preserve">To investigate the possible interference of carbon and/or copper oxide particles, three </w:t>
      </w:r>
      <w:r w:rsidR="0068159E">
        <w:t>doses</w:t>
      </w:r>
      <w:r w:rsidRPr="007F3C5D">
        <w:t xml:space="preserve"> of each sample group were diluted with either resazurin or resorufin and fluorescence intensity was measured (fig</w:t>
      </w:r>
      <w:r w:rsidR="005F6099" w:rsidRPr="007F3C5D">
        <w:t>.</w:t>
      </w:r>
      <w:r w:rsidRPr="007F3C5D">
        <w:t xml:space="preserve"> </w:t>
      </w:r>
      <w:r w:rsidR="002876C0" w:rsidRPr="007F3C5D">
        <w:t>5</w:t>
      </w:r>
      <w:r w:rsidRPr="007F3C5D">
        <w:t xml:space="preserve">). Carbon particles show a </w:t>
      </w:r>
      <w:proofErr w:type="spellStart"/>
      <w:r w:rsidRPr="007F3C5D">
        <w:t>signicant</w:t>
      </w:r>
      <w:proofErr w:type="spellEnd"/>
      <w:r w:rsidRPr="007F3C5D">
        <w:t xml:space="preserve"> difference from the control for 30 mg/mL for both resazurin and resorufin, the same concentration that shows </w:t>
      </w:r>
      <w:proofErr w:type="gramStart"/>
      <w:r w:rsidRPr="007F3C5D">
        <w:t>an</w:t>
      </w:r>
      <w:proofErr w:type="gramEnd"/>
      <w:r w:rsidRPr="007F3C5D">
        <w:t xml:space="preserve"> significant decrease for the Alamar Blue assay (fig</w:t>
      </w:r>
      <w:r w:rsidR="005F6099" w:rsidRPr="007F3C5D">
        <w:t>.</w:t>
      </w:r>
      <w:r w:rsidRPr="007F3C5D">
        <w:t xml:space="preserve"> </w:t>
      </w:r>
      <w:r w:rsidR="005F6099" w:rsidRPr="007F3C5D">
        <w:t>4</w:t>
      </w:r>
      <w:r w:rsidRPr="007F3C5D">
        <w:t>A). Copper oxide particles do not show a significant decrease for both resazurin and resorufin, indicating no interference for the Alamar Blue assay (fig</w:t>
      </w:r>
      <w:r w:rsidR="005F6099" w:rsidRPr="007F3C5D">
        <w:t>.</w:t>
      </w:r>
      <w:r w:rsidRPr="007F3C5D">
        <w:t xml:space="preserve"> </w:t>
      </w:r>
      <w:r w:rsidR="005F6099" w:rsidRPr="007F3C5D">
        <w:t>4</w:t>
      </w:r>
      <w:r w:rsidRPr="007F3C5D">
        <w:t>B)</w:t>
      </w:r>
    </w:p>
    <w:p w14:paraId="65A1D8B0" w14:textId="6EC29416" w:rsidR="00017935" w:rsidRPr="007F3C5D" w:rsidRDefault="00017935" w:rsidP="00A14895">
      <w:pPr>
        <w:ind w:firstLine="0"/>
        <w:rPr>
          <w:sz w:val="16"/>
          <w:szCs w:val="16"/>
        </w:rPr>
      </w:pPr>
      <w:r w:rsidRPr="007F3C5D">
        <w:rPr>
          <w:noProof/>
        </w:rPr>
        <w:lastRenderedPageBreak/>
        <mc:AlternateContent>
          <mc:Choice Requires="wps">
            <w:drawing>
              <wp:inline distT="0" distB="0" distL="0" distR="0" wp14:anchorId="70258492" wp14:editId="6A5BD850">
                <wp:extent cx="5724000" cy="4546600"/>
                <wp:effectExtent l="0" t="0" r="16510" b="12700"/>
                <wp:docPr id="7" name="Text Box 7"/>
                <wp:cNvGraphicFramePr/>
                <a:graphic xmlns:a="http://schemas.openxmlformats.org/drawingml/2006/main">
                  <a:graphicData uri="http://schemas.microsoft.com/office/word/2010/wordprocessingShape">
                    <wps:wsp>
                      <wps:cNvSpPr txBox="1"/>
                      <wps:spPr>
                        <a:xfrm>
                          <a:off x="0" y="0"/>
                          <a:ext cx="5724000" cy="4546600"/>
                        </a:xfrm>
                        <a:prstGeom prst="rect">
                          <a:avLst/>
                        </a:prstGeom>
                        <a:noFill/>
                        <a:ln w="6350">
                          <a:solidFill>
                            <a:schemeClr val="tx1"/>
                          </a:solidFill>
                        </a:ln>
                      </wps:spPr>
                      <wps:txbx>
                        <w:txbxContent>
                          <w:p w14:paraId="4506C0F9" w14:textId="77777777" w:rsidR="00017935" w:rsidRPr="00C03225" w:rsidRDefault="00017935" w:rsidP="00017935">
                            <w:pPr>
                              <w:spacing w:after="0" w:line="240" w:lineRule="auto"/>
                              <w:ind w:firstLine="0"/>
                              <w:jc w:val="left"/>
                              <w:rPr>
                                <w:rFonts w:asciiTheme="minorHAnsi" w:hAnsiTheme="minorHAnsi" w:cstheme="minorHAnsi"/>
                                <w:b/>
                                <w:bCs/>
                                <w:noProof/>
                                <w:sz w:val="24"/>
                                <w:szCs w:val="24"/>
                              </w:rPr>
                            </w:pPr>
                            <w:r w:rsidRPr="00C03225">
                              <w:rPr>
                                <w:rFonts w:asciiTheme="minorHAnsi" w:hAnsiTheme="minorHAnsi" w:cstheme="minorHAnsi"/>
                                <w:b/>
                                <w:bCs/>
                                <w:noProof/>
                                <w:sz w:val="24"/>
                                <w:szCs w:val="24"/>
                              </w:rPr>
                              <w:t xml:space="preserve">A) Carbon particles </w:t>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t>B) Copper oxide particles</w:t>
                            </w:r>
                          </w:p>
                          <w:p w14:paraId="2F25EABF" w14:textId="77777777" w:rsidR="00017935" w:rsidRDefault="00017935" w:rsidP="00017935">
                            <w:pPr>
                              <w:spacing w:after="0" w:line="240" w:lineRule="auto"/>
                              <w:ind w:firstLine="0"/>
                              <w:jc w:val="left"/>
                              <w:rPr>
                                <w:rFonts w:asciiTheme="minorHAnsi" w:hAnsiTheme="minorHAnsi" w:cstheme="minorHAnsi"/>
                                <w:b/>
                                <w:bCs/>
                                <w:noProof/>
                                <w:sz w:val="24"/>
                                <w:szCs w:val="24"/>
                              </w:rPr>
                            </w:pP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Pr>
                                <w:rFonts w:asciiTheme="minorHAnsi" w:hAnsiTheme="minorHAnsi" w:cstheme="minorHAnsi"/>
                                <w:b/>
                                <w:bCs/>
                                <w:noProof/>
                                <w:sz w:val="24"/>
                                <w:szCs w:val="24"/>
                              </w:rPr>
                              <w:t>Resazurin</w:t>
                            </w:r>
                          </w:p>
                          <w:p w14:paraId="5CAB7681" w14:textId="77777777" w:rsidR="00017935" w:rsidRDefault="00017935" w:rsidP="00017935">
                            <w:pPr>
                              <w:spacing w:after="0" w:line="240" w:lineRule="auto"/>
                              <w:ind w:firstLine="0"/>
                              <w:jc w:val="left"/>
                              <w:rPr>
                                <w:rFonts w:asciiTheme="minorHAnsi" w:hAnsiTheme="minorHAnsi" w:cstheme="minorHAnsi"/>
                                <w:b/>
                                <w:bCs/>
                                <w:noProof/>
                                <w:sz w:val="24"/>
                                <w:szCs w:val="24"/>
                              </w:rPr>
                            </w:pPr>
                            <w:r w:rsidRPr="00B4526A">
                              <w:rPr>
                                <w:rFonts w:asciiTheme="minorHAnsi" w:hAnsiTheme="minorHAnsi" w:cstheme="minorHAnsi"/>
                                <w:b/>
                                <w:bCs/>
                                <w:noProof/>
                                <w:sz w:val="24"/>
                                <w:szCs w:val="24"/>
                              </w:rPr>
                              <w:drawing>
                                <wp:inline distT="0" distB="0" distL="0" distR="0" wp14:anchorId="2164104E" wp14:editId="16D236F6">
                                  <wp:extent cx="2247900" cy="2044700"/>
                                  <wp:effectExtent l="0" t="0" r="0" b="0"/>
                                  <wp:docPr id="523" name="Picture 523"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bar chart, histogram&#10;&#10;Description automatically generated"/>
                                          <pic:cNvPicPr/>
                                        </pic:nvPicPr>
                                        <pic:blipFill>
                                          <a:blip r:embed="rId37"/>
                                          <a:stretch>
                                            <a:fillRect/>
                                          </a:stretch>
                                        </pic:blipFill>
                                        <pic:spPr>
                                          <a:xfrm>
                                            <a:off x="0" y="0"/>
                                            <a:ext cx="2247900" cy="2044700"/>
                                          </a:xfrm>
                                          <a:prstGeom prst="rect">
                                            <a:avLst/>
                                          </a:prstGeom>
                                        </pic:spPr>
                                      </pic:pic>
                                    </a:graphicData>
                                  </a:graphic>
                                </wp:inline>
                              </w:drawing>
                            </w:r>
                            <w:r w:rsidRPr="00F36FB4">
                              <w:rPr>
                                <w:rFonts w:asciiTheme="minorHAnsi" w:hAnsiTheme="minorHAnsi" w:cstheme="minorHAnsi"/>
                                <w:b/>
                                <w:bCs/>
                                <w:noProof/>
                                <w:sz w:val="24"/>
                                <w:szCs w:val="24"/>
                              </w:rPr>
                              <w:t xml:space="preserve"> </w:t>
                            </w:r>
                            <w:r>
                              <w:rPr>
                                <w:rFonts w:asciiTheme="minorHAnsi" w:hAnsiTheme="minorHAnsi" w:cstheme="minorHAnsi"/>
                                <w:b/>
                                <w:bCs/>
                                <w:noProof/>
                                <w:sz w:val="24"/>
                                <w:szCs w:val="24"/>
                              </w:rPr>
                              <w:t>Resorufin</w:t>
                            </w:r>
                            <w:r>
                              <w:rPr>
                                <w:rFonts w:asciiTheme="minorHAnsi" w:hAnsiTheme="minorHAnsi" w:cstheme="minorHAnsi"/>
                                <w:b/>
                                <w:bCs/>
                                <w:noProof/>
                                <w:sz w:val="24"/>
                                <w:szCs w:val="24"/>
                              </w:rPr>
                              <w:tab/>
                            </w:r>
                            <w:r w:rsidRPr="00B4526A">
                              <w:rPr>
                                <w:rFonts w:asciiTheme="minorHAnsi" w:hAnsiTheme="minorHAnsi" w:cstheme="minorHAnsi"/>
                                <w:b/>
                                <w:bCs/>
                                <w:noProof/>
                                <w:sz w:val="24"/>
                                <w:szCs w:val="24"/>
                              </w:rPr>
                              <w:t xml:space="preserve"> </w:t>
                            </w:r>
                            <w:r w:rsidRPr="00B4526A">
                              <w:rPr>
                                <w:rFonts w:asciiTheme="minorHAnsi" w:hAnsiTheme="minorHAnsi" w:cstheme="minorHAnsi"/>
                                <w:b/>
                                <w:bCs/>
                                <w:noProof/>
                                <w:sz w:val="24"/>
                                <w:szCs w:val="24"/>
                              </w:rPr>
                              <w:drawing>
                                <wp:inline distT="0" distB="0" distL="0" distR="0" wp14:anchorId="19933ECE" wp14:editId="40DD2A98">
                                  <wp:extent cx="2247900" cy="2044700"/>
                                  <wp:effectExtent l="0" t="0" r="0" b="0"/>
                                  <wp:docPr id="524" name="Picture 524"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bar chart, histogram&#10;&#10;Description automatically generated"/>
                                          <pic:cNvPicPr/>
                                        </pic:nvPicPr>
                                        <pic:blipFill>
                                          <a:blip r:embed="rId38"/>
                                          <a:stretch>
                                            <a:fillRect/>
                                          </a:stretch>
                                        </pic:blipFill>
                                        <pic:spPr>
                                          <a:xfrm>
                                            <a:off x="0" y="0"/>
                                            <a:ext cx="2247900" cy="2044700"/>
                                          </a:xfrm>
                                          <a:prstGeom prst="rect">
                                            <a:avLst/>
                                          </a:prstGeom>
                                        </pic:spPr>
                                      </pic:pic>
                                    </a:graphicData>
                                  </a:graphic>
                                </wp:inline>
                              </w:drawing>
                            </w:r>
                          </w:p>
                          <w:p w14:paraId="38EE19E4" w14:textId="77777777" w:rsidR="00017935" w:rsidRPr="000D5CBD" w:rsidRDefault="00017935" w:rsidP="00017935">
                            <w:pPr>
                              <w:spacing w:after="0" w:line="240" w:lineRule="auto"/>
                              <w:ind w:firstLine="0"/>
                              <w:jc w:val="left"/>
                              <w:rPr>
                                <w:rFonts w:asciiTheme="minorHAnsi" w:hAnsiTheme="minorHAnsi" w:cstheme="minorHAnsi"/>
                                <w:b/>
                                <w:bCs/>
                                <w:noProof/>
                                <w:sz w:val="24"/>
                                <w:szCs w:val="24"/>
                              </w:rPr>
                            </w:pPr>
                            <w:r w:rsidRPr="00B4526A">
                              <w:rPr>
                                <w:rFonts w:asciiTheme="minorHAnsi" w:hAnsiTheme="minorHAnsi" w:cstheme="minorHAnsi"/>
                                <w:b/>
                                <w:bCs/>
                                <w:noProof/>
                                <w:sz w:val="24"/>
                                <w:szCs w:val="24"/>
                              </w:rPr>
                              <w:drawing>
                                <wp:inline distT="0" distB="0" distL="0" distR="0" wp14:anchorId="7FB7E72D" wp14:editId="4D2CA102">
                                  <wp:extent cx="2247900" cy="2044700"/>
                                  <wp:effectExtent l="0" t="0" r="0" b="0"/>
                                  <wp:docPr id="525" name="Picture 525"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bar chart, histogram&#10;&#10;Description automatically generated"/>
                                          <pic:cNvPicPr/>
                                        </pic:nvPicPr>
                                        <pic:blipFill>
                                          <a:blip r:embed="rId39"/>
                                          <a:stretch>
                                            <a:fillRect/>
                                          </a:stretch>
                                        </pic:blipFill>
                                        <pic:spPr>
                                          <a:xfrm>
                                            <a:off x="0" y="0"/>
                                            <a:ext cx="2247900" cy="2044700"/>
                                          </a:xfrm>
                                          <a:prstGeom prst="rect">
                                            <a:avLst/>
                                          </a:prstGeom>
                                        </pic:spPr>
                                      </pic:pic>
                                    </a:graphicData>
                                  </a:graphic>
                                </wp:inline>
                              </w:drawing>
                            </w:r>
                            <w:r>
                              <w:rPr>
                                <w:rFonts w:asciiTheme="minorHAnsi" w:hAnsiTheme="minorHAnsi" w:cstheme="minorHAnsi"/>
                                <w:b/>
                                <w:bCs/>
                                <w:noProof/>
                                <w:sz w:val="24"/>
                                <w:szCs w:val="24"/>
                              </w:rPr>
                              <w:tab/>
                            </w:r>
                            <w:r>
                              <w:rPr>
                                <w:rFonts w:asciiTheme="minorHAnsi" w:hAnsiTheme="minorHAnsi" w:cstheme="minorHAnsi"/>
                                <w:b/>
                                <w:bCs/>
                                <w:noProof/>
                                <w:sz w:val="24"/>
                                <w:szCs w:val="24"/>
                              </w:rPr>
                              <w:tab/>
                            </w:r>
                            <w:r>
                              <w:rPr>
                                <w:rFonts w:asciiTheme="minorHAnsi" w:hAnsiTheme="minorHAnsi" w:cstheme="minorHAnsi"/>
                                <w:b/>
                                <w:bCs/>
                                <w:noProof/>
                                <w:sz w:val="24"/>
                                <w:szCs w:val="24"/>
                              </w:rPr>
                              <w:tab/>
                            </w:r>
                            <w:r w:rsidRPr="00B4526A">
                              <w:rPr>
                                <w:rFonts w:asciiTheme="minorHAnsi" w:hAnsiTheme="minorHAnsi" w:cstheme="minorHAnsi"/>
                                <w:b/>
                                <w:bCs/>
                                <w:noProof/>
                                <w:sz w:val="24"/>
                                <w:szCs w:val="24"/>
                              </w:rPr>
                              <w:drawing>
                                <wp:inline distT="0" distB="0" distL="0" distR="0" wp14:anchorId="4429A6B6" wp14:editId="0CED7DEB">
                                  <wp:extent cx="2247900" cy="2044700"/>
                                  <wp:effectExtent l="0" t="0" r="0" b="0"/>
                                  <wp:docPr id="526" name="Picture 526"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bar chart, histogram&#10;&#10;Description automatically generated"/>
                                          <pic:cNvPicPr/>
                                        </pic:nvPicPr>
                                        <pic:blipFill>
                                          <a:blip r:embed="rId40"/>
                                          <a:stretch>
                                            <a:fillRect/>
                                          </a:stretch>
                                        </pic:blipFill>
                                        <pic:spPr>
                                          <a:xfrm>
                                            <a:off x="0" y="0"/>
                                            <a:ext cx="2247900" cy="2044700"/>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70258492" id="Text Box 7" o:spid="_x0000_s1029" type="#_x0000_t202" style="width:450.7pt;height:3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" filled="f" strokecolor="black [3213]" strokeweight=".5pt">
                <v:textbox inset="1mm,0,1mm,0">
                  <w:txbxContent>
                    <w:p w14:paraId="4506C0F9" w14:textId="77777777" w:rsidR="00017935" w:rsidRPr="00C03225" w:rsidRDefault="00017935" w:rsidP="00017935">
                      <w:pPr>
                        <w:spacing w:after="0" w:line="240" w:lineRule="auto"/>
                        <w:ind w:firstLine="0"/>
                        <w:jc w:val="left"/>
                        <w:rPr>
                          <w:rFonts w:asciiTheme="minorHAnsi" w:hAnsiTheme="minorHAnsi" w:cstheme="minorHAnsi"/>
                          <w:b/>
                          <w:bCs/>
                          <w:noProof/>
                          <w:sz w:val="24"/>
                          <w:szCs w:val="24"/>
                        </w:rPr>
                      </w:pPr>
                      <w:r w:rsidRPr="00C03225">
                        <w:rPr>
                          <w:rFonts w:asciiTheme="minorHAnsi" w:hAnsiTheme="minorHAnsi" w:cstheme="minorHAnsi"/>
                          <w:b/>
                          <w:bCs/>
                          <w:noProof/>
                          <w:sz w:val="24"/>
                          <w:szCs w:val="24"/>
                        </w:rPr>
                        <w:t xml:space="preserve">A) Carbon particles </w:t>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t>B) Copper oxide particles</w:t>
                      </w:r>
                    </w:p>
                    <w:p w14:paraId="2F25EABF" w14:textId="77777777" w:rsidR="00017935" w:rsidRDefault="00017935" w:rsidP="00017935">
                      <w:pPr>
                        <w:spacing w:after="0" w:line="240" w:lineRule="auto"/>
                        <w:ind w:firstLine="0"/>
                        <w:jc w:val="left"/>
                        <w:rPr>
                          <w:rFonts w:asciiTheme="minorHAnsi" w:hAnsiTheme="minorHAnsi" w:cstheme="minorHAnsi"/>
                          <w:b/>
                          <w:bCs/>
                          <w:noProof/>
                          <w:sz w:val="24"/>
                          <w:szCs w:val="24"/>
                        </w:rPr>
                      </w:pP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Pr>
                          <w:rFonts w:asciiTheme="minorHAnsi" w:hAnsiTheme="minorHAnsi" w:cstheme="minorHAnsi"/>
                          <w:b/>
                          <w:bCs/>
                          <w:noProof/>
                          <w:sz w:val="24"/>
                          <w:szCs w:val="24"/>
                        </w:rPr>
                        <w:t>Resazurin</w:t>
                      </w:r>
                    </w:p>
                    <w:p w14:paraId="5CAB7681" w14:textId="77777777" w:rsidR="00017935" w:rsidRDefault="00017935" w:rsidP="00017935">
                      <w:pPr>
                        <w:spacing w:after="0" w:line="240" w:lineRule="auto"/>
                        <w:ind w:firstLine="0"/>
                        <w:jc w:val="left"/>
                        <w:rPr>
                          <w:rFonts w:asciiTheme="minorHAnsi" w:hAnsiTheme="minorHAnsi" w:cstheme="minorHAnsi"/>
                          <w:b/>
                          <w:bCs/>
                          <w:noProof/>
                          <w:sz w:val="24"/>
                          <w:szCs w:val="24"/>
                        </w:rPr>
                      </w:pPr>
                      <w:r w:rsidRPr="00B4526A">
                        <w:rPr>
                          <w:rFonts w:asciiTheme="minorHAnsi" w:hAnsiTheme="minorHAnsi" w:cstheme="minorHAnsi"/>
                          <w:b/>
                          <w:bCs/>
                          <w:noProof/>
                          <w:sz w:val="24"/>
                          <w:szCs w:val="24"/>
                        </w:rPr>
                        <w:drawing>
                          <wp:inline distT="0" distB="0" distL="0" distR="0" wp14:anchorId="2164104E" wp14:editId="16D236F6">
                            <wp:extent cx="2247900" cy="2044700"/>
                            <wp:effectExtent l="0" t="0" r="0" b="0"/>
                            <wp:docPr id="523" name="Picture 523"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bar chart, histogram&#10;&#10;Description automatically generated"/>
                                    <pic:cNvPicPr/>
                                  </pic:nvPicPr>
                                  <pic:blipFill>
                                    <a:blip r:embed="rId41"/>
                                    <a:stretch>
                                      <a:fillRect/>
                                    </a:stretch>
                                  </pic:blipFill>
                                  <pic:spPr>
                                    <a:xfrm>
                                      <a:off x="0" y="0"/>
                                      <a:ext cx="2247900" cy="2044700"/>
                                    </a:xfrm>
                                    <a:prstGeom prst="rect">
                                      <a:avLst/>
                                    </a:prstGeom>
                                  </pic:spPr>
                                </pic:pic>
                              </a:graphicData>
                            </a:graphic>
                          </wp:inline>
                        </w:drawing>
                      </w:r>
                      <w:r w:rsidRPr="00F36FB4">
                        <w:rPr>
                          <w:rFonts w:asciiTheme="minorHAnsi" w:hAnsiTheme="minorHAnsi" w:cstheme="minorHAnsi"/>
                          <w:b/>
                          <w:bCs/>
                          <w:noProof/>
                          <w:sz w:val="24"/>
                          <w:szCs w:val="24"/>
                        </w:rPr>
                        <w:t xml:space="preserve"> </w:t>
                      </w:r>
                      <w:r>
                        <w:rPr>
                          <w:rFonts w:asciiTheme="minorHAnsi" w:hAnsiTheme="minorHAnsi" w:cstheme="minorHAnsi"/>
                          <w:b/>
                          <w:bCs/>
                          <w:noProof/>
                          <w:sz w:val="24"/>
                          <w:szCs w:val="24"/>
                        </w:rPr>
                        <w:t>Resorufin</w:t>
                      </w:r>
                      <w:r>
                        <w:rPr>
                          <w:rFonts w:asciiTheme="minorHAnsi" w:hAnsiTheme="minorHAnsi" w:cstheme="minorHAnsi"/>
                          <w:b/>
                          <w:bCs/>
                          <w:noProof/>
                          <w:sz w:val="24"/>
                          <w:szCs w:val="24"/>
                        </w:rPr>
                        <w:tab/>
                      </w:r>
                      <w:r w:rsidRPr="00B4526A">
                        <w:rPr>
                          <w:rFonts w:asciiTheme="minorHAnsi" w:hAnsiTheme="minorHAnsi" w:cstheme="minorHAnsi"/>
                          <w:b/>
                          <w:bCs/>
                          <w:noProof/>
                          <w:sz w:val="24"/>
                          <w:szCs w:val="24"/>
                        </w:rPr>
                        <w:t xml:space="preserve"> </w:t>
                      </w:r>
                      <w:r w:rsidRPr="00B4526A">
                        <w:rPr>
                          <w:rFonts w:asciiTheme="minorHAnsi" w:hAnsiTheme="minorHAnsi" w:cstheme="minorHAnsi"/>
                          <w:b/>
                          <w:bCs/>
                          <w:noProof/>
                          <w:sz w:val="24"/>
                          <w:szCs w:val="24"/>
                        </w:rPr>
                        <w:drawing>
                          <wp:inline distT="0" distB="0" distL="0" distR="0" wp14:anchorId="19933ECE" wp14:editId="40DD2A98">
                            <wp:extent cx="2247900" cy="2044700"/>
                            <wp:effectExtent l="0" t="0" r="0" b="0"/>
                            <wp:docPr id="524" name="Picture 524"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bar chart, histogram&#10;&#10;Description automatically generated"/>
                                    <pic:cNvPicPr/>
                                  </pic:nvPicPr>
                                  <pic:blipFill>
                                    <a:blip r:embed="rId42"/>
                                    <a:stretch>
                                      <a:fillRect/>
                                    </a:stretch>
                                  </pic:blipFill>
                                  <pic:spPr>
                                    <a:xfrm>
                                      <a:off x="0" y="0"/>
                                      <a:ext cx="2247900" cy="2044700"/>
                                    </a:xfrm>
                                    <a:prstGeom prst="rect">
                                      <a:avLst/>
                                    </a:prstGeom>
                                  </pic:spPr>
                                </pic:pic>
                              </a:graphicData>
                            </a:graphic>
                          </wp:inline>
                        </w:drawing>
                      </w:r>
                    </w:p>
                    <w:p w14:paraId="38EE19E4" w14:textId="77777777" w:rsidR="00017935" w:rsidRPr="000D5CBD" w:rsidRDefault="00017935" w:rsidP="00017935">
                      <w:pPr>
                        <w:spacing w:after="0" w:line="240" w:lineRule="auto"/>
                        <w:ind w:firstLine="0"/>
                        <w:jc w:val="left"/>
                        <w:rPr>
                          <w:rFonts w:asciiTheme="minorHAnsi" w:hAnsiTheme="minorHAnsi" w:cstheme="minorHAnsi"/>
                          <w:b/>
                          <w:bCs/>
                          <w:noProof/>
                          <w:sz w:val="24"/>
                          <w:szCs w:val="24"/>
                        </w:rPr>
                      </w:pPr>
                      <w:r w:rsidRPr="00B4526A">
                        <w:rPr>
                          <w:rFonts w:asciiTheme="minorHAnsi" w:hAnsiTheme="minorHAnsi" w:cstheme="minorHAnsi"/>
                          <w:b/>
                          <w:bCs/>
                          <w:noProof/>
                          <w:sz w:val="24"/>
                          <w:szCs w:val="24"/>
                        </w:rPr>
                        <w:drawing>
                          <wp:inline distT="0" distB="0" distL="0" distR="0" wp14:anchorId="7FB7E72D" wp14:editId="4D2CA102">
                            <wp:extent cx="2247900" cy="2044700"/>
                            <wp:effectExtent l="0" t="0" r="0" b="0"/>
                            <wp:docPr id="525" name="Picture 525"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bar chart, histogram&#10;&#10;Description automatically generated"/>
                                    <pic:cNvPicPr/>
                                  </pic:nvPicPr>
                                  <pic:blipFill>
                                    <a:blip r:embed="rId43"/>
                                    <a:stretch>
                                      <a:fillRect/>
                                    </a:stretch>
                                  </pic:blipFill>
                                  <pic:spPr>
                                    <a:xfrm>
                                      <a:off x="0" y="0"/>
                                      <a:ext cx="2247900" cy="2044700"/>
                                    </a:xfrm>
                                    <a:prstGeom prst="rect">
                                      <a:avLst/>
                                    </a:prstGeom>
                                  </pic:spPr>
                                </pic:pic>
                              </a:graphicData>
                            </a:graphic>
                          </wp:inline>
                        </w:drawing>
                      </w:r>
                      <w:r>
                        <w:rPr>
                          <w:rFonts w:asciiTheme="minorHAnsi" w:hAnsiTheme="minorHAnsi" w:cstheme="minorHAnsi"/>
                          <w:b/>
                          <w:bCs/>
                          <w:noProof/>
                          <w:sz w:val="24"/>
                          <w:szCs w:val="24"/>
                        </w:rPr>
                        <w:tab/>
                      </w:r>
                      <w:r>
                        <w:rPr>
                          <w:rFonts w:asciiTheme="minorHAnsi" w:hAnsiTheme="minorHAnsi" w:cstheme="minorHAnsi"/>
                          <w:b/>
                          <w:bCs/>
                          <w:noProof/>
                          <w:sz w:val="24"/>
                          <w:szCs w:val="24"/>
                        </w:rPr>
                        <w:tab/>
                      </w:r>
                      <w:r>
                        <w:rPr>
                          <w:rFonts w:asciiTheme="minorHAnsi" w:hAnsiTheme="minorHAnsi" w:cstheme="minorHAnsi"/>
                          <w:b/>
                          <w:bCs/>
                          <w:noProof/>
                          <w:sz w:val="24"/>
                          <w:szCs w:val="24"/>
                        </w:rPr>
                        <w:tab/>
                      </w:r>
                      <w:r w:rsidRPr="00B4526A">
                        <w:rPr>
                          <w:rFonts w:asciiTheme="minorHAnsi" w:hAnsiTheme="minorHAnsi" w:cstheme="minorHAnsi"/>
                          <w:b/>
                          <w:bCs/>
                          <w:noProof/>
                          <w:sz w:val="24"/>
                          <w:szCs w:val="24"/>
                        </w:rPr>
                        <w:drawing>
                          <wp:inline distT="0" distB="0" distL="0" distR="0" wp14:anchorId="4429A6B6" wp14:editId="0CED7DEB">
                            <wp:extent cx="2247900" cy="2044700"/>
                            <wp:effectExtent l="0" t="0" r="0" b="0"/>
                            <wp:docPr id="526" name="Picture 526"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bar chart, histogram&#10;&#10;Description automatically generated"/>
                                    <pic:cNvPicPr/>
                                  </pic:nvPicPr>
                                  <pic:blipFill>
                                    <a:blip r:embed="rId44"/>
                                    <a:stretch>
                                      <a:fillRect/>
                                    </a:stretch>
                                  </pic:blipFill>
                                  <pic:spPr>
                                    <a:xfrm>
                                      <a:off x="0" y="0"/>
                                      <a:ext cx="2247900" cy="2044700"/>
                                    </a:xfrm>
                                    <a:prstGeom prst="rect">
                                      <a:avLst/>
                                    </a:prstGeom>
                                  </pic:spPr>
                                </pic:pic>
                              </a:graphicData>
                            </a:graphic>
                          </wp:inline>
                        </w:drawing>
                      </w:r>
                    </w:p>
                  </w:txbxContent>
                </v:textbox>
                <w10:anchorlock/>
              </v:shape>
            </w:pict>
          </mc:Fallback>
        </mc:AlternateContent>
      </w:r>
      <w:r w:rsidRPr="007F3C5D">
        <w:rPr>
          <w:b/>
          <w:bCs/>
          <w:sz w:val="16"/>
          <w:szCs w:val="16"/>
        </w:rPr>
        <w:t xml:space="preserve"> Figure </w:t>
      </w:r>
      <w:r w:rsidR="005F6099" w:rsidRPr="007F3C5D">
        <w:rPr>
          <w:b/>
          <w:bCs/>
          <w:sz w:val="16"/>
          <w:szCs w:val="16"/>
        </w:rPr>
        <w:t>5</w:t>
      </w:r>
      <w:r w:rsidRPr="007F3C5D">
        <w:rPr>
          <w:b/>
          <w:bCs/>
          <w:sz w:val="16"/>
          <w:szCs w:val="16"/>
        </w:rPr>
        <w:t>: Effect of Carbon particles (A) and Copper oxide particles (B)</w:t>
      </w:r>
      <w:r w:rsidRPr="007F3C5D">
        <w:rPr>
          <w:rFonts w:cstheme="minorHAnsi"/>
          <w:b/>
          <w:bCs/>
          <w:noProof/>
          <w:sz w:val="24"/>
          <w:szCs w:val="24"/>
        </w:rPr>
        <w:t xml:space="preserve"> </w:t>
      </w:r>
      <w:r w:rsidRPr="007F3C5D">
        <w:rPr>
          <w:b/>
          <w:bCs/>
          <w:sz w:val="16"/>
          <w:szCs w:val="16"/>
        </w:rPr>
        <w:t>on fluorescence intensity after 120 h exposure</w:t>
      </w:r>
      <w:r w:rsidRPr="007F3C5D">
        <w:rPr>
          <w:sz w:val="16"/>
          <w:szCs w:val="16"/>
        </w:rPr>
        <w:t>.</w:t>
      </w:r>
      <w:r w:rsidRPr="007F3C5D">
        <w:rPr>
          <w:sz w:val="16"/>
          <w:szCs w:val="16"/>
        </w:rPr>
        <w:br/>
        <w:t xml:space="preserve">Top and bottom row show the combination with resazurin and resorufin </w:t>
      </w:r>
      <w:proofErr w:type="spellStart"/>
      <w:r w:rsidRPr="007F3C5D">
        <w:rPr>
          <w:sz w:val="16"/>
          <w:szCs w:val="16"/>
        </w:rPr>
        <w:t>respecvtively</w:t>
      </w:r>
      <w:proofErr w:type="spellEnd"/>
      <w:r w:rsidRPr="007F3C5D">
        <w:rPr>
          <w:sz w:val="16"/>
          <w:szCs w:val="16"/>
        </w:rPr>
        <w:t xml:space="preserve">.  </w:t>
      </w:r>
      <w:proofErr w:type="spellStart"/>
      <w:r w:rsidRPr="007F3C5D">
        <w:rPr>
          <w:color w:val="000000" w:themeColor="text1"/>
          <w:sz w:val="16"/>
          <w:szCs w:val="16"/>
        </w:rPr>
        <w:t>Fluorescentce</w:t>
      </w:r>
      <w:proofErr w:type="spellEnd"/>
      <w:r w:rsidRPr="007F3C5D">
        <w:rPr>
          <w:color w:val="000000" w:themeColor="text1"/>
          <w:sz w:val="16"/>
          <w:szCs w:val="16"/>
        </w:rPr>
        <w:t xml:space="preserve"> intensity data is presented as mean (± SD) normalized to control from n = 3 wells, N = 1. </w:t>
      </w:r>
      <w:r w:rsidRPr="007F3C5D">
        <w:rPr>
          <w:sz w:val="16"/>
          <w:szCs w:val="16"/>
        </w:rPr>
        <w:t>Significant effects were determined by ordinary one-way ANOVA. *=p &lt; 0.05 compared to control.</w:t>
      </w:r>
    </w:p>
    <w:p w14:paraId="249587D5" w14:textId="472961FE" w:rsidR="006F4D48" w:rsidRPr="007F3C5D" w:rsidRDefault="006F4D48" w:rsidP="00A14895">
      <w:pPr>
        <w:pStyle w:val="Heading2"/>
      </w:pPr>
      <w:bookmarkStart w:id="43" w:name="_Toc100781389"/>
      <w:bookmarkStart w:id="44" w:name="_Toc101374935"/>
      <w:r w:rsidRPr="007F3C5D">
        <w:t>Diesel and Biodiesel exhaust-derived PM reduce neuronal activity</w:t>
      </w:r>
      <w:bookmarkEnd w:id="42"/>
      <w:bookmarkEnd w:id="43"/>
      <w:bookmarkEnd w:id="44"/>
    </w:p>
    <w:p w14:paraId="1788B89E" w14:textId="59D83F7F" w:rsidR="006F4D48" w:rsidRPr="007F3C5D" w:rsidRDefault="006F4D48" w:rsidP="00A14895">
      <w:r w:rsidRPr="007F3C5D">
        <w:t xml:space="preserve">For acute exposure, only the highest concentration of 100 µg/mL diesel exhaust-derived PM reduced the MBR (fig. </w:t>
      </w:r>
      <w:r w:rsidR="005F6099" w:rsidRPr="007F3C5D">
        <w:t>6</w:t>
      </w:r>
      <w:r w:rsidRPr="007F3C5D">
        <w:t>A) to 61.9% (p</w:t>
      </w:r>
      <w:r w:rsidR="00670906" w:rsidRPr="007F3C5D">
        <w:t> = </w:t>
      </w:r>
      <w:r w:rsidRPr="007F3C5D">
        <w:t>&lt;0.0001). Following subchronic exposure (24</w:t>
      </w:r>
      <w:r w:rsidR="00670906" w:rsidRPr="007F3C5D">
        <w:t> </w:t>
      </w:r>
      <w:r w:rsidRPr="007F3C5D">
        <w:t>h, 48</w:t>
      </w:r>
      <w:r w:rsidR="00670906" w:rsidRPr="007F3C5D">
        <w:t> </w:t>
      </w:r>
      <w:r w:rsidRPr="007F3C5D">
        <w:t>h and 120</w:t>
      </w:r>
      <w:r w:rsidR="00670906" w:rsidRPr="007F3C5D">
        <w:t> </w:t>
      </w:r>
      <w:r w:rsidRPr="007F3C5D">
        <w:t>h), MSR, MBR and MNBR were significantly and dose-dependently decreased by 30</w:t>
      </w:r>
      <w:r w:rsidR="00670906" w:rsidRPr="007F3C5D">
        <w:t> </w:t>
      </w:r>
      <w:r w:rsidRPr="007F3C5D">
        <w:t>µg/</w:t>
      </w:r>
      <w:proofErr w:type="spellStart"/>
      <w:r w:rsidRPr="007F3C5D">
        <w:t>mL.</w:t>
      </w:r>
      <w:proofErr w:type="spellEnd"/>
      <w:r w:rsidRPr="007F3C5D">
        <w:t xml:space="preserve"> Furthermore, 120 h exposure to 10 µg/mL diesel exhaust-derived PM significantly reduced the MBR to 69.1% (p</w:t>
      </w:r>
      <w:r w:rsidR="00670906" w:rsidRPr="007F3C5D">
        <w:t> </w:t>
      </w:r>
      <w:proofErr w:type="gramStart"/>
      <w:r w:rsidR="00670906" w:rsidRPr="007F3C5D">
        <w:t>= </w:t>
      </w:r>
      <w:r w:rsidRPr="007F3C5D">
        <w:t xml:space="preserve"> 0.0063</w:t>
      </w:r>
      <w:proofErr w:type="gramEnd"/>
      <w:r w:rsidRPr="007F3C5D">
        <w:t>). For the biodiesel exhaust-derived PM no effect was seen after acute exposure.  After 24</w:t>
      </w:r>
      <w:r w:rsidR="00670906" w:rsidRPr="007F3C5D">
        <w:t> </w:t>
      </w:r>
      <w:r w:rsidRPr="007F3C5D">
        <w:t>h exposure to 100</w:t>
      </w:r>
      <w:r w:rsidR="00670906" w:rsidRPr="007F3C5D">
        <w:t> µ</w:t>
      </w:r>
      <w:r w:rsidRPr="007F3C5D">
        <w:t>g/mL a mild reduction of MSR, MBR and MNBR was observed while MNBR was not reduced significantly after 120</w:t>
      </w:r>
      <w:r w:rsidR="00670906" w:rsidRPr="007F3C5D">
        <w:t> </w:t>
      </w:r>
      <w:r w:rsidRPr="007F3C5D">
        <w:t>h to 100</w:t>
      </w:r>
      <w:r w:rsidR="00670906" w:rsidRPr="007F3C5D">
        <w:t> </w:t>
      </w:r>
      <w:r w:rsidRPr="007F3C5D">
        <w:t>µg/mL (</w:t>
      </w:r>
      <w:r w:rsidR="005F6099" w:rsidRPr="007F3C5D">
        <w:t>f</w:t>
      </w:r>
      <w:r w:rsidRPr="007F3C5D">
        <w:t>ig</w:t>
      </w:r>
      <w:r w:rsidR="005F6099" w:rsidRPr="007F3C5D">
        <w:t>.</w:t>
      </w:r>
      <w:r w:rsidRPr="007F3C5D">
        <w:t xml:space="preserve"> </w:t>
      </w:r>
      <w:r w:rsidR="005F6099" w:rsidRPr="007F3C5D">
        <w:t>6</w:t>
      </w:r>
      <w:r w:rsidRPr="007F3C5D">
        <w:t xml:space="preserve">B). Both, diesel </w:t>
      </w:r>
      <w:proofErr w:type="gramStart"/>
      <w:r w:rsidRPr="007F3C5D">
        <w:t>or</w:t>
      </w:r>
      <w:proofErr w:type="gramEnd"/>
      <w:r w:rsidRPr="007F3C5D">
        <w:t xml:space="preserve"> biodiesel exhaust derived PM did not induce change in metabolic activity after 120 h indicating that cell viability was unaffected (fig. </w:t>
      </w:r>
      <w:r w:rsidR="005F6099" w:rsidRPr="007F3C5D">
        <w:t>7</w:t>
      </w:r>
      <w:r w:rsidRPr="007F3C5D">
        <w:t>).</w:t>
      </w:r>
    </w:p>
    <w:p w14:paraId="17F17155" w14:textId="6EB39030" w:rsidR="00670906" w:rsidRPr="007F3C5D" w:rsidRDefault="006F4D48" w:rsidP="00A14895">
      <w:pPr>
        <w:pStyle w:val="Caption"/>
        <w:spacing w:after="0" w:line="276" w:lineRule="auto"/>
        <w:rPr>
          <w:rFonts w:ascii="Cambria" w:hAnsi="Cambria"/>
          <w:i w:val="0"/>
          <w:iCs w:val="0"/>
          <w:color w:val="auto"/>
          <w:sz w:val="16"/>
          <w:szCs w:val="16"/>
          <w:lang w:val="en-US"/>
        </w:rPr>
      </w:pPr>
      <w:r w:rsidRPr="007F3C5D">
        <w:rPr>
          <w:rFonts w:ascii="Cambria" w:hAnsi="Cambria"/>
          <w:noProof/>
          <w:lang w:val="en-US"/>
        </w:rPr>
        <w:lastRenderedPageBreak/>
        <mc:AlternateContent>
          <mc:Choice Requires="wps">
            <w:drawing>
              <wp:inline distT="0" distB="0" distL="0" distR="0" wp14:anchorId="6C712AAE" wp14:editId="198A094F">
                <wp:extent cx="5724000" cy="6200044"/>
                <wp:effectExtent l="0" t="0" r="16510" b="10795"/>
                <wp:docPr id="38" name="Text Box 38"/>
                <wp:cNvGraphicFramePr/>
                <a:graphic xmlns:a="http://schemas.openxmlformats.org/drawingml/2006/main">
                  <a:graphicData uri="http://schemas.microsoft.com/office/word/2010/wordprocessingShape">
                    <wps:wsp>
                      <wps:cNvSpPr txBox="1"/>
                      <wps:spPr>
                        <a:xfrm>
                          <a:off x="0" y="0"/>
                          <a:ext cx="5724000" cy="6200044"/>
                        </a:xfrm>
                        <a:prstGeom prst="rect">
                          <a:avLst/>
                        </a:prstGeom>
                        <a:noFill/>
                        <a:ln w="6350">
                          <a:solidFill>
                            <a:schemeClr val="tx1"/>
                          </a:solidFill>
                        </a:ln>
                      </wps:spPr>
                      <wps:txbx>
                        <w:txbxContent>
                          <w:p w14:paraId="11303E1A" w14:textId="27624D25" w:rsidR="006F4D48" w:rsidRDefault="006F4D48" w:rsidP="00EE6B5C">
                            <w:pPr>
                              <w:spacing w:after="0" w:line="240" w:lineRule="auto"/>
                              <w:ind w:firstLine="0"/>
                              <w:rPr>
                                <w:noProof/>
                              </w:rPr>
                            </w:pPr>
                            <w:r w:rsidRPr="00AE6573">
                              <w:rPr>
                                <w:noProof/>
                              </w:rPr>
                              <w:drawing>
                                <wp:inline distT="0" distB="0" distL="0" distR="0" wp14:anchorId="5EEF851E" wp14:editId="25D2B248">
                                  <wp:extent cx="5482590" cy="185195"/>
                                  <wp:effectExtent l="0" t="0" r="0" b="571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95534"/>
                                          <a:stretch/>
                                        </pic:blipFill>
                                        <pic:spPr bwMode="auto">
                                          <a:xfrm>
                                            <a:off x="0" y="0"/>
                                            <a:ext cx="5482590" cy="185195"/>
                                          </a:xfrm>
                                          <a:prstGeom prst="rect">
                                            <a:avLst/>
                                          </a:prstGeom>
                                          <a:ln>
                                            <a:noFill/>
                                          </a:ln>
                                          <a:extLst>
                                            <a:ext uri="{53640926-AAD7-44D8-BBD7-CCE9431645EC}">
                                              <a14:shadowObscured xmlns:a14="http://schemas.microsoft.com/office/drawing/2010/main"/>
                                            </a:ext>
                                          </a:extLst>
                                        </pic:spPr>
                                      </pic:pic>
                                    </a:graphicData>
                                  </a:graphic>
                                </wp:inline>
                              </w:drawing>
                            </w:r>
                          </w:p>
                          <w:p w14:paraId="02CB2392" w14:textId="0F0AD5BE" w:rsidR="006F4D48" w:rsidRPr="003172F0" w:rsidRDefault="006F4D48" w:rsidP="00CD4931">
                            <w:pPr>
                              <w:spacing w:after="0" w:line="240" w:lineRule="auto"/>
                              <w:ind w:firstLine="0"/>
                              <w:rPr>
                                <w:rFonts w:asciiTheme="minorHAnsi" w:hAnsiTheme="minorHAnsi" w:cstheme="minorHAnsi"/>
                                <w:b/>
                                <w:bCs/>
                                <w:noProof/>
                                <w:sz w:val="24"/>
                                <w:szCs w:val="24"/>
                              </w:rPr>
                            </w:pPr>
                            <w:r w:rsidRPr="003172F0">
                              <w:rPr>
                                <w:rFonts w:asciiTheme="minorHAnsi" w:hAnsiTheme="minorHAnsi" w:cstheme="minorHAnsi"/>
                                <w:b/>
                                <w:bCs/>
                                <w:noProof/>
                                <w:sz w:val="24"/>
                                <w:szCs w:val="24"/>
                              </w:rPr>
                              <w:t>A)</w:t>
                            </w:r>
                            <w:r w:rsidR="00AE4A9E">
                              <w:rPr>
                                <w:rFonts w:asciiTheme="minorHAnsi" w:hAnsiTheme="minorHAnsi" w:cstheme="minorHAnsi"/>
                                <w:b/>
                                <w:bCs/>
                                <w:noProof/>
                                <w:sz w:val="24"/>
                                <w:szCs w:val="24"/>
                              </w:rPr>
                              <w:t xml:space="preserve"> </w:t>
                            </w:r>
                            <w:r w:rsidRPr="003172F0">
                              <w:rPr>
                                <w:rFonts w:asciiTheme="minorHAnsi" w:hAnsiTheme="minorHAnsi" w:cstheme="minorHAnsi"/>
                                <w:b/>
                                <w:bCs/>
                                <w:noProof/>
                                <w:sz w:val="24"/>
                                <w:szCs w:val="24"/>
                              </w:rPr>
                              <w:t>Diesel exhaust-derived PM</w:t>
                            </w:r>
                            <w:r w:rsidRPr="003172F0">
                              <w:rPr>
                                <w:rFonts w:asciiTheme="minorHAnsi" w:hAnsiTheme="minorHAnsi" w:cstheme="minorHAnsi"/>
                                <w:b/>
                                <w:bCs/>
                                <w:noProof/>
                                <w:sz w:val="24"/>
                                <w:szCs w:val="24"/>
                              </w:rPr>
                              <w:tab/>
                            </w:r>
                            <w:r w:rsidRPr="003172F0">
                              <w:rPr>
                                <w:rFonts w:asciiTheme="minorHAnsi" w:hAnsiTheme="minorHAnsi" w:cstheme="minorHAnsi"/>
                                <w:b/>
                                <w:bCs/>
                                <w:noProof/>
                                <w:sz w:val="24"/>
                                <w:szCs w:val="24"/>
                              </w:rPr>
                              <w:tab/>
                              <w:t>B)</w:t>
                            </w:r>
                            <w:r w:rsidR="00AE4A9E">
                              <w:rPr>
                                <w:rFonts w:asciiTheme="minorHAnsi" w:hAnsiTheme="minorHAnsi" w:cstheme="minorHAnsi"/>
                                <w:b/>
                                <w:bCs/>
                                <w:noProof/>
                                <w:sz w:val="24"/>
                                <w:szCs w:val="24"/>
                              </w:rPr>
                              <w:t xml:space="preserve"> </w:t>
                            </w:r>
                            <w:r w:rsidRPr="003172F0">
                              <w:rPr>
                                <w:rFonts w:asciiTheme="minorHAnsi" w:hAnsiTheme="minorHAnsi" w:cstheme="minorHAnsi"/>
                                <w:b/>
                                <w:bCs/>
                                <w:noProof/>
                                <w:sz w:val="24"/>
                                <w:szCs w:val="24"/>
                              </w:rPr>
                              <w:t>Biodiesel exhaust-derived PM</w:t>
                            </w:r>
                          </w:p>
                          <w:p w14:paraId="46204D63" w14:textId="77777777" w:rsidR="006F4D48" w:rsidRDefault="006F4D48" w:rsidP="00CD4931">
                            <w:pPr>
                              <w:spacing w:after="0" w:line="240" w:lineRule="auto"/>
                              <w:ind w:firstLine="0"/>
                              <w:rPr>
                                <w:noProof/>
                              </w:rPr>
                            </w:pPr>
                            <w:r w:rsidRPr="00AC35A6">
                              <w:rPr>
                                <w:noProof/>
                              </w:rPr>
                              <w:drawing>
                                <wp:inline distT="0" distB="0" distL="0" distR="0" wp14:anchorId="1F0E3A97" wp14:editId="0E9B3909">
                                  <wp:extent cx="2727629" cy="1941702"/>
                                  <wp:effectExtent l="0" t="0" r="3175" b="190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45">
                                            <a:extLst>
                                              <a:ext uri="{28A0092B-C50C-407E-A947-70E740481C1C}">
                                                <a14:useLocalDpi xmlns:a14="http://schemas.microsoft.com/office/drawing/2010/main" val="0"/>
                                              </a:ext>
                                            </a:extLst>
                                          </a:blip>
                                          <a:stretch>
                                            <a:fillRect/>
                                          </a:stretch>
                                        </pic:blipFill>
                                        <pic:spPr>
                                          <a:xfrm>
                                            <a:off x="0" y="0"/>
                                            <a:ext cx="2727629" cy="1941702"/>
                                          </a:xfrm>
                                          <a:prstGeom prst="rect">
                                            <a:avLst/>
                                          </a:prstGeom>
                                        </pic:spPr>
                                      </pic:pic>
                                    </a:graphicData>
                                  </a:graphic>
                                </wp:inline>
                              </w:drawing>
                            </w:r>
                            <w:r w:rsidRPr="00AC35A6">
                              <w:rPr>
                                <w:noProof/>
                              </w:rPr>
                              <w:drawing>
                                <wp:inline distT="0" distB="0" distL="0" distR="0" wp14:anchorId="62A8EB68" wp14:editId="5174EA60">
                                  <wp:extent cx="2726853" cy="1941150"/>
                                  <wp:effectExtent l="0" t="0" r="3810" b="254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46">
                                            <a:extLst>
                                              <a:ext uri="{28A0092B-C50C-407E-A947-70E740481C1C}">
                                                <a14:useLocalDpi xmlns:a14="http://schemas.microsoft.com/office/drawing/2010/main" val="0"/>
                                              </a:ext>
                                            </a:extLst>
                                          </a:blip>
                                          <a:stretch>
                                            <a:fillRect/>
                                          </a:stretch>
                                        </pic:blipFill>
                                        <pic:spPr>
                                          <a:xfrm>
                                            <a:off x="0" y="0"/>
                                            <a:ext cx="2726853" cy="1941150"/>
                                          </a:xfrm>
                                          <a:prstGeom prst="rect">
                                            <a:avLst/>
                                          </a:prstGeom>
                                        </pic:spPr>
                                      </pic:pic>
                                    </a:graphicData>
                                  </a:graphic>
                                </wp:inline>
                              </w:drawing>
                            </w:r>
                          </w:p>
                          <w:p w14:paraId="6045B564" w14:textId="77777777" w:rsidR="006F4D48" w:rsidRDefault="006F4D48" w:rsidP="00CD4931">
                            <w:pPr>
                              <w:spacing w:after="0" w:line="240" w:lineRule="auto"/>
                              <w:ind w:firstLine="0"/>
                              <w:rPr>
                                <w:rFonts w:asciiTheme="minorHAnsi" w:hAnsiTheme="minorHAnsi" w:cstheme="minorHAnsi"/>
                                <w:b/>
                                <w:bCs/>
                                <w:noProof/>
                                <w:sz w:val="28"/>
                                <w:szCs w:val="28"/>
                              </w:rPr>
                            </w:pPr>
                            <w:r w:rsidRPr="00AC35A6">
                              <w:rPr>
                                <w:noProof/>
                              </w:rPr>
                              <w:drawing>
                                <wp:inline distT="0" distB="0" distL="0" distR="0" wp14:anchorId="2F0F700E" wp14:editId="206D469E">
                                  <wp:extent cx="2694192" cy="1906484"/>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47">
                                            <a:extLst>
                                              <a:ext uri="{28A0092B-C50C-407E-A947-70E740481C1C}">
                                                <a14:useLocalDpi xmlns:a14="http://schemas.microsoft.com/office/drawing/2010/main" val="0"/>
                                              </a:ext>
                                            </a:extLst>
                                          </a:blip>
                                          <a:stretch>
                                            <a:fillRect/>
                                          </a:stretch>
                                        </pic:blipFill>
                                        <pic:spPr>
                                          <a:xfrm>
                                            <a:off x="0" y="0"/>
                                            <a:ext cx="2694192" cy="1906484"/>
                                          </a:xfrm>
                                          <a:prstGeom prst="rect">
                                            <a:avLst/>
                                          </a:prstGeom>
                                        </pic:spPr>
                                      </pic:pic>
                                    </a:graphicData>
                                  </a:graphic>
                                </wp:inline>
                              </w:drawing>
                            </w:r>
                            <w:r w:rsidRPr="00AC35A6">
                              <w:rPr>
                                <w:noProof/>
                              </w:rPr>
                              <w:drawing>
                                <wp:inline distT="0" distB="0" distL="0" distR="0" wp14:anchorId="0DAD0E8D" wp14:editId="0EB4A0DD">
                                  <wp:extent cx="2726853" cy="1941150"/>
                                  <wp:effectExtent l="0" t="0" r="3810" b="254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48">
                                            <a:extLst>
                                              <a:ext uri="{28A0092B-C50C-407E-A947-70E740481C1C}">
                                                <a14:useLocalDpi xmlns:a14="http://schemas.microsoft.com/office/drawing/2010/main" val="0"/>
                                              </a:ext>
                                            </a:extLst>
                                          </a:blip>
                                          <a:stretch>
                                            <a:fillRect/>
                                          </a:stretch>
                                        </pic:blipFill>
                                        <pic:spPr>
                                          <a:xfrm>
                                            <a:off x="0" y="0"/>
                                            <a:ext cx="2726853" cy="1941150"/>
                                          </a:xfrm>
                                          <a:prstGeom prst="rect">
                                            <a:avLst/>
                                          </a:prstGeom>
                                        </pic:spPr>
                                      </pic:pic>
                                    </a:graphicData>
                                  </a:graphic>
                                </wp:inline>
                              </w:drawing>
                            </w:r>
                          </w:p>
                          <w:p w14:paraId="6D4CB9C8" w14:textId="77777777" w:rsidR="006F4D48" w:rsidRDefault="006F4D48" w:rsidP="00CD4931">
                            <w:pPr>
                              <w:spacing w:after="0" w:line="240" w:lineRule="auto"/>
                              <w:ind w:firstLine="0"/>
                              <w:rPr>
                                <w:rFonts w:asciiTheme="minorHAnsi" w:hAnsiTheme="minorHAnsi" w:cstheme="minorHAnsi"/>
                                <w:b/>
                                <w:bCs/>
                                <w:noProof/>
                                <w:sz w:val="28"/>
                                <w:szCs w:val="28"/>
                              </w:rPr>
                            </w:pPr>
                            <w:r w:rsidRPr="00AC35A6">
                              <w:rPr>
                                <w:noProof/>
                              </w:rPr>
                              <w:drawing>
                                <wp:inline distT="0" distB="0" distL="0" distR="0" wp14:anchorId="715001F8" wp14:editId="3B6CAA0C">
                                  <wp:extent cx="2721132" cy="1933741"/>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49">
                                            <a:extLst>
                                              <a:ext uri="{28A0092B-C50C-407E-A947-70E740481C1C}">
                                                <a14:useLocalDpi xmlns:a14="http://schemas.microsoft.com/office/drawing/2010/main" val="0"/>
                                              </a:ext>
                                            </a:extLst>
                                          </a:blip>
                                          <a:stretch>
                                            <a:fillRect/>
                                          </a:stretch>
                                        </pic:blipFill>
                                        <pic:spPr>
                                          <a:xfrm>
                                            <a:off x="0" y="0"/>
                                            <a:ext cx="2721132" cy="1933741"/>
                                          </a:xfrm>
                                          <a:prstGeom prst="rect">
                                            <a:avLst/>
                                          </a:prstGeom>
                                        </pic:spPr>
                                      </pic:pic>
                                    </a:graphicData>
                                  </a:graphic>
                                </wp:inline>
                              </w:drawing>
                            </w:r>
                            <w:r w:rsidRPr="00AC35A6">
                              <w:rPr>
                                <w:noProof/>
                              </w:rPr>
                              <w:drawing>
                                <wp:inline distT="0" distB="0" distL="0" distR="0" wp14:anchorId="331EA2C2" wp14:editId="1265196D">
                                  <wp:extent cx="2726853" cy="1941150"/>
                                  <wp:effectExtent l="0" t="0" r="3810" b="254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50">
                                            <a:extLst>
                                              <a:ext uri="{28A0092B-C50C-407E-A947-70E740481C1C}">
                                                <a14:useLocalDpi xmlns:a14="http://schemas.microsoft.com/office/drawing/2010/main" val="0"/>
                                              </a:ext>
                                            </a:extLst>
                                          </a:blip>
                                          <a:stretch>
                                            <a:fillRect/>
                                          </a:stretch>
                                        </pic:blipFill>
                                        <pic:spPr>
                                          <a:xfrm>
                                            <a:off x="0" y="0"/>
                                            <a:ext cx="2726853" cy="1941150"/>
                                          </a:xfrm>
                                          <a:prstGeom prst="rect">
                                            <a:avLst/>
                                          </a:prstGeom>
                                        </pic:spPr>
                                      </pic:pic>
                                    </a:graphicData>
                                  </a:graphic>
                                </wp:inline>
                              </w:drawing>
                            </w:r>
                          </w:p>
                          <w:p w14:paraId="55BA161F" w14:textId="77777777" w:rsidR="006F4D48" w:rsidRPr="007560D4" w:rsidRDefault="006F4D48" w:rsidP="006F4D48">
                            <w:pPr>
                              <w:pStyle w:val="Caption"/>
                              <w:spacing w:after="0" w:line="276" w:lineRule="auto"/>
                              <w:rPr>
                                <w:rFonts w:ascii="Cambria" w:hAnsi="Cambria"/>
                                <w:i w:val="0"/>
                                <w:iCs w:val="0"/>
                                <w:color w:val="auto"/>
                                <w:sz w:val="16"/>
                                <w:szCs w:val="16"/>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6C712AAE" id="Text Box 38" o:spid="_x0000_s1030" type="#_x0000_t202" style="width:450.7pt;height:48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" filled="f" strokecolor="black [3213]" strokeweight=".5pt">
                <v:textbox inset="1mm,0,1mm,0">
                  <w:txbxContent>
                    <w:p w14:paraId="11303E1A" w14:textId="27624D25" w:rsidR="006F4D48" w:rsidRDefault="006F4D48" w:rsidP="00EE6B5C">
                      <w:pPr>
                        <w:spacing w:after="0" w:line="240" w:lineRule="auto"/>
                        <w:ind w:firstLine="0"/>
                        <w:rPr>
                          <w:noProof/>
                        </w:rPr>
                      </w:pPr>
                      <w:r w:rsidRPr="00AE6573">
                        <w:rPr>
                          <w:noProof/>
                        </w:rPr>
                        <w:drawing>
                          <wp:inline distT="0" distB="0" distL="0" distR="0" wp14:anchorId="5EEF851E" wp14:editId="25D2B248">
                            <wp:extent cx="5482590" cy="185195"/>
                            <wp:effectExtent l="0" t="0" r="0" b="571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95534"/>
                                    <a:stretch/>
                                  </pic:blipFill>
                                  <pic:spPr bwMode="auto">
                                    <a:xfrm>
                                      <a:off x="0" y="0"/>
                                      <a:ext cx="5482590" cy="185195"/>
                                    </a:xfrm>
                                    <a:prstGeom prst="rect">
                                      <a:avLst/>
                                    </a:prstGeom>
                                    <a:ln>
                                      <a:noFill/>
                                    </a:ln>
                                    <a:extLst>
                                      <a:ext uri="{53640926-AAD7-44D8-BBD7-CCE9431645EC}">
                                        <a14:shadowObscured xmlns:a14="http://schemas.microsoft.com/office/drawing/2010/main"/>
                                      </a:ext>
                                    </a:extLst>
                                  </pic:spPr>
                                </pic:pic>
                              </a:graphicData>
                            </a:graphic>
                          </wp:inline>
                        </w:drawing>
                      </w:r>
                    </w:p>
                    <w:p w14:paraId="02CB2392" w14:textId="0F0AD5BE" w:rsidR="006F4D48" w:rsidRPr="003172F0" w:rsidRDefault="006F4D48" w:rsidP="00CD4931">
                      <w:pPr>
                        <w:spacing w:after="0" w:line="240" w:lineRule="auto"/>
                        <w:ind w:firstLine="0"/>
                        <w:rPr>
                          <w:rFonts w:asciiTheme="minorHAnsi" w:hAnsiTheme="minorHAnsi" w:cstheme="minorHAnsi"/>
                          <w:b/>
                          <w:bCs/>
                          <w:noProof/>
                          <w:sz w:val="24"/>
                          <w:szCs w:val="24"/>
                        </w:rPr>
                      </w:pPr>
                      <w:r w:rsidRPr="003172F0">
                        <w:rPr>
                          <w:rFonts w:asciiTheme="minorHAnsi" w:hAnsiTheme="minorHAnsi" w:cstheme="minorHAnsi"/>
                          <w:b/>
                          <w:bCs/>
                          <w:noProof/>
                          <w:sz w:val="24"/>
                          <w:szCs w:val="24"/>
                        </w:rPr>
                        <w:t>A)</w:t>
                      </w:r>
                      <w:r w:rsidR="00AE4A9E">
                        <w:rPr>
                          <w:rFonts w:asciiTheme="minorHAnsi" w:hAnsiTheme="minorHAnsi" w:cstheme="minorHAnsi"/>
                          <w:b/>
                          <w:bCs/>
                          <w:noProof/>
                          <w:sz w:val="24"/>
                          <w:szCs w:val="24"/>
                        </w:rPr>
                        <w:t xml:space="preserve"> </w:t>
                      </w:r>
                      <w:r w:rsidRPr="003172F0">
                        <w:rPr>
                          <w:rFonts w:asciiTheme="minorHAnsi" w:hAnsiTheme="minorHAnsi" w:cstheme="minorHAnsi"/>
                          <w:b/>
                          <w:bCs/>
                          <w:noProof/>
                          <w:sz w:val="24"/>
                          <w:szCs w:val="24"/>
                        </w:rPr>
                        <w:t>Diesel exhaust-derived PM</w:t>
                      </w:r>
                      <w:r w:rsidRPr="003172F0">
                        <w:rPr>
                          <w:rFonts w:asciiTheme="minorHAnsi" w:hAnsiTheme="minorHAnsi" w:cstheme="minorHAnsi"/>
                          <w:b/>
                          <w:bCs/>
                          <w:noProof/>
                          <w:sz w:val="24"/>
                          <w:szCs w:val="24"/>
                        </w:rPr>
                        <w:tab/>
                      </w:r>
                      <w:r w:rsidRPr="003172F0">
                        <w:rPr>
                          <w:rFonts w:asciiTheme="minorHAnsi" w:hAnsiTheme="minorHAnsi" w:cstheme="minorHAnsi"/>
                          <w:b/>
                          <w:bCs/>
                          <w:noProof/>
                          <w:sz w:val="24"/>
                          <w:szCs w:val="24"/>
                        </w:rPr>
                        <w:tab/>
                        <w:t>B)</w:t>
                      </w:r>
                      <w:r w:rsidR="00AE4A9E">
                        <w:rPr>
                          <w:rFonts w:asciiTheme="minorHAnsi" w:hAnsiTheme="minorHAnsi" w:cstheme="minorHAnsi"/>
                          <w:b/>
                          <w:bCs/>
                          <w:noProof/>
                          <w:sz w:val="24"/>
                          <w:szCs w:val="24"/>
                        </w:rPr>
                        <w:t xml:space="preserve"> </w:t>
                      </w:r>
                      <w:r w:rsidRPr="003172F0">
                        <w:rPr>
                          <w:rFonts w:asciiTheme="minorHAnsi" w:hAnsiTheme="minorHAnsi" w:cstheme="minorHAnsi"/>
                          <w:b/>
                          <w:bCs/>
                          <w:noProof/>
                          <w:sz w:val="24"/>
                          <w:szCs w:val="24"/>
                        </w:rPr>
                        <w:t>Biodiesel exhaust-derived PM</w:t>
                      </w:r>
                    </w:p>
                    <w:p w14:paraId="46204D63" w14:textId="77777777" w:rsidR="006F4D48" w:rsidRDefault="006F4D48" w:rsidP="00CD4931">
                      <w:pPr>
                        <w:spacing w:after="0" w:line="240" w:lineRule="auto"/>
                        <w:ind w:firstLine="0"/>
                        <w:rPr>
                          <w:noProof/>
                        </w:rPr>
                      </w:pPr>
                      <w:r w:rsidRPr="00AC35A6">
                        <w:rPr>
                          <w:noProof/>
                        </w:rPr>
                        <w:drawing>
                          <wp:inline distT="0" distB="0" distL="0" distR="0" wp14:anchorId="1F0E3A97" wp14:editId="0E9B3909">
                            <wp:extent cx="2727629" cy="1941702"/>
                            <wp:effectExtent l="0" t="0" r="3175" b="190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51">
                                      <a:extLst>
                                        <a:ext uri="{28A0092B-C50C-407E-A947-70E740481C1C}">
                                          <a14:useLocalDpi xmlns:a14="http://schemas.microsoft.com/office/drawing/2010/main" val="0"/>
                                        </a:ext>
                                      </a:extLst>
                                    </a:blip>
                                    <a:stretch>
                                      <a:fillRect/>
                                    </a:stretch>
                                  </pic:blipFill>
                                  <pic:spPr>
                                    <a:xfrm>
                                      <a:off x="0" y="0"/>
                                      <a:ext cx="2727629" cy="1941702"/>
                                    </a:xfrm>
                                    <a:prstGeom prst="rect">
                                      <a:avLst/>
                                    </a:prstGeom>
                                  </pic:spPr>
                                </pic:pic>
                              </a:graphicData>
                            </a:graphic>
                          </wp:inline>
                        </w:drawing>
                      </w:r>
                      <w:r w:rsidRPr="00AC35A6">
                        <w:rPr>
                          <w:noProof/>
                        </w:rPr>
                        <w:drawing>
                          <wp:inline distT="0" distB="0" distL="0" distR="0" wp14:anchorId="62A8EB68" wp14:editId="5174EA60">
                            <wp:extent cx="2726853" cy="1941150"/>
                            <wp:effectExtent l="0" t="0" r="3810" b="254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52">
                                      <a:extLst>
                                        <a:ext uri="{28A0092B-C50C-407E-A947-70E740481C1C}">
                                          <a14:useLocalDpi xmlns:a14="http://schemas.microsoft.com/office/drawing/2010/main" val="0"/>
                                        </a:ext>
                                      </a:extLst>
                                    </a:blip>
                                    <a:stretch>
                                      <a:fillRect/>
                                    </a:stretch>
                                  </pic:blipFill>
                                  <pic:spPr>
                                    <a:xfrm>
                                      <a:off x="0" y="0"/>
                                      <a:ext cx="2726853" cy="1941150"/>
                                    </a:xfrm>
                                    <a:prstGeom prst="rect">
                                      <a:avLst/>
                                    </a:prstGeom>
                                  </pic:spPr>
                                </pic:pic>
                              </a:graphicData>
                            </a:graphic>
                          </wp:inline>
                        </w:drawing>
                      </w:r>
                    </w:p>
                    <w:p w14:paraId="6045B564" w14:textId="77777777" w:rsidR="006F4D48" w:rsidRDefault="006F4D48" w:rsidP="00CD4931">
                      <w:pPr>
                        <w:spacing w:after="0" w:line="240" w:lineRule="auto"/>
                        <w:ind w:firstLine="0"/>
                        <w:rPr>
                          <w:rFonts w:asciiTheme="minorHAnsi" w:hAnsiTheme="minorHAnsi" w:cstheme="minorHAnsi"/>
                          <w:b/>
                          <w:bCs/>
                          <w:noProof/>
                          <w:sz w:val="28"/>
                          <w:szCs w:val="28"/>
                        </w:rPr>
                      </w:pPr>
                      <w:r w:rsidRPr="00AC35A6">
                        <w:rPr>
                          <w:noProof/>
                        </w:rPr>
                        <w:drawing>
                          <wp:inline distT="0" distB="0" distL="0" distR="0" wp14:anchorId="2F0F700E" wp14:editId="206D469E">
                            <wp:extent cx="2694192" cy="1906484"/>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53">
                                      <a:extLst>
                                        <a:ext uri="{28A0092B-C50C-407E-A947-70E740481C1C}">
                                          <a14:useLocalDpi xmlns:a14="http://schemas.microsoft.com/office/drawing/2010/main" val="0"/>
                                        </a:ext>
                                      </a:extLst>
                                    </a:blip>
                                    <a:stretch>
                                      <a:fillRect/>
                                    </a:stretch>
                                  </pic:blipFill>
                                  <pic:spPr>
                                    <a:xfrm>
                                      <a:off x="0" y="0"/>
                                      <a:ext cx="2694192" cy="1906484"/>
                                    </a:xfrm>
                                    <a:prstGeom prst="rect">
                                      <a:avLst/>
                                    </a:prstGeom>
                                  </pic:spPr>
                                </pic:pic>
                              </a:graphicData>
                            </a:graphic>
                          </wp:inline>
                        </w:drawing>
                      </w:r>
                      <w:r w:rsidRPr="00AC35A6">
                        <w:rPr>
                          <w:noProof/>
                        </w:rPr>
                        <w:drawing>
                          <wp:inline distT="0" distB="0" distL="0" distR="0" wp14:anchorId="0DAD0E8D" wp14:editId="0EB4A0DD">
                            <wp:extent cx="2726853" cy="1941150"/>
                            <wp:effectExtent l="0" t="0" r="3810" b="254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54">
                                      <a:extLst>
                                        <a:ext uri="{28A0092B-C50C-407E-A947-70E740481C1C}">
                                          <a14:useLocalDpi xmlns:a14="http://schemas.microsoft.com/office/drawing/2010/main" val="0"/>
                                        </a:ext>
                                      </a:extLst>
                                    </a:blip>
                                    <a:stretch>
                                      <a:fillRect/>
                                    </a:stretch>
                                  </pic:blipFill>
                                  <pic:spPr>
                                    <a:xfrm>
                                      <a:off x="0" y="0"/>
                                      <a:ext cx="2726853" cy="1941150"/>
                                    </a:xfrm>
                                    <a:prstGeom prst="rect">
                                      <a:avLst/>
                                    </a:prstGeom>
                                  </pic:spPr>
                                </pic:pic>
                              </a:graphicData>
                            </a:graphic>
                          </wp:inline>
                        </w:drawing>
                      </w:r>
                    </w:p>
                    <w:p w14:paraId="6D4CB9C8" w14:textId="77777777" w:rsidR="006F4D48" w:rsidRDefault="006F4D48" w:rsidP="00CD4931">
                      <w:pPr>
                        <w:spacing w:after="0" w:line="240" w:lineRule="auto"/>
                        <w:ind w:firstLine="0"/>
                        <w:rPr>
                          <w:rFonts w:asciiTheme="minorHAnsi" w:hAnsiTheme="minorHAnsi" w:cstheme="minorHAnsi"/>
                          <w:b/>
                          <w:bCs/>
                          <w:noProof/>
                          <w:sz w:val="28"/>
                          <w:szCs w:val="28"/>
                        </w:rPr>
                      </w:pPr>
                      <w:r w:rsidRPr="00AC35A6">
                        <w:rPr>
                          <w:noProof/>
                        </w:rPr>
                        <w:drawing>
                          <wp:inline distT="0" distB="0" distL="0" distR="0" wp14:anchorId="715001F8" wp14:editId="3B6CAA0C">
                            <wp:extent cx="2721132" cy="1933741"/>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55">
                                      <a:extLst>
                                        <a:ext uri="{28A0092B-C50C-407E-A947-70E740481C1C}">
                                          <a14:useLocalDpi xmlns:a14="http://schemas.microsoft.com/office/drawing/2010/main" val="0"/>
                                        </a:ext>
                                      </a:extLst>
                                    </a:blip>
                                    <a:stretch>
                                      <a:fillRect/>
                                    </a:stretch>
                                  </pic:blipFill>
                                  <pic:spPr>
                                    <a:xfrm>
                                      <a:off x="0" y="0"/>
                                      <a:ext cx="2721132" cy="1933741"/>
                                    </a:xfrm>
                                    <a:prstGeom prst="rect">
                                      <a:avLst/>
                                    </a:prstGeom>
                                  </pic:spPr>
                                </pic:pic>
                              </a:graphicData>
                            </a:graphic>
                          </wp:inline>
                        </w:drawing>
                      </w:r>
                      <w:r w:rsidRPr="00AC35A6">
                        <w:rPr>
                          <w:noProof/>
                        </w:rPr>
                        <w:drawing>
                          <wp:inline distT="0" distB="0" distL="0" distR="0" wp14:anchorId="331EA2C2" wp14:editId="1265196D">
                            <wp:extent cx="2726853" cy="1941150"/>
                            <wp:effectExtent l="0" t="0" r="3810" b="254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56">
                                      <a:extLst>
                                        <a:ext uri="{28A0092B-C50C-407E-A947-70E740481C1C}">
                                          <a14:useLocalDpi xmlns:a14="http://schemas.microsoft.com/office/drawing/2010/main" val="0"/>
                                        </a:ext>
                                      </a:extLst>
                                    </a:blip>
                                    <a:stretch>
                                      <a:fillRect/>
                                    </a:stretch>
                                  </pic:blipFill>
                                  <pic:spPr>
                                    <a:xfrm>
                                      <a:off x="0" y="0"/>
                                      <a:ext cx="2726853" cy="1941150"/>
                                    </a:xfrm>
                                    <a:prstGeom prst="rect">
                                      <a:avLst/>
                                    </a:prstGeom>
                                  </pic:spPr>
                                </pic:pic>
                              </a:graphicData>
                            </a:graphic>
                          </wp:inline>
                        </w:drawing>
                      </w:r>
                    </w:p>
                    <w:p w14:paraId="55BA161F" w14:textId="77777777" w:rsidR="006F4D48" w:rsidRPr="007560D4" w:rsidRDefault="006F4D48" w:rsidP="006F4D48">
                      <w:pPr>
                        <w:pStyle w:val="Caption"/>
                        <w:spacing w:after="0" w:line="276" w:lineRule="auto"/>
                        <w:rPr>
                          <w:rFonts w:ascii="Cambria" w:hAnsi="Cambria"/>
                          <w:i w:val="0"/>
                          <w:iCs w:val="0"/>
                          <w:color w:val="auto"/>
                          <w:sz w:val="16"/>
                          <w:szCs w:val="16"/>
                        </w:rPr>
                      </w:pPr>
                    </w:p>
                  </w:txbxContent>
                </v:textbox>
                <w10:anchorlock/>
              </v:shape>
            </w:pict>
          </mc:Fallback>
        </mc:AlternateContent>
      </w:r>
      <w:r w:rsidR="00DE120D" w:rsidRPr="007F3C5D">
        <w:rPr>
          <w:rFonts w:ascii="Cambria" w:hAnsi="Cambria"/>
          <w:noProof/>
          <w:lang w:val="en-US"/>
        </w:rPr>
        <w:t xml:space="preserve"> </w:t>
      </w:r>
      <w:r w:rsidR="00670906" w:rsidRPr="007F3C5D">
        <w:rPr>
          <w:rFonts w:ascii="Cambria" w:hAnsi="Cambria"/>
          <w:b/>
          <w:bCs/>
          <w:i w:val="0"/>
          <w:iCs w:val="0"/>
          <w:color w:val="auto"/>
          <w:sz w:val="16"/>
          <w:szCs w:val="16"/>
          <w:lang w:val="en-US"/>
        </w:rPr>
        <w:t xml:space="preserve">Figure </w:t>
      </w:r>
      <w:r w:rsidR="005F6099" w:rsidRPr="007F3C5D">
        <w:rPr>
          <w:rFonts w:ascii="Cambria" w:hAnsi="Cambria"/>
          <w:b/>
          <w:bCs/>
          <w:i w:val="0"/>
          <w:iCs w:val="0"/>
          <w:color w:val="auto"/>
          <w:sz w:val="16"/>
          <w:szCs w:val="16"/>
          <w:lang w:val="en-US"/>
        </w:rPr>
        <w:t>6</w:t>
      </w:r>
      <w:r w:rsidR="00670906" w:rsidRPr="007F3C5D">
        <w:rPr>
          <w:rFonts w:ascii="Cambria" w:hAnsi="Cambria"/>
          <w:b/>
          <w:bCs/>
          <w:i w:val="0"/>
          <w:iCs w:val="0"/>
          <w:color w:val="auto"/>
          <w:sz w:val="16"/>
          <w:szCs w:val="16"/>
          <w:lang w:val="en-US"/>
        </w:rPr>
        <w:t xml:space="preserve">: Effect of Diesel exhaust-derived PM (A) and Biodiesel exhaust-derived PM (B) on neuronal (network) activity of rat primary cortical </w:t>
      </w:r>
      <w:r w:rsidR="0011236D" w:rsidRPr="007F3C5D">
        <w:rPr>
          <w:rFonts w:ascii="Cambria" w:hAnsi="Cambria"/>
          <w:b/>
          <w:bCs/>
          <w:i w:val="0"/>
          <w:iCs w:val="0"/>
          <w:color w:val="auto"/>
          <w:sz w:val="16"/>
          <w:szCs w:val="16"/>
          <w:lang w:val="en-US"/>
        </w:rPr>
        <w:t>cultures</w:t>
      </w:r>
      <w:r w:rsidR="00670906" w:rsidRPr="007F3C5D">
        <w:rPr>
          <w:rFonts w:ascii="Cambria" w:hAnsi="Cambria"/>
          <w:b/>
          <w:bCs/>
          <w:i w:val="0"/>
          <w:iCs w:val="0"/>
          <w:color w:val="auto"/>
          <w:sz w:val="16"/>
          <w:szCs w:val="16"/>
          <w:lang w:val="en-US"/>
        </w:rPr>
        <w:t>.</w:t>
      </w:r>
      <w:r w:rsidR="00670906" w:rsidRPr="007F3C5D">
        <w:rPr>
          <w:rFonts w:ascii="Cambria" w:hAnsi="Cambria"/>
          <w:i w:val="0"/>
          <w:iCs w:val="0"/>
          <w:color w:val="auto"/>
          <w:sz w:val="16"/>
          <w:szCs w:val="16"/>
          <w:lang w:val="en-US"/>
        </w:rPr>
        <w:t xml:space="preserve"> Effects on neuronal activity were assessed after 0.5 h, 24 h, 48 h and 120 h exposure.</w:t>
      </w:r>
      <w:r w:rsidR="00670906" w:rsidRPr="007F3C5D">
        <w:rPr>
          <w:rFonts w:ascii="Cambria" w:hAnsi="Cambria"/>
          <w:b/>
          <w:bCs/>
          <w:i w:val="0"/>
          <w:iCs w:val="0"/>
          <w:color w:val="auto"/>
          <w:sz w:val="16"/>
          <w:szCs w:val="16"/>
          <w:lang w:val="en-US"/>
        </w:rPr>
        <w:t xml:space="preserve"> </w:t>
      </w:r>
      <w:r w:rsidR="00670906" w:rsidRPr="007F3C5D">
        <w:rPr>
          <w:rFonts w:ascii="Cambria" w:hAnsi="Cambria"/>
          <w:i w:val="0"/>
          <w:iCs w:val="0"/>
          <w:color w:val="auto"/>
          <w:sz w:val="16"/>
          <w:szCs w:val="16"/>
          <w:lang w:val="en-US"/>
        </w:rPr>
        <w:t xml:space="preserve">Mean Spike Rate (MSR), Mean Burst Rate (MBR), and Mean Network Burst Rate (MNBR) are presented as mean treatment ratio (± SEM) normalized to </w:t>
      </w:r>
      <w:r w:rsidR="00670906" w:rsidRPr="007F3C5D">
        <w:rPr>
          <w:rFonts w:ascii="Cambria" w:hAnsi="Cambria"/>
          <w:i w:val="0"/>
          <w:iCs w:val="0"/>
          <w:color w:val="000000" w:themeColor="text1"/>
          <w:sz w:val="16"/>
          <w:szCs w:val="16"/>
          <w:lang w:val="en-US"/>
        </w:rPr>
        <w:t xml:space="preserve">control from n = 18 - 24 wells, N = 3. Effects ≤ 25% (2xSD of control; indicated by the grey area) </w:t>
      </w:r>
      <w:proofErr w:type="gramStart"/>
      <w:r w:rsidR="00670906" w:rsidRPr="007F3C5D">
        <w:rPr>
          <w:rFonts w:ascii="Cambria" w:hAnsi="Cambria"/>
          <w:i w:val="0"/>
          <w:iCs w:val="0"/>
          <w:color w:val="000000" w:themeColor="text1"/>
          <w:sz w:val="16"/>
          <w:szCs w:val="16"/>
          <w:lang w:val="en-US"/>
        </w:rPr>
        <w:t>are considered to be</w:t>
      </w:r>
      <w:proofErr w:type="gramEnd"/>
      <w:r w:rsidR="00670906" w:rsidRPr="007F3C5D">
        <w:rPr>
          <w:rFonts w:ascii="Cambria" w:hAnsi="Cambria"/>
          <w:i w:val="0"/>
          <w:iCs w:val="0"/>
          <w:color w:val="000000" w:themeColor="text1"/>
          <w:sz w:val="16"/>
          <w:szCs w:val="16"/>
          <w:lang w:val="en-US"/>
        </w:rPr>
        <w:t xml:space="preserve"> of limited toxicological relevance. Significant effects were determined by Welch’s ANOVA and if exceeding 25% of control indicated </w:t>
      </w:r>
      <w:proofErr w:type="gramStart"/>
      <w:r w:rsidR="00670906" w:rsidRPr="007F3C5D">
        <w:rPr>
          <w:rFonts w:ascii="Cambria" w:hAnsi="Cambria"/>
          <w:i w:val="0"/>
          <w:iCs w:val="0"/>
          <w:color w:val="000000" w:themeColor="text1"/>
          <w:sz w:val="16"/>
          <w:szCs w:val="16"/>
          <w:lang w:val="en-US"/>
        </w:rPr>
        <w:t xml:space="preserve">by  </w:t>
      </w:r>
      <w:r w:rsidR="00670906" w:rsidRPr="007F3C5D">
        <w:rPr>
          <w:rFonts w:ascii="Cambria" w:hAnsi="Cambria"/>
          <w:i w:val="0"/>
          <w:iCs w:val="0"/>
          <w:color w:val="000000" w:themeColor="text1"/>
          <w:sz w:val="16"/>
          <w:szCs w:val="16"/>
          <w:vertAlign w:val="superscript"/>
          <w:lang w:val="en-US"/>
        </w:rPr>
        <w:t>a</w:t>
      </w:r>
      <w:proofErr w:type="gramEnd"/>
      <w:r w:rsidR="00670906" w:rsidRPr="007F3C5D">
        <w:rPr>
          <w:rFonts w:ascii="Cambria" w:hAnsi="Cambria"/>
          <w:i w:val="0"/>
          <w:iCs w:val="0"/>
          <w:color w:val="000000" w:themeColor="text1"/>
          <w:sz w:val="16"/>
          <w:szCs w:val="16"/>
          <w:lang w:val="en-US"/>
        </w:rPr>
        <w:t xml:space="preserve">=p &lt; 0.05 for 0.5 h exposure compared to time-matched control, </w:t>
      </w:r>
      <w:r w:rsidR="00670906" w:rsidRPr="007F3C5D">
        <w:rPr>
          <w:rFonts w:ascii="Cambria" w:hAnsi="Cambria"/>
          <w:i w:val="0"/>
          <w:iCs w:val="0"/>
          <w:color w:val="000000" w:themeColor="text1"/>
          <w:sz w:val="16"/>
          <w:szCs w:val="16"/>
          <w:vertAlign w:val="superscript"/>
          <w:lang w:val="en-US"/>
        </w:rPr>
        <w:t>b</w:t>
      </w:r>
      <w:r w:rsidR="00670906" w:rsidRPr="007F3C5D">
        <w:rPr>
          <w:rFonts w:ascii="Cambria" w:hAnsi="Cambria"/>
          <w:i w:val="0"/>
          <w:iCs w:val="0"/>
          <w:color w:val="000000" w:themeColor="text1"/>
          <w:sz w:val="16"/>
          <w:szCs w:val="16"/>
          <w:lang w:val="en-US"/>
        </w:rPr>
        <w:t xml:space="preserve">=p &lt; 0.05 for 24 h exposure compared to time-matched control, </w:t>
      </w:r>
      <w:r w:rsidR="00670906" w:rsidRPr="007F3C5D">
        <w:rPr>
          <w:rFonts w:ascii="Cambria" w:hAnsi="Cambria"/>
          <w:i w:val="0"/>
          <w:iCs w:val="0"/>
          <w:color w:val="000000" w:themeColor="text1"/>
          <w:sz w:val="16"/>
          <w:szCs w:val="16"/>
          <w:vertAlign w:val="superscript"/>
          <w:lang w:val="en-US"/>
        </w:rPr>
        <w:t>c</w:t>
      </w:r>
      <w:r w:rsidR="00670906" w:rsidRPr="007F3C5D">
        <w:rPr>
          <w:rFonts w:ascii="Cambria" w:hAnsi="Cambria"/>
          <w:i w:val="0"/>
          <w:iCs w:val="0"/>
          <w:color w:val="000000" w:themeColor="text1"/>
          <w:sz w:val="16"/>
          <w:szCs w:val="16"/>
          <w:lang w:val="en-US"/>
        </w:rPr>
        <w:t xml:space="preserve">=p &lt; 0.05 for 48 h exposure compared to time-matched control, </w:t>
      </w:r>
      <w:r w:rsidR="00670906" w:rsidRPr="007F3C5D">
        <w:rPr>
          <w:rFonts w:ascii="Cambria" w:hAnsi="Cambria"/>
          <w:i w:val="0"/>
          <w:iCs w:val="0"/>
          <w:color w:val="000000" w:themeColor="text1"/>
          <w:sz w:val="16"/>
          <w:szCs w:val="16"/>
          <w:vertAlign w:val="superscript"/>
          <w:lang w:val="en-US"/>
        </w:rPr>
        <w:t>d</w:t>
      </w:r>
      <w:r w:rsidR="00670906" w:rsidRPr="007F3C5D">
        <w:rPr>
          <w:rFonts w:ascii="Cambria" w:hAnsi="Cambria"/>
          <w:i w:val="0"/>
          <w:iCs w:val="0"/>
          <w:color w:val="000000" w:themeColor="text1"/>
          <w:sz w:val="16"/>
          <w:szCs w:val="16"/>
          <w:lang w:val="en-US"/>
        </w:rPr>
        <w:t>=p &lt; 0.05 for 120 h exposure compared to time-matched control.</w:t>
      </w:r>
    </w:p>
    <w:p w14:paraId="731F4EC0" w14:textId="249576C3" w:rsidR="006F4D48" w:rsidRPr="007F3C5D" w:rsidRDefault="006F4D48" w:rsidP="00A14895">
      <w:pPr>
        <w:ind w:firstLine="0"/>
      </w:pPr>
    </w:p>
    <w:p w14:paraId="4764945D" w14:textId="3B90D5F8" w:rsidR="00670906" w:rsidRPr="007F3C5D" w:rsidRDefault="006F4D48" w:rsidP="00A14895">
      <w:pPr>
        <w:ind w:firstLine="0"/>
        <w:rPr>
          <w:sz w:val="16"/>
          <w:szCs w:val="16"/>
        </w:rPr>
      </w:pPr>
      <w:r w:rsidRPr="007F3C5D">
        <w:rPr>
          <w:noProof/>
        </w:rPr>
        <w:lastRenderedPageBreak/>
        <mc:AlternateContent>
          <mc:Choice Requires="wps">
            <w:drawing>
              <wp:inline distT="0" distB="0" distL="0" distR="0" wp14:anchorId="4AAF2442" wp14:editId="782091AB">
                <wp:extent cx="5724000" cy="2121945"/>
                <wp:effectExtent l="0" t="0" r="16510" b="12065"/>
                <wp:docPr id="177" name="Text Box 177"/>
                <wp:cNvGraphicFramePr/>
                <a:graphic xmlns:a="http://schemas.openxmlformats.org/drawingml/2006/main">
                  <a:graphicData uri="http://schemas.microsoft.com/office/word/2010/wordprocessingShape">
                    <wps:wsp>
                      <wps:cNvSpPr txBox="1"/>
                      <wps:spPr>
                        <a:xfrm>
                          <a:off x="0" y="0"/>
                          <a:ext cx="5724000" cy="2121945"/>
                        </a:xfrm>
                        <a:prstGeom prst="rect">
                          <a:avLst/>
                        </a:prstGeom>
                        <a:noFill/>
                        <a:ln w="6350">
                          <a:solidFill>
                            <a:schemeClr val="tx1"/>
                          </a:solidFill>
                        </a:ln>
                      </wps:spPr>
                      <wps:txbx>
                        <w:txbxContent>
                          <w:p w14:paraId="4F8A540A" w14:textId="6C1C163C" w:rsidR="006F4D48" w:rsidRPr="003172F0" w:rsidRDefault="006F4D48" w:rsidP="00CD4931">
                            <w:pPr>
                              <w:spacing w:after="0" w:line="240" w:lineRule="auto"/>
                              <w:ind w:firstLine="0"/>
                              <w:rPr>
                                <w:rFonts w:asciiTheme="minorHAnsi" w:hAnsiTheme="minorHAnsi" w:cstheme="minorHAnsi"/>
                                <w:b/>
                                <w:bCs/>
                                <w:noProof/>
                                <w:sz w:val="24"/>
                                <w:szCs w:val="24"/>
                              </w:rPr>
                            </w:pPr>
                            <w:r w:rsidRPr="003172F0">
                              <w:rPr>
                                <w:rFonts w:asciiTheme="minorHAnsi" w:hAnsiTheme="minorHAnsi" w:cstheme="minorHAnsi"/>
                                <w:b/>
                                <w:bCs/>
                                <w:noProof/>
                                <w:sz w:val="24"/>
                                <w:szCs w:val="24"/>
                              </w:rPr>
                              <w:t>A)</w:t>
                            </w:r>
                            <w:r w:rsidR="00AE4A9E">
                              <w:rPr>
                                <w:rFonts w:asciiTheme="minorHAnsi" w:hAnsiTheme="minorHAnsi" w:cstheme="minorHAnsi"/>
                                <w:b/>
                                <w:bCs/>
                                <w:noProof/>
                                <w:sz w:val="24"/>
                                <w:szCs w:val="24"/>
                              </w:rPr>
                              <w:t xml:space="preserve"> </w:t>
                            </w:r>
                            <w:r w:rsidRPr="003172F0">
                              <w:rPr>
                                <w:rFonts w:asciiTheme="minorHAnsi" w:hAnsiTheme="minorHAnsi" w:cstheme="minorHAnsi"/>
                                <w:b/>
                                <w:bCs/>
                                <w:noProof/>
                                <w:sz w:val="24"/>
                                <w:szCs w:val="24"/>
                              </w:rPr>
                              <w:t>Diesel exhaust-derived PM</w:t>
                            </w:r>
                            <w:r w:rsidRPr="003172F0">
                              <w:rPr>
                                <w:rFonts w:asciiTheme="minorHAnsi" w:hAnsiTheme="minorHAnsi" w:cstheme="minorHAnsi"/>
                                <w:b/>
                                <w:bCs/>
                                <w:noProof/>
                                <w:sz w:val="24"/>
                                <w:szCs w:val="24"/>
                              </w:rPr>
                              <w:tab/>
                            </w:r>
                            <w:r>
                              <w:rPr>
                                <w:rFonts w:asciiTheme="minorHAnsi" w:hAnsiTheme="minorHAnsi" w:cstheme="minorHAnsi"/>
                                <w:b/>
                                <w:bCs/>
                                <w:noProof/>
                                <w:sz w:val="24"/>
                                <w:szCs w:val="24"/>
                              </w:rPr>
                              <w:tab/>
                            </w:r>
                            <w:r w:rsidRPr="003172F0">
                              <w:rPr>
                                <w:rFonts w:asciiTheme="minorHAnsi" w:hAnsiTheme="minorHAnsi" w:cstheme="minorHAnsi"/>
                                <w:b/>
                                <w:bCs/>
                                <w:noProof/>
                                <w:sz w:val="24"/>
                                <w:szCs w:val="24"/>
                              </w:rPr>
                              <w:t>B)</w:t>
                            </w:r>
                            <w:r w:rsidR="00AE4A9E">
                              <w:rPr>
                                <w:rFonts w:asciiTheme="minorHAnsi" w:hAnsiTheme="minorHAnsi" w:cstheme="minorHAnsi"/>
                                <w:b/>
                                <w:bCs/>
                                <w:noProof/>
                                <w:sz w:val="24"/>
                                <w:szCs w:val="24"/>
                              </w:rPr>
                              <w:t xml:space="preserve"> </w:t>
                            </w:r>
                            <w:r w:rsidRPr="003172F0">
                              <w:rPr>
                                <w:rFonts w:asciiTheme="minorHAnsi" w:hAnsiTheme="minorHAnsi" w:cstheme="minorHAnsi"/>
                                <w:b/>
                                <w:bCs/>
                                <w:noProof/>
                                <w:sz w:val="24"/>
                                <w:szCs w:val="24"/>
                              </w:rPr>
                              <w:t>Biodiesel exhaust-derived PM</w:t>
                            </w:r>
                          </w:p>
                          <w:p w14:paraId="08C6DFCC" w14:textId="1838843B" w:rsidR="006F4D48" w:rsidRDefault="006F4D48" w:rsidP="00CD4931">
                            <w:pPr>
                              <w:spacing w:after="0" w:line="240" w:lineRule="auto"/>
                              <w:ind w:firstLine="0"/>
                              <w:contextualSpacing/>
                              <w:rPr>
                                <w:rFonts w:asciiTheme="minorHAnsi" w:hAnsiTheme="minorHAnsi" w:cstheme="minorHAnsi"/>
                                <w:b/>
                                <w:bCs/>
                                <w:noProof/>
                                <w:sz w:val="28"/>
                                <w:szCs w:val="28"/>
                              </w:rPr>
                            </w:pPr>
                            <w:r w:rsidRPr="00BE6CE1">
                              <w:rPr>
                                <w:rFonts w:asciiTheme="minorHAnsi" w:hAnsiTheme="minorHAnsi" w:cstheme="minorHAnsi"/>
                                <w:b/>
                                <w:bCs/>
                                <w:noProof/>
                                <w:sz w:val="28"/>
                                <w:szCs w:val="28"/>
                              </w:rPr>
                              <w:drawing>
                                <wp:inline distT="0" distB="0" distL="0" distR="0" wp14:anchorId="7C0ECD3F" wp14:editId="3F191CF1">
                                  <wp:extent cx="2662055" cy="1937070"/>
                                  <wp:effectExtent l="0" t="0" r="5080" b="635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57">
                                            <a:extLst>
                                              <a:ext uri="{28A0092B-C50C-407E-A947-70E740481C1C}">
                                                <a14:useLocalDpi xmlns:a14="http://schemas.microsoft.com/office/drawing/2010/main" val="0"/>
                                              </a:ext>
                                            </a:extLst>
                                          </a:blip>
                                          <a:stretch>
                                            <a:fillRect/>
                                          </a:stretch>
                                        </pic:blipFill>
                                        <pic:spPr>
                                          <a:xfrm>
                                            <a:off x="0" y="0"/>
                                            <a:ext cx="2662055" cy="1937070"/>
                                          </a:xfrm>
                                          <a:prstGeom prst="rect">
                                            <a:avLst/>
                                          </a:prstGeom>
                                        </pic:spPr>
                                      </pic:pic>
                                    </a:graphicData>
                                  </a:graphic>
                                </wp:inline>
                              </w:drawing>
                            </w:r>
                            <w:r w:rsidR="002B4FE3">
                              <w:rPr>
                                <w:noProof/>
                              </w:rPr>
                              <w:drawing>
                                <wp:inline distT="0" distB="0" distL="0" distR="0" wp14:anchorId="4B35984F" wp14:editId="6D809259">
                                  <wp:extent cx="2679269" cy="1949596"/>
                                  <wp:effectExtent l="0" t="0" r="635"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58">
                                            <a:extLst>
                                              <a:ext uri="{28A0092B-C50C-407E-A947-70E740481C1C}">
                                                <a14:useLocalDpi xmlns:a14="http://schemas.microsoft.com/office/drawing/2010/main" val="0"/>
                                              </a:ext>
                                            </a:extLst>
                                          </a:blip>
                                          <a:stretch>
                                            <a:fillRect/>
                                          </a:stretch>
                                        </pic:blipFill>
                                        <pic:spPr>
                                          <a:xfrm>
                                            <a:off x="0" y="0"/>
                                            <a:ext cx="2679269" cy="1949596"/>
                                          </a:xfrm>
                                          <a:prstGeom prst="rect">
                                            <a:avLst/>
                                          </a:prstGeom>
                                        </pic:spPr>
                                      </pic:pic>
                                    </a:graphicData>
                                  </a:graphic>
                                </wp:inline>
                              </w:drawing>
                            </w:r>
                          </w:p>
                          <w:p w14:paraId="0048987E" w14:textId="77777777" w:rsidR="006F4D48" w:rsidRPr="007560D4" w:rsidRDefault="006F4D48" w:rsidP="006F4D48">
                            <w:pPr>
                              <w:pStyle w:val="Caption"/>
                              <w:spacing w:after="0" w:line="276" w:lineRule="auto"/>
                              <w:rPr>
                                <w:rFonts w:ascii="Cambria" w:hAnsi="Cambria"/>
                                <w:i w:val="0"/>
                                <w:iCs w:val="0"/>
                                <w:color w:val="auto"/>
                                <w:sz w:val="16"/>
                                <w:szCs w:val="16"/>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4AAF2442" id="Text Box 177" o:spid="_x0000_s1031" type="#_x0000_t202" style="width:450.7pt;height:16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" filled="f" strokecolor="black [3213]" strokeweight=".5pt">
                <v:textbox inset="1mm,0,1mm,0">
                  <w:txbxContent>
                    <w:p w14:paraId="4F8A540A" w14:textId="6C1C163C" w:rsidR="006F4D48" w:rsidRPr="003172F0" w:rsidRDefault="006F4D48" w:rsidP="00CD4931">
                      <w:pPr>
                        <w:spacing w:after="0" w:line="240" w:lineRule="auto"/>
                        <w:ind w:firstLine="0"/>
                        <w:rPr>
                          <w:rFonts w:asciiTheme="minorHAnsi" w:hAnsiTheme="minorHAnsi" w:cstheme="minorHAnsi"/>
                          <w:b/>
                          <w:bCs/>
                          <w:noProof/>
                          <w:sz w:val="24"/>
                          <w:szCs w:val="24"/>
                        </w:rPr>
                      </w:pPr>
                      <w:r w:rsidRPr="003172F0">
                        <w:rPr>
                          <w:rFonts w:asciiTheme="minorHAnsi" w:hAnsiTheme="minorHAnsi" w:cstheme="minorHAnsi"/>
                          <w:b/>
                          <w:bCs/>
                          <w:noProof/>
                          <w:sz w:val="24"/>
                          <w:szCs w:val="24"/>
                        </w:rPr>
                        <w:t>A)</w:t>
                      </w:r>
                      <w:r w:rsidR="00AE4A9E">
                        <w:rPr>
                          <w:rFonts w:asciiTheme="minorHAnsi" w:hAnsiTheme="minorHAnsi" w:cstheme="minorHAnsi"/>
                          <w:b/>
                          <w:bCs/>
                          <w:noProof/>
                          <w:sz w:val="24"/>
                          <w:szCs w:val="24"/>
                        </w:rPr>
                        <w:t xml:space="preserve"> </w:t>
                      </w:r>
                      <w:r w:rsidRPr="003172F0">
                        <w:rPr>
                          <w:rFonts w:asciiTheme="minorHAnsi" w:hAnsiTheme="minorHAnsi" w:cstheme="minorHAnsi"/>
                          <w:b/>
                          <w:bCs/>
                          <w:noProof/>
                          <w:sz w:val="24"/>
                          <w:szCs w:val="24"/>
                        </w:rPr>
                        <w:t>Diesel exhaust-derived PM</w:t>
                      </w:r>
                      <w:r w:rsidRPr="003172F0">
                        <w:rPr>
                          <w:rFonts w:asciiTheme="minorHAnsi" w:hAnsiTheme="minorHAnsi" w:cstheme="minorHAnsi"/>
                          <w:b/>
                          <w:bCs/>
                          <w:noProof/>
                          <w:sz w:val="24"/>
                          <w:szCs w:val="24"/>
                        </w:rPr>
                        <w:tab/>
                      </w:r>
                      <w:r>
                        <w:rPr>
                          <w:rFonts w:asciiTheme="minorHAnsi" w:hAnsiTheme="minorHAnsi" w:cstheme="minorHAnsi"/>
                          <w:b/>
                          <w:bCs/>
                          <w:noProof/>
                          <w:sz w:val="24"/>
                          <w:szCs w:val="24"/>
                        </w:rPr>
                        <w:tab/>
                      </w:r>
                      <w:r w:rsidRPr="003172F0">
                        <w:rPr>
                          <w:rFonts w:asciiTheme="minorHAnsi" w:hAnsiTheme="minorHAnsi" w:cstheme="minorHAnsi"/>
                          <w:b/>
                          <w:bCs/>
                          <w:noProof/>
                          <w:sz w:val="24"/>
                          <w:szCs w:val="24"/>
                        </w:rPr>
                        <w:t>B)</w:t>
                      </w:r>
                      <w:r w:rsidR="00AE4A9E">
                        <w:rPr>
                          <w:rFonts w:asciiTheme="minorHAnsi" w:hAnsiTheme="minorHAnsi" w:cstheme="minorHAnsi"/>
                          <w:b/>
                          <w:bCs/>
                          <w:noProof/>
                          <w:sz w:val="24"/>
                          <w:szCs w:val="24"/>
                        </w:rPr>
                        <w:t xml:space="preserve"> </w:t>
                      </w:r>
                      <w:r w:rsidRPr="003172F0">
                        <w:rPr>
                          <w:rFonts w:asciiTheme="minorHAnsi" w:hAnsiTheme="minorHAnsi" w:cstheme="minorHAnsi"/>
                          <w:b/>
                          <w:bCs/>
                          <w:noProof/>
                          <w:sz w:val="24"/>
                          <w:szCs w:val="24"/>
                        </w:rPr>
                        <w:t>Biodiesel exhaust-derived PM</w:t>
                      </w:r>
                    </w:p>
                    <w:p w14:paraId="08C6DFCC" w14:textId="1838843B" w:rsidR="006F4D48" w:rsidRDefault="006F4D48" w:rsidP="00CD4931">
                      <w:pPr>
                        <w:spacing w:after="0" w:line="240" w:lineRule="auto"/>
                        <w:ind w:firstLine="0"/>
                        <w:contextualSpacing/>
                        <w:rPr>
                          <w:rFonts w:asciiTheme="minorHAnsi" w:hAnsiTheme="minorHAnsi" w:cstheme="minorHAnsi"/>
                          <w:b/>
                          <w:bCs/>
                          <w:noProof/>
                          <w:sz w:val="28"/>
                          <w:szCs w:val="28"/>
                        </w:rPr>
                      </w:pPr>
                      <w:r w:rsidRPr="00BE6CE1">
                        <w:rPr>
                          <w:rFonts w:asciiTheme="minorHAnsi" w:hAnsiTheme="minorHAnsi" w:cstheme="minorHAnsi"/>
                          <w:b/>
                          <w:bCs/>
                          <w:noProof/>
                          <w:sz w:val="28"/>
                          <w:szCs w:val="28"/>
                        </w:rPr>
                        <w:drawing>
                          <wp:inline distT="0" distB="0" distL="0" distR="0" wp14:anchorId="7C0ECD3F" wp14:editId="3F191CF1">
                            <wp:extent cx="2662055" cy="1937070"/>
                            <wp:effectExtent l="0" t="0" r="5080" b="635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59">
                                      <a:extLst>
                                        <a:ext uri="{28A0092B-C50C-407E-A947-70E740481C1C}">
                                          <a14:useLocalDpi xmlns:a14="http://schemas.microsoft.com/office/drawing/2010/main" val="0"/>
                                        </a:ext>
                                      </a:extLst>
                                    </a:blip>
                                    <a:stretch>
                                      <a:fillRect/>
                                    </a:stretch>
                                  </pic:blipFill>
                                  <pic:spPr>
                                    <a:xfrm>
                                      <a:off x="0" y="0"/>
                                      <a:ext cx="2662055" cy="1937070"/>
                                    </a:xfrm>
                                    <a:prstGeom prst="rect">
                                      <a:avLst/>
                                    </a:prstGeom>
                                  </pic:spPr>
                                </pic:pic>
                              </a:graphicData>
                            </a:graphic>
                          </wp:inline>
                        </w:drawing>
                      </w:r>
                      <w:r w:rsidR="002B4FE3">
                        <w:rPr>
                          <w:noProof/>
                        </w:rPr>
                        <w:drawing>
                          <wp:inline distT="0" distB="0" distL="0" distR="0" wp14:anchorId="4B35984F" wp14:editId="6D809259">
                            <wp:extent cx="2679269" cy="1949596"/>
                            <wp:effectExtent l="0" t="0" r="635"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60">
                                      <a:extLst>
                                        <a:ext uri="{28A0092B-C50C-407E-A947-70E740481C1C}">
                                          <a14:useLocalDpi xmlns:a14="http://schemas.microsoft.com/office/drawing/2010/main" val="0"/>
                                        </a:ext>
                                      </a:extLst>
                                    </a:blip>
                                    <a:stretch>
                                      <a:fillRect/>
                                    </a:stretch>
                                  </pic:blipFill>
                                  <pic:spPr>
                                    <a:xfrm>
                                      <a:off x="0" y="0"/>
                                      <a:ext cx="2679269" cy="1949596"/>
                                    </a:xfrm>
                                    <a:prstGeom prst="rect">
                                      <a:avLst/>
                                    </a:prstGeom>
                                  </pic:spPr>
                                </pic:pic>
                              </a:graphicData>
                            </a:graphic>
                          </wp:inline>
                        </w:drawing>
                      </w:r>
                    </w:p>
                    <w:p w14:paraId="0048987E" w14:textId="77777777" w:rsidR="006F4D48" w:rsidRPr="007560D4" w:rsidRDefault="006F4D48" w:rsidP="006F4D48">
                      <w:pPr>
                        <w:pStyle w:val="Caption"/>
                        <w:spacing w:after="0" w:line="276" w:lineRule="auto"/>
                        <w:rPr>
                          <w:rFonts w:ascii="Cambria" w:hAnsi="Cambria"/>
                          <w:i w:val="0"/>
                          <w:iCs w:val="0"/>
                          <w:color w:val="auto"/>
                          <w:sz w:val="16"/>
                          <w:szCs w:val="16"/>
                        </w:rPr>
                      </w:pPr>
                    </w:p>
                  </w:txbxContent>
                </v:textbox>
                <w10:anchorlock/>
              </v:shape>
            </w:pict>
          </mc:Fallback>
        </mc:AlternateContent>
      </w:r>
      <w:r w:rsidR="00670906" w:rsidRPr="007F3C5D">
        <w:rPr>
          <w:b/>
          <w:bCs/>
          <w:sz w:val="16"/>
          <w:szCs w:val="16"/>
        </w:rPr>
        <w:t xml:space="preserve">Figure </w:t>
      </w:r>
      <w:r w:rsidR="005F6099" w:rsidRPr="007F3C5D">
        <w:rPr>
          <w:b/>
          <w:bCs/>
          <w:sz w:val="16"/>
          <w:szCs w:val="16"/>
        </w:rPr>
        <w:t>7</w:t>
      </w:r>
      <w:r w:rsidR="00670906" w:rsidRPr="007F3C5D">
        <w:rPr>
          <w:b/>
          <w:bCs/>
          <w:sz w:val="16"/>
          <w:szCs w:val="16"/>
        </w:rPr>
        <w:t xml:space="preserve">: Effect of Diesel exhaust-derived PM (A) and Biodiesel exhaust-derived PM (B) on metabolic activity of rat primary cortical </w:t>
      </w:r>
      <w:r w:rsidR="0011236D" w:rsidRPr="007F3C5D">
        <w:rPr>
          <w:b/>
          <w:bCs/>
          <w:sz w:val="16"/>
          <w:szCs w:val="16"/>
        </w:rPr>
        <w:t xml:space="preserve">cultures </w:t>
      </w:r>
      <w:r w:rsidR="00670906" w:rsidRPr="007F3C5D">
        <w:rPr>
          <w:b/>
          <w:bCs/>
          <w:sz w:val="16"/>
          <w:szCs w:val="16"/>
        </w:rPr>
        <w:t>after 120 h exposure</w:t>
      </w:r>
      <w:r w:rsidR="00670906" w:rsidRPr="007F3C5D">
        <w:rPr>
          <w:sz w:val="16"/>
          <w:szCs w:val="16"/>
        </w:rPr>
        <w:t xml:space="preserve">. </w:t>
      </w:r>
      <w:r w:rsidR="00670906" w:rsidRPr="007F3C5D">
        <w:rPr>
          <w:color w:val="000000" w:themeColor="text1"/>
          <w:sz w:val="16"/>
          <w:szCs w:val="16"/>
        </w:rPr>
        <w:t xml:space="preserve">Cell viability data is presented as mean (± SD) normalized to control from n = 19 - 24 wells, N = 3. </w:t>
      </w:r>
      <w:r w:rsidR="00670906" w:rsidRPr="007F3C5D">
        <w:rPr>
          <w:sz w:val="16"/>
          <w:szCs w:val="16"/>
        </w:rPr>
        <w:t>Effects ≤ 10% are of limited toxicological relevance and indicated by the grey area. Significant effects were determined by ordinary one-way ANOVA. *=p &lt; 0.05 compared to control and exceeding 10%.</w:t>
      </w:r>
      <w:bookmarkStart w:id="45" w:name="_Toc91775074"/>
    </w:p>
    <w:p w14:paraId="5DC65CF9" w14:textId="66D9C77A" w:rsidR="006F4D48" w:rsidRPr="007F3C5D" w:rsidRDefault="006F4D48" w:rsidP="00A14895">
      <w:pPr>
        <w:pStyle w:val="Heading2"/>
      </w:pPr>
      <w:bookmarkStart w:id="46" w:name="_Toc100781390"/>
      <w:bookmarkStart w:id="47" w:name="_Toc101374936"/>
      <w:r w:rsidRPr="007F3C5D">
        <w:t>EURO 2 engine exhaust-derived PM reduces neuronal activity, while EURO 6 engine exhaust-derived PM did not</w:t>
      </w:r>
      <w:bookmarkEnd w:id="45"/>
      <w:bookmarkEnd w:id="46"/>
      <w:bookmarkEnd w:id="47"/>
    </w:p>
    <w:p w14:paraId="1DE992ED" w14:textId="358F688D" w:rsidR="006F4D48" w:rsidRPr="007F3C5D" w:rsidRDefault="006F4D48" w:rsidP="00A14895">
      <w:r w:rsidRPr="007F3C5D">
        <w:t>EURO</w:t>
      </w:r>
      <w:r w:rsidR="00670906" w:rsidRPr="007F3C5D">
        <w:t> </w:t>
      </w:r>
      <w:r w:rsidRPr="007F3C5D">
        <w:t>2 engine exhaust-derived PM decreased the MSR and MBR after 48</w:t>
      </w:r>
      <w:r w:rsidR="00670906" w:rsidRPr="007F3C5D">
        <w:t> </w:t>
      </w:r>
      <w:r w:rsidRPr="007F3C5D">
        <w:t>h exposure to 100</w:t>
      </w:r>
      <w:r w:rsidR="00670906" w:rsidRPr="007F3C5D">
        <w:t> </w:t>
      </w:r>
      <w:r w:rsidRPr="007F3C5D">
        <w:t>µg/mL and to 30</w:t>
      </w:r>
      <w:r w:rsidR="00670906" w:rsidRPr="007F3C5D">
        <w:t> </w:t>
      </w:r>
      <w:r w:rsidRPr="007F3C5D">
        <w:t>µg/mL for the MNBR to 69.3% (p</w:t>
      </w:r>
      <w:r w:rsidR="00670906" w:rsidRPr="007F3C5D">
        <w:t> </w:t>
      </w:r>
      <w:proofErr w:type="gramStart"/>
      <w:r w:rsidR="00670906" w:rsidRPr="007F3C5D">
        <w:t>= </w:t>
      </w:r>
      <w:r w:rsidRPr="007F3C5D">
        <w:t xml:space="preserve"> 0.0003</w:t>
      </w:r>
      <w:proofErr w:type="gramEnd"/>
      <w:r w:rsidRPr="007F3C5D">
        <w:t>), 70.8% (p</w:t>
      </w:r>
      <w:r w:rsidR="00670906" w:rsidRPr="007F3C5D">
        <w:t> = </w:t>
      </w:r>
      <w:r w:rsidRPr="007F3C5D">
        <w:t>0.0044) and 62.0% (p</w:t>
      </w:r>
      <w:r w:rsidR="00670906" w:rsidRPr="007F3C5D">
        <w:t> = </w:t>
      </w:r>
      <w:r w:rsidRPr="007F3C5D">
        <w:t xml:space="preserve">0.007) respectively (fig. </w:t>
      </w:r>
      <w:r w:rsidR="005F6099" w:rsidRPr="007F3C5D">
        <w:t>8</w:t>
      </w:r>
      <w:r w:rsidRPr="007F3C5D">
        <w:t>A). Furthermore, an increase of activity for the MBR after 120</w:t>
      </w:r>
      <w:r w:rsidR="00670906" w:rsidRPr="007F3C5D">
        <w:t> </w:t>
      </w:r>
      <w:r w:rsidRPr="007F3C5D">
        <w:t>h exposure to 1 and 3</w:t>
      </w:r>
      <w:r w:rsidR="00670906" w:rsidRPr="007F3C5D">
        <w:t> </w:t>
      </w:r>
      <w:r w:rsidRPr="007F3C5D">
        <w:t>µg/mL is shown. As the 120</w:t>
      </w:r>
      <w:r w:rsidR="00670906" w:rsidRPr="007F3C5D">
        <w:t> </w:t>
      </w:r>
      <w:r w:rsidRPr="007F3C5D">
        <w:t>h exposure values show a relatively large SEM and an inconsistent trend, the significant increase for 1 and 3</w:t>
      </w:r>
      <w:r w:rsidR="00670906" w:rsidRPr="007F3C5D">
        <w:t> </w:t>
      </w:r>
      <w:r w:rsidRPr="007F3C5D">
        <w:t>µg/mL after 120</w:t>
      </w:r>
      <w:r w:rsidR="00670906" w:rsidRPr="007F3C5D">
        <w:t> </w:t>
      </w:r>
      <w:r w:rsidRPr="007F3C5D">
        <w:t>h exposure is considered an artefact and of limited toxicological relevance. Cell viability after 120 h exposure to 100 µg/mL is minorly but significant decreased to 87.0% (p</w:t>
      </w:r>
      <w:r w:rsidR="00670906" w:rsidRPr="007F3C5D">
        <w:t> </w:t>
      </w:r>
      <w:proofErr w:type="gramStart"/>
      <w:r w:rsidR="00670906" w:rsidRPr="007F3C5D">
        <w:t>= </w:t>
      </w:r>
      <w:r w:rsidRPr="007F3C5D">
        <w:t xml:space="preserve"> 0.0003</w:t>
      </w:r>
      <w:proofErr w:type="gramEnd"/>
      <w:r w:rsidRPr="007F3C5D">
        <w:t xml:space="preserve">) (fig. </w:t>
      </w:r>
      <w:r w:rsidR="005F6099" w:rsidRPr="007F3C5D">
        <w:t>9</w:t>
      </w:r>
      <w:r w:rsidRPr="007F3C5D">
        <w:t>A). EURO</w:t>
      </w:r>
      <w:r w:rsidR="00670906" w:rsidRPr="007F3C5D">
        <w:t> </w:t>
      </w:r>
      <w:r w:rsidRPr="007F3C5D">
        <w:t>6 engine exhaust-derived PM decreased the MNBR after 120</w:t>
      </w:r>
      <w:r w:rsidR="00670906" w:rsidRPr="007F3C5D">
        <w:t> </w:t>
      </w:r>
      <w:r w:rsidRPr="007F3C5D">
        <w:t>h exposure to 30</w:t>
      </w:r>
      <w:r w:rsidR="00670906" w:rsidRPr="007F3C5D">
        <w:t> </w:t>
      </w:r>
      <w:r w:rsidRPr="007F3C5D">
        <w:t>µg/mL slightly to 74.8% (p</w:t>
      </w:r>
      <w:r w:rsidR="00670906" w:rsidRPr="007F3C5D">
        <w:t> = </w:t>
      </w:r>
      <w:r w:rsidRPr="007F3C5D">
        <w:t xml:space="preserve">0.0426) (fig. </w:t>
      </w:r>
      <w:r w:rsidR="005F6099" w:rsidRPr="007F3C5D">
        <w:t>8</w:t>
      </w:r>
      <w:r w:rsidRPr="007F3C5D">
        <w:t>B). For the other parameters, no effects were observed. Similarly, cells exposed to EURO</w:t>
      </w:r>
      <w:r w:rsidR="00670906" w:rsidRPr="007F3C5D">
        <w:t> </w:t>
      </w:r>
      <w:r w:rsidRPr="007F3C5D">
        <w:t>6 engine exhaust-derived PM for 120</w:t>
      </w:r>
      <w:r w:rsidR="00670906" w:rsidRPr="007F3C5D">
        <w:t> </w:t>
      </w:r>
      <w:r w:rsidRPr="007F3C5D">
        <w:t xml:space="preserve">h exhibit same viability as control cells (fig. </w:t>
      </w:r>
      <w:r w:rsidR="005F6099" w:rsidRPr="007F3C5D">
        <w:t>9</w:t>
      </w:r>
      <w:r w:rsidRPr="007F3C5D">
        <w:t>B).</w:t>
      </w:r>
    </w:p>
    <w:p w14:paraId="77767C3A" w14:textId="066635DC" w:rsidR="00670906" w:rsidRPr="007F3C5D" w:rsidRDefault="006F4D48" w:rsidP="00A14895">
      <w:pPr>
        <w:pStyle w:val="Caption"/>
        <w:spacing w:after="0" w:line="276" w:lineRule="auto"/>
        <w:rPr>
          <w:rFonts w:ascii="Cambria" w:hAnsi="Cambria"/>
          <w:i w:val="0"/>
          <w:iCs w:val="0"/>
          <w:color w:val="auto"/>
          <w:sz w:val="16"/>
          <w:szCs w:val="16"/>
          <w:lang w:val="en-US"/>
        </w:rPr>
      </w:pPr>
      <w:r w:rsidRPr="007F3C5D">
        <w:rPr>
          <w:rFonts w:ascii="Cambria" w:hAnsi="Cambria"/>
          <w:noProof/>
          <w:lang w:val="en-US"/>
        </w:rPr>
        <w:lastRenderedPageBreak/>
        <mc:AlternateContent>
          <mc:Choice Requires="wps">
            <w:drawing>
              <wp:inline distT="0" distB="0" distL="0" distR="0" wp14:anchorId="1D74C90B" wp14:editId="2BF880EB">
                <wp:extent cx="5724000" cy="6200044"/>
                <wp:effectExtent l="0" t="0" r="16510" b="10795"/>
                <wp:docPr id="181" name="Text Box 181"/>
                <wp:cNvGraphicFramePr/>
                <a:graphic xmlns:a="http://schemas.openxmlformats.org/drawingml/2006/main">
                  <a:graphicData uri="http://schemas.microsoft.com/office/word/2010/wordprocessingShape">
                    <wps:wsp>
                      <wps:cNvSpPr txBox="1"/>
                      <wps:spPr>
                        <a:xfrm>
                          <a:off x="0" y="0"/>
                          <a:ext cx="5724000" cy="6200044"/>
                        </a:xfrm>
                        <a:prstGeom prst="rect">
                          <a:avLst/>
                        </a:prstGeom>
                        <a:noFill/>
                        <a:ln w="6350">
                          <a:solidFill>
                            <a:schemeClr val="tx1"/>
                          </a:solidFill>
                        </a:ln>
                      </wps:spPr>
                      <wps:txbx>
                        <w:txbxContent>
                          <w:p w14:paraId="59CE0AF4" w14:textId="77777777" w:rsidR="006F4D48" w:rsidRDefault="006F4D48" w:rsidP="00EE6B5C">
                            <w:pPr>
                              <w:spacing w:after="0" w:line="240" w:lineRule="auto"/>
                              <w:ind w:firstLine="0"/>
                              <w:rPr>
                                <w:noProof/>
                              </w:rPr>
                            </w:pPr>
                            <w:r w:rsidRPr="00AE6573">
                              <w:rPr>
                                <w:noProof/>
                              </w:rPr>
                              <w:drawing>
                                <wp:inline distT="0" distB="0" distL="0" distR="0" wp14:anchorId="139CB49F" wp14:editId="7DC9E5C4">
                                  <wp:extent cx="5482590" cy="185195"/>
                                  <wp:effectExtent l="0" t="0" r="0" b="571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95534"/>
                                          <a:stretch/>
                                        </pic:blipFill>
                                        <pic:spPr bwMode="auto">
                                          <a:xfrm>
                                            <a:off x="0" y="0"/>
                                            <a:ext cx="5482590" cy="185195"/>
                                          </a:xfrm>
                                          <a:prstGeom prst="rect">
                                            <a:avLst/>
                                          </a:prstGeom>
                                          <a:ln>
                                            <a:noFill/>
                                          </a:ln>
                                          <a:extLst>
                                            <a:ext uri="{53640926-AAD7-44D8-BBD7-CCE9431645EC}">
                                              <a14:shadowObscured xmlns:a14="http://schemas.microsoft.com/office/drawing/2010/main"/>
                                            </a:ext>
                                          </a:extLst>
                                        </pic:spPr>
                                      </pic:pic>
                                    </a:graphicData>
                                  </a:graphic>
                                </wp:inline>
                              </w:drawing>
                            </w:r>
                          </w:p>
                          <w:p w14:paraId="50872030" w14:textId="60397B81" w:rsidR="006F4D48" w:rsidRPr="00AE4A9E" w:rsidRDefault="00AE4A9E" w:rsidP="00AE4A9E">
                            <w:pPr>
                              <w:spacing w:after="0" w:line="240" w:lineRule="auto"/>
                              <w:ind w:firstLine="0"/>
                              <w:rPr>
                                <w:rFonts w:asciiTheme="minorHAnsi" w:hAnsiTheme="minorHAnsi" w:cstheme="minorHAnsi"/>
                                <w:b/>
                                <w:bCs/>
                                <w:noProof/>
                                <w:sz w:val="24"/>
                                <w:szCs w:val="24"/>
                              </w:rPr>
                            </w:pPr>
                            <w:r w:rsidRPr="00AE4A9E">
                              <w:rPr>
                                <w:rFonts w:asciiTheme="minorHAnsi" w:hAnsiTheme="minorHAnsi" w:cstheme="minorHAnsi"/>
                                <w:b/>
                                <w:bCs/>
                                <w:noProof/>
                                <w:sz w:val="24"/>
                                <w:szCs w:val="24"/>
                              </w:rPr>
                              <w:t>A)</w:t>
                            </w:r>
                            <w:r>
                              <w:rPr>
                                <w:rFonts w:asciiTheme="minorHAnsi" w:hAnsiTheme="minorHAnsi" w:cstheme="minorHAnsi"/>
                                <w:b/>
                                <w:bCs/>
                                <w:noProof/>
                                <w:sz w:val="24"/>
                                <w:szCs w:val="24"/>
                              </w:rPr>
                              <w:t xml:space="preserve"> </w:t>
                            </w:r>
                            <w:r w:rsidR="006F4D48" w:rsidRPr="00AE4A9E">
                              <w:rPr>
                                <w:rFonts w:asciiTheme="minorHAnsi" w:hAnsiTheme="minorHAnsi" w:cstheme="minorHAnsi"/>
                                <w:b/>
                                <w:bCs/>
                                <w:noProof/>
                                <w:sz w:val="24"/>
                                <w:szCs w:val="24"/>
                              </w:rPr>
                              <w:t>EURO 2 engine exhaust-derived PM</w:t>
                            </w:r>
                            <w:r w:rsidR="006F4D48" w:rsidRPr="00AE4A9E">
                              <w:rPr>
                                <w:rFonts w:asciiTheme="minorHAnsi" w:hAnsiTheme="minorHAnsi" w:cstheme="minorHAnsi"/>
                                <w:b/>
                                <w:bCs/>
                                <w:noProof/>
                                <w:sz w:val="24"/>
                                <w:szCs w:val="24"/>
                              </w:rPr>
                              <w:tab/>
                              <w:t>B)</w:t>
                            </w:r>
                            <w:r w:rsidRPr="00AE4A9E">
                              <w:rPr>
                                <w:rFonts w:asciiTheme="minorHAnsi" w:hAnsiTheme="minorHAnsi" w:cstheme="minorHAnsi"/>
                                <w:b/>
                                <w:bCs/>
                                <w:noProof/>
                                <w:sz w:val="24"/>
                                <w:szCs w:val="24"/>
                              </w:rPr>
                              <w:t xml:space="preserve"> </w:t>
                            </w:r>
                            <w:r w:rsidR="006F4D48" w:rsidRPr="00AE4A9E">
                              <w:rPr>
                                <w:rFonts w:asciiTheme="minorHAnsi" w:hAnsiTheme="minorHAnsi" w:cstheme="minorHAnsi"/>
                                <w:b/>
                                <w:bCs/>
                                <w:noProof/>
                                <w:sz w:val="24"/>
                                <w:szCs w:val="24"/>
                              </w:rPr>
                              <w:t>EURO 6 engine exhaust-derived PM</w:t>
                            </w:r>
                          </w:p>
                          <w:p w14:paraId="6AEAA5CE" w14:textId="77777777" w:rsidR="006F4D48" w:rsidRDefault="006F4D48" w:rsidP="00CD4931">
                            <w:pPr>
                              <w:spacing w:after="0" w:line="240" w:lineRule="auto"/>
                              <w:ind w:firstLine="0"/>
                              <w:rPr>
                                <w:noProof/>
                              </w:rPr>
                            </w:pPr>
                            <w:r w:rsidRPr="00C242FC">
                              <w:rPr>
                                <w:noProof/>
                              </w:rPr>
                              <w:drawing>
                                <wp:inline distT="0" distB="0" distL="0" distR="0" wp14:anchorId="45807E46" wp14:editId="2D87184C">
                                  <wp:extent cx="2721133" cy="1933742"/>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61">
                                            <a:extLst>
                                              <a:ext uri="{28A0092B-C50C-407E-A947-70E740481C1C}">
                                                <a14:useLocalDpi xmlns:a14="http://schemas.microsoft.com/office/drawing/2010/main" val="0"/>
                                              </a:ext>
                                            </a:extLst>
                                          </a:blip>
                                          <a:stretch>
                                            <a:fillRect/>
                                          </a:stretch>
                                        </pic:blipFill>
                                        <pic:spPr>
                                          <a:xfrm>
                                            <a:off x="0" y="0"/>
                                            <a:ext cx="2721133" cy="1933742"/>
                                          </a:xfrm>
                                          <a:prstGeom prst="rect">
                                            <a:avLst/>
                                          </a:prstGeom>
                                        </pic:spPr>
                                      </pic:pic>
                                    </a:graphicData>
                                  </a:graphic>
                                </wp:inline>
                              </w:drawing>
                            </w:r>
                            <w:r w:rsidRPr="00C242FC">
                              <w:rPr>
                                <w:rFonts w:asciiTheme="minorHAnsi" w:hAnsiTheme="minorHAnsi" w:cstheme="minorHAnsi"/>
                                <w:b/>
                                <w:bCs/>
                                <w:noProof/>
                                <w:sz w:val="28"/>
                                <w:szCs w:val="28"/>
                              </w:rPr>
                              <w:drawing>
                                <wp:inline distT="0" distB="0" distL="0" distR="0" wp14:anchorId="596D7CDC" wp14:editId="371A23BF">
                                  <wp:extent cx="2716447" cy="1933742"/>
                                  <wp:effectExtent l="0" t="0" r="1905"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62">
                                            <a:extLst>
                                              <a:ext uri="{28A0092B-C50C-407E-A947-70E740481C1C}">
                                                <a14:useLocalDpi xmlns:a14="http://schemas.microsoft.com/office/drawing/2010/main" val="0"/>
                                              </a:ext>
                                            </a:extLst>
                                          </a:blip>
                                          <a:stretch>
                                            <a:fillRect/>
                                          </a:stretch>
                                        </pic:blipFill>
                                        <pic:spPr>
                                          <a:xfrm>
                                            <a:off x="0" y="0"/>
                                            <a:ext cx="2716447" cy="1933742"/>
                                          </a:xfrm>
                                          <a:prstGeom prst="rect">
                                            <a:avLst/>
                                          </a:prstGeom>
                                        </pic:spPr>
                                      </pic:pic>
                                    </a:graphicData>
                                  </a:graphic>
                                </wp:inline>
                              </w:drawing>
                            </w:r>
                          </w:p>
                          <w:p w14:paraId="46E7BDE8" w14:textId="77777777" w:rsidR="006F4D48" w:rsidRDefault="006F4D48" w:rsidP="00CD4931">
                            <w:pPr>
                              <w:spacing w:after="0" w:line="240" w:lineRule="auto"/>
                              <w:ind w:firstLine="0"/>
                              <w:rPr>
                                <w:rFonts w:asciiTheme="minorHAnsi" w:hAnsiTheme="minorHAnsi" w:cstheme="minorHAnsi"/>
                                <w:b/>
                                <w:bCs/>
                                <w:noProof/>
                                <w:sz w:val="28"/>
                                <w:szCs w:val="28"/>
                              </w:rPr>
                            </w:pPr>
                            <w:r w:rsidRPr="00C242FC">
                              <w:rPr>
                                <w:noProof/>
                              </w:rPr>
                              <w:drawing>
                                <wp:inline distT="0" distB="0" distL="0" distR="0" wp14:anchorId="58A4C482" wp14:editId="168FBDD2">
                                  <wp:extent cx="2726853" cy="1941150"/>
                                  <wp:effectExtent l="0" t="0" r="3810" b="254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63">
                                            <a:extLst>
                                              <a:ext uri="{28A0092B-C50C-407E-A947-70E740481C1C}">
                                                <a14:useLocalDpi xmlns:a14="http://schemas.microsoft.com/office/drawing/2010/main" val="0"/>
                                              </a:ext>
                                            </a:extLst>
                                          </a:blip>
                                          <a:stretch>
                                            <a:fillRect/>
                                          </a:stretch>
                                        </pic:blipFill>
                                        <pic:spPr>
                                          <a:xfrm>
                                            <a:off x="0" y="0"/>
                                            <a:ext cx="2726853" cy="1941150"/>
                                          </a:xfrm>
                                          <a:prstGeom prst="rect">
                                            <a:avLst/>
                                          </a:prstGeom>
                                        </pic:spPr>
                                      </pic:pic>
                                    </a:graphicData>
                                  </a:graphic>
                                </wp:inline>
                              </w:drawing>
                            </w:r>
                            <w:r w:rsidRPr="00C242FC">
                              <w:rPr>
                                <w:noProof/>
                              </w:rPr>
                              <w:drawing>
                                <wp:inline distT="0" distB="0" distL="0" distR="0" wp14:anchorId="3F863FEE" wp14:editId="00DE7B43">
                                  <wp:extent cx="2726853" cy="1941150"/>
                                  <wp:effectExtent l="0" t="0" r="3810" b="254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64">
                                            <a:extLst>
                                              <a:ext uri="{28A0092B-C50C-407E-A947-70E740481C1C}">
                                                <a14:useLocalDpi xmlns:a14="http://schemas.microsoft.com/office/drawing/2010/main" val="0"/>
                                              </a:ext>
                                            </a:extLst>
                                          </a:blip>
                                          <a:stretch>
                                            <a:fillRect/>
                                          </a:stretch>
                                        </pic:blipFill>
                                        <pic:spPr>
                                          <a:xfrm>
                                            <a:off x="0" y="0"/>
                                            <a:ext cx="2726853" cy="1941150"/>
                                          </a:xfrm>
                                          <a:prstGeom prst="rect">
                                            <a:avLst/>
                                          </a:prstGeom>
                                        </pic:spPr>
                                      </pic:pic>
                                    </a:graphicData>
                                  </a:graphic>
                                </wp:inline>
                              </w:drawing>
                            </w:r>
                          </w:p>
                          <w:p w14:paraId="436D40AD" w14:textId="77777777" w:rsidR="006F4D48" w:rsidRDefault="006F4D48" w:rsidP="00CD4931">
                            <w:pPr>
                              <w:spacing w:after="0" w:line="240" w:lineRule="auto"/>
                              <w:ind w:firstLine="0"/>
                              <w:rPr>
                                <w:rFonts w:asciiTheme="minorHAnsi" w:hAnsiTheme="minorHAnsi" w:cstheme="minorHAnsi"/>
                                <w:b/>
                                <w:bCs/>
                                <w:noProof/>
                                <w:sz w:val="28"/>
                                <w:szCs w:val="28"/>
                              </w:rPr>
                            </w:pPr>
                            <w:r w:rsidRPr="00C242FC">
                              <w:rPr>
                                <w:rFonts w:asciiTheme="minorHAnsi" w:hAnsiTheme="minorHAnsi" w:cstheme="minorHAnsi"/>
                                <w:b/>
                                <w:bCs/>
                                <w:noProof/>
                                <w:sz w:val="28"/>
                                <w:szCs w:val="28"/>
                              </w:rPr>
                              <w:drawing>
                                <wp:inline distT="0" distB="0" distL="0" distR="0" wp14:anchorId="2D23C7AE" wp14:editId="6D8808E5">
                                  <wp:extent cx="2743182" cy="1941150"/>
                                  <wp:effectExtent l="0" t="0" r="635" b="254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65">
                                            <a:extLst>
                                              <a:ext uri="{28A0092B-C50C-407E-A947-70E740481C1C}">
                                                <a14:useLocalDpi xmlns:a14="http://schemas.microsoft.com/office/drawing/2010/main" val="0"/>
                                              </a:ext>
                                            </a:extLst>
                                          </a:blip>
                                          <a:stretch>
                                            <a:fillRect/>
                                          </a:stretch>
                                        </pic:blipFill>
                                        <pic:spPr>
                                          <a:xfrm>
                                            <a:off x="0" y="0"/>
                                            <a:ext cx="2743182" cy="1941150"/>
                                          </a:xfrm>
                                          <a:prstGeom prst="rect">
                                            <a:avLst/>
                                          </a:prstGeom>
                                        </pic:spPr>
                                      </pic:pic>
                                    </a:graphicData>
                                  </a:graphic>
                                </wp:inline>
                              </w:drawing>
                            </w:r>
                            <w:r w:rsidRPr="00C242FC">
                              <w:rPr>
                                <w:noProof/>
                              </w:rPr>
                              <w:drawing>
                                <wp:inline distT="0" distB="0" distL="0" distR="0" wp14:anchorId="1282E67C" wp14:editId="71E3BBF1">
                                  <wp:extent cx="2743182" cy="1941150"/>
                                  <wp:effectExtent l="0" t="0" r="635" b="254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66">
                                            <a:extLst>
                                              <a:ext uri="{28A0092B-C50C-407E-A947-70E740481C1C}">
                                                <a14:useLocalDpi xmlns:a14="http://schemas.microsoft.com/office/drawing/2010/main" val="0"/>
                                              </a:ext>
                                            </a:extLst>
                                          </a:blip>
                                          <a:stretch>
                                            <a:fillRect/>
                                          </a:stretch>
                                        </pic:blipFill>
                                        <pic:spPr>
                                          <a:xfrm>
                                            <a:off x="0" y="0"/>
                                            <a:ext cx="2743182" cy="1941150"/>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1D74C90B" id="Text Box 181" o:spid="_x0000_s1032" type="#_x0000_t202" style="width:450.7pt;height:48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" filled="f" strokecolor="black [3213]" strokeweight=".5pt">
                <v:textbox inset="1mm,0,1mm,0">
                  <w:txbxContent>
                    <w:p w14:paraId="59CE0AF4" w14:textId="77777777" w:rsidR="006F4D48" w:rsidRDefault="006F4D48" w:rsidP="00EE6B5C">
                      <w:pPr>
                        <w:spacing w:after="0" w:line="240" w:lineRule="auto"/>
                        <w:ind w:firstLine="0"/>
                        <w:rPr>
                          <w:noProof/>
                        </w:rPr>
                      </w:pPr>
                      <w:r w:rsidRPr="00AE6573">
                        <w:rPr>
                          <w:noProof/>
                        </w:rPr>
                        <w:drawing>
                          <wp:inline distT="0" distB="0" distL="0" distR="0" wp14:anchorId="139CB49F" wp14:editId="7DC9E5C4">
                            <wp:extent cx="5482590" cy="185195"/>
                            <wp:effectExtent l="0" t="0" r="0" b="571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95534"/>
                                    <a:stretch/>
                                  </pic:blipFill>
                                  <pic:spPr bwMode="auto">
                                    <a:xfrm>
                                      <a:off x="0" y="0"/>
                                      <a:ext cx="5482590" cy="185195"/>
                                    </a:xfrm>
                                    <a:prstGeom prst="rect">
                                      <a:avLst/>
                                    </a:prstGeom>
                                    <a:ln>
                                      <a:noFill/>
                                    </a:ln>
                                    <a:extLst>
                                      <a:ext uri="{53640926-AAD7-44D8-BBD7-CCE9431645EC}">
                                        <a14:shadowObscured xmlns:a14="http://schemas.microsoft.com/office/drawing/2010/main"/>
                                      </a:ext>
                                    </a:extLst>
                                  </pic:spPr>
                                </pic:pic>
                              </a:graphicData>
                            </a:graphic>
                          </wp:inline>
                        </w:drawing>
                      </w:r>
                    </w:p>
                    <w:p w14:paraId="50872030" w14:textId="60397B81" w:rsidR="006F4D48" w:rsidRPr="00AE4A9E" w:rsidRDefault="00AE4A9E" w:rsidP="00AE4A9E">
                      <w:pPr>
                        <w:spacing w:after="0" w:line="240" w:lineRule="auto"/>
                        <w:ind w:firstLine="0"/>
                        <w:rPr>
                          <w:rFonts w:asciiTheme="minorHAnsi" w:hAnsiTheme="minorHAnsi" w:cstheme="minorHAnsi"/>
                          <w:b/>
                          <w:bCs/>
                          <w:noProof/>
                          <w:sz w:val="24"/>
                          <w:szCs w:val="24"/>
                        </w:rPr>
                      </w:pPr>
                      <w:r w:rsidRPr="00AE4A9E">
                        <w:rPr>
                          <w:rFonts w:asciiTheme="minorHAnsi" w:hAnsiTheme="minorHAnsi" w:cstheme="minorHAnsi"/>
                          <w:b/>
                          <w:bCs/>
                          <w:noProof/>
                          <w:sz w:val="24"/>
                          <w:szCs w:val="24"/>
                        </w:rPr>
                        <w:t>A)</w:t>
                      </w:r>
                      <w:r>
                        <w:rPr>
                          <w:rFonts w:asciiTheme="minorHAnsi" w:hAnsiTheme="minorHAnsi" w:cstheme="minorHAnsi"/>
                          <w:b/>
                          <w:bCs/>
                          <w:noProof/>
                          <w:sz w:val="24"/>
                          <w:szCs w:val="24"/>
                        </w:rPr>
                        <w:t xml:space="preserve"> </w:t>
                      </w:r>
                      <w:r w:rsidR="006F4D48" w:rsidRPr="00AE4A9E">
                        <w:rPr>
                          <w:rFonts w:asciiTheme="minorHAnsi" w:hAnsiTheme="minorHAnsi" w:cstheme="minorHAnsi"/>
                          <w:b/>
                          <w:bCs/>
                          <w:noProof/>
                          <w:sz w:val="24"/>
                          <w:szCs w:val="24"/>
                        </w:rPr>
                        <w:t>EURO 2 engine exhaust-derived PM</w:t>
                      </w:r>
                      <w:r w:rsidR="006F4D48" w:rsidRPr="00AE4A9E">
                        <w:rPr>
                          <w:rFonts w:asciiTheme="minorHAnsi" w:hAnsiTheme="minorHAnsi" w:cstheme="minorHAnsi"/>
                          <w:b/>
                          <w:bCs/>
                          <w:noProof/>
                          <w:sz w:val="24"/>
                          <w:szCs w:val="24"/>
                        </w:rPr>
                        <w:tab/>
                        <w:t>B)</w:t>
                      </w:r>
                      <w:r w:rsidRPr="00AE4A9E">
                        <w:rPr>
                          <w:rFonts w:asciiTheme="minorHAnsi" w:hAnsiTheme="minorHAnsi" w:cstheme="minorHAnsi"/>
                          <w:b/>
                          <w:bCs/>
                          <w:noProof/>
                          <w:sz w:val="24"/>
                          <w:szCs w:val="24"/>
                        </w:rPr>
                        <w:t xml:space="preserve"> </w:t>
                      </w:r>
                      <w:r w:rsidR="006F4D48" w:rsidRPr="00AE4A9E">
                        <w:rPr>
                          <w:rFonts w:asciiTheme="minorHAnsi" w:hAnsiTheme="minorHAnsi" w:cstheme="minorHAnsi"/>
                          <w:b/>
                          <w:bCs/>
                          <w:noProof/>
                          <w:sz w:val="24"/>
                          <w:szCs w:val="24"/>
                        </w:rPr>
                        <w:t>EURO 6 engine exhaust-derived PM</w:t>
                      </w:r>
                    </w:p>
                    <w:p w14:paraId="6AEAA5CE" w14:textId="77777777" w:rsidR="006F4D48" w:rsidRDefault="006F4D48" w:rsidP="00CD4931">
                      <w:pPr>
                        <w:spacing w:after="0" w:line="240" w:lineRule="auto"/>
                        <w:ind w:firstLine="0"/>
                        <w:rPr>
                          <w:noProof/>
                        </w:rPr>
                      </w:pPr>
                      <w:r w:rsidRPr="00C242FC">
                        <w:rPr>
                          <w:noProof/>
                        </w:rPr>
                        <w:drawing>
                          <wp:inline distT="0" distB="0" distL="0" distR="0" wp14:anchorId="45807E46" wp14:editId="2D87184C">
                            <wp:extent cx="2721133" cy="1933742"/>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67">
                                      <a:extLst>
                                        <a:ext uri="{28A0092B-C50C-407E-A947-70E740481C1C}">
                                          <a14:useLocalDpi xmlns:a14="http://schemas.microsoft.com/office/drawing/2010/main" val="0"/>
                                        </a:ext>
                                      </a:extLst>
                                    </a:blip>
                                    <a:stretch>
                                      <a:fillRect/>
                                    </a:stretch>
                                  </pic:blipFill>
                                  <pic:spPr>
                                    <a:xfrm>
                                      <a:off x="0" y="0"/>
                                      <a:ext cx="2721133" cy="1933742"/>
                                    </a:xfrm>
                                    <a:prstGeom prst="rect">
                                      <a:avLst/>
                                    </a:prstGeom>
                                  </pic:spPr>
                                </pic:pic>
                              </a:graphicData>
                            </a:graphic>
                          </wp:inline>
                        </w:drawing>
                      </w:r>
                      <w:r w:rsidRPr="00C242FC">
                        <w:rPr>
                          <w:rFonts w:asciiTheme="minorHAnsi" w:hAnsiTheme="minorHAnsi" w:cstheme="minorHAnsi"/>
                          <w:b/>
                          <w:bCs/>
                          <w:noProof/>
                          <w:sz w:val="28"/>
                          <w:szCs w:val="28"/>
                        </w:rPr>
                        <w:drawing>
                          <wp:inline distT="0" distB="0" distL="0" distR="0" wp14:anchorId="596D7CDC" wp14:editId="371A23BF">
                            <wp:extent cx="2716447" cy="1933742"/>
                            <wp:effectExtent l="0" t="0" r="1905"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68">
                                      <a:extLst>
                                        <a:ext uri="{28A0092B-C50C-407E-A947-70E740481C1C}">
                                          <a14:useLocalDpi xmlns:a14="http://schemas.microsoft.com/office/drawing/2010/main" val="0"/>
                                        </a:ext>
                                      </a:extLst>
                                    </a:blip>
                                    <a:stretch>
                                      <a:fillRect/>
                                    </a:stretch>
                                  </pic:blipFill>
                                  <pic:spPr>
                                    <a:xfrm>
                                      <a:off x="0" y="0"/>
                                      <a:ext cx="2716447" cy="1933742"/>
                                    </a:xfrm>
                                    <a:prstGeom prst="rect">
                                      <a:avLst/>
                                    </a:prstGeom>
                                  </pic:spPr>
                                </pic:pic>
                              </a:graphicData>
                            </a:graphic>
                          </wp:inline>
                        </w:drawing>
                      </w:r>
                    </w:p>
                    <w:p w14:paraId="46E7BDE8" w14:textId="77777777" w:rsidR="006F4D48" w:rsidRDefault="006F4D48" w:rsidP="00CD4931">
                      <w:pPr>
                        <w:spacing w:after="0" w:line="240" w:lineRule="auto"/>
                        <w:ind w:firstLine="0"/>
                        <w:rPr>
                          <w:rFonts w:asciiTheme="minorHAnsi" w:hAnsiTheme="minorHAnsi" w:cstheme="minorHAnsi"/>
                          <w:b/>
                          <w:bCs/>
                          <w:noProof/>
                          <w:sz w:val="28"/>
                          <w:szCs w:val="28"/>
                        </w:rPr>
                      </w:pPr>
                      <w:r w:rsidRPr="00C242FC">
                        <w:rPr>
                          <w:noProof/>
                        </w:rPr>
                        <w:drawing>
                          <wp:inline distT="0" distB="0" distL="0" distR="0" wp14:anchorId="58A4C482" wp14:editId="168FBDD2">
                            <wp:extent cx="2726853" cy="1941150"/>
                            <wp:effectExtent l="0" t="0" r="3810" b="254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69">
                                      <a:extLst>
                                        <a:ext uri="{28A0092B-C50C-407E-A947-70E740481C1C}">
                                          <a14:useLocalDpi xmlns:a14="http://schemas.microsoft.com/office/drawing/2010/main" val="0"/>
                                        </a:ext>
                                      </a:extLst>
                                    </a:blip>
                                    <a:stretch>
                                      <a:fillRect/>
                                    </a:stretch>
                                  </pic:blipFill>
                                  <pic:spPr>
                                    <a:xfrm>
                                      <a:off x="0" y="0"/>
                                      <a:ext cx="2726853" cy="1941150"/>
                                    </a:xfrm>
                                    <a:prstGeom prst="rect">
                                      <a:avLst/>
                                    </a:prstGeom>
                                  </pic:spPr>
                                </pic:pic>
                              </a:graphicData>
                            </a:graphic>
                          </wp:inline>
                        </w:drawing>
                      </w:r>
                      <w:r w:rsidRPr="00C242FC">
                        <w:rPr>
                          <w:noProof/>
                        </w:rPr>
                        <w:drawing>
                          <wp:inline distT="0" distB="0" distL="0" distR="0" wp14:anchorId="3F863FEE" wp14:editId="00DE7B43">
                            <wp:extent cx="2726853" cy="1941150"/>
                            <wp:effectExtent l="0" t="0" r="3810" b="254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70">
                                      <a:extLst>
                                        <a:ext uri="{28A0092B-C50C-407E-A947-70E740481C1C}">
                                          <a14:useLocalDpi xmlns:a14="http://schemas.microsoft.com/office/drawing/2010/main" val="0"/>
                                        </a:ext>
                                      </a:extLst>
                                    </a:blip>
                                    <a:stretch>
                                      <a:fillRect/>
                                    </a:stretch>
                                  </pic:blipFill>
                                  <pic:spPr>
                                    <a:xfrm>
                                      <a:off x="0" y="0"/>
                                      <a:ext cx="2726853" cy="1941150"/>
                                    </a:xfrm>
                                    <a:prstGeom prst="rect">
                                      <a:avLst/>
                                    </a:prstGeom>
                                  </pic:spPr>
                                </pic:pic>
                              </a:graphicData>
                            </a:graphic>
                          </wp:inline>
                        </w:drawing>
                      </w:r>
                    </w:p>
                    <w:p w14:paraId="436D40AD" w14:textId="77777777" w:rsidR="006F4D48" w:rsidRDefault="006F4D48" w:rsidP="00CD4931">
                      <w:pPr>
                        <w:spacing w:after="0" w:line="240" w:lineRule="auto"/>
                        <w:ind w:firstLine="0"/>
                        <w:rPr>
                          <w:rFonts w:asciiTheme="minorHAnsi" w:hAnsiTheme="minorHAnsi" w:cstheme="minorHAnsi"/>
                          <w:b/>
                          <w:bCs/>
                          <w:noProof/>
                          <w:sz w:val="28"/>
                          <w:szCs w:val="28"/>
                        </w:rPr>
                      </w:pPr>
                      <w:r w:rsidRPr="00C242FC">
                        <w:rPr>
                          <w:rFonts w:asciiTheme="minorHAnsi" w:hAnsiTheme="minorHAnsi" w:cstheme="minorHAnsi"/>
                          <w:b/>
                          <w:bCs/>
                          <w:noProof/>
                          <w:sz w:val="28"/>
                          <w:szCs w:val="28"/>
                        </w:rPr>
                        <w:drawing>
                          <wp:inline distT="0" distB="0" distL="0" distR="0" wp14:anchorId="2D23C7AE" wp14:editId="6D8808E5">
                            <wp:extent cx="2743182" cy="1941150"/>
                            <wp:effectExtent l="0" t="0" r="635" b="254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71">
                                      <a:extLst>
                                        <a:ext uri="{28A0092B-C50C-407E-A947-70E740481C1C}">
                                          <a14:useLocalDpi xmlns:a14="http://schemas.microsoft.com/office/drawing/2010/main" val="0"/>
                                        </a:ext>
                                      </a:extLst>
                                    </a:blip>
                                    <a:stretch>
                                      <a:fillRect/>
                                    </a:stretch>
                                  </pic:blipFill>
                                  <pic:spPr>
                                    <a:xfrm>
                                      <a:off x="0" y="0"/>
                                      <a:ext cx="2743182" cy="1941150"/>
                                    </a:xfrm>
                                    <a:prstGeom prst="rect">
                                      <a:avLst/>
                                    </a:prstGeom>
                                  </pic:spPr>
                                </pic:pic>
                              </a:graphicData>
                            </a:graphic>
                          </wp:inline>
                        </w:drawing>
                      </w:r>
                      <w:r w:rsidRPr="00C242FC">
                        <w:rPr>
                          <w:noProof/>
                        </w:rPr>
                        <w:drawing>
                          <wp:inline distT="0" distB="0" distL="0" distR="0" wp14:anchorId="1282E67C" wp14:editId="71E3BBF1">
                            <wp:extent cx="2743182" cy="1941150"/>
                            <wp:effectExtent l="0" t="0" r="635" b="254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72">
                                      <a:extLst>
                                        <a:ext uri="{28A0092B-C50C-407E-A947-70E740481C1C}">
                                          <a14:useLocalDpi xmlns:a14="http://schemas.microsoft.com/office/drawing/2010/main" val="0"/>
                                        </a:ext>
                                      </a:extLst>
                                    </a:blip>
                                    <a:stretch>
                                      <a:fillRect/>
                                    </a:stretch>
                                  </pic:blipFill>
                                  <pic:spPr>
                                    <a:xfrm>
                                      <a:off x="0" y="0"/>
                                      <a:ext cx="2743182" cy="1941150"/>
                                    </a:xfrm>
                                    <a:prstGeom prst="rect">
                                      <a:avLst/>
                                    </a:prstGeom>
                                  </pic:spPr>
                                </pic:pic>
                              </a:graphicData>
                            </a:graphic>
                          </wp:inline>
                        </w:drawing>
                      </w:r>
                    </w:p>
                  </w:txbxContent>
                </v:textbox>
                <w10:anchorlock/>
              </v:shape>
            </w:pict>
          </mc:Fallback>
        </mc:AlternateContent>
      </w:r>
      <w:r w:rsidR="00670906" w:rsidRPr="007F3C5D">
        <w:rPr>
          <w:rFonts w:ascii="Cambria" w:hAnsi="Cambria"/>
          <w:b/>
          <w:bCs/>
          <w:i w:val="0"/>
          <w:iCs w:val="0"/>
          <w:color w:val="auto"/>
          <w:sz w:val="16"/>
          <w:szCs w:val="16"/>
          <w:lang w:val="en-US"/>
        </w:rPr>
        <w:t xml:space="preserve"> Figure </w:t>
      </w:r>
      <w:r w:rsidR="005F6099" w:rsidRPr="007F3C5D">
        <w:rPr>
          <w:rFonts w:ascii="Cambria" w:hAnsi="Cambria"/>
          <w:b/>
          <w:bCs/>
          <w:i w:val="0"/>
          <w:iCs w:val="0"/>
          <w:color w:val="auto"/>
          <w:sz w:val="16"/>
          <w:szCs w:val="16"/>
          <w:lang w:val="en-US"/>
        </w:rPr>
        <w:t>8</w:t>
      </w:r>
      <w:r w:rsidR="00670906" w:rsidRPr="007F3C5D">
        <w:rPr>
          <w:rFonts w:ascii="Cambria" w:hAnsi="Cambria"/>
          <w:b/>
          <w:bCs/>
          <w:i w:val="0"/>
          <w:iCs w:val="0"/>
          <w:color w:val="auto"/>
          <w:sz w:val="16"/>
          <w:szCs w:val="16"/>
          <w:lang w:val="en-US"/>
        </w:rPr>
        <w:t xml:space="preserve">: Effect of EURO 2 engine exhaust-derived PM (A) and EURO 6 engine exhaust-derived PM (B) on neuronal (network) activity of rat primary cortical </w:t>
      </w:r>
      <w:r w:rsidR="0011236D" w:rsidRPr="007F3C5D">
        <w:rPr>
          <w:rFonts w:ascii="Cambria" w:hAnsi="Cambria"/>
          <w:b/>
          <w:bCs/>
          <w:i w:val="0"/>
          <w:iCs w:val="0"/>
          <w:color w:val="auto"/>
          <w:sz w:val="16"/>
          <w:szCs w:val="16"/>
          <w:lang w:val="en-US"/>
        </w:rPr>
        <w:t>cultures</w:t>
      </w:r>
      <w:r w:rsidR="00670906" w:rsidRPr="007F3C5D">
        <w:rPr>
          <w:rFonts w:ascii="Cambria" w:hAnsi="Cambria"/>
          <w:b/>
          <w:bCs/>
          <w:i w:val="0"/>
          <w:iCs w:val="0"/>
          <w:color w:val="auto"/>
          <w:sz w:val="16"/>
          <w:szCs w:val="16"/>
          <w:lang w:val="en-US"/>
        </w:rPr>
        <w:t>.</w:t>
      </w:r>
      <w:r w:rsidR="00670906" w:rsidRPr="007F3C5D">
        <w:rPr>
          <w:rFonts w:ascii="Cambria" w:hAnsi="Cambria"/>
          <w:i w:val="0"/>
          <w:iCs w:val="0"/>
          <w:color w:val="auto"/>
          <w:sz w:val="16"/>
          <w:szCs w:val="16"/>
          <w:lang w:val="en-US"/>
        </w:rPr>
        <w:t xml:space="preserve"> Effects on neuronal activity were assessed after 0.5 h, 24 h, 48 h and 120 h exposure.</w:t>
      </w:r>
      <w:r w:rsidR="00670906" w:rsidRPr="007F3C5D">
        <w:rPr>
          <w:rFonts w:ascii="Cambria" w:hAnsi="Cambria"/>
          <w:b/>
          <w:bCs/>
          <w:i w:val="0"/>
          <w:iCs w:val="0"/>
          <w:color w:val="auto"/>
          <w:sz w:val="16"/>
          <w:szCs w:val="16"/>
          <w:lang w:val="en-US"/>
        </w:rPr>
        <w:t xml:space="preserve"> </w:t>
      </w:r>
      <w:r w:rsidR="00670906" w:rsidRPr="007F3C5D">
        <w:rPr>
          <w:rFonts w:ascii="Cambria" w:hAnsi="Cambria"/>
          <w:i w:val="0"/>
          <w:iCs w:val="0"/>
          <w:color w:val="auto"/>
          <w:sz w:val="16"/>
          <w:szCs w:val="16"/>
          <w:lang w:val="en-US"/>
        </w:rPr>
        <w:t xml:space="preserve">Mean Spike Rate (MSR), Mean Burst Rate (MBR), and Mean Network Burst Rate (MNBR) are presented as mean treatment ratio (± SEM) normalized to </w:t>
      </w:r>
      <w:r w:rsidR="00670906" w:rsidRPr="007F3C5D">
        <w:rPr>
          <w:rFonts w:ascii="Cambria" w:hAnsi="Cambria"/>
          <w:i w:val="0"/>
          <w:iCs w:val="0"/>
          <w:color w:val="000000" w:themeColor="text1"/>
          <w:sz w:val="16"/>
          <w:szCs w:val="16"/>
          <w:lang w:val="en-US"/>
        </w:rPr>
        <w:t xml:space="preserve">control from n = 21 - 24 wells, N = 3. Effects ≤ 25% (2xSD of control; indicated by the grey area) </w:t>
      </w:r>
      <w:proofErr w:type="gramStart"/>
      <w:r w:rsidR="00670906" w:rsidRPr="007F3C5D">
        <w:rPr>
          <w:rFonts w:ascii="Cambria" w:hAnsi="Cambria"/>
          <w:i w:val="0"/>
          <w:iCs w:val="0"/>
          <w:color w:val="000000" w:themeColor="text1"/>
          <w:sz w:val="16"/>
          <w:szCs w:val="16"/>
          <w:lang w:val="en-US"/>
        </w:rPr>
        <w:t>are considered to be</w:t>
      </w:r>
      <w:proofErr w:type="gramEnd"/>
      <w:r w:rsidR="00670906" w:rsidRPr="007F3C5D">
        <w:rPr>
          <w:rFonts w:ascii="Cambria" w:hAnsi="Cambria"/>
          <w:i w:val="0"/>
          <w:iCs w:val="0"/>
          <w:color w:val="000000" w:themeColor="text1"/>
          <w:sz w:val="16"/>
          <w:szCs w:val="16"/>
          <w:lang w:val="en-US"/>
        </w:rPr>
        <w:t xml:space="preserve"> of limited toxicological relevance. Significant effects were determined by Welch’s ANOVA and if exceeding 25% of control indicated </w:t>
      </w:r>
      <w:proofErr w:type="gramStart"/>
      <w:r w:rsidR="00670906" w:rsidRPr="007F3C5D">
        <w:rPr>
          <w:rFonts w:ascii="Cambria" w:hAnsi="Cambria"/>
          <w:i w:val="0"/>
          <w:iCs w:val="0"/>
          <w:color w:val="000000" w:themeColor="text1"/>
          <w:sz w:val="16"/>
          <w:szCs w:val="16"/>
          <w:lang w:val="en-US"/>
        </w:rPr>
        <w:t xml:space="preserve">by  </w:t>
      </w:r>
      <w:r w:rsidR="00670906" w:rsidRPr="007F3C5D">
        <w:rPr>
          <w:rFonts w:ascii="Cambria" w:hAnsi="Cambria"/>
          <w:i w:val="0"/>
          <w:iCs w:val="0"/>
          <w:color w:val="000000" w:themeColor="text1"/>
          <w:sz w:val="16"/>
          <w:szCs w:val="16"/>
          <w:vertAlign w:val="superscript"/>
          <w:lang w:val="en-US"/>
        </w:rPr>
        <w:t>a</w:t>
      </w:r>
      <w:proofErr w:type="gramEnd"/>
      <w:r w:rsidR="00670906" w:rsidRPr="007F3C5D">
        <w:rPr>
          <w:rFonts w:ascii="Cambria" w:hAnsi="Cambria"/>
          <w:i w:val="0"/>
          <w:iCs w:val="0"/>
          <w:color w:val="000000" w:themeColor="text1"/>
          <w:sz w:val="16"/>
          <w:szCs w:val="16"/>
          <w:lang w:val="en-US"/>
        </w:rPr>
        <w:t xml:space="preserve">=p &lt; 0.05 for 0.5 h exposure compared to time-matched control, </w:t>
      </w:r>
      <w:r w:rsidR="00670906" w:rsidRPr="007F3C5D">
        <w:rPr>
          <w:rFonts w:ascii="Cambria" w:hAnsi="Cambria"/>
          <w:i w:val="0"/>
          <w:iCs w:val="0"/>
          <w:color w:val="000000" w:themeColor="text1"/>
          <w:sz w:val="16"/>
          <w:szCs w:val="16"/>
          <w:vertAlign w:val="superscript"/>
          <w:lang w:val="en-US"/>
        </w:rPr>
        <w:t>b</w:t>
      </w:r>
      <w:r w:rsidR="00670906" w:rsidRPr="007F3C5D">
        <w:rPr>
          <w:rFonts w:ascii="Cambria" w:hAnsi="Cambria"/>
          <w:i w:val="0"/>
          <w:iCs w:val="0"/>
          <w:color w:val="000000" w:themeColor="text1"/>
          <w:sz w:val="16"/>
          <w:szCs w:val="16"/>
          <w:lang w:val="en-US"/>
        </w:rPr>
        <w:t xml:space="preserve">=p &lt; 0.05 for 24 h exposure compared to time-matched control, </w:t>
      </w:r>
      <w:r w:rsidR="00670906" w:rsidRPr="007F3C5D">
        <w:rPr>
          <w:rFonts w:ascii="Cambria" w:hAnsi="Cambria"/>
          <w:i w:val="0"/>
          <w:iCs w:val="0"/>
          <w:color w:val="000000" w:themeColor="text1"/>
          <w:sz w:val="16"/>
          <w:szCs w:val="16"/>
          <w:vertAlign w:val="superscript"/>
          <w:lang w:val="en-US"/>
        </w:rPr>
        <w:t>c</w:t>
      </w:r>
      <w:r w:rsidR="00670906" w:rsidRPr="007F3C5D">
        <w:rPr>
          <w:rFonts w:ascii="Cambria" w:hAnsi="Cambria"/>
          <w:i w:val="0"/>
          <w:iCs w:val="0"/>
          <w:color w:val="000000" w:themeColor="text1"/>
          <w:sz w:val="16"/>
          <w:szCs w:val="16"/>
          <w:lang w:val="en-US"/>
        </w:rPr>
        <w:t xml:space="preserve">=p &lt; 0.05 for 48 h exposure compared to time-matched control, </w:t>
      </w:r>
      <w:r w:rsidR="00670906" w:rsidRPr="007F3C5D">
        <w:rPr>
          <w:rFonts w:ascii="Cambria" w:hAnsi="Cambria"/>
          <w:i w:val="0"/>
          <w:iCs w:val="0"/>
          <w:color w:val="000000" w:themeColor="text1"/>
          <w:sz w:val="16"/>
          <w:szCs w:val="16"/>
          <w:vertAlign w:val="superscript"/>
          <w:lang w:val="en-US"/>
        </w:rPr>
        <w:t>d</w:t>
      </w:r>
      <w:r w:rsidR="00670906" w:rsidRPr="007F3C5D">
        <w:rPr>
          <w:rFonts w:ascii="Cambria" w:hAnsi="Cambria"/>
          <w:i w:val="0"/>
          <w:iCs w:val="0"/>
          <w:color w:val="000000" w:themeColor="text1"/>
          <w:sz w:val="16"/>
          <w:szCs w:val="16"/>
          <w:lang w:val="en-US"/>
        </w:rPr>
        <w:t>=p &lt; 0.05 for 120 h exposure compared to time-matched control.</w:t>
      </w:r>
    </w:p>
    <w:p w14:paraId="24B6591A" w14:textId="1788BA81" w:rsidR="006F4D48" w:rsidRPr="007F3C5D" w:rsidRDefault="006F4D48" w:rsidP="00A14895">
      <w:pPr>
        <w:ind w:firstLine="0"/>
      </w:pPr>
    </w:p>
    <w:p w14:paraId="5F05405B" w14:textId="4919AF5B" w:rsidR="00670906" w:rsidRPr="007F3C5D" w:rsidRDefault="006F4D48" w:rsidP="00A14895">
      <w:pPr>
        <w:ind w:firstLine="0"/>
        <w:rPr>
          <w:sz w:val="16"/>
          <w:szCs w:val="16"/>
        </w:rPr>
      </w:pPr>
      <w:r w:rsidRPr="007F3C5D">
        <w:rPr>
          <w:noProof/>
        </w:rPr>
        <w:lastRenderedPageBreak/>
        <mc:AlternateContent>
          <mc:Choice Requires="wps">
            <w:drawing>
              <wp:inline distT="0" distB="0" distL="0" distR="0" wp14:anchorId="624E665C" wp14:editId="1A5BFAFA">
                <wp:extent cx="5724000" cy="2106705"/>
                <wp:effectExtent l="0" t="0" r="16510" b="14605"/>
                <wp:docPr id="189" name="Text Box 189"/>
                <wp:cNvGraphicFramePr/>
                <a:graphic xmlns:a="http://schemas.openxmlformats.org/drawingml/2006/main">
                  <a:graphicData uri="http://schemas.microsoft.com/office/word/2010/wordprocessingShape">
                    <wps:wsp>
                      <wps:cNvSpPr txBox="1"/>
                      <wps:spPr>
                        <a:xfrm>
                          <a:off x="0" y="0"/>
                          <a:ext cx="5724000" cy="2106705"/>
                        </a:xfrm>
                        <a:prstGeom prst="rect">
                          <a:avLst/>
                        </a:prstGeom>
                        <a:noFill/>
                        <a:ln w="6350">
                          <a:solidFill>
                            <a:schemeClr val="tx1"/>
                          </a:solidFill>
                        </a:ln>
                      </wps:spPr>
                      <wps:txbx>
                        <w:txbxContent>
                          <w:p w14:paraId="62DF0C09" w14:textId="3A95D550" w:rsidR="006F4D48" w:rsidRPr="003172F0" w:rsidRDefault="006F4D48" w:rsidP="00CD4931">
                            <w:pPr>
                              <w:spacing w:after="0" w:line="240" w:lineRule="auto"/>
                              <w:ind w:firstLine="0"/>
                              <w:rPr>
                                <w:rFonts w:asciiTheme="minorHAnsi" w:hAnsiTheme="minorHAnsi" w:cstheme="minorHAnsi"/>
                                <w:b/>
                                <w:bCs/>
                                <w:noProof/>
                                <w:sz w:val="24"/>
                                <w:szCs w:val="24"/>
                              </w:rPr>
                            </w:pPr>
                            <w:r w:rsidRPr="003172F0">
                              <w:rPr>
                                <w:rFonts w:asciiTheme="minorHAnsi" w:hAnsiTheme="minorHAnsi" w:cstheme="minorHAnsi"/>
                                <w:b/>
                                <w:bCs/>
                                <w:noProof/>
                                <w:sz w:val="24"/>
                                <w:szCs w:val="24"/>
                              </w:rPr>
                              <w:t>A)</w:t>
                            </w:r>
                            <w:r w:rsidR="00AE4A9E">
                              <w:rPr>
                                <w:rFonts w:asciiTheme="minorHAnsi" w:hAnsiTheme="minorHAnsi" w:cstheme="minorHAnsi"/>
                                <w:b/>
                                <w:bCs/>
                                <w:noProof/>
                                <w:sz w:val="24"/>
                                <w:szCs w:val="24"/>
                              </w:rPr>
                              <w:t xml:space="preserve"> </w:t>
                            </w:r>
                            <w:r w:rsidRPr="003172F0">
                              <w:rPr>
                                <w:rFonts w:asciiTheme="minorHAnsi" w:hAnsiTheme="minorHAnsi" w:cstheme="minorHAnsi"/>
                                <w:b/>
                                <w:bCs/>
                                <w:noProof/>
                                <w:sz w:val="24"/>
                                <w:szCs w:val="24"/>
                              </w:rPr>
                              <w:t>EURO 2 engine exhaust-derived PM</w:t>
                            </w:r>
                            <w:r w:rsidRPr="003172F0">
                              <w:rPr>
                                <w:rFonts w:asciiTheme="minorHAnsi" w:hAnsiTheme="minorHAnsi" w:cstheme="minorHAnsi"/>
                                <w:b/>
                                <w:bCs/>
                                <w:noProof/>
                                <w:sz w:val="24"/>
                                <w:szCs w:val="24"/>
                              </w:rPr>
                              <w:tab/>
                              <w:t>B)</w:t>
                            </w:r>
                            <w:r w:rsidR="00AE4A9E">
                              <w:rPr>
                                <w:rFonts w:asciiTheme="minorHAnsi" w:hAnsiTheme="minorHAnsi" w:cstheme="minorHAnsi"/>
                                <w:b/>
                                <w:bCs/>
                                <w:noProof/>
                                <w:sz w:val="24"/>
                                <w:szCs w:val="24"/>
                              </w:rPr>
                              <w:t xml:space="preserve"> </w:t>
                            </w:r>
                            <w:r w:rsidRPr="003172F0">
                              <w:rPr>
                                <w:rFonts w:asciiTheme="minorHAnsi" w:hAnsiTheme="minorHAnsi" w:cstheme="minorHAnsi"/>
                                <w:b/>
                                <w:bCs/>
                                <w:noProof/>
                                <w:sz w:val="24"/>
                                <w:szCs w:val="24"/>
                              </w:rPr>
                              <w:t>EURO 6 engine exhaust-derived PM</w:t>
                            </w:r>
                          </w:p>
                          <w:p w14:paraId="21DDAD88" w14:textId="77777777" w:rsidR="006F4D48" w:rsidRDefault="006F4D48" w:rsidP="00CD4931">
                            <w:pPr>
                              <w:spacing w:after="0" w:line="240" w:lineRule="auto"/>
                              <w:ind w:firstLine="0"/>
                              <w:contextualSpacing/>
                              <w:rPr>
                                <w:rFonts w:asciiTheme="minorHAnsi" w:hAnsiTheme="minorHAnsi" w:cstheme="minorHAnsi"/>
                                <w:b/>
                                <w:bCs/>
                                <w:noProof/>
                                <w:sz w:val="28"/>
                                <w:szCs w:val="28"/>
                              </w:rPr>
                            </w:pPr>
                            <w:r w:rsidRPr="00BE6CE1">
                              <w:rPr>
                                <w:rFonts w:asciiTheme="minorHAnsi" w:hAnsiTheme="minorHAnsi" w:cstheme="minorHAnsi"/>
                                <w:b/>
                                <w:bCs/>
                                <w:noProof/>
                                <w:sz w:val="28"/>
                                <w:szCs w:val="28"/>
                              </w:rPr>
                              <w:drawing>
                                <wp:inline distT="0" distB="0" distL="0" distR="0" wp14:anchorId="35018578" wp14:editId="549CE2EE">
                                  <wp:extent cx="2672677" cy="1922053"/>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73">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r w:rsidRPr="00BE6CE1">
                              <w:rPr>
                                <w:rFonts w:asciiTheme="minorHAnsi" w:hAnsiTheme="minorHAnsi" w:cstheme="minorHAnsi"/>
                                <w:b/>
                                <w:bCs/>
                                <w:noProof/>
                                <w:sz w:val="28"/>
                                <w:szCs w:val="28"/>
                              </w:rPr>
                              <w:drawing>
                                <wp:inline distT="0" distB="0" distL="0" distR="0" wp14:anchorId="7F5FF85E" wp14:editId="11AAC6E1">
                                  <wp:extent cx="2672677" cy="1922053"/>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74">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624E665C" id="Text Box 189" o:spid="_x0000_s1033" type="#_x0000_t202" style="width:450.7pt;height:16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" filled="f" strokecolor="black [3213]" strokeweight=".5pt">
                <v:textbox inset="1mm,0,1mm,0">
                  <w:txbxContent>
                    <w:p w14:paraId="62DF0C09" w14:textId="3A95D550" w:rsidR="006F4D48" w:rsidRPr="003172F0" w:rsidRDefault="006F4D48" w:rsidP="00CD4931">
                      <w:pPr>
                        <w:spacing w:after="0" w:line="240" w:lineRule="auto"/>
                        <w:ind w:firstLine="0"/>
                        <w:rPr>
                          <w:rFonts w:asciiTheme="minorHAnsi" w:hAnsiTheme="minorHAnsi" w:cstheme="minorHAnsi"/>
                          <w:b/>
                          <w:bCs/>
                          <w:noProof/>
                          <w:sz w:val="24"/>
                          <w:szCs w:val="24"/>
                        </w:rPr>
                      </w:pPr>
                      <w:r w:rsidRPr="003172F0">
                        <w:rPr>
                          <w:rFonts w:asciiTheme="minorHAnsi" w:hAnsiTheme="minorHAnsi" w:cstheme="minorHAnsi"/>
                          <w:b/>
                          <w:bCs/>
                          <w:noProof/>
                          <w:sz w:val="24"/>
                          <w:szCs w:val="24"/>
                        </w:rPr>
                        <w:t>A)</w:t>
                      </w:r>
                      <w:r w:rsidR="00AE4A9E">
                        <w:rPr>
                          <w:rFonts w:asciiTheme="minorHAnsi" w:hAnsiTheme="minorHAnsi" w:cstheme="minorHAnsi"/>
                          <w:b/>
                          <w:bCs/>
                          <w:noProof/>
                          <w:sz w:val="24"/>
                          <w:szCs w:val="24"/>
                        </w:rPr>
                        <w:t xml:space="preserve"> </w:t>
                      </w:r>
                      <w:r w:rsidRPr="003172F0">
                        <w:rPr>
                          <w:rFonts w:asciiTheme="minorHAnsi" w:hAnsiTheme="minorHAnsi" w:cstheme="minorHAnsi"/>
                          <w:b/>
                          <w:bCs/>
                          <w:noProof/>
                          <w:sz w:val="24"/>
                          <w:szCs w:val="24"/>
                        </w:rPr>
                        <w:t>EURO 2 engine exhaust-derived PM</w:t>
                      </w:r>
                      <w:r w:rsidRPr="003172F0">
                        <w:rPr>
                          <w:rFonts w:asciiTheme="minorHAnsi" w:hAnsiTheme="minorHAnsi" w:cstheme="minorHAnsi"/>
                          <w:b/>
                          <w:bCs/>
                          <w:noProof/>
                          <w:sz w:val="24"/>
                          <w:szCs w:val="24"/>
                        </w:rPr>
                        <w:tab/>
                        <w:t>B)</w:t>
                      </w:r>
                      <w:r w:rsidR="00AE4A9E">
                        <w:rPr>
                          <w:rFonts w:asciiTheme="minorHAnsi" w:hAnsiTheme="minorHAnsi" w:cstheme="minorHAnsi"/>
                          <w:b/>
                          <w:bCs/>
                          <w:noProof/>
                          <w:sz w:val="24"/>
                          <w:szCs w:val="24"/>
                        </w:rPr>
                        <w:t xml:space="preserve"> </w:t>
                      </w:r>
                      <w:r w:rsidRPr="003172F0">
                        <w:rPr>
                          <w:rFonts w:asciiTheme="minorHAnsi" w:hAnsiTheme="minorHAnsi" w:cstheme="minorHAnsi"/>
                          <w:b/>
                          <w:bCs/>
                          <w:noProof/>
                          <w:sz w:val="24"/>
                          <w:szCs w:val="24"/>
                        </w:rPr>
                        <w:t>EURO 6 engine exhaust-derived PM</w:t>
                      </w:r>
                    </w:p>
                    <w:p w14:paraId="21DDAD88" w14:textId="77777777" w:rsidR="006F4D48" w:rsidRDefault="006F4D48" w:rsidP="00CD4931">
                      <w:pPr>
                        <w:spacing w:after="0" w:line="240" w:lineRule="auto"/>
                        <w:ind w:firstLine="0"/>
                        <w:contextualSpacing/>
                        <w:rPr>
                          <w:rFonts w:asciiTheme="minorHAnsi" w:hAnsiTheme="minorHAnsi" w:cstheme="minorHAnsi"/>
                          <w:b/>
                          <w:bCs/>
                          <w:noProof/>
                          <w:sz w:val="28"/>
                          <w:szCs w:val="28"/>
                        </w:rPr>
                      </w:pPr>
                      <w:r w:rsidRPr="00BE6CE1">
                        <w:rPr>
                          <w:rFonts w:asciiTheme="minorHAnsi" w:hAnsiTheme="minorHAnsi" w:cstheme="minorHAnsi"/>
                          <w:b/>
                          <w:bCs/>
                          <w:noProof/>
                          <w:sz w:val="28"/>
                          <w:szCs w:val="28"/>
                        </w:rPr>
                        <w:drawing>
                          <wp:inline distT="0" distB="0" distL="0" distR="0" wp14:anchorId="35018578" wp14:editId="549CE2EE">
                            <wp:extent cx="2672677" cy="1922053"/>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75">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r w:rsidRPr="00BE6CE1">
                        <w:rPr>
                          <w:rFonts w:asciiTheme="minorHAnsi" w:hAnsiTheme="minorHAnsi" w:cstheme="minorHAnsi"/>
                          <w:b/>
                          <w:bCs/>
                          <w:noProof/>
                          <w:sz w:val="28"/>
                          <w:szCs w:val="28"/>
                        </w:rPr>
                        <w:drawing>
                          <wp:inline distT="0" distB="0" distL="0" distR="0" wp14:anchorId="7F5FF85E" wp14:editId="11AAC6E1">
                            <wp:extent cx="2672677" cy="1922053"/>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76">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p>
                  </w:txbxContent>
                </v:textbox>
                <w10:anchorlock/>
              </v:shape>
            </w:pict>
          </mc:Fallback>
        </mc:AlternateContent>
      </w:r>
      <w:r w:rsidR="00670906" w:rsidRPr="007F3C5D">
        <w:rPr>
          <w:b/>
          <w:bCs/>
          <w:sz w:val="16"/>
          <w:szCs w:val="16"/>
        </w:rPr>
        <w:t xml:space="preserve">Figure </w:t>
      </w:r>
      <w:r w:rsidR="005F6099" w:rsidRPr="007F3C5D">
        <w:rPr>
          <w:b/>
          <w:bCs/>
          <w:sz w:val="16"/>
          <w:szCs w:val="16"/>
        </w:rPr>
        <w:t>9</w:t>
      </w:r>
      <w:r w:rsidR="00670906" w:rsidRPr="007F3C5D">
        <w:rPr>
          <w:b/>
          <w:bCs/>
          <w:sz w:val="16"/>
          <w:szCs w:val="16"/>
        </w:rPr>
        <w:t xml:space="preserve">: Effect of EURO 2 engine exhaust-derived PM (A) and EURO 6 engine exhaust-derived PM (B) on metabolic activity of rat primary cortical </w:t>
      </w:r>
      <w:r w:rsidR="0011236D" w:rsidRPr="007F3C5D">
        <w:rPr>
          <w:b/>
          <w:bCs/>
          <w:sz w:val="16"/>
          <w:szCs w:val="16"/>
        </w:rPr>
        <w:t xml:space="preserve">cultures </w:t>
      </w:r>
      <w:r w:rsidR="00670906" w:rsidRPr="007F3C5D">
        <w:rPr>
          <w:b/>
          <w:bCs/>
          <w:sz w:val="16"/>
          <w:szCs w:val="16"/>
        </w:rPr>
        <w:t>after 120 h exposure</w:t>
      </w:r>
      <w:r w:rsidR="00670906" w:rsidRPr="007F3C5D">
        <w:rPr>
          <w:sz w:val="16"/>
          <w:szCs w:val="16"/>
        </w:rPr>
        <w:t xml:space="preserve">. </w:t>
      </w:r>
      <w:r w:rsidR="00670906" w:rsidRPr="007F3C5D">
        <w:rPr>
          <w:color w:val="000000" w:themeColor="text1"/>
          <w:sz w:val="16"/>
          <w:szCs w:val="16"/>
        </w:rPr>
        <w:t xml:space="preserve">Cell viability data is presented as mean (± SD) normalized to control from n = 21 - 23 wells, N = 3. </w:t>
      </w:r>
      <w:r w:rsidR="00670906" w:rsidRPr="007F3C5D">
        <w:rPr>
          <w:sz w:val="16"/>
          <w:szCs w:val="16"/>
        </w:rPr>
        <w:t>Effects ≤ 10% are of limited toxicological relevance and indicated by the grey area. Significant effects were determined by ordinary one-way ANOVA. *=p &lt; 0.05 compared to control and exceeding 10%.</w:t>
      </w:r>
      <w:bookmarkStart w:id="48" w:name="_Toc91775075"/>
    </w:p>
    <w:p w14:paraId="456271F6" w14:textId="1673461C" w:rsidR="006F4D48" w:rsidRPr="007F3C5D" w:rsidRDefault="007D1101" w:rsidP="00A14895">
      <w:pPr>
        <w:pStyle w:val="Heading2"/>
      </w:pPr>
      <w:bookmarkStart w:id="49" w:name="_Toc100781391"/>
      <w:bookmarkStart w:id="50" w:name="_Toc101374937"/>
      <w:r w:rsidRPr="007F3C5D">
        <w:t>Non-volatile</w:t>
      </w:r>
      <w:r w:rsidR="006F4D48" w:rsidRPr="007F3C5D">
        <w:t xml:space="preserve"> A0 and A20 show no consistent effect on neuronal (network) activity</w:t>
      </w:r>
      <w:bookmarkEnd w:id="48"/>
      <w:bookmarkEnd w:id="49"/>
      <w:bookmarkEnd w:id="50"/>
    </w:p>
    <w:p w14:paraId="3E0C6C26" w14:textId="5808D6E2" w:rsidR="00CD4931" w:rsidRPr="007F3C5D" w:rsidRDefault="007D1101" w:rsidP="00A14895">
      <w:r w:rsidRPr="007F3C5D">
        <w:t>Non-volatile</w:t>
      </w:r>
      <w:r w:rsidR="006F4D48" w:rsidRPr="007F3C5D">
        <w:t xml:space="preserve"> </w:t>
      </w:r>
      <w:r w:rsidRPr="007F3C5D">
        <w:t xml:space="preserve">UFP from </w:t>
      </w:r>
      <w:r w:rsidR="006F4D48" w:rsidRPr="007F3C5D">
        <w:t>A0</w:t>
      </w:r>
      <w:r w:rsidRPr="007F3C5D">
        <w:t>-fuel</w:t>
      </w:r>
      <w:r w:rsidR="006F4D48" w:rsidRPr="007F3C5D">
        <w:t xml:space="preserve"> reduced the MBR acute after 0.5</w:t>
      </w:r>
      <w:r w:rsidR="00670906" w:rsidRPr="007F3C5D">
        <w:t> h</w:t>
      </w:r>
      <w:r w:rsidR="006F4D48" w:rsidRPr="007F3C5D">
        <w:t xml:space="preserve"> and the MSR after 24</w:t>
      </w:r>
      <w:r w:rsidR="00670906" w:rsidRPr="007F3C5D">
        <w:t> </w:t>
      </w:r>
      <w:r w:rsidR="006F4D48" w:rsidRPr="007F3C5D">
        <w:t>h and 48</w:t>
      </w:r>
      <w:r w:rsidR="00670906" w:rsidRPr="007F3C5D">
        <w:t> </w:t>
      </w:r>
      <w:r w:rsidR="006F4D48" w:rsidRPr="007F3C5D">
        <w:t>h after exposure to 100</w:t>
      </w:r>
      <w:r w:rsidR="00376EA3" w:rsidRPr="007F3C5D">
        <w:t> </w:t>
      </w:r>
      <w:r w:rsidR="006F4D48" w:rsidRPr="007F3C5D">
        <w:t>µg/mL, but no consistent effect is visible for the MNBR, or after 120</w:t>
      </w:r>
      <w:r w:rsidR="00376EA3" w:rsidRPr="007F3C5D">
        <w:t> </w:t>
      </w:r>
      <w:r w:rsidR="006F4D48" w:rsidRPr="007F3C5D">
        <w:t xml:space="preserve">h of exposure (fig. </w:t>
      </w:r>
      <w:r w:rsidR="005F6099" w:rsidRPr="007F3C5D">
        <w:t>10</w:t>
      </w:r>
      <w:r w:rsidR="006F4D48" w:rsidRPr="007F3C5D">
        <w:t>A). As the effect on the MSR and MBR are not persistent, it is of limited toxicological relevance. Acute and prolonged exposure to 100</w:t>
      </w:r>
      <w:r w:rsidR="00376EA3" w:rsidRPr="007F3C5D">
        <w:t> </w:t>
      </w:r>
      <w:r w:rsidR="006F4D48" w:rsidRPr="007F3C5D">
        <w:t xml:space="preserve">µg/mL </w:t>
      </w:r>
      <w:r w:rsidRPr="007F3C5D">
        <w:t xml:space="preserve">Non-volatile UFP from </w:t>
      </w:r>
      <w:r w:rsidR="006F4D48" w:rsidRPr="007F3C5D">
        <w:t>A20</w:t>
      </w:r>
      <w:r w:rsidRPr="007F3C5D">
        <w:t>-fuel</w:t>
      </w:r>
      <w:r w:rsidR="006F4D48" w:rsidRPr="007F3C5D">
        <w:t xml:space="preserve"> resulted in a modest reduction of the MSR to 68.5% (p</w:t>
      </w:r>
      <w:r w:rsidR="00376EA3" w:rsidRPr="007F3C5D">
        <w:t> </w:t>
      </w:r>
      <w:proofErr w:type="gramStart"/>
      <w:r w:rsidR="00376EA3" w:rsidRPr="007F3C5D">
        <w:t>= </w:t>
      </w:r>
      <w:r w:rsidR="006F4D48" w:rsidRPr="007F3C5D">
        <w:t xml:space="preserve"> &lt;</w:t>
      </w:r>
      <w:proofErr w:type="gramEnd"/>
      <w:r w:rsidR="006F4D48" w:rsidRPr="007F3C5D">
        <w:t>0.0001) and 58.7% (</w:t>
      </w:r>
      <w:r w:rsidR="00376EA3" w:rsidRPr="007F3C5D">
        <w:t>p = </w:t>
      </w:r>
      <w:r w:rsidR="006F4D48" w:rsidRPr="007F3C5D">
        <w:t xml:space="preserve"> 0.0008) for 0.5</w:t>
      </w:r>
      <w:r w:rsidR="00376EA3" w:rsidRPr="007F3C5D">
        <w:t> </w:t>
      </w:r>
      <w:r w:rsidR="006F4D48" w:rsidRPr="007F3C5D">
        <w:t>h and 120</w:t>
      </w:r>
      <w:r w:rsidR="00376EA3" w:rsidRPr="007F3C5D">
        <w:t> </w:t>
      </w:r>
      <w:r w:rsidR="006F4D48" w:rsidRPr="007F3C5D">
        <w:t>h exposure, but no change in neuronal activity were detected for lower concentration or other parameters</w:t>
      </w:r>
      <w:r w:rsidR="005F6099" w:rsidRPr="007F3C5D">
        <w:t xml:space="preserve"> (fig. 10B)</w:t>
      </w:r>
      <w:r w:rsidR="006F4D48" w:rsidRPr="007F3C5D">
        <w:t xml:space="preserve">. Subsequent Alamar Blue assay indicated that cell viability is not affected </w:t>
      </w:r>
      <w:proofErr w:type="spellStart"/>
      <w:r w:rsidR="006F4D48" w:rsidRPr="007F3C5D">
        <w:t>consistenly</w:t>
      </w:r>
      <w:proofErr w:type="spellEnd"/>
      <w:r w:rsidR="006F4D48" w:rsidRPr="007F3C5D">
        <w:t xml:space="preserve"> by </w:t>
      </w:r>
      <w:r w:rsidRPr="007F3C5D">
        <w:t>non-volatile</w:t>
      </w:r>
      <w:r w:rsidR="006F4D48" w:rsidRPr="007F3C5D">
        <w:t xml:space="preserve"> A0 and </w:t>
      </w:r>
      <w:r w:rsidRPr="007F3C5D">
        <w:t>non-volatile</w:t>
      </w:r>
      <w:r w:rsidR="006F4D48" w:rsidRPr="007F3C5D">
        <w:t xml:space="preserve"> A20 (fig. </w:t>
      </w:r>
      <w:r w:rsidR="005F6099" w:rsidRPr="007F3C5D">
        <w:t>11</w:t>
      </w:r>
      <w:r w:rsidR="006F4D48" w:rsidRPr="007F3C5D">
        <w:t>).</w:t>
      </w:r>
    </w:p>
    <w:p w14:paraId="1F3FE274" w14:textId="66287D95" w:rsidR="00670906" w:rsidRPr="007F3C5D" w:rsidRDefault="006F4D48" w:rsidP="00A14895">
      <w:pPr>
        <w:pStyle w:val="Caption"/>
        <w:spacing w:after="0" w:line="276" w:lineRule="auto"/>
        <w:rPr>
          <w:rFonts w:ascii="Cambria" w:hAnsi="Cambria"/>
          <w:i w:val="0"/>
          <w:iCs w:val="0"/>
          <w:color w:val="auto"/>
          <w:sz w:val="16"/>
          <w:szCs w:val="16"/>
          <w:lang w:val="en-US"/>
        </w:rPr>
      </w:pPr>
      <w:r w:rsidRPr="007F3C5D">
        <w:rPr>
          <w:rFonts w:ascii="Cambria" w:hAnsi="Cambria"/>
          <w:noProof/>
          <w:lang w:val="en-US"/>
        </w:rPr>
        <w:lastRenderedPageBreak/>
        <mc:AlternateContent>
          <mc:Choice Requires="wps">
            <w:drawing>
              <wp:inline distT="0" distB="0" distL="0" distR="0" wp14:anchorId="12B84A2E" wp14:editId="6EFA9C02">
                <wp:extent cx="5724000" cy="6200044"/>
                <wp:effectExtent l="0" t="0" r="16510" b="10795"/>
                <wp:docPr id="199" name="Text Box 199"/>
                <wp:cNvGraphicFramePr/>
                <a:graphic xmlns:a="http://schemas.openxmlformats.org/drawingml/2006/main">
                  <a:graphicData uri="http://schemas.microsoft.com/office/word/2010/wordprocessingShape">
                    <wps:wsp>
                      <wps:cNvSpPr txBox="1"/>
                      <wps:spPr>
                        <a:xfrm>
                          <a:off x="0" y="0"/>
                          <a:ext cx="5724000" cy="6200044"/>
                        </a:xfrm>
                        <a:prstGeom prst="rect">
                          <a:avLst/>
                        </a:prstGeom>
                        <a:noFill/>
                        <a:ln w="6350">
                          <a:solidFill>
                            <a:schemeClr val="tx1"/>
                          </a:solidFill>
                        </a:ln>
                      </wps:spPr>
                      <wps:txbx>
                        <w:txbxContent>
                          <w:p w14:paraId="5B3180B0" w14:textId="77777777" w:rsidR="006F4D48" w:rsidRDefault="006F4D48" w:rsidP="00EE6B5C">
                            <w:pPr>
                              <w:spacing w:after="0" w:line="240" w:lineRule="auto"/>
                              <w:ind w:firstLine="0"/>
                              <w:rPr>
                                <w:noProof/>
                              </w:rPr>
                            </w:pPr>
                            <w:r w:rsidRPr="00AE6573">
                              <w:rPr>
                                <w:noProof/>
                              </w:rPr>
                              <w:drawing>
                                <wp:inline distT="0" distB="0" distL="0" distR="0" wp14:anchorId="7DDD455F" wp14:editId="2CBB5A61">
                                  <wp:extent cx="5482590" cy="185195"/>
                                  <wp:effectExtent l="0" t="0" r="0" b="571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95534"/>
                                          <a:stretch/>
                                        </pic:blipFill>
                                        <pic:spPr bwMode="auto">
                                          <a:xfrm>
                                            <a:off x="0" y="0"/>
                                            <a:ext cx="5482590" cy="185195"/>
                                          </a:xfrm>
                                          <a:prstGeom prst="rect">
                                            <a:avLst/>
                                          </a:prstGeom>
                                          <a:ln>
                                            <a:noFill/>
                                          </a:ln>
                                          <a:extLst>
                                            <a:ext uri="{53640926-AAD7-44D8-BBD7-CCE9431645EC}">
                                              <a14:shadowObscured xmlns:a14="http://schemas.microsoft.com/office/drawing/2010/main"/>
                                            </a:ext>
                                          </a:extLst>
                                        </pic:spPr>
                                      </pic:pic>
                                    </a:graphicData>
                                  </a:graphic>
                                </wp:inline>
                              </w:drawing>
                            </w:r>
                          </w:p>
                          <w:p w14:paraId="1522CD7C" w14:textId="55316BFA" w:rsidR="006F4D48" w:rsidRPr="00C03225" w:rsidRDefault="006F4D48" w:rsidP="00CD4931">
                            <w:pPr>
                              <w:spacing w:after="0" w:line="240" w:lineRule="auto"/>
                              <w:ind w:firstLine="0"/>
                              <w:rPr>
                                <w:rFonts w:asciiTheme="minorHAnsi" w:hAnsiTheme="minorHAnsi" w:cstheme="minorHAnsi"/>
                                <w:b/>
                                <w:bCs/>
                                <w:noProof/>
                                <w:sz w:val="24"/>
                                <w:szCs w:val="24"/>
                              </w:rPr>
                            </w:pPr>
                            <w:r w:rsidRPr="00C03225">
                              <w:rPr>
                                <w:rFonts w:asciiTheme="minorHAnsi" w:hAnsiTheme="minorHAnsi" w:cstheme="minorHAnsi"/>
                                <w:b/>
                                <w:bCs/>
                                <w:noProof/>
                                <w:sz w:val="24"/>
                                <w:szCs w:val="24"/>
                              </w:rPr>
                              <w:t>A)</w:t>
                            </w:r>
                            <w:r w:rsidR="00AE4A9E" w:rsidRPr="00C03225">
                              <w:rPr>
                                <w:rFonts w:asciiTheme="minorHAnsi" w:hAnsiTheme="minorHAnsi" w:cstheme="minorHAnsi"/>
                                <w:b/>
                                <w:bCs/>
                                <w:noProof/>
                                <w:sz w:val="24"/>
                                <w:szCs w:val="24"/>
                              </w:rPr>
                              <w:t xml:space="preserve"> </w:t>
                            </w:r>
                            <w:r w:rsidR="007D1101" w:rsidRPr="00C03225">
                              <w:rPr>
                                <w:rFonts w:asciiTheme="minorHAnsi" w:hAnsiTheme="minorHAnsi" w:cstheme="minorHAnsi"/>
                                <w:b/>
                                <w:bCs/>
                                <w:noProof/>
                                <w:sz w:val="24"/>
                                <w:szCs w:val="24"/>
                              </w:rPr>
                              <w:t>Non-volatile</w:t>
                            </w:r>
                            <w:r w:rsidRPr="00C03225">
                              <w:rPr>
                                <w:rFonts w:asciiTheme="minorHAnsi" w:hAnsiTheme="minorHAnsi" w:cstheme="minorHAnsi"/>
                                <w:b/>
                                <w:bCs/>
                                <w:noProof/>
                                <w:sz w:val="24"/>
                                <w:szCs w:val="24"/>
                              </w:rPr>
                              <w:t xml:space="preserve"> A0</w:t>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t>B)</w:t>
                            </w:r>
                            <w:r w:rsidR="00AE4A9E" w:rsidRPr="00C03225">
                              <w:rPr>
                                <w:rFonts w:asciiTheme="minorHAnsi" w:hAnsiTheme="minorHAnsi" w:cstheme="minorHAnsi"/>
                                <w:b/>
                                <w:bCs/>
                                <w:noProof/>
                                <w:sz w:val="24"/>
                                <w:szCs w:val="24"/>
                              </w:rPr>
                              <w:t xml:space="preserve"> </w:t>
                            </w:r>
                            <w:r w:rsidR="007D1101" w:rsidRPr="00C03225">
                              <w:rPr>
                                <w:rFonts w:asciiTheme="minorHAnsi" w:hAnsiTheme="minorHAnsi" w:cstheme="minorHAnsi"/>
                                <w:b/>
                                <w:bCs/>
                                <w:noProof/>
                                <w:sz w:val="24"/>
                                <w:szCs w:val="24"/>
                              </w:rPr>
                              <w:t xml:space="preserve">Non-volatile </w:t>
                            </w:r>
                            <w:r w:rsidRPr="00C03225">
                              <w:rPr>
                                <w:rFonts w:asciiTheme="minorHAnsi" w:hAnsiTheme="minorHAnsi" w:cstheme="minorHAnsi"/>
                                <w:b/>
                                <w:bCs/>
                                <w:noProof/>
                                <w:sz w:val="24"/>
                                <w:szCs w:val="24"/>
                              </w:rPr>
                              <w:t>A20</w:t>
                            </w:r>
                          </w:p>
                          <w:p w14:paraId="7331D6F3" w14:textId="74C42B9A" w:rsidR="006F4D48" w:rsidRDefault="006F4D48" w:rsidP="00CD4931">
                            <w:pPr>
                              <w:spacing w:after="0" w:line="240" w:lineRule="auto"/>
                              <w:ind w:firstLine="0"/>
                              <w:rPr>
                                <w:noProof/>
                              </w:rPr>
                            </w:pPr>
                            <w:r w:rsidRPr="00C242FC">
                              <w:rPr>
                                <w:noProof/>
                              </w:rPr>
                              <w:drawing>
                                <wp:inline distT="0" distB="0" distL="0" distR="0" wp14:anchorId="2A87014C" wp14:editId="2DD63FE2">
                                  <wp:extent cx="2716445" cy="1933741"/>
                                  <wp:effectExtent l="0" t="0" r="1905"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77">
                                            <a:extLst>
                                              <a:ext uri="{28A0092B-C50C-407E-A947-70E740481C1C}">
                                                <a14:useLocalDpi xmlns:a14="http://schemas.microsoft.com/office/drawing/2010/main" val="0"/>
                                              </a:ext>
                                            </a:extLst>
                                          </a:blip>
                                          <a:stretch>
                                            <a:fillRect/>
                                          </a:stretch>
                                        </pic:blipFill>
                                        <pic:spPr>
                                          <a:xfrm>
                                            <a:off x="0" y="0"/>
                                            <a:ext cx="2716445" cy="1933741"/>
                                          </a:xfrm>
                                          <a:prstGeom prst="rect">
                                            <a:avLst/>
                                          </a:prstGeom>
                                        </pic:spPr>
                                      </pic:pic>
                                    </a:graphicData>
                                  </a:graphic>
                                </wp:inline>
                              </w:drawing>
                            </w:r>
                            <w:r w:rsidRPr="00C242FC">
                              <w:rPr>
                                <w:rFonts w:asciiTheme="minorHAnsi" w:hAnsiTheme="minorHAnsi" w:cstheme="minorHAnsi"/>
                                <w:b/>
                                <w:bCs/>
                                <w:noProof/>
                                <w:sz w:val="28"/>
                                <w:szCs w:val="28"/>
                              </w:rPr>
                              <w:drawing>
                                <wp:inline distT="0" distB="0" distL="0" distR="0" wp14:anchorId="59C2AA71" wp14:editId="6A5D0DA4">
                                  <wp:extent cx="2716447" cy="1933742"/>
                                  <wp:effectExtent l="0" t="0" r="1905"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78">
                                            <a:extLst>
                                              <a:ext uri="{28A0092B-C50C-407E-A947-70E740481C1C}">
                                                <a14:useLocalDpi xmlns:a14="http://schemas.microsoft.com/office/drawing/2010/main" val="0"/>
                                              </a:ext>
                                            </a:extLst>
                                          </a:blip>
                                          <a:stretch>
                                            <a:fillRect/>
                                          </a:stretch>
                                        </pic:blipFill>
                                        <pic:spPr>
                                          <a:xfrm>
                                            <a:off x="0" y="0"/>
                                            <a:ext cx="2716447" cy="1933742"/>
                                          </a:xfrm>
                                          <a:prstGeom prst="rect">
                                            <a:avLst/>
                                          </a:prstGeom>
                                        </pic:spPr>
                                      </pic:pic>
                                    </a:graphicData>
                                  </a:graphic>
                                </wp:inline>
                              </w:drawing>
                            </w:r>
                          </w:p>
                          <w:p w14:paraId="5A101E5D" w14:textId="77777777" w:rsidR="006F4D48" w:rsidRDefault="006F4D48" w:rsidP="00CD4931">
                            <w:pPr>
                              <w:spacing w:after="0" w:line="240" w:lineRule="auto"/>
                              <w:ind w:firstLine="0"/>
                              <w:rPr>
                                <w:rFonts w:asciiTheme="minorHAnsi" w:hAnsiTheme="minorHAnsi" w:cstheme="minorHAnsi"/>
                                <w:b/>
                                <w:bCs/>
                                <w:noProof/>
                                <w:sz w:val="28"/>
                                <w:szCs w:val="28"/>
                              </w:rPr>
                            </w:pPr>
                            <w:r w:rsidRPr="00C242FC">
                              <w:rPr>
                                <w:noProof/>
                              </w:rPr>
                              <w:drawing>
                                <wp:inline distT="0" distB="0" distL="0" distR="0" wp14:anchorId="68B9769C" wp14:editId="7E93C798">
                                  <wp:extent cx="2726854" cy="1941151"/>
                                  <wp:effectExtent l="0" t="0" r="3810" b="254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79">
                                            <a:extLst>
                                              <a:ext uri="{28A0092B-C50C-407E-A947-70E740481C1C}">
                                                <a14:useLocalDpi xmlns:a14="http://schemas.microsoft.com/office/drawing/2010/main" val="0"/>
                                              </a:ext>
                                            </a:extLst>
                                          </a:blip>
                                          <a:stretch>
                                            <a:fillRect/>
                                          </a:stretch>
                                        </pic:blipFill>
                                        <pic:spPr>
                                          <a:xfrm>
                                            <a:off x="0" y="0"/>
                                            <a:ext cx="2726854" cy="1941151"/>
                                          </a:xfrm>
                                          <a:prstGeom prst="rect">
                                            <a:avLst/>
                                          </a:prstGeom>
                                        </pic:spPr>
                                      </pic:pic>
                                    </a:graphicData>
                                  </a:graphic>
                                </wp:inline>
                              </w:drawing>
                            </w:r>
                            <w:r w:rsidRPr="00C242FC">
                              <w:rPr>
                                <w:noProof/>
                              </w:rPr>
                              <w:drawing>
                                <wp:inline distT="0" distB="0" distL="0" distR="0" wp14:anchorId="0A222E6D" wp14:editId="3932AFFA">
                                  <wp:extent cx="2726854" cy="1941151"/>
                                  <wp:effectExtent l="0" t="0" r="3810" b="254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80">
                                            <a:extLst>
                                              <a:ext uri="{28A0092B-C50C-407E-A947-70E740481C1C}">
                                                <a14:useLocalDpi xmlns:a14="http://schemas.microsoft.com/office/drawing/2010/main" val="0"/>
                                              </a:ext>
                                            </a:extLst>
                                          </a:blip>
                                          <a:stretch>
                                            <a:fillRect/>
                                          </a:stretch>
                                        </pic:blipFill>
                                        <pic:spPr>
                                          <a:xfrm>
                                            <a:off x="0" y="0"/>
                                            <a:ext cx="2726854" cy="1941151"/>
                                          </a:xfrm>
                                          <a:prstGeom prst="rect">
                                            <a:avLst/>
                                          </a:prstGeom>
                                        </pic:spPr>
                                      </pic:pic>
                                    </a:graphicData>
                                  </a:graphic>
                                </wp:inline>
                              </w:drawing>
                            </w:r>
                          </w:p>
                          <w:p w14:paraId="3769B9D1" w14:textId="77777777" w:rsidR="006F4D48" w:rsidRDefault="006F4D48" w:rsidP="00CD4931">
                            <w:pPr>
                              <w:spacing w:after="0" w:line="240" w:lineRule="auto"/>
                              <w:ind w:firstLine="0"/>
                              <w:rPr>
                                <w:rFonts w:asciiTheme="minorHAnsi" w:hAnsiTheme="minorHAnsi" w:cstheme="minorHAnsi"/>
                                <w:b/>
                                <w:bCs/>
                                <w:noProof/>
                                <w:sz w:val="28"/>
                                <w:szCs w:val="28"/>
                              </w:rPr>
                            </w:pPr>
                            <w:r w:rsidRPr="00C242FC">
                              <w:rPr>
                                <w:rFonts w:asciiTheme="minorHAnsi" w:hAnsiTheme="minorHAnsi" w:cstheme="minorHAnsi"/>
                                <w:b/>
                                <w:bCs/>
                                <w:noProof/>
                                <w:sz w:val="28"/>
                                <w:szCs w:val="28"/>
                              </w:rPr>
                              <w:drawing>
                                <wp:inline distT="0" distB="0" distL="0" distR="0" wp14:anchorId="46EEEB60" wp14:editId="3B09E311">
                                  <wp:extent cx="2743183" cy="1941151"/>
                                  <wp:effectExtent l="0" t="0" r="635" b="254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81">
                                            <a:extLst>
                                              <a:ext uri="{28A0092B-C50C-407E-A947-70E740481C1C}">
                                                <a14:useLocalDpi xmlns:a14="http://schemas.microsoft.com/office/drawing/2010/main" val="0"/>
                                              </a:ext>
                                            </a:extLst>
                                          </a:blip>
                                          <a:stretch>
                                            <a:fillRect/>
                                          </a:stretch>
                                        </pic:blipFill>
                                        <pic:spPr>
                                          <a:xfrm>
                                            <a:off x="0" y="0"/>
                                            <a:ext cx="2743183" cy="1941151"/>
                                          </a:xfrm>
                                          <a:prstGeom prst="rect">
                                            <a:avLst/>
                                          </a:prstGeom>
                                        </pic:spPr>
                                      </pic:pic>
                                    </a:graphicData>
                                  </a:graphic>
                                </wp:inline>
                              </w:drawing>
                            </w:r>
                            <w:r w:rsidRPr="00C242FC">
                              <w:rPr>
                                <w:noProof/>
                              </w:rPr>
                              <w:drawing>
                                <wp:inline distT="0" distB="0" distL="0" distR="0" wp14:anchorId="69F9226B" wp14:editId="5A1752B2">
                                  <wp:extent cx="2743183" cy="1941151"/>
                                  <wp:effectExtent l="0" t="0" r="635" b="254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82">
                                            <a:extLst>
                                              <a:ext uri="{28A0092B-C50C-407E-A947-70E740481C1C}">
                                                <a14:useLocalDpi xmlns:a14="http://schemas.microsoft.com/office/drawing/2010/main" val="0"/>
                                              </a:ext>
                                            </a:extLst>
                                          </a:blip>
                                          <a:stretch>
                                            <a:fillRect/>
                                          </a:stretch>
                                        </pic:blipFill>
                                        <pic:spPr>
                                          <a:xfrm>
                                            <a:off x="0" y="0"/>
                                            <a:ext cx="2743183" cy="1941151"/>
                                          </a:xfrm>
                                          <a:prstGeom prst="rect">
                                            <a:avLst/>
                                          </a:prstGeom>
                                        </pic:spPr>
                                      </pic:pic>
                                    </a:graphicData>
                                  </a:graphic>
                                </wp:inline>
                              </w:drawing>
                            </w:r>
                          </w:p>
                          <w:p w14:paraId="1C40D2A2" w14:textId="77777777" w:rsidR="006F4D48" w:rsidRPr="00F8558C" w:rsidRDefault="006F4D48" w:rsidP="006F4D48">
                            <w:pPr>
                              <w:pStyle w:val="Caption"/>
                              <w:spacing w:after="0" w:line="276" w:lineRule="auto"/>
                              <w:rPr>
                                <w:rFonts w:ascii="Cambria" w:hAnsi="Cambria"/>
                                <w:i w:val="0"/>
                                <w:iCs w:val="0"/>
                                <w:color w:val="auto"/>
                                <w:sz w:val="16"/>
                                <w:szCs w:val="16"/>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12B84A2E" id="Text Box 199" o:spid="_x0000_s1034" type="#_x0000_t202" style="width:450.7pt;height:48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" filled="f" strokecolor="black [3213]" strokeweight=".5pt">
                <v:textbox inset="1mm,0,1mm,0">
                  <w:txbxContent>
                    <w:p w14:paraId="5B3180B0" w14:textId="77777777" w:rsidR="006F4D48" w:rsidRDefault="006F4D48" w:rsidP="00EE6B5C">
                      <w:pPr>
                        <w:spacing w:after="0" w:line="240" w:lineRule="auto"/>
                        <w:ind w:firstLine="0"/>
                        <w:rPr>
                          <w:noProof/>
                        </w:rPr>
                      </w:pPr>
                      <w:r w:rsidRPr="00AE6573">
                        <w:rPr>
                          <w:noProof/>
                        </w:rPr>
                        <w:drawing>
                          <wp:inline distT="0" distB="0" distL="0" distR="0" wp14:anchorId="7DDD455F" wp14:editId="2CBB5A61">
                            <wp:extent cx="5482590" cy="185195"/>
                            <wp:effectExtent l="0" t="0" r="0" b="571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95534"/>
                                    <a:stretch/>
                                  </pic:blipFill>
                                  <pic:spPr bwMode="auto">
                                    <a:xfrm>
                                      <a:off x="0" y="0"/>
                                      <a:ext cx="5482590" cy="185195"/>
                                    </a:xfrm>
                                    <a:prstGeom prst="rect">
                                      <a:avLst/>
                                    </a:prstGeom>
                                    <a:ln>
                                      <a:noFill/>
                                    </a:ln>
                                    <a:extLst>
                                      <a:ext uri="{53640926-AAD7-44D8-BBD7-CCE9431645EC}">
                                        <a14:shadowObscured xmlns:a14="http://schemas.microsoft.com/office/drawing/2010/main"/>
                                      </a:ext>
                                    </a:extLst>
                                  </pic:spPr>
                                </pic:pic>
                              </a:graphicData>
                            </a:graphic>
                          </wp:inline>
                        </w:drawing>
                      </w:r>
                    </w:p>
                    <w:p w14:paraId="1522CD7C" w14:textId="55316BFA" w:rsidR="006F4D48" w:rsidRPr="00C03225" w:rsidRDefault="006F4D48" w:rsidP="00CD4931">
                      <w:pPr>
                        <w:spacing w:after="0" w:line="240" w:lineRule="auto"/>
                        <w:ind w:firstLine="0"/>
                        <w:rPr>
                          <w:rFonts w:asciiTheme="minorHAnsi" w:hAnsiTheme="minorHAnsi" w:cstheme="minorHAnsi"/>
                          <w:b/>
                          <w:bCs/>
                          <w:noProof/>
                          <w:sz w:val="24"/>
                          <w:szCs w:val="24"/>
                        </w:rPr>
                      </w:pPr>
                      <w:r w:rsidRPr="00C03225">
                        <w:rPr>
                          <w:rFonts w:asciiTheme="minorHAnsi" w:hAnsiTheme="minorHAnsi" w:cstheme="minorHAnsi"/>
                          <w:b/>
                          <w:bCs/>
                          <w:noProof/>
                          <w:sz w:val="24"/>
                          <w:szCs w:val="24"/>
                        </w:rPr>
                        <w:t>A)</w:t>
                      </w:r>
                      <w:r w:rsidR="00AE4A9E" w:rsidRPr="00C03225">
                        <w:rPr>
                          <w:rFonts w:asciiTheme="minorHAnsi" w:hAnsiTheme="minorHAnsi" w:cstheme="minorHAnsi"/>
                          <w:b/>
                          <w:bCs/>
                          <w:noProof/>
                          <w:sz w:val="24"/>
                          <w:szCs w:val="24"/>
                        </w:rPr>
                        <w:t xml:space="preserve"> </w:t>
                      </w:r>
                      <w:r w:rsidR="007D1101" w:rsidRPr="00C03225">
                        <w:rPr>
                          <w:rFonts w:asciiTheme="minorHAnsi" w:hAnsiTheme="minorHAnsi" w:cstheme="minorHAnsi"/>
                          <w:b/>
                          <w:bCs/>
                          <w:noProof/>
                          <w:sz w:val="24"/>
                          <w:szCs w:val="24"/>
                        </w:rPr>
                        <w:t>Non-volatile</w:t>
                      </w:r>
                      <w:r w:rsidRPr="00C03225">
                        <w:rPr>
                          <w:rFonts w:asciiTheme="minorHAnsi" w:hAnsiTheme="minorHAnsi" w:cstheme="minorHAnsi"/>
                          <w:b/>
                          <w:bCs/>
                          <w:noProof/>
                          <w:sz w:val="24"/>
                          <w:szCs w:val="24"/>
                        </w:rPr>
                        <w:t xml:space="preserve"> A0</w:t>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t>B)</w:t>
                      </w:r>
                      <w:r w:rsidR="00AE4A9E" w:rsidRPr="00C03225">
                        <w:rPr>
                          <w:rFonts w:asciiTheme="minorHAnsi" w:hAnsiTheme="minorHAnsi" w:cstheme="minorHAnsi"/>
                          <w:b/>
                          <w:bCs/>
                          <w:noProof/>
                          <w:sz w:val="24"/>
                          <w:szCs w:val="24"/>
                        </w:rPr>
                        <w:t xml:space="preserve"> </w:t>
                      </w:r>
                      <w:r w:rsidR="007D1101" w:rsidRPr="00C03225">
                        <w:rPr>
                          <w:rFonts w:asciiTheme="minorHAnsi" w:hAnsiTheme="minorHAnsi" w:cstheme="minorHAnsi"/>
                          <w:b/>
                          <w:bCs/>
                          <w:noProof/>
                          <w:sz w:val="24"/>
                          <w:szCs w:val="24"/>
                        </w:rPr>
                        <w:t xml:space="preserve">Non-volatile </w:t>
                      </w:r>
                      <w:r w:rsidRPr="00C03225">
                        <w:rPr>
                          <w:rFonts w:asciiTheme="minorHAnsi" w:hAnsiTheme="minorHAnsi" w:cstheme="minorHAnsi"/>
                          <w:b/>
                          <w:bCs/>
                          <w:noProof/>
                          <w:sz w:val="24"/>
                          <w:szCs w:val="24"/>
                        </w:rPr>
                        <w:t>A20</w:t>
                      </w:r>
                    </w:p>
                    <w:p w14:paraId="7331D6F3" w14:textId="74C42B9A" w:rsidR="006F4D48" w:rsidRDefault="006F4D48" w:rsidP="00CD4931">
                      <w:pPr>
                        <w:spacing w:after="0" w:line="240" w:lineRule="auto"/>
                        <w:ind w:firstLine="0"/>
                        <w:rPr>
                          <w:noProof/>
                        </w:rPr>
                      </w:pPr>
                      <w:r w:rsidRPr="00C242FC">
                        <w:rPr>
                          <w:noProof/>
                        </w:rPr>
                        <w:drawing>
                          <wp:inline distT="0" distB="0" distL="0" distR="0" wp14:anchorId="2A87014C" wp14:editId="2DD63FE2">
                            <wp:extent cx="2716445" cy="1933741"/>
                            <wp:effectExtent l="0" t="0" r="1905"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83">
                                      <a:extLst>
                                        <a:ext uri="{28A0092B-C50C-407E-A947-70E740481C1C}">
                                          <a14:useLocalDpi xmlns:a14="http://schemas.microsoft.com/office/drawing/2010/main" val="0"/>
                                        </a:ext>
                                      </a:extLst>
                                    </a:blip>
                                    <a:stretch>
                                      <a:fillRect/>
                                    </a:stretch>
                                  </pic:blipFill>
                                  <pic:spPr>
                                    <a:xfrm>
                                      <a:off x="0" y="0"/>
                                      <a:ext cx="2716445" cy="1933741"/>
                                    </a:xfrm>
                                    <a:prstGeom prst="rect">
                                      <a:avLst/>
                                    </a:prstGeom>
                                  </pic:spPr>
                                </pic:pic>
                              </a:graphicData>
                            </a:graphic>
                          </wp:inline>
                        </w:drawing>
                      </w:r>
                      <w:r w:rsidRPr="00C242FC">
                        <w:rPr>
                          <w:rFonts w:asciiTheme="minorHAnsi" w:hAnsiTheme="minorHAnsi" w:cstheme="minorHAnsi"/>
                          <w:b/>
                          <w:bCs/>
                          <w:noProof/>
                          <w:sz w:val="28"/>
                          <w:szCs w:val="28"/>
                        </w:rPr>
                        <w:drawing>
                          <wp:inline distT="0" distB="0" distL="0" distR="0" wp14:anchorId="59C2AA71" wp14:editId="6A5D0DA4">
                            <wp:extent cx="2716447" cy="1933742"/>
                            <wp:effectExtent l="0" t="0" r="1905"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84">
                                      <a:extLst>
                                        <a:ext uri="{28A0092B-C50C-407E-A947-70E740481C1C}">
                                          <a14:useLocalDpi xmlns:a14="http://schemas.microsoft.com/office/drawing/2010/main" val="0"/>
                                        </a:ext>
                                      </a:extLst>
                                    </a:blip>
                                    <a:stretch>
                                      <a:fillRect/>
                                    </a:stretch>
                                  </pic:blipFill>
                                  <pic:spPr>
                                    <a:xfrm>
                                      <a:off x="0" y="0"/>
                                      <a:ext cx="2716447" cy="1933742"/>
                                    </a:xfrm>
                                    <a:prstGeom prst="rect">
                                      <a:avLst/>
                                    </a:prstGeom>
                                  </pic:spPr>
                                </pic:pic>
                              </a:graphicData>
                            </a:graphic>
                          </wp:inline>
                        </w:drawing>
                      </w:r>
                    </w:p>
                    <w:p w14:paraId="5A101E5D" w14:textId="77777777" w:rsidR="006F4D48" w:rsidRDefault="006F4D48" w:rsidP="00CD4931">
                      <w:pPr>
                        <w:spacing w:after="0" w:line="240" w:lineRule="auto"/>
                        <w:ind w:firstLine="0"/>
                        <w:rPr>
                          <w:rFonts w:asciiTheme="minorHAnsi" w:hAnsiTheme="minorHAnsi" w:cstheme="minorHAnsi"/>
                          <w:b/>
                          <w:bCs/>
                          <w:noProof/>
                          <w:sz w:val="28"/>
                          <w:szCs w:val="28"/>
                        </w:rPr>
                      </w:pPr>
                      <w:r w:rsidRPr="00C242FC">
                        <w:rPr>
                          <w:noProof/>
                        </w:rPr>
                        <w:drawing>
                          <wp:inline distT="0" distB="0" distL="0" distR="0" wp14:anchorId="68B9769C" wp14:editId="7E93C798">
                            <wp:extent cx="2726854" cy="1941151"/>
                            <wp:effectExtent l="0" t="0" r="3810" b="254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85">
                                      <a:extLst>
                                        <a:ext uri="{28A0092B-C50C-407E-A947-70E740481C1C}">
                                          <a14:useLocalDpi xmlns:a14="http://schemas.microsoft.com/office/drawing/2010/main" val="0"/>
                                        </a:ext>
                                      </a:extLst>
                                    </a:blip>
                                    <a:stretch>
                                      <a:fillRect/>
                                    </a:stretch>
                                  </pic:blipFill>
                                  <pic:spPr>
                                    <a:xfrm>
                                      <a:off x="0" y="0"/>
                                      <a:ext cx="2726854" cy="1941151"/>
                                    </a:xfrm>
                                    <a:prstGeom prst="rect">
                                      <a:avLst/>
                                    </a:prstGeom>
                                  </pic:spPr>
                                </pic:pic>
                              </a:graphicData>
                            </a:graphic>
                          </wp:inline>
                        </w:drawing>
                      </w:r>
                      <w:r w:rsidRPr="00C242FC">
                        <w:rPr>
                          <w:noProof/>
                        </w:rPr>
                        <w:drawing>
                          <wp:inline distT="0" distB="0" distL="0" distR="0" wp14:anchorId="0A222E6D" wp14:editId="3932AFFA">
                            <wp:extent cx="2726854" cy="1941151"/>
                            <wp:effectExtent l="0" t="0" r="3810" b="254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86">
                                      <a:extLst>
                                        <a:ext uri="{28A0092B-C50C-407E-A947-70E740481C1C}">
                                          <a14:useLocalDpi xmlns:a14="http://schemas.microsoft.com/office/drawing/2010/main" val="0"/>
                                        </a:ext>
                                      </a:extLst>
                                    </a:blip>
                                    <a:stretch>
                                      <a:fillRect/>
                                    </a:stretch>
                                  </pic:blipFill>
                                  <pic:spPr>
                                    <a:xfrm>
                                      <a:off x="0" y="0"/>
                                      <a:ext cx="2726854" cy="1941151"/>
                                    </a:xfrm>
                                    <a:prstGeom prst="rect">
                                      <a:avLst/>
                                    </a:prstGeom>
                                  </pic:spPr>
                                </pic:pic>
                              </a:graphicData>
                            </a:graphic>
                          </wp:inline>
                        </w:drawing>
                      </w:r>
                    </w:p>
                    <w:p w14:paraId="3769B9D1" w14:textId="77777777" w:rsidR="006F4D48" w:rsidRDefault="006F4D48" w:rsidP="00CD4931">
                      <w:pPr>
                        <w:spacing w:after="0" w:line="240" w:lineRule="auto"/>
                        <w:ind w:firstLine="0"/>
                        <w:rPr>
                          <w:rFonts w:asciiTheme="minorHAnsi" w:hAnsiTheme="minorHAnsi" w:cstheme="minorHAnsi"/>
                          <w:b/>
                          <w:bCs/>
                          <w:noProof/>
                          <w:sz w:val="28"/>
                          <w:szCs w:val="28"/>
                        </w:rPr>
                      </w:pPr>
                      <w:r w:rsidRPr="00C242FC">
                        <w:rPr>
                          <w:rFonts w:asciiTheme="minorHAnsi" w:hAnsiTheme="minorHAnsi" w:cstheme="minorHAnsi"/>
                          <w:b/>
                          <w:bCs/>
                          <w:noProof/>
                          <w:sz w:val="28"/>
                          <w:szCs w:val="28"/>
                        </w:rPr>
                        <w:drawing>
                          <wp:inline distT="0" distB="0" distL="0" distR="0" wp14:anchorId="46EEEB60" wp14:editId="3B09E311">
                            <wp:extent cx="2743183" cy="1941151"/>
                            <wp:effectExtent l="0" t="0" r="635" b="254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87">
                                      <a:extLst>
                                        <a:ext uri="{28A0092B-C50C-407E-A947-70E740481C1C}">
                                          <a14:useLocalDpi xmlns:a14="http://schemas.microsoft.com/office/drawing/2010/main" val="0"/>
                                        </a:ext>
                                      </a:extLst>
                                    </a:blip>
                                    <a:stretch>
                                      <a:fillRect/>
                                    </a:stretch>
                                  </pic:blipFill>
                                  <pic:spPr>
                                    <a:xfrm>
                                      <a:off x="0" y="0"/>
                                      <a:ext cx="2743183" cy="1941151"/>
                                    </a:xfrm>
                                    <a:prstGeom prst="rect">
                                      <a:avLst/>
                                    </a:prstGeom>
                                  </pic:spPr>
                                </pic:pic>
                              </a:graphicData>
                            </a:graphic>
                          </wp:inline>
                        </w:drawing>
                      </w:r>
                      <w:r w:rsidRPr="00C242FC">
                        <w:rPr>
                          <w:noProof/>
                        </w:rPr>
                        <w:drawing>
                          <wp:inline distT="0" distB="0" distL="0" distR="0" wp14:anchorId="69F9226B" wp14:editId="5A1752B2">
                            <wp:extent cx="2743183" cy="1941151"/>
                            <wp:effectExtent l="0" t="0" r="635" b="254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88">
                                      <a:extLst>
                                        <a:ext uri="{28A0092B-C50C-407E-A947-70E740481C1C}">
                                          <a14:useLocalDpi xmlns:a14="http://schemas.microsoft.com/office/drawing/2010/main" val="0"/>
                                        </a:ext>
                                      </a:extLst>
                                    </a:blip>
                                    <a:stretch>
                                      <a:fillRect/>
                                    </a:stretch>
                                  </pic:blipFill>
                                  <pic:spPr>
                                    <a:xfrm>
                                      <a:off x="0" y="0"/>
                                      <a:ext cx="2743183" cy="1941151"/>
                                    </a:xfrm>
                                    <a:prstGeom prst="rect">
                                      <a:avLst/>
                                    </a:prstGeom>
                                  </pic:spPr>
                                </pic:pic>
                              </a:graphicData>
                            </a:graphic>
                          </wp:inline>
                        </w:drawing>
                      </w:r>
                    </w:p>
                    <w:p w14:paraId="1C40D2A2" w14:textId="77777777" w:rsidR="006F4D48" w:rsidRPr="00F8558C" w:rsidRDefault="006F4D48" w:rsidP="006F4D48">
                      <w:pPr>
                        <w:pStyle w:val="Caption"/>
                        <w:spacing w:after="0" w:line="276" w:lineRule="auto"/>
                        <w:rPr>
                          <w:rFonts w:ascii="Cambria" w:hAnsi="Cambria"/>
                          <w:i w:val="0"/>
                          <w:iCs w:val="0"/>
                          <w:color w:val="auto"/>
                          <w:sz w:val="16"/>
                          <w:szCs w:val="16"/>
                        </w:rPr>
                      </w:pPr>
                    </w:p>
                  </w:txbxContent>
                </v:textbox>
                <w10:anchorlock/>
              </v:shape>
            </w:pict>
          </mc:Fallback>
        </mc:AlternateContent>
      </w:r>
      <w:r w:rsidR="00670906" w:rsidRPr="007F3C5D">
        <w:rPr>
          <w:rFonts w:ascii="Cambria" w:hAnsi="Cambria"/>
          <w:b/>
          <w:bCs/>
          <w:i w:val="0"/>
          <w:iCs w:val="0"/>
          <w:color w:val="auto"/>
          <w:sz w:val="16"/>
          <w:szCs w:val="16"/>
          <w:lang w:val="en-US"/>
        </w:rPr>
        <w:t xml:space="preserve"> Figure 1</w:t>
      </w:r>
      <w:r w:rsidR="005F6099" w:rsidRPr="007F3C5D">
        <w:rPr>
          <w:rFonts w:ascii="Cambria" w:hAnsi="Cambria"/>
          <w:b/>
          <w:bCs/>
          <w:i w:val="0"/>
          <w:iCs w:val="0"/>
          <w:color w:val="auto"/>
          <w:sz w:val="16"/>
          <w:szCs w:val="16"/>
          <w:lang w:val="en-US"/>
        </w:rPr>
        <w:t>0</w:t>
      </w:r>
      <w:r w:rsidR="00670906" w:rsidRPr="007F3C5D">
        <w:rPr>
          <w:rFonts w:ascii="Cambria" w:hAnsi="Cambria"/>
          <w:b/>
          <w:bCs/>
          <w:i w:val="0"/>
          <w:iCs w:val="0"/>
          <w:color w:val="auto"/>
          <w:sz w:val="16"/>
          <w:szCs w:val="16"/>
          <w:lang w:val="en-US"/>
        </w:rPr>
        <w:t xml:space="preserve">: Effect of </w:t>
      </w:r>
      <w:r w:rsidR="007D1101" w:rsidRPr="007F3C5D">
        <w:rPr>
          <w:rFonts w:ascii="Cambria" w:hAnsi="Cambria"/>
          <w:b/>
          <w:bCs/>
          <w:i w:val="0"/>
          <w:iCs w:val="0"/>
          <w:color w:val="auto"/>
          <w:sz w:val="16"/>
          <w:szCs w:val="16"/>
          <w:lang w:val="en-US"/>
        </w:rPr>
        <w:t>non-volatile</w:t>
      </w:r>
      <w:r w:rsidR="00670906" w:rsidRPr="007F3C5D">
        <w:rPr>
          <w:rFonts w:ascii="Cambria" w:hAnsi="Cambria"/>
          <w:b/>
          <w:bCs/>
          <w:i w:val="0"/>
          <w:iCs w:val="0"/>
          <w:color w:val="auto"/>
          <w:sz w:val="16"/>
          <w:szCs w:val="16"/>
          <w:lang w:val="en-US"/>
        </w:rPr>
        <w:t xml:space="preserve"> A0 (A) and </w:t>
      </w:r>
      <w:r w:rsidR="007D1101" w:rsidRPr="007F3C5D">
        <w:rPr>
          <w:rFonts w:ascii="Cambria" w:hAnsi="Cambria"/>
          <w:b/>
          <w:bCs/>
          <w:i w:val="0"/>
          <w:iCs w:val="0"/>
          <w:color w:val="auto"/>
          <w:sz w:val="16"/>
          <w:szCs w:val="16"/>
          <w:lang w:val="en-US"/>
        </w:rPr>
        <w:t>non-volatile</w:t>
      </w:r>
      <w:r w:rsidR="00670906" w:rsidRPr="007F3C5D">
        <w:rPr>
          <w:rFonts w:ascii="Cambria" w:hAnsi="Cambria"/>
          <w:b/>
          <w:bCs/>
          <w:i w:val="0"/>
          <w:iCs w:val="0"/>
          <w:color w:val="auto"/>
          <w:sz w:val="16"/>
          <w:szCs w:val="16"/>
          <w:lang w:val="en-US"/>
        </w:rPr>
        <w:t xml:space="preserve"> A20 (B) on neuronal (network) activity of rat primary cortical </w:t>
      </w:r>
      <w:r w:rsidR="0011236D" w:rsidRPr="007F3C5D">
        <w:rPr>
          <w:rFonts w:ascii="Cambria" w:hAnsi="Cambria"/>
          <w:b/>
          <w:bCs/>
          <w:i w:val="0"/>
          <w:iCs w:val="0"/>
          <w:color w:val="auto"/>
          <w:sz w:val="16"/>
          <w:szCs w:val="16"/>
          <w:lang w:val="en-US"/>
        </w:rPr>
        <w:t>cultures</w:t>
      </w:r>
      <w:r w:rsidR="00670906" w:rsidRPr="007F3C5D">
        <w:rPr>
          <w:rFonts w:ascii="Cambria" w:hAnsi="Cambria"/>
          <w:b/>
          <w:bCs/>
          <w:i w:val="0"/>
          <w:iCs w:val="0"/>
          <w:color w:val="auto"/>
          <w:sz w:val="16"/>
          <w:szCs w:val="16"/>
          <w:lang w:val="en-US"/>
        </w:rPr>
        <w:t>.</w:t>
      </w:r>
      <w:r w:rsidR="00670906" w:rsidRPr="007F3C5D">
        <w:rPr>
          <w:rFonts w:ascii="Cambria" w:hAnsi="Cambria"/>
          <w:i w:val="0"/>
          <w:iCs w:val="0"/>
          <w:color w:val="auto"/>
          <w:sz w:val="16"/>
          <w:szCs w:val="16"/>
          <w:lang w:val="en-US"/>
        </w:rPr>
        <w:t xml:space="preserve"> Effects on neuronal activity were assessed after 0.5 h, 24 h, 48 h and 120 h exposure.</w:t>
      </w:r>
      <w:r w:rsidR="00670906" w:rsidRPr="007F3C5D">
        <w:rPr>
          <w:rFonts w:ascii="Cambria" w:hAnsi="Cambria"/>
          <w:b/>
          <w:bCs/>
          <w:i w:val="0"/>
          <w:iCs w:val="0"/>
          <w:color w:val="auto"/>
          <w:sz w:val="16"/>
          <w:szCs w:val="16"/>
          <w:lang w:val="en-US"/>
        </w:rPr>
        <w:t xml:space="preserve"> </w:t>
      </w:r>
      <w:r w:rsidR="00670906" w:rsidRPr="007F3C5D">
        <w:rPr>
          <w:rFonts w:ascii="Cambria" w:hAnsi="Cambria"/>
          <w:i w:val="0"/>
          <w:iCs w:val="0"/>
          <w:color w:val="auto"/>
          <w:sz w:val="16"/>
          <w:szCs w:val="16"/>
          <w:lang w:val="en-US"/>
        </w:rPr>
        <w:t xml:space="preserve">Mean Spike Rate (MSR), Mean Burst Rate (MBR), and Mean Network Burst Rate (MNBR) are presented as mean treatment ratio (± SEM) normalized to </w:t>
      </w:r>
      <w:r w:rsidR="00670906" w:rsidRPr="007F3C5D">
        <w:rPr>
          <w:rFonts w:ascii="Cambria" w:hAnsi="Cambria"/>
          <w:i w:val="0"/>
          <w:iCs w:val="0"/>
          <w:color w:val="000000" w:themeColor="text1"/>
          <w:sz w:val="16"/>
          <w:szCs w:val="16"/>
          <w:lang w:val="en-US"/>
        </w:rPr>
        <w:t xml:space="preserve">control from n = 20 - 24 wells, N = 3. Effects ≤ 25% (2xSD of control; indicated by the grey area) </w:t>
      </w:r>
      <w:proofErr w:type="gramStart"/>
      <w:r w:rsidR="00670906" w:rsidRPr="007F3C5D">
        <w:rPr>
          <w:rFonts w:ascii="Cambria" w:hAnsi="Cambria"/>
          <w:i w:val="0"/>
          <w:iCs w:val="0"/>
          <w:color w:val="000000" w:themeColor="text1"/>
          <w:sz w:val="16"/>
          <w:szCs w:val="16"/>
          <w:lang w:val="en-US"/>
        </w:rPr>
        <w:t>are considered to be</w:t>
      </w:r>
      <w:proofErr w:type="gramEnd"/>
      <w:r w:rsidR="00670906" w:rsidRPr="007F3C5D">
        <w:rPr>
          <w:rFonts w:ascii="Cambria" w:hAnsi="Cambria"/>
          <w:i w:val="0"/>
          <w:iCs w:val="0"/>
          <w:color w:val="000000" w:themeColor="text1"/>
          <w:sz w:val="16"/>
          <w:szCs w:val="16"/>
          <w:lang w:val="en-US"/>
        </w:rPr>
        <w:t xml:space="preserve"> of limited toxicological relevance. Significant effects were determined by Welch’s ANOVA and if exceeding 25% of control indicated </w:t>
      </w:r>
      <w:proofErr w:type="gramStart"/>
      <w:r w:rsidR="00670906" w:rsidRPr="007F3C5D">
        <w:rPr>
          <w:rFonts w:ascii="Cambria" w:hAnsi="Cambria"/>
          <w:i w:val="0"/>
          <w:iCs w:val="0"/>
          <w:color w:val="000000" w:themeColor="text1"/>
          <w:sz w:val="16"/>
          <w:szCs w:val="16"/>
          <w:lang w:val="en-US"/>
        </w:rPr>
        <w:t xml:space="preserve">by  </w:t>
      </w:r>
      <w:r w:rsidR="00670906" w:rsidRPr="007F3C5D">
        <w:rPr>
          <w:rFonts w:ascii="Cambria" w:hAnsi="Cambria"/>
          <w:i w:val="0"/>
          <w:iCs w:val="0"/>
          <w:color w:val="000000" w:themeColor="text1"/>
          <w:sz w:val="16"/>
          <w:szCs w:val="16"/>
          <w:vertAlign w:val="superscript"/>
          <w:lang w:val="en-US"/>
        </w:rPr>
        <w:t>a</w:t>
      </w:r>
      <w:proofErr w:type="gramEnd"/>
      <w:r w:rsidR="00670906" w:rsidRPr="007F3C5D">
        <w:rPr>
          <w:rFonts w:ascii="Cambria" w:hAnsi="Cambria"/>
          <w:i w:val="0"/>
          <w:iCs w:val="0"/>
          <w:color w:val="000000" w:themeColor="text1"/>
          <w:sz w:val="16"/>
          <w:szCs w:val="16"/>
          <w:lang w:val="en-US"/>
        </w:rPr>
        <w:t xml:space="preserve">=p &lt; 0.05 for 0.5 h exposure compared to time-matched control, </w:t>
      </w:r>
      <w:r w:rsidR="00670906" w:rsidRPr="007F3C5D">
        <w:rPr>
          <w:rFonts w:ascii="Cambria" w:hAnsi="Cambria"/>
          <w:i w:val="0"/>
          <w:iCs w:val="0"/>
          <w:color w:val="000000" w:themeColor="text1"/>
          <w:sz w:val="16"/>
          <w:szCs w:val="16"/>
          <w:vertAlign w:val="superscript"/>
          <w:lang w:val="en-US"/>
        </w:rPr>
        <w:t>b</w:t>
      </w:r>
      <w:r w:rsidR="00670906" w:rsidRPr="007F3C5D">
        <w:rPr>
          <w:rFonts w:ascii="Cambria" w:hAnsi="Cambria"/>
          <w:i w:val="0"/>
          <w:iCs w:val="0"/>
          <w:color w:val="000000" w:themeColor="text1"/>
          <w:sz w:val="16"/>
          <w:szCs w:val="16"/>
          <w:lang w:val="en-US"/>
        </w:rPr>
        <w:t xml:space="preserve">=p &lt; 0.05 for 24 h exposure compared to time-matched control, </w:t>
      </w:r>
      <w:r w:rsidR="00670906" w:rsidRPr="007F3C5D">
        <w:rPr>
          <w:rFonts w:ascii="Cambria" w:hAnsi="Cambria"/>
          <w:i w:val="0"/>
          <w:iCs w:val="0"/>
          <w:color w:val="000000" w:themeColor="text1"/>
          <w:sz w:val="16"/>
          <w:szCs w:val="16"/>
          <w:vertAlign w:val="superscript"/>
          <w:lang w:val="en-US"/>
        </w:rPr>
        <w:t>c</w:t>
      </w:r>
      <w:r w:rsidR="00670906" w:rsidRPr="007F3C5D">
        <w:rPr>
          <w:rFonts w:ascii="Cambria" w:hAnsi="Cambria"/>
          <w:i w:val="0"/>
          <w:iCs w:val="0"/>
          <w:color w:val="000000" w:themeColor="text1"/>
          <w:sz w:val="16"/>
          <w:szCs w:val="16"/>
          <w:lang w:val="en-US"/>
        </w:rPr>
        <w:t xml:space="preserve">=p &lt; 0.05 for 48 h exposure compared to time-matched control, </w:t>
      </w:r>
      <w:r w:rsidR="00670906" w:rsidRPr="007F3C5D">
        <w:rPr>
          <w:rFonts w:ascii="Cambria" w:hAnsi="Cambria"/>
          <w:i w:val="0"/>
          <w:iCs w:val="0"/>
          <w:color w:val="000000" w:themeColor="text1"/>
          <w:sz w:val="16"/>
          <w:szCs w:val="16"/>
          <w:vertAlign w:val="superscript"/>
          <w:lang w:val="en-US"/>
        </w:rPr>
        <w:t>d</w:t>
      </w:r>
      <w:r w:rsidR="00670906" w:rsidRPr="007F3C5D">
        <w:rPr>
          <w:rFonts w:ascii="Cambria" w:hAnsi="Cambria"/>
          <w:i w:val="0"/>
          <w:iCs w:val="0"/>
          <w:color w:val="000000" w:themeColor="text1"/>
          <w:sz w:val="16"/>
          <w:szCs w:val="16"/>
          <w:lang w:val="en-US"/>
        </w:rPr>
        <w:t>=p &lt; 0.05 for 120 h exposure compared to time-matched control.</w:t>
      </w:r>
    </w:p>
    <w:p w14:paraId="52AA3D94" w14:textId="70DF3B01" w:rsidR="006F4D48" w:rsidRPr="007F3C5D" w:rsidRDefault="006F4D48" w:rsidP="00A14895">
      <w:pPr>
        <w:ind w:firstLine="0"/>
      </w:pPr>
    </w:p>
    <w:p w14:paraId="39CEABCB" w14:textId="3A66A308" w:rsidR="00670906" w:rsidRPr="007F3C5D" w:rsidRDefault="006F4D48" w:rsidP="00A14895">
      <w:pPr>
        <w:pStyle w:val="Caption"/>
        <w:spacing w:after="0" w:line="276" w:lineRule="auto"/>
        <w:rPr>
          <w:rFonts w:ascii="Cambria" w:hAnsi="Cambria"/>
          <w:i w:val="0"/>
          <w:iCs w:val="0"/>
          <w:color w:val="auto"/>
          <w:sz w:val="16"/>
          <w:szCs w:val="16"/>
          <w:lang w:val="en-US"/>
        </w:rPr>
      </w:pPr>
      <w:r w:rsidRPr="007F3C5D">
        <w:rPr>
          <w:rFonts w:ascii="Cambria" w:hAnsi="Cambria"/>
          <w:noProof/>
          <w:lang w:val="en-US"/>
        </w:rPr>
        <w:lastRenderedPageBreak/>
        <mc:AlternateContent>
          <mc:Choice Requires="wps">
            <w:drawing>
              <wp:inline distT="0" distB="0" distL="0" distR="0" wp14:anchorId="50D717F4" wp14:editId="57EA1612">
                <wp:extent cx="5724000" cy="2106705"/>
                <wp:effectExtent l="0" t="0" r="16510" b="14605"/>
                <wp:docPr id="207" name="Text Box 207"/>
                <wp:cNvGraphicFramePr/>
                <a:graphic xmlns:a="http://schemas.openxmlformats.org/drawingml/2006/main">
                  <a:graphicData uri="http://schemas.microsoft.com/office/word/2010/wordprocessingShape">
                    <wps:wsp>
                      <wps:cNvSpPr txBox="1"/>
                      <wps:spPr>
                        <a:xfrm>
                          <a:off x="0" y="0"/>
                          <a:ext cx="5724000" cy="2106705"/>
                        </a:xfrm>
                        <a:prstGeom prst="rect">
                          <a:avLst/>
                        </a:prstGeom>
                        <a:noFill/>
                        <a:ln w="6350">
                          <a:solidFill>
                            <a:schemeClr val="tx1"/>
                          </a:solidFill>
                        </a:ln>
                      </wps:spPr>
                      <wps:txbx>
                        <w:txbxContent>
                          <w:p w14:paraId="3F523F01" w14:textId="57866D53" w:rsidR="006F4D48" w:rsidRPr="00C03225" w:rsidRDefault="006F4D48" w:rsidP="00CD4931">
                            <w:pPr>
                              <w:spacing w:after="0" w:line="240" w:lineRule="auto"/>
                              <w:ind w:firstLine="0"/>
                              <w:rPr>
                                <w:rFonts w:asciiTheme="minorHAnsi" w:hAnsiTheme="minorHAnsi" w:cstheme="minorHAnsi"/>
                                <w:b/>
                                <w:bCs/>
                                <w:noProof/>
                                <w:sz w:val="24"/>
                                <w:szCs w:val="24"/>
                              </w:rPr>
                            </w:pPr>
                            <w:r w:rsidRPr="00C03225">
                              <w:rPr>
                                <w:rFonts w:asciiTheme="minorHAnsi" w:hAnsiTheme="minorHAnsi" w:cstheme="minorHAnsi"/>
                                <w:b/>
                                <w:bCs/>
                                <w:noProof/>
                                <w:sz w:val="24"/>
                                <w:szCs w:val="24"/>
                              </w:rPr>
                              <w:t>A)</w:t>
                            </w:r>
                            <w:r w:rsidR="00AE4A9E" w:rsidRPr="00C03225">
                              <w:rPr>
                                <w:rFonts w:asciiTheme="minorHAnsi" w:hAnsiTheme="minorHAnsi" w:cstheme="minorHAnsi"/>
                                <w:b/>
                                <w:bCs/>
                                <w:noProof/>
                                <w:sz w:val="24"/>
                                <w:szCs w:val="24"/>
                              </w:rPr>
                              <w:t xml:space="preserve"> </w:t>
                            </w:r>
                            <w:r w:rsidR="007D1101" w:rsidRPr="00C03225">
                              <w:rPr>
                                <w:rFonts w:asciiTheme="minorHAnsi" w:hAnsiTheme="minorHAnsi" w:cstheme="minorHAnsi"/>
                                <w:b/>
                                <w:bCs/>
                                <w:noProof/>
                                <w:sz w:val="24"/>
                                <w:szCs w:val="24"/>
                              </w:rPr>
                              <w:t xml:space="preserve">Non-volatile </w:t>
                            </w:r>
                            <w:r w:rsidRPr="00C03225">
                              <w:rPr>
                                <w:rFonts w:asciiTheme="minorHAnsi" w:hAnsiTheme="minorHAnsi" w:cstheme="minorHAnsi"/>
                                <w:b/>
                                <w:bCs/>
                                <w:noProof/>
                                <w:sz w:val="24"/>
                                <w:szCs w:val="24"/>
                              </w:rPr>
                              <w:t>A0</w:t>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007D1101"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t>B)</w:t>
                            </w:r>
                            <w:r w:rsidR="00AE4A9E" w:rsidRPr="00C03225">
                              <w:rPr>
                                <w:rFonts w:asciiTheme="minorHAnsi" w:hAnsiTheme="minorHAnsi" w:cstheme="minorHAnsi"/>
                                <w:b/>
                                <w:bCs/>
                                <w:noProof/>
                                <w:sz w:val="24"/>
                                <w:szCs w:val="24"/>
                              </w:rPr>
                              <w:t xml:space="preserve"> </w:t>
                            </w:r>
                            <w:r w:rsidR="007D1101" w:rsidRPr="00C03225">
                              <w:rPr>
                                <w:rFonts w:asciiTheme="minorHAnsi" w:hAnsiTheme="minorHAnsi" w:cstheme="minorHAnsi"/>
                                <w:b/>
                                <w:bCs/>
                                <w:noProof/>
                                <w:sz w:val="24"/>
                                <w:szCs w:val="24"/>
                              </w:rPr>
                              <w:t xml:space="preserve">Non-volatile </w:t>
                            </w:r>
                            <w:r w:rsidRPr="00C03225">
                              <w:rPr>
                                <w:rFonts w:asciiTheme="minorHAnsi" w:hAnsiTheme="minorHAnsi" w:cstheme="minorHAnsi"/>
                                <w:b/>
                                <w:bCs/>
                                <w:noProof/>
                                <w:sz w:val="24"/>
                                <w:szCs w:val="24"/>
                              </w:rPr>
                              <w:t>A20</w:t>
                            </w:r>
                          </w:p>
                          <w:p w14:paraId="5147E3BA" w14:textId="77777777" w:rsidR="006F4D48" w:rsidRDefault="006F4D48" w:rsidP="00CD4931">
                            <w:pPr>
                              <w:spacing w:after="0" w:line="240" w:lineRule="auto"/>
                              <w:ind w:firstLine="0"/>
                              <w:contextualSpacing/>
                              <w:rPr>
                                <w:rFonts w:asciiTheme="minorHAnsi" w:hAnsiTheme="minorHAnsi" w:cstheme="minorHAnsi"/>
                                <w:b/>
                                <w:bCs/>
                                <w:noProof/>
                                <w:sz w:val="28"/>
                                <w:szCs w:val="28"/>
                              </w:rPr>
                            </w:pPr>
                            <w:r w:rsidRPr="00BE6CE1">
                              <w:rPr>
                                <w:rFonts w:asciiTheme="minorHAnsi" w:hAnsiTheme="minorHAnsi" w:cstheme="minorHAnsi"/>
                                <w:b/>
                                <w:bCs/>
                                <w:noProof/>
                                <w:sz w:val="28"/>
                                <w:szCs w:val="28"/>
                              </w:rPr>
                              <w:drawing>
                                <wp:inline distT="0" distB="0" distL="0" distR="0" wp14:anchorId="61077D09" wp14:editId="785E94DA">
                                  <wp:extent cx="2661304" cy="1922053"/>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89">
                                            <a:extLst>
                                              <a:ext uri="{28A0092B-C50C-407E-A947-70E740481C1C}">
                                                <a14:useLocalDpi xmlns:a14="http://schemas.microsoft.com/office/drawing/2010/main" val="0"/>
                                              </a:ext>
                                            </a:extLst>
                                          </a:blip>
                                          <a:stretch>
                                            <a:fillRect/>
                                          </a:stretch>
                                        </pic:blipFill>
                                        <pic:spPr>
                                          <a:xfrm>
                                            <a:off x="0" y="0"/>
                                            <a:ext cx="2661304" cy="1922053"/>
                                          </a:xfrm>
                                          <a:prstGeom prst="rect">
                                            <a:avLst/>
                                          </a:prstGeom>
                                        </pic:spPr>
                                      </pic:pic>
                                    </a:graphicData>
                                  </a:graphic>
                                </wp:inline>
                              </w:drawing>
                            </w:r>
                            <w:r w:rsidRPr="00BE6CE1">
                              <w:rPr>
                                <w:rFonts w:asciiTheme="minorHAnsi" w:hAnsiTheme="minorHAnsi" w:cstheme="minorHAnsi"/>
                                <w:b/>
                                <w:bCs/>
                                <w:noProof/>
                                <w:sz w:val="28"/>
                                <w:szCs w:val="28"/>
                              </w:rPr>
                              <w:drawing>
                                <wp:inline distT="0" distB="0" distL="0" distR="0" wp14:anchorId="03E7507F" wp14:editId="170D7200">
                                  <wp:extent cx="2672677" cy="1922053"/>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0">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p>
                          <w:p w14:paraId="45BC39F0" w14:textId="77777777" w:rsidR="006F4D48" w:rsidRPr="00F8558C" w:rsidRDefault="006F4D48" w:rsidP="006F4D48">
                            <w:pPr>
                              <w:pStyle w:val="Caption"/>
                              <w:spacing w:after="0" w:line="276" w:lineRule="auto"/>
                              <w:rPr>
                                <w:rFonts w:ascii="Cambria" w:hAnsi="Cambria"/>
                                <w:i w:val="0"/>
                                <w:iCs w:val="0"/>
                                <w:color w:val="auto"/>
                                <w:sz w:val="16"/>
                                <w:szCs w:val="16"/>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50D717F4" id="Text Box 207" o:spid="_x0000_s1035" type="#_x0000_t202" style="width:450.7pt;height:16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" filled="f" strokecolor="black [3213]" strokeweight=".5pt">
                <v:textbox inset="1mm,0,1mm,0">
                  <w:txbxContent>
                    <w:p w14:paraId="3F523F01" w14:textId="57866D53" w:rsidR="006F4D48" w:rsidRPr="00C03225" w:rsidRDefault="006F4D48" w:rsidP="00CD4931">
                      <w:pPr>
                        <w:spacing w:after="0" w:line="240" w:lineRule="auto"/>
                        <w:ind w:firstLine="0"/>
                        <w:rPr>
                          <w:rFonts w:asciiTheme="minorHAnsi" w:hAnsiTheme="minorHAnsi" w:cstheme="minorHAnsi"/>
                          <w:b/>
                          <w:bCs/>
                          <w:noProof/>
                          <w:sz w:val="24"/>
                          <w:szCs w:val="24"/>
                        </w:rPr>
                      </w:pPr>
                      <w:r w:rsidRPr="00C03225">
                        <w:rPr>
                          <w:rFonts w:asciiTheme="minorHAnsi" w:hAnsiTheme="minorHAnsi" w:cstheme="minorHAnsi"/>
                          <w:b/>
                          <w:bCs/>
                          <w:noProof/>
                          <w:sz w:val="24"/>
                          <w:szCs w:val="24"/>
                        </w:rPr>
                        <w:t>A)</w:t>
                      </w:r>
                      <w:r w:rsidR="00AE4A9E" w:rsidRPr="00C03225">
                        <w:rPr>
                          <w:rFonts w:asciiTheme="minorHAnsi" w:hAnsiTheme="minorHAnsi" w:cstheme="minorHAnsi"/>
                          <w:b/>
                          <w:bCs/>
                          <w:noProof/>
                          <w:sz w:val="24"/>
                          <w:szCs w:val="24"/>
                        </w:rPr>
                        <w:t xml:space="preserve"> </w:t>
                      </w:r>
                      <w:r w:rsidR="007D1101" w:rsidRPr="00C03225">
                        <w:rPr>
                          <w:rFonts w:asciiTheme="minorHAnsi" w:hAnsiTheme="minorHAnsi" w:cstheme="minorHAnsi"/>
                          <w:b/>
                          <w:bCs/>
                          <w:noProof/>
                          <w:sz w:val="24"/>
                          <w:szCs w:val="24"/>
                        </w:rPr>
                        <w:t xml:space="preserve">Non-volatile </w:t>
                      </w:r>
                      <w:r w:rsidRPr="00C03225">
                        <w:rPr>
                          <w:rFonts w:asciiTheme="minorHAnsi" w:hAnsiTheme="minorHAnsi" w:cstheme="minorHAnsi"/>
                          <w:b/>
                          <w:bCs/>
                          <w:noProof/>
                          <w:sz w:val="24"/>
                          <w:szCs w:val="24"/>
                        </w:rPr>
                        <w:t>A0</w:t>
                      </w:r>
                      <w:r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r>
                      <w:r w:rsidR="007D1101" w:rsidRPr="00C03225">
                        <w:rPr>
                          <w:rFonts w:asciiTheme="minorHAnsi" w:hAnsiTheme="minorHAnsi" w:cstheme="minorHAnsi"/>
                          <w:b/>
                          <w:bCs/>
                          <w:noProof/>
                          <w:sz w:val="24"/>
                          <w:szCs w:val="24"/>
                        </w:rPr>
                        <w:tab/>
                      </w:r>
                      <w:r w:rsidRPr="00C03225">
                        <w:rPr>
                          <w:rFonts w:asciiTheme="minorHAnsi" w:hAnsiTheme="minorHAnsi" w:cstheme="minorHAnsi"/>
                          <w:b/>
                          <w:bCs/>
                          <w:noProof/>
                          <w:sz w:val="24"/>
                          <w:szCs w:val="24"/>
                        </w:rPr>
                        <w:tab/>
                        <w:t>B)</w:t>
                      </w:r>
                      <w:r w:rsidR="00AE4A9E" w:rsidRPr="00C03225">
                        <w:rPr>
                          <w:rFonts w:asciiTheme="minorHAnsi" w:hAnsiTheme="minorHAnsi" w:cstheme="minorHAnsi"/>
                          <w:b/>
                          <w:bCs/>
                          <w:noProof/>
                          <w:sz w:val="24"/>
                          <w:szCs w:val="24"/>
                        </w:rPr>
                        <w:t xml:space="preserve"> </w:t>
                      </w:r>
                      <w:r w:rsidR="007D1101" w:rsidRPr="00C03225">
                        <w:rPr>
                          <w:rFonts w:asciiTheme="minorHAnsi" w:hAnsiTheme="minorHAnsi" w:cstheme="minorHAnsi"/>
                          <w:b/>
                          <w:bCs/>
                          <w:noProof/>
                          <w:sz w:val="24"/>
                          <w:szCs w:val="24"/>
                        </w:rPr>
                        <w:t xml:space="preserve">Non-volatile </w:t>
                      </w:r>
                      <w:r w:rsidRPr="00C03225">
                        <w:rPr>
                          <w:rFonts w:asciiTheme="minorHAnsi" w:hAnsiTheme="minorHAnsi" w:cstheme="minorHAnsi"/>
                          <w:b/>
                          <w:bCs/>
                          <w:noProof/>
                          <w:sz w:val="24"/>
                          <w:szCs w:val="24"/>
                        </w:rPr>
                        <w:t>A20</w:t>
                      </w:r>
                    </w:p>
                    <w:p w14:paraId="5147E3BA" w14:textId="77777777" w:rsidR="006F4D48" w:rsidRDefault="006F4D48" w:rsidP="00CD4931">
                      <w:pPr>
                        <w:spacing w:after="0" w:line="240" w:lineRule="auto"/>
                        <w:ind w:firstLine="0"/>
                        <w:contextualSpacing/>
                        <w:rPr>
                          <w:rFonts w:asciiTheme="minorHAnsi" w:hAnsiTheme="minorHAnsi" w:cstheme="minorHAnsi"/>
                          <w:b/>
                          <w:bCs/>
                          <w:noProof/>
                          <w:sz w:val="28"/>
                          <w:szCs w:val="28"/>
                        </w:rPr>
                      </w:pPr>
                      <w:r w:rsidRPr="00BE6CE1">
                        <w:rPr>
                          <w:rFonts w:asciiTheme="minorHAnsi" w:hAnsiTheme="minorHAnsi" w:cstheme="minorHAnsi"/>
                          <w:b/>
                          <w:bCs/>
                          <w:noProof/>
                          <w:sz w:val="28"/>
                          <w:szCs w:val="28"/>
                        </w:rPr>
                        <w:drawing>
                          <wp:inline distT="0" distB="0" distL="0" distR="0" wp14:anchorId="61077D09" wp14:editId="785E94DA">
                            <wp:extent cx="2661304" cy="1922053"/>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91">
                                      <a:extLst>
                                        <a:ext uri="{28A0092B-C50C-407E-A947-70E740481C1C}">
                                          <a14:useLocalDpi xmlns:a14="http://schemas.microsoft.com/office/drawing/2010/main" val="0"/>
                                        </a:ext>
                                      </a:extLst>
                                    </a:blip>
                                    <a:stretch>
                                      <a:fillRect/>
                                    </a:stretch>
                                  </pic:blipFill>
                                  <pic:spPr>
                                    <a:xfrm>
                                      <a:off x="0" y="0"/>
                                      <a:ext cx="2661304" cy="1922053"/>
                                    </a:xfrm>
                                    <a:prstGeom prst="rect">
                                      <a:avLst/>
                                    </a:prstGeom>
                                  </pic:spPr>
                                </pic:pic>
                              </a:graphicData>
                            </a:graphic>
                          </wp:inline>
                        </w:drawing>
                      </w:r>
                      <w:r w:rsidRPr="00BE6CE1">
                        <w:rPr>
                          <w:rFonts w:asciiTheme="minorHAnsi" w:hAnsiTheme="minorHAnsi" w:cstheme="minorHAnsi"/>
                          <w:b/>
                          <w:bCs/>
                          <w:noProof/>
                          <w:sz w:val="28"/>
                          <w:szCs w:val="28"/>
                        </w:rPr>
                        <w:drawing>
                          <wp:inline distT="0" distB="0" distL="0" distR="0" wp14:anchorId="03E7507F" wp14:editId="170D7200">
                            <wp:extent cx="2672677" cy="1922053"/>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2">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p>
                    <w:p w14:paraId="45BC39F0" w14:textId="77777777" w:rsidR="006F4D48" w:rsidRPr="00F8558C" w:rsidRDefault="006F4D48" w:rsidP="006F4D48">
                      <w:pPr>
                        <w:pStyle w:val="Caption"/>
                        <w:spacing w:after="0" w:line="276" w:lineRule="auto"/>
                        <w:rPr>
                          <w:rFonts w:ascii="Cambria" w:hAnsi="Cambria"/>
                          <w:i w:val="0"/>
                          <w:iCs w:val="0"/>
                          <w:color w:val="auto"/>
                          <w:sz w:val="16"/>
                          <w:szCs w:val="16"/>
                        </w:rPr>
                      </w:pPr>
                    </w:p>
                  </w:txbxContent>
                </v:textbox>
                <w10:anchorlock/>
              </v:shape>
            </w:pict>
          </mc:Fallback>
        </mc:AlternateContent>
      </w:r>
      <w:r w:rsidR="00670906" w:rsidRPr="007F3C5D">
        <w:rPr>
          <w:rFonts w:ascii="Cambria" w:hAnsi="Cambria"/>
          <w:b/>
          <w:bCs/>
          <w:i w:val="0"/>
          <w:iCs w:val="0"/>
          <w:color w:val="auto"/>
          <w:sz w:val="16"/>
          <w:szCs w:val="16"/>
          <w:lang w:val="en-US"/>
        </w:rPr>
        <w:t xml:space="preserve"> Figure 1</w:t>
      </w:r>
      <w:r w:rsidR="005F6099" w:rsidRPr="007F3C5D">
        <w:rPr>
          <w:rFonts w:ascii="Cambria" w:hAnsi="Cambria"/>
          <w:b/>
          <w:bCs/>
          <w:i w:val="0"/>
          <w:iCs w:val="0"/>
          <w:color w:val="auto"/>
          <w:sz w:val="16"/>
          <w:szCs w:val="16"/>
          <w:lang w:val="en-US"/>
        </w:rPr>
        <w:t>1</w:t>
      </w:r>
      <w:r w:rsidR="00670906" w:rsidRPr="007F3C5D">
        <w:rPr>
          <w:rFonts w:ascii="Cambria" w:hAnsi="Cambria"/>
          <w:b/>
          <w:bCs/>
          <w:i w:val="0"/>
          <w:iCs w:val="0"/>
          <w:color w:val="auto"/>
          <w:sz w:val="16"/>
          <w:szCs w:val="16"/>
          <w:lang w:val="en-US"/>
        </w:rPr>
        <w:t xml:space="preserve">: Effect of </w:t>
      </w:r>
      <w:r w:rsidR="007D1101" w:rsidRPr="007F3C5D">
        <w:rPr>
          <w:rFonts w:ascii="Cambria" w:hAnsi="Cambria"/>
          <w:b/>
          <w:bCs/>
          <w:i w:val="0"/>
          <w:iCs w:val="0"/>
          <w:color w:val="auto"/>
          <w:sz w:val="16"/>
          <w:szCs w:val="16"/>
          <w:lang w:val="en-US"/>
        </w:rPr>
        <w:t>non-volatile</w:t>
      </w:r>
      <w:r w:rsidR="00670906" w:rsidRPr="007F3C5D">
        <w:rPr>
          <w:rFonts w:ascii="Cambria" w:hAnsi="Cambria"/>
          <w:b/>
          <w:bCs/>
          <w:i w:val="0"/>
          <w:iCs w:val="0"/>
          <w:color w:val="auto"/>
          <w:sz w:val="16"/>
          <w:szCs w:val="16"/>
          <w:lang w:val="en-US"/>
        </w:rPr>
        <w:t xml:space="preserve"> A0 (A) and </w:t>
      </w:r>
      <w:r w:rsidR="007D1101" w:rsidRPr="007F3C5D">
        <w:rPr>
          <w:rFonts w:ascii="Cambria" w:hAnsi="Cambria"/>
          <w:b/>
          <w:bCs/>
          <w:i w:val="0"/>
          <w:iCs w:val="0"/>
          <w:color w:val="auto"/>
          <w:sz w:val="16"/>
          <w:szCs w:val="16"/>
          <w:lang w:val="en-US"/>
        </w:rPr>
        <w:t>non-volatile</w:t>
      </w:r>
      <w:r w:rsidR="00670906" w:rsidRPr="007F3C5D">
        <w:rPr>
          <w:rFonts w:ascii="Cambria" w:hAnsi="Cambria"/>
          <w:b/>
          <w:bCs/>
          <w:i w:val="0"/>
          <w:iCs w:val="0"/>
          <w:color w:val="auto"/>
          <w:sz w:val="16"/>
          <w:szCs w:val="16"/>
          <w:lang w:val="en-US"/>
        </w:rPr>
        <w:t xml:space="preserve"> A20 (B) on metabolic activity of rat primary cortical </w:t>
      </w:r>
      <w:r w:rsidR="0011236D" w:rsidRPr="007F3C5D">
        <w:rPr>
          <w:rFonts w:ascii="Cambria" w:hAnsi="Cambria"/>
          <w:b/>
          <w:bCs/>
          <w:i w:val="0"/>
          <w:iCs w:val="0"/>
          <w:color w:val="auto"/>
          <w:sz w:val="16"/>
          <w:szCs w:val="16"/>
          <w:lang w:val="en-US"/>
        </w:rPr>
        <w:t xml:space="preserve">cultures </w:t>
      </w:r>
      <w:r w:rsidR="00670906" w:rsidRPr="007F3C5D">
        <w:rPr>
          <w:rFonts w:ascii="Cambria" w:hAnsi="Cambria"/>
          <w:b/>
          <w:bCs/>
          <w:i w:val="0"/>
          <w:iCs w:val="0"/>
          <w:color w:val="auto"/>
          <w:sz w:val="16"/>
          <w:szCs w:val="16"/>
          <w:lang w:val="en-US"/>
        </w:rPr>
        <w:t>after 120 h exposure</w:t>
      </w:r>
      <w:r w:rsidR="00670906" w:rsidRPr="007F3C5D">
        <w:rPr>
          <w:rFonts w:ascii="Cambria" w:hAnsi="Cambria"/>
          <w:i w:val="0"/>
          <w:iCs w:val="0"/>
          <w:color w:val="auto"/>
          <w:sz w:val="16"/>
          <w:szCs w:val="16"/>
          <w:lang w:val="en-US"/>
        </w:rPr>
        <w:t xml:space="preserve">. </w:t>
      </w:r>
      <w:r w:rsidR="00670906" w:rsidRPr="007F3C5D">
        <w:rPr>
          <w:rFonts w:ascii="Cambria" w:hAnsi="Cambria"/>
          <w:i w:val="0"/>
          <w:iCs w:val="0"/>
          <w:color w:val="000000" w:themeColor="text1"/>
          <w:sz w:val="16"/>
          <w:szCs w:val="16"/>
          <w:lang w:val="en-US"/>
        </w:rPr>
        <w:t xml:space="preserve">Cell viability data is presented as mean (± SD) normalized to control from n = 21 - 24 wells, N = 3. </w:t>
      </w:r>
      <w:r w:rsidR="00670906" w:rsidRPr="007F3C5D">
        <w:rPr>
          <w:rFonts w:ascii="Cambria" w:hAnsi="Cambria"/>
          <w:i w:val="0"/>
          <w:iCs w:val="0"/>
          <w:color w:val="auto"/>
          <w:sz w:val="16"/>
          <w:szCs w:val="16"/>
          <w:lang w:val="en-US"/>
        </w:rPr>
        <w:t>Effects ≤ 10% are of limited toxicological relevance and indicated by the grey area. Significant effects were determined by ordinary one-way ANOVA. *=p &lt; 0.05 compared to control and exceeding 10%.</w:t>
      </w:r>
      <w:bookmarkStart w:id="51" w:name="_Toc91775076"/>
    </w:p>
    <w:p w14:paraId="755E3391" w14:textId="08DD4790" w:rsidR="006F4D48" w:rsidRPr="007F3C5D" w:rsidRDefault="006F4D48" w:rsidP="00A14895">
      <w:pPr>
        <w:pStyle w:val="Heading2"/>
        <w:rPr>
          <w:sz w:val="16"/>
          <w:szCs w:val="16"/>
        </w:rPr>
      </w:pPr>
      <w:bookmarkStart w:id="52" w:name="_Toc100781392"/>
      <w:bookmarkStart w:id="53" w:name="_Toc101374938"/>
      <w:r w:rsidRPr="007F3C5D">
        <w:t>SVOC A0 and SVOC A20 decrease neuronal activity and cell viability</w:t>
      </w:r>
      <w:bookmarkEnd w:id="51"/>
      <w:bookmarkEnd w:id="52"/>
      <w:bookmarkEnd w:id="53"/>
    </w:p>
    <w:p w14:paraId="39ED2CAD" w14:textId="726378D9" w:rsidR="006F4D48" w:rsidRPr="007F3C5D" w:rsidRDefault="006F4D48" w:rsidP="00A14895">
      <w:r w:rsidRPr="007F3C5D">
        <w:t>The SVOC A0 and A20 fractions are the</w:t>
      </w:r>
      <w:r w:rsidR="007D1101" w:rsidRPr="007F3C5D">
        <w:t xml:space="preserve"> UFP</w:t>
      </w:r>
      <w:r w:rsidRPr="007F3C5D">
        <w:t xml:space="preserve"> fractions of the A0</w:t>
      </w:r>
      <w:r w:rsidR="00C91B73" w:rsidRPr="007F3C5D">
        <w:t>-</w:t>
      </w:r>
      <w:r w:rsidRPr="007F3C5D">
        <w:t xml:space="preserve"> and A20</w:t>
      </w:r>
      <w:r w:rsidR="00C91B73" w:rsidRPr="007F3C5D">
        <w:t>-fuel</w:t>
      </w:r>
      <w:r w:rsidRPr="007F3C5D">
        <w:t xml:space="preserve"> exhaust in which the </w:t>
      </w:r>
      <w:proofErr w:type="spellStart"/>
      <w:r w:rsidRPr="007F3C5D">
        <w:t>semivotalic</w:t>
      </w:r>
      <w:proofErr w:type="spellEnd"/>
      <w:r w:rsidRPr="007F3C5D">
        <w:t xml:space="preserve"> organic compounds, which are in between the particle and the gaseous phase, are collected. Therefore, this group does not consist of the particles that we see in other sample groups. MSR and MBR were </w:t>
      </w:r>
      <w:r w:rsidR="0068159E">
        <w:t>dose</w:t>
      </w:r>
      <w:r w:rsidRPr="007F3C5D">
        <w:t>-dependently reduced following acute exposure (0.5</w:t>
      </w:r>
      <w:r w:rsidR="00376EA3" w:rsidRPr="007F3C5D">
        <w:t> </w:t>
      </w:r>
      <w:r w:rsidRPr="007F3C5D">
        <w:t>h) to 10</w:t>
      </w:r>
      <w:r w:rsidR="00376EA3" w:rsidRPr="007F3C5D">
        <w:t> </w:t>
      </w:r>
      <w:r w:rsidRPr="007F3C5D">
        <w:t>L/mL or 4</w:t>
      </w:r>
      <w:r w:rsidR="00376EA3" w:rsidRPr="007F3C5D">
        <w:t> </w:t>
      </w:r>
      <w:r w:rsidRPr="007F3C5D">
        <w:t>L/mL SVOC A0 to 63.3% (p</w:t>
      </w:r>
      <w:r w:rsidR="00376EA3" w:rsidRPr="007F3C5D">
        <w:t> </w:t>
      </w:r>
      <w:r w:rsidRPr="007F3C5D">
        <w:t>=</w:t>
      </w:r>
      <w:r w:rsidR="00376EA3" w:rsidRPr="007F3C5D">
        <w:t> </w:t>
      </w:r>
      <w:r w:rsidRPr="007F3C5D">
        <w:t>&lt;0.0001) and 69.5% (p</w:t>
      </w:r>
      <w:r w:rsidR="00376EA3" w:rsidRPr="007F3C5D">
        <w:t> </w:t>
      </w:r>
      <w:r w:rsidRPr="007F3C5D">
        <w:t>=</w:t>
      </w:r>
      <w:r w:rsidR="00376EA3" w:rsidRPr="007F3C5D">
        <w:t> </w:t>
      </w:r>
      <w:r w:rsidRPr="007F3C5D">
        <w:t xml:space="preserve">0.0002), respectively (fig. </w:t>
      </w:r>
      <w:r w:rsidR="005F6099" w:rsidRPr="007F3C5D">
        <w:t>12</w:t>
      </w:r>
      <w:r w:rsidRPr="007F3C5D">
        <w:t>A). While the reduction remained for 20</w:t>
      </w:r>
      <w:r w:rsidR="00376EA3" w:rsidRPr="007F3C5D">
        <w:t> </w:t>
      </w:r>
      <w:r w:rsidRPr="007F3C5D">
        <w:t>L/mL, cells exposed to a concentration below 20</w:t>
      </w:r>
      <w:r w:rsidR="00376EA3" w:rsidRPr="007F3C5D">
        <w:t> </w:t>
      </w:r>
      <w:r w:rsidRPr="007F3C5D">
        <w:t>L/mL exhibits unaffected MSR and MBR for 24</w:t>
      </w:r>
      <w:r w:rsidR="00376EA3" w:rsidRPr="007F3C5D">
        <w:t> </w:t>
      </w:r>
      <w:r w:rsidRPr="007F3C5D">
        <w:t>h – 120</w:t>
      </w:r>
      <w:r w:rsidR="00376EA3" w:rsidRPr="007F3C5D">
        <w:t> </w:t>
      </w:r>
      <w:r w:rsidRPr="007F3C5D">
        <w:t>h exposure indicating recovery of the neuronal activity</w:t>
      </w:r>
      <w:r w:rsidR="005F6099" w:rsidRPr="007F3C5D">
        <w:t xml:space="preserve"> (fig. 12B)</w:t>
      </w:r>
      <w:r w:rsidRPr="007F3C5D">
        <w:t>. An acute reduction of the MSR and MBR was also observed for cells exposed to 10</w:t>
      </w:r>
      <w:r w:rsidR="00376EA3" w:rsidRPr="007F3C5D">
        <w:t> </w:t>
      </w:r>
      <w:r w:rsidRPr="007F3C5D">
        <w:t>L/mL SVOC A20 (71.7%, p</w:t>
      </w:r>
      <w:r w:rsidR="00376EA3" w:rsidRPr="007F3C5D">
        <w:t> = </w:t>
      </w:r>
      <w:r w:rsidRPr="007F3C5D">
        <w:t>0.0324 and 35.1%</w:t>
      </w:r>
      <w:r w:rsidR="00376EA3" w:rsidRPr="007F3C5D">
        <w:t>),</w:t>
      </w:r>
      <w:r w:rsidRPr="007F3C5D">
        <w:t xml:space="preserve"> but in contrast to the SVOC A0 exposed cells, neuronal activity parameters remained significantly decreased. After prolonged exposure, MBR was also reduced by lower </w:t>
      </w:r>
      <w:r w:rsidR="0068159E">
        <w:t>doses</w:t>
      </w:r>
      <w:r w:rsidRPr="007F3C5D">
        <w:t xml:space="preserve"> of SVOC A20 (2 and 4</w:t>
      </w:r>
      <w:r w:rsidR="00376EA3" w:rsidRPr="007F3C5D">
        <w:t> </w:t>
      </w:r>
      <w:r w:rsidRPr="007F3C5D">
        <w:t>L/mL). However, data on metabolic activity suggest that SVOC A0 and SVOC A20 induced cell death with SVOC A20 being more potent. Cell viability was reduced to 75.0% and 50.0% for 10 and 20</w:t>
      </w:r>
      <w:r w:rsidR="00376EA3" w:rsidRPr="007F3C5D">
        <w:t> </w:t>
      </w:r>
      <w:r w:rsidRPr="007F3C5D">
        <w:t>L/mL SVOC A0 resp. (p</w:t>
      </w:r>
      <w:r w:rsidR="00376EA3" w:rsidRPr="007F3C5D">
        <w:t> = </w:t>
      </w:r>
      <w:r w:rsidRPr="007F3C5D">
        <w:t>&lt;0.0001 for both) and to 34.0% and 3.0% for 10 and 20</w:t>
      </w:r>
      <w:r w:rsidR="00376EA3" w:rsidRPr="007F3C5D">
        <w:t> </w:t>
      </w:r>
      <w:r w:rsidRPr="007F3C5D">
        <w:t>L/mL SVOC A</w:t>
      </w:r>
      <w:r w:rsidR="00B81C56" w:rsidRPr="007F3C5D">
        <w:t>2</w:t>
      </w:r>
      <w:r w:rsidRPr="007F3C5D">
        <w:t>0 resp. (p</w:t>
      </w:r>
      <w:r w:rsidR="00376EA3" w:rsidRPr="007F3C5D">
        <w:t> </w:t>
      </w:r>
      <w:proofErr w:type="gramStart"/>
      <w:r w:rsidR="00376EA3" w:rsidRPr="007F3C5D">
        <w:t>= </w:t>
      </w:r>
      <w:r w:rsidRPr="007F3C5D">
        <w:t xml:space="preserve"> &lt;</w:t>
      </w:r>
      <w:proofErr w:type="gramEnd"/>
      <w:r w:rsidRPr="007F3C5D">
        <w:t>0.0001 for both)</w:t>
      </w:r>
      <w:r w:rsidR="005F6099" w:rsidRPr="007F3C5D">
        <w:t xml:space="preserve"> (fig. 13)</w:t>
      </w:r>
      <w:r w:rsidRPr="007F3C5D">
        <w:t>.</w:t>
      </w:r>
    </w:p>
    <w:p w14:paraId="5AD7AB02" w14:textId="4557FEA3" w:rsidR="006F4D48" w:rsidRPr="007F3C5D" w:rsidRDefault="006F4D48" w:rsidP="00A14895">
      <w:pPr>
        <w:pStyle w:val="Caption"/>
        <w:spacing w:after="0" w:line="276" w:lineRule="auto"/>
        <w:rPr>
          <w:rFonts w:ascii="Cambria" w:hAnsi="Cambria"/>
          <w:i w:val="0"/>
          <w:iCs w:val="0"/>
          <w:color w:val="auto"/>
          <w:sz w:val="16"/>
          <w:szCs w:val="16"/>
          <w:lang w:val="en-US"/>
        </w:rPr>
      </w:pPr>
      <w:r w:rsidRPr="007F3C5D">
        <w:rPr>
          <w:rFonts w:ascii="Cambria" w:hAnsi="Cambria"/>
          <w:noProof/>
          <w:lang w:val="en-US"/>
        </w:rPr>
        <w:lastRenderedPageBreak/>
        <mc:AlternateContent>
          <mc:Choice Requires="wps">
            <w:drawing>
              <wp:inline distT="0" distB="0" distL="0" distR="0" wp14:anchorId="41B03A14" wp14:editId="732F1B07">
                <wp:extent cx="5724000" cy="6259734"/>
                <wp:effectExtent l="0" t="0" r="16510" b="14605"/>
                <wp:docPr id="210" name="Text Box 210"/>
                <wp:cNvGraphicFramePr/>
                <a:graphic xmlns:a="http://schemas.openxmlformats.org/drawingml/2006/main">
                  <a:graphicData uri="http://schemas.microsoft.com/office/word/2010/wordprocessingShape">
                    <wps:wsp>
                      <wps:cNvSpPr txBox="1"/>
                      <wps:spPr>
                        <a:xfrm>
                          <a:off x="0" y="0"/>
                          <a:ext cx="5724000" cy="6259734"/>
                        </a:xfrm>
                        <a:prstGeom prst="rect">
                          <a:avLst/>
                        </a:prstGeom>
                        <a:noFill/>
                        <a:ln w="6350">
                          <a:solidFill>
                            <a:schemeClr val="tx1"/>
                          </a:solidFill>
                        </a:ln>
                      </wps:spPr>
                      <wps:txbx>
                        <w:txbxContent>
                          <w:p w14:paraId="2F637701" w14:textId="77777777" w:rsidR="006F4D48" w:rsidRDefault="006F4D48" w:rsidP="00EE6B5C">
                            <w:pPr>
                              <w:spacing w:after="0" w:line="240" w:lineRule="auto"/>
                              <w:ind w:firstLine="0"/>
                              <w:rPr>
                                <w:noProof/>
                              </w:rPr>
                            </w:pPr>
                            <w:r w:rsidRPr="00AE6573">
                              <w:rPr>
                                <w:noProof/>
                              </w:rPr>
                              <w:drawing>
                                <wp:inline distT="0" distB="0" distL="0" distR="0" wp14:anchorId="4D17DCE5" wp14:editId="27820F17">
                                  <wp:extent cx="5482590" cy="185195"/>
                                  <wp:effectExtent l="0" t="0" r="0" b="571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95534"/>
                                          <a:stretch/>
                                        </pic:blipFill>
                                        <pic:spPr bwMode="auto">
                                          <a:xfrm>
                                            <a:off x="0" y="0"/>
                                            <a:ext cx="5482590" cy="185195"/>
                                          </a:xfrm>
                                          <a:prstGeom prst="rect">
                                            <a:avLst/>
                                          </a:prstGeom>
                                          <a:ln>
                                            <a:noFill/>
                                          </a:ln>
                                          <a:extLst>
                                            <a:ext uri="{53640926-AAD7-44D8-BBD7-CCE9431645EC}">
                                              <a14:shadowObscured xmlns:a14="http://schemas.microsoft.com/office/drawing/2010/main"/>
                                            </a:ext>
                                          </a:extLst>
                                        </pic:spPr>
                                      </pic:pic>
                                    </a:graphicData>
                                  </a:graphic>
                                </wp:inline>
                              </w:drawing>
                            </w:r>
                          </w:p>
                          <w:p w14:paraId="15D93A9B" w14:textId="77777777" w:rsidR="006F4D48" w:rsidRPr="003172F0" w:rsidRDefault="006F4D48" w:rsidP="00CD4931">
                            <w:pPr>
                              <w:spacing w:after="0" w:line="240" w:lineRule="auto"/>
                              <w:ind w:firstLine="0"/>
                              <w:rPr>
                                <w:rFonts w:asciiTheme="minorHAnsi" w:hAnsiTheme="minorHAnsi" w:cstheme="minorHAnsi"/>
                                <w:b/>
                                <w:bCs/>
                                <w:noProof/>
                                <w:sz w:val="24"/>
                                <w:szCs w:val="24"/>
                              </w:rPr>
                            </w:pPr>
                            <w:r w:rsidRPr="003172F0">
                              <w:rPr>
                                <w:rFonts w:asciiTheme="minorHAnsi" w:hAnsiTheme="minorHAnsi" w:cstheme="minorHAnsi"/>
                                <w:b/>
                                <w:bCs/>
                                <w:noProof/>
                                <w:sz w:val="24"/>
                                <w:szCs w:val="24"/>
                              </w:rPr>
                              <w:t>A)</w:t>
                            </w:r>
                            <w:r w:rsidRPr="003172F0">
                              <w:rPr>
                                <w:rFonts w:asciiTheme="minorHAnsi" w:hAnsiTheme="minorHAnsi" w:cstheme="minorHAnsi"/>
                                <w:b/>
                                <w:bCs/>
                                <w:noProof/>
                                <w:sz w:val="24"/>
                                <w:szCs w:val="24"/>
                              </w:rPr>
                              <w:tab/>
                            </w:r>
                            <w:r>
                              <w:rPr>
                                <w:rFonts w:asciiTheme="minorHAnsi" w:hAnsiTheme="minorHAnsi" w:cstheme="minorHAnsi"/>
                                <w:b/>
                                <w:bCs/>
                                <w:noProof/>
                                <w:sz w:val="24"/>
                                <w:szCs w:val="24"/>
                              </w:rPr>
                              <w:t>SVOC A0</w:t>
                            </w:r>
                            <w:r>
                              <w:rPr>
                                <w:rFonts w:asciiTheme="minorHAnsi" w:hAnsiTheme="minorHAnsi" w:cstheme="minorHAnsi"/>
                                <w:b/>
                                <w:bCs/>
                                <w:noProof/>
                                <w:sz w:val="24"/>
                                <w:szCs w:val="24"/>
                              </w:rPr>
                              <w:tab/>
                            </w:r>
                            <w:r>
                              <w:rPr>
                                <w:rFonts w:asciiTheme="minorHAnsi" w:hAnsiTheme="minorHAnsi" w:cstheme="minorHAnsi"/>
                                <w:b/>
                                <w:bCs/>
                                <w:noProof/>
                                <w:sz w:val="24"/>
                                <w:szCs w:val="24"/>
                              </w:rPr>
                              <w:tab/>
                            </w:r>
                            <w:r>
                              <w:rPr>
                                <w:rFonts w:asciiTheme="minorHAnsi" w:hAnsiTheme="minorHAnsi" w:cstheme="minorHAnsi"/>
                                <w:b/>
                                <w:bCs/>
                                <w:noProof/>
                                <w:sz w:val="24"/>
                                <w:szCs w:val="24"/>
                              </w:rPr>
                              <w:tab/>
                            </w:r>
                            <w:r>
                              <w:rPr>
                                <w:rFonts w:asciiTheme="minorHAnsi" w:hAnsiTheme="minorHAnsi" w:cstheme="minorHAnsi"/>
                                <w:b/>
                                <w:bCs/>
                                <w:noProof/>
                                <w:sz w:val="24"/>
                                <w:szCs w:val="24"/>
                              </w:rPr>
                              <w:tab/>
                            </w:r>
                            <w:r w:rsidRPr="003172F0">
                              <w:rPr>
                                <w:rFonts w:asciiTheme="minorHAnsi" w:hAnsiTheme="minorHAnsi" w:cstheme="minorHAnsi"/>
                                <w:b/>
                                <w:bCs/>
                                <w:noProof/>
                                <w:sz w:val="24"/>
                                <w:szCs w:val="24"/>
                              </w:rPr>
                              <w:t>B)</w:t>
                            </w:r>
                            <w:r w:rsidRPr="003172F0">
                              <w:rPr>
                                <w:rFonts w:asciiTheme="minorHAnsi" w:hAnsiTheme="minorHAnsi" w:cstheme="minorHAnsi"/>
                                <w:b/>
                                <w:bCs/>
                                <w:noProof/>
                                <w:sz w:val="24"/>
                                <w:szCs w:val="24"/>
                              </w:rPr>
                              <w:tab/>
                            </w:r>
                            <w:r>
                              <w:rPr>
                                <w:rFonts w:asciiTheme="minorHAnsi" w:hAnsiTheme="minorHAnsi" w:cstheme="minorHAnsi"/>
                                <w:b/>
                                <w:bCs/>
                                <w:noProof/>
                                <w:sz w:val="24"/>
                                <w:szCs w:val="24"/>
                              </w:rPr>
                              <w:t>SVOC A20</w:t>
                            </w:r>
                          </w:p>
                          <w:p w14:paraId="49AA0C99" w14:textId="7C581DFF" w:rsidR="006F4D48" w:rsidRDefault="006F4D48" w:rsidP="00CD4931">
                            <w:pPr>
                              <w:spacing w:after="0" w:line="240" w:lineRule="auto"/>
                              <w:ind w:firstLine="0"/>
                              <w:rPr>
                                <w:noProof/>
                              </w:rPr>
                            </w:pPr>
                            <w:r w:rsidRPr="00C242FC">
                              <w:rPr>
                                <w:noProof/>
                              </w:rPr>
                              <w:drawing>
                                <wp:inline distT="0" distB="0" distL="0" distR="0" wp14:anchorId="4389AD49" wp14:editId="7D23489E">
                                  <wp:extent cx="2721133" cy="193374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93">
                                            <a:extLst>
                                              <a:ext uri="{28A0092B-C50C-407E-A947-70E740481C1C}">
                                                <a14:useLocalDpi xmlns:a14="http://schemas.microsoft.com/office/drawing/2010/main" val="0"/>
                                              </a:ext>
                                            </a:extLst>
                                          </a:blip>
                                          <a:stretch>
                                            <a:fillRect/>
                                          </a:stretch>
                                        </pic:blipFill>
                                        <pic:spPr>
                                          <a:xfrm>
                                            <a:off x="0" y="0"/>
                                            <a:ext cx="2721133" cy="1933742"/>
                                          </a:xfrm>
                                          <a:prstGeom prst="rect">
                                            <a:avLst/>
                                          </a:prstGeom>
                                        </pic:spPr>
                                      </pic:pic>
                                    </a:graphicData>
                                  </a:graphic>
                                </wp:inline>
                              </w:drawing>
                            </w:r>
                            <w:r w:rsidRPr="00C242FC">
                              <w:rPr>
                                <w:rFonts w:asciiTheme="minorHAnsi" w:hAnsiTheme="minorHAnsi" w:cstheme="minorHAnsi"/>
                                <w:b/>
                                <w:bCs/>
                                <w:noProof/>
                                <w:sz w:val="28"/>
                                <w:szCs w:val="28"/>
                              </w:rPr>
                              <w:drawing>
                                <wp:inline distT="0" distB="0" distL="0" distR="0" wp14:anchorId="3BB4B944" wp14:editId="0A28F6C9">
                                  <wp:extent cx="2721132" cy="193374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94">
                                            <a:extLst>
                                              <a:ext uri="{28A0092B-C50C-407E-A947-70E740481C1C}">
                                                <a14:useLocalDpi xmlns:a14="http://schemas.microsoft.com/office/drawing/2010/main" val="0"/>
                                              </a:ext>
                                            </a:extLst>
                                          </a:blip>
                                          <a:stretch>
                                            <a:fillRect/>
                                          </a:stretch>
                                        </pic:blipFill>
                                        <pic:spPr>
                                          <a:xfrm>
                                            <a:off x="0" y="0"/>
                                            <a:ext cx="2721132" cy="1933741"/>
                                          </a:xfrm>
                                          <a:prstGeom prst="rect">
                                            <a:avLst/>
                                          </a:prstGeom>
                                        </pic:spPr>
                                      </pic:pic>
                                    </a:graphicData>
                                  </a:graphic>
                                </wp:inline>
                              </w:drawing>
                            </w:r>
                          </w:p>
                          <w:p w14:paraId="1BB21D94" w14:textId="77777777" w:rsidR="006F4D48" w:rsidRDefault="006F4D48" w:rsidP="00CD4931">
                            <w:pPr>
                              <w:spacing w:after="0" w:line="240" w:lineRule="auto"/>
                              <w:ind w:firstLine="0"/>
                              <w:rPr>
                                <w:rFonts w:asciiTheme="minorHAnsi" w:hAnsiTheme="minorHAnsi" w:cstheme="minorHAnsi"/>
                                <w:b/>
                                <w:bCs/>
                                <w:noProof/>
                                <w:sz w:val="28"/>
                                <w:szCs w:val="28"/>
                              </w:rPr>
                            </w:pPr>
                            <w:r w:rsidRPr="00C242FC">
                              <w:rPr>
                                <w:noProof/>
                              </w:rPr>
                              <w:drawing>
                                <wp:inline distT="0" distB="0" distL="0" distR="0" wp14:anchorId="2ECD7354" wp14:editId="476E3FC6">
                                  <wp:extent cx="2743182" cy="1941150"/>
                                  <wp:effectExtent l="0" t="0" r="635"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95">
                                            <a:extLst>
                                              <a:ext uri="{28A0092B-C50C-407E-A947-70E740481C1C}">
                                                <a14:useLocalDpi xmlns:a14="http://schemas.microsoft.com/office/drawing/2010/main" val="0"/>
                                              </a:ext>
                                            </a:extLst>
                                          </a:blip>
                                          <a:stretch>
                                            <a:fillRect/>
                                          </a:stretch>
                                        </pic:blipFill>
                                        <pic:spPr>
                                          <a:xfrm>
                                            <a:off x="0" y="0"/>
                                            <a:ext cx="2743182" cy="1941150"/>
                                          </a:xfrm>
                                          <a:prstGeom prst="rect">
                                            <a:avLst/>
                                          </a:prstGeom>
                                        </pic:spPr>
                                      </pic:pic>
                                    </a:graphicData>
                                  </a:graphic>
                                </wp:inline>
                              </w:drawing>
                            </w:r>
                            <w:r w:rsidRPr="00C242FC">
                              <w:rPr>
                                <w:noProof/>
                              </w:rPr>
                              <w:drawing>
                                <wp:inline distT="0" distB="0" distL="0" distR="0" wp14:anchorId="7439EF36" wp14:editId="35E3A766">
                                  <wp:extent cx="2693995" cy="1940560"/>
                                  <wp:effectExtent l="0" t="0" r="0"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96">
                                            <a:extLst>
                                              <a:ext uri="{28A0092B-C50C-407E-A947-70E740481C1C}">
                                                <a14:useLocalDpi xmlns:a14="http://schemas.microsoft.com/office/drawing/2010/main" val="0"/>
                                              </a:ext>
                                            </a:extLst>
                                          </a:blip>
                                          <a:stretch>
                                            <a:fillRect/>
                                          </a:stretch>
                                        </pic:blipFill>
                                        <pic:spPr>
                                          <a:xfrm>
                                            <a:off x="0" y="0"/>
                                            <a:ext cx="2695464" cy="1941618"/>
                                          </a:xfrm>
                                          <a:prstGeom prst="rect">
                                            <a:avLst/>
                                          </a:prstGeom>
                                        </pic:spPr>
                                      </pic:pic>
                                    </a:graphicData>
                                  </a:graphic>
                                </wp:inline>
                              </w:drawing>
                            </w:r>
                          </w:p>
                          <w:p w14:paraId="1B2581FF" w14:textId="77777777" w:rsidR="006F4D48" w:rsidRDefault="006F4D48" w:rsidP="00CD4931">
                            <w:pPr>
                              <w:spacing w:after="0" w:line="240" w:lineRule="auto"/>
                              <w:ind w:firstLine="0"/>
                              <w:rPr>
                                <w:rFonts w:asciiTheme="minorHAnsi" w:hAnsiTheme="minorHAnsi" w:cstheme="minorHAnsi"/>
                                <w:b/>
                                <w:bCs/>
                                <w:noProof/>
                                <w:sz w:val="28"/>
                                <w:szCs w:val="28"/>
                              </w:rPr>
                            </w:pPr>
                            <w:r w:rsidRPr="00C242FC">
                              <w:rPr>
                                <w:rFonts w:asciiTheme="minorHAnsi" w:hAnsiTheme="minorHAnsi" w:cstheme="minorHAnsi"/>
                                <w:b/>
                                <w:bCs/>
                                <w:noProof/>
                                <w:sz w:val="28"/>
                                <w:szCs w:val="28"/>
                              </w:rPr>
                              <w:drawing>
                                <wp:inline distT="0" distB="0" distL="0" distR="0" wp14:anchorId="68A5A943" wp14:editId="0D76C55A">
                                  <wp:extent cx="2720975" cy="208415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97">
                                            <a:extLst>
                                              <a:ext uri="{28A0092B-C50C-407E-A947-70E740481C1C}">
                                                <a14:useLocalDpi xmlns:a14="http://schemas.microsoft.com/office/drawing/2010/main" val="0"/>
                                              </a:ext>
                                            </a:extLst>
                                          </a:blip>
                                          <a:stretch>
                                            <a:fillRect/>
                                          </a:stretch>
                                        </pic:blipFill>
                                        <pic:spPr>
                                          <a:xfrm>
                                            <a:off x="0" y="0"/>
                                            <a:ext cx="2721754" cy="2084748"/>
                                          </a:xfrm>
                                          <a:prstGeom prst="rect">
                                            <a:avLst/>
                                          </a:prstGeom>
                                        </pic:spPr>
                                      </pic:pic>
                                    </a:graphicData>
                                  </a:graphic>
                                </wp:inline>
                              </w:drawing>
                            </w:r>
                            <w:r w:rsidRPr="00C242FC">
                              <w:rPr>
                                <w:noProof/>
                              </w:rPr>
                              <w:drawing>
                                <wp:inline distT="0" distB="0" distL="0" distR="0" wp14:anchorId="69A85DA3" wp14:editId="3412A6C6">
                                  <wp:extent cx="2715299" cy="1941150"/>
                                  <wp:effectExtent l="0" t="0" r="254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98">
                                            <a:extLst>
                                              <a:ext uri="{28A0092B-C50C-407E-A947-70E740481C1C}">
                                                <a14:useLocalDpi xmlns:a14="http://schemas.microsoft.com/office/drawing/2010/main" val="0"/>
                                              </a:ext>
                                            </a:extLst>
                                          </a:blip>
                                          <a:stretch>
                                            <a:fillRect/>
                                          </a:stretch>
                                        </pic:blipFill>
                                        <pic:spPr>
                                          <a:xfrm>
                                            <a:off x="0" y="0"/>
                                            <a:ext cx="2715299" cy="1941150"/>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41B03A14" id="Text Box 210" o:spid="_x0000_s1036" type="#_x0000_t202" style="width:450.7pt;height:49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" filled="f" strokecolor="black [3213]" strokeweight=".5pt">
                <v:textbox inset="1mm,0,1mm,0">
                  <w:txbxContent>
                    <w:p w14:paraId="2F637701" w14:textId="77777777" w:rsidR="006F4D48" w:rsidRDefault="006F4D48" w:rsidP="00EE6B5C">
                      <w:pPr>
                        <w:spacing w:after="0" w:line="240" w:lineRule="auto"/>
                        <w:ind w:firstLine="0"/>
                        <w:rPr>
                          <w:noProof/>
                        </w:rPr>
                      </w:pPr>
                      <w:r w:rsidRPr="00AE6573">
                        <w:rPr>
                          <w:noProof/>
                        </w:rPr>
                        <w:drawing>
                          <wp:inline distT="0" distB="0" distL="0" distR="0" wp14:anchorId="4D17DCE5" wp14:editId="27820F17">
                            <wp:extent cx="5482590" cy="185195"/>
                            <wp:effectExtent l="0" t="0" r="0" b="571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95534"/>
                                    <a:stretch/>
                                  </pic:blipFill>
                                  <pic:spPr bwMode="auto">
                                    <a:xfrm>
                                      <a:off x="0" y="0"/>
                                      <a:ext cx="5482590" cy="185195"/>
                                    </a:xfrm>
                                    <a:prstGeom prst="rect">
                                      <a:avLst/>
                                    </a:prstGeom>
                                    <a:ln>
                                      <a:noFill/>
                                    </a:ln>
                                    <a:extLst>
                                      <a:ext uri="{53640926-AAD7-44D8-BBD7-CCE9431645EC}">
                                        <a14:shadowObscured xmlns:a14="http://schemas.microsoft.com/office/drawing/2010/main"/>
                                      </a:ext>
                                    </a:extLst>
                                  </pic:spPr>
                                </pic:pic>
                              </a:graphicData>
                            </a:graphic>
                          </wp:inline>
                        </w:drawing>
                      </w:r>
                    </w:p>
                    <w:p w14:paraId="15D93A9B" w14:textId="77777777" w:rsidR="006F4D48" w:rsidRPr="003172F0" w:rsidRDefault="006F4D48" w:rsidP="00CD4931">
                      <w:pPr>
                        <w:spacing w:after="0" w:line="240" w:lineRule="auto"/>
                        <w:ind w:firstLine="0"/>
                        <w:rPr>
                          <w:rFonts w:asciiTheme="minorHAnsi" w:hAnsiTheme="minorHAnsi" w:cstheme="minorHAnsi"/>
                          <w:b/>
                          <w:bCs/>
                          <w:noProof/>
                          <w:sz w:val="24"/>
                          <w:szCs w:val="24"/>
                        </w:rPr>
                      </w:pPr>
                      <w:r w:rsidRPr="003172F0">
                        <w:rPr>
                          <w:rFonts w:asciiTheme="minorHAnsi" w:hAnsiTheme="minorHAnsi" w:cstheme="minorHAnsi"/>
                          <w:b/>
                          <w:bCs/>
                          <w:noProof/>
                          <w:sz w:val="24"/>
                          <w:szCs w:val="24"/>
                        </w:rPr>
                        <w:t>A)</w:t>
                      </w:r>
                      <w:r w:rsidRPr="003172F0">
                        <w:rPr>
                          <w:rFonts w:asciiTheme="minorHAnsi" w:hAnsiTheme="minorHAnsi" w:cstheme="minorHAnsi"/>
                          <w:b/>
                          <w:bCs/>
                          <w:noProof/>
                          <w:sz w:val="24"/>
                          <w:szCs w:val="24"/>
                        </w:rPr>
                        <w:tab/>
                      </w:r>
                      <w:r>
                        <w:rPr>
                          <w:rFonts w:asciiTheme="minorHAnsi" w:hAnsiTheme="minorHAnsi" w:cstheme="minorHAnsi"/>
                          <w:b/>
                          <w:bCs/>
                          <w:noProof/>
                          <w:sz w:val="24"/>
                          <w:szCs w:val="24"/>
                        </w:rPr>
                        <w:t>SVOC A0</w:t>
                      </w:r>
                      <w:r>
                        <w:rPr>
                          <w:rFonts w:asciiTheme="minorHAnsi" w:hAnsiTheme="minorHAnsi" w:cstheme="minorHAnsi"/>
                          <w:b/>
                          <w:bCs/>
                          <w:noProof/>
                          <w:sz w:val="24"/>
                          <w:szCs w:val="24"/>
                        </w:rPr>
                        <w:tab/>
                      </w:r>
                      <w:r>
                        <w:rPr>
                          <w:rFonts w:asciiTheme="minorHAnsi" w:hAnsiTheme="minorHAnsi" w:cstheme="minorHAnsi"/>
                          <w:b/>
                          <w:bCs/>
                          <w:noProof/>
                          <w:sz w:val="24"/>
                          <w:szCs w:val="24"/>
                        </w:rPr>
                        <w:tab/>
                      </w:r>
                      <w:r>
                        <w:rPr>
                          <w:rFonts w:asciiTheme="minorHAnsi" w:hAnsiTheme="minorHAnsi" w:cstheme="minorHAnsi"/>
                          <w:b/>
                          <w:bCs/>
                          <w:noProof/>
                          <w:sz w:val="24"/>
                          <w:szCs w:val="24"/>
                        </w:rPr>
                        <w:tab/>
                      </w:r>
                      <w:r>
                        <w:rPr>
                          <w:rFonts w:asciiTheme="minorHAnsi" w:hAnsiTheme="minorHAnsi" w:cstheme="minorHAnsi"/>
                          <w:b/>
                          <w:bCs/>
                          <w:noProof/>
                          <w:sz w:val="24"/>
                          <w:szCs w:val="24"/>
                        </w:rPr>
                        <w:tab/>
                      </w:r>
                      <w:r w:rsidRPr="003172F0">
                        <w:rPr>
                          <w:rFonts w:asciiTheme="minorHAnsi" w:hAnsiTheme="minorHAnsi" w:cstheme="minorHAnsi"/>
                          <w:b/>
                          <w:bCs/>
                          <w:noProof/>
                          <w:sz w:val="24"/>
                          <w:szCs w:val="24"/>
                        </w:rPr>
                        <w:t>B)</w:t>
                      </w:r>
                      <w:r w:rsidRPr="003172F0">
                        <w:rPr>
                          <w:rFonts w:asciiTheme="minorHAnsi" w:hAnsiTheme="minorHAnsi" w:cstheme="minorHAnsi"/>
                          <w:b/>
                          <w:bCs/>
                          <w:noProof/>
                          <w:sz w:val="24"/>
                          <w:szCs w:val="24"/>
                        </w:rPr>
                        <w:tab/>
                      </w:r>
                      <w:r>
                        <w:rPr>
                          <w:rFonts w:asciiTheme="minorHAnsi" w:hAnsiTheme="minorHAnsi" w:cstheme="minorHAnsi"/>
                          <w:b/>
                          <w:bCs/>
                          <w:noProof/>
                          <w:sz w:val="24"/>
                          <w:szCs w:val="24"/>
                        </w:rPr>
                        <w:t>SVOC A20</w:t>
                      </w:r>
                    </w:p>
                    <w:p w14:paraId="49AA0C99" w14:textId="7C581DFF" w:rsidR="006F4D48" w:rsidRDefault="006F4D48" w:rsidP="00CD4931">
                      <w:pPr>
                        <w:spacing w:after="0" w:line="240" w:lineRule="auto"/>
                        <w:ind w:firstLine="0"/>
                        <w:rPr>
                          <w:noProof/>
                        </w:rPr>
                      </w:pPr>
                      <w:r w:rsidRPr="00C242FC">
                        <w:rPr>
                          <w:noProof/>
                        </w:rPr>
                        <w:drawing>
                          <wp:inline distT="0" distB="0" distL="0" distR="0" wp14:anchorId="4389AD49" wp14:editId="7D23489E">
                            <wp:extent cx="2721133" cy="193374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99">
                                      <a:extLst>
                                        <a:ext uri="{28A0092B-C50C-407E-A947-70E740481C1C}">
                                          <a14:useLocalDpi xmlns:a14="http://schemas.microsoft.com/office/drawing/2010/main" val="0"/>
                                        </a:ext>
                                      </a:extLst>
                                    </a:blip>
                                    <a:stretch>
                                      <a:fillRect/>
                                    </a:stretch>
                                  </pic:blipFill>
                                  <pic:spPr>
                                    <a:xfrm>
                                      <a:off x="0" y="0"/>
                                      <a:ext cx="2721133" cy="1933742"/>
                                    </a:xfrm>
                                    <a:prstGeom prst="rect">
                                      <a:avLst/>
                                    </a:prstGeom>
                                  </pic:spPr>
                                </pic:pic>
                              </a:graphicData>
                            </a:graphic>
                          </wp:inline>
                        </w:drawing>
                      </w:r>
                      <w:r w:rsidRPr="00C242FC">
                        <w:rPr>
                          <w:rFonts w:asciiTheme="minorHAnsi" w:hAnsiTheme="minorHAnsi" w:cstheme="minorHAnsi"/>
                          <w:b/>
                          <w:bCs/>
                          <w:noProof/>
                          <w:sz w:val="28"/>
                          <w:szCs w:val="28"/>
                        </w:rPr>
                        <w:drawing>
                          <wp:inline distT="0" distB="0" distL="0" distR="0" wp14:anchorId="3BB4B944" wp14:editId="0A28F6C9">
                            <wp:extent cx="2721132" cy="193374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00">
                                      <a:extLst>
                                        <a:ext uri="{28A0092B-C50C-407E-A947-70E740481C1C}">
                                          <a14:useLocalDpi xmlns:a14="http://schemas.microsoft.com/office/drawing/2010/main" val="0"/>
                                        </a:ext>
                                      </a:extLst>
                                    </a:blip>
                                    <a:stretch>
                                      <a:fillRect/>
                                    </a:stretch>
                                  </pic:blipFill>
                                  <pic:spPr>
                                    <a:xfrm>
                                      <a:off x="0" y="0"/>
                                      <a:ext cx="2721132" cy="1933741"/>
                                    </a:xfrm>
                                    <a:prstGeom prst="rect">
                                      <a:avLst/>
                                    </a:prstGeom>
                                  </pic:spPr>
                                </pic:pic>
                              </a:graphicData>
                            </a:graphic>
                          </wp:inline>
                        </w:drawing>
                      </w:r>
                    </w:p>
                    <w:p w14:paraId="1BB21D94" w14:textId="77777777" w:rsidR="006F4D48" w:rsidRDefault="006F4D48" w:rsidP="00CD4931">
                      <w:pPr>
                        <w:spacing w:after="0" w:line="240" w:lineRule="auto"/>
                        <w:ind w:firstLine="0"/>
                        <w:rPr>
                          <w:rFonts w:asciiTheme="minorHAnsi" w:hAnsiTheme="minorHAnsi" w:cstheme="minorHAnsi"/>
                          <w:b/>
                          <w:bCs/>
                          <w:noProof/>
                          <w:sz w:val="28"/>
                          <w:szCs w:val="28"/>
                        </w:rPr>
                      </w:pPr>
                      <w:r w:rsidRPr="00C242FC">
                        <w:rPr>
                          <w:noProof/>
                        </w:rPr>
                        <w:drawing>
                          <wp:inline distT="0" distB="0" distL="0" distR="0" wp14:anchorId="2ECD7354" wp14:editId="476E3FC6">
                            <wp:extent cx="2743182" cy="1941150"/>
                            <wp:effectExtent l="0" t="0" r="635"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1">
                                      <a:extLst>
                                        <a:ext uri="{28A0092B-C50C-407E-A947-70E740481C1C}">
                                          <a14:useLocalDpi xmlns:a14="http://schemas.microsoft.com/office/drawing/2010/main" val="0"/>
                                        </a:ext>
                                      </a:extLst>
                                    </a:blip>
                                    <a:stretch>
                                      <a:fillRect/>
                                    </a:stretch>
                                  </pic:blipFill>
                                  <pic:spPr>
                                    <a:xfrm>
                                      <a:off x="0" y="0"/>
                                      <a:ext cx="2743182" cy="1941150"/>
                                    </a:xfrm>
                                    <a:prstGeom prst="rect">
                                      <a:avLst/>
                                    </a:prstGeom>
                                  </pic:spPr>
                                </pic:pic>
                              </a:graphicData>
                            </a:graphic>
                          </wp:inline>
                        </w:drawing>
                      </w:r>
                      <w:r w:rsidRPr="00C242FC">
                        <w:rPr>
                          <w:noProof/>
                        </w:rPr>
                        <w:drawing>
                          <wp:inline distT="0" distB="0" distL="0" distR="0" wp14:anchorId="7439EF36" wp14:editId="35E3A766">
                            <wp:extent cx="2693995" cy="1940560"/>
                            <wp:effectExtent l="0" t="0" r="0"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02">
                                      <a:extLst>
                                        <a:ext uri="{28A0092B-C50C-407E-A947-70E740481C1C}">
                                          <a14:useLocalDpi xmlns:a14="http://schemas.microsoft.com/office/drawing/2010/main" val="0"/>
                                        </a:ext>
                                      </a:extLst>
                                    </a:blip>
                                    <a:stretch>
                                      <a:fillRect/>
                                    </a:stretch>
                                  </pic:blipFill>
                                  <pic:spPr>
                                    <a:xfrm>
                                      <a:off x="0" y="0"/>
                                      <a:ext cx="2695464" cy="1941618"/>
                                    </a:xfrm>
                                    <a:prstGeom prst="rect">
                                      <a:avLst/>
                                    </a:prstGeom>
                                  </pic:spPr>
                                </pic:pic>
                              </a:graphicData>
                            </a:graphic>
                          </wp:inline>
                        </w:drawing>
                      </w:r>
                    </w:p>
                    <w:p w14:paraId="1B2581FF" w14:textId="77777777" w:rsidR="006F4D48" w:rsidRDefault="006F4D48" w:rsidP="00CD4931">
                      <w:pPr>
                        <w:spacing w:after="0" w:line="240" w:lineRule="auto"/>
                        <w:ind w:firstLine="0"/>
                        <w:rPr>
                          <w:rFonts w:asciiTheme="minorHAnsi" w:hAnsiTheme="minorHAnsi" w:cstheme="minorHAnsi"/>
                          <w:b/>
                          <w:bCs/>
                          <w:noProof/>
                          <w:sz w:val="28"/>
                          <w:szCs w:val="28"/>
                        </w:rPr>
                      </w:pPr>
                      <w:r w:rsidRPr="00C242FC">
                        <w:rPr>
                          <w:rFonts w:asciiTheme="minorHAnsi" w:hAnsiTheme="minorHAnsi" w:cstheme="minorHAnsi"/>
                          <w:b/>
                          <w:bCs/>
                          <w:noProof/>
                          <w:sz w:val="28"/>
                          <w:szCs w:val="28"/>
                        </w:rPr>
                        <w:drawing>
                          <wp:inline distT="0" distB="0" distL="0" distR="0" wp14:anchorId="68A5A943" wp14:editId="0D76C55A">
                            <wp:extent cx="2720975" cy="208415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03">
                                      <a:extLst>
                                        <a:ext uri="{28A0092B-C50C-407E-A947-70E740481C1C}">
                                          <a14:useLocalDpi xmlns:a14="http://schemas.microsoft.com/office/drawing/2010/main" val="0"/>
                                        </a:ext>
                                      </a:extLst>
                                    </a:blip>
                                    <a:stretch>
                                      <a:fillRect/>
                                    </a:stretch>
                                  </pic:blipFill>
                                  <pic:spPr>
                                    <a:xfrm>
                                      <a:off x="0" y="0"/>
                                      <a:ext cx="2721754" cy="2084748"/>
                                    </a:xfrm>
                                    <a:prstGeom prst="rect">
                                      <a:avLst/>
                                    </a:prstGeom>
                                  </pic:spPr>
                                </pic:pic>
                              </a:graphicData>
                            </a:graphic>
                          </wp:inline>
                        </w:drawing>
                      </w:r>
                      <w:r w:rsidRPr="00C242FC">
                        <w:rPr>
                          <w:noProof/>
                        </w:rPr>
                        <w:drawing>
                          <wp:inline distT="0" distB="0" distL="0" distR="0" wp14:anchorId="69A85DA3" wp14:editId="3412A6C6">
                            <wp:extent cx="2715299" cy="1941150"/>
                            <wp:effectExtent l="0" t="0" r="254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4">
                                      <a:extLst>
                                        <a:ext uri="{28A0092B-C50C-407E-A947-70E740481C1C}">
                                          <a14:useLocalDpi xmlns:a14="http://schemas.microsoft.com/office/drawing/2010/main" val="0"/>
                                        </a:ext>
                                      </a:extLst>
                                    </a:blip>
                                    <a:stretch>
                                      <a:fillRect/>
                                    </a:stretch>
                                  </pic:blipFill>
                                  <pic:spPr>
                                    <a:xfrm>
                                      <a:off x="0" y="0"/>
                                      <a:ext cx="2715299" cy="1941150"/>
                                    </a:xfrm>
                                    <a:prstGeom prst="rect">
                                      <a:avLst/>
                                    </a:prstGeom>
                                  </pic:spPr>
                                </pic:pic>
                              </a:graphicData>
                            </a:graphic>
                          </wp:inline>
                        </w:drawing>
                      </w:r>
                    </w:p>
                  </w:txbxContent>
                </v:textbox>
                <w10:anchorlock/>
              </v:shape>
            </w:pict>
          </mc:Fallback>
        </mc:AlternateContent>
      </w:r>
      <w:r w:rsidR="00670906" w:rsidRPr="007F3C5D">
        <w:rPr>
          <w:rFonts w:ascii="Cambria" w:hAnsi="Cambria"/>
          <w:b/>
          <w:bCs/>
          <w:i w:val="0"/>
          <w:iCs w:val="0"/>
          <w:color w:val="auto"/>
          <w:sz w:val="16"/>
          <w:szCs w:val="16"/>
          <w:lang w:val="en-US"/>
        </w:rPr>
        <w:t xml:space="preserve"> Figure 1</w:t>
      </w:r>
      <w:r w:rsidR="005F6099" w:rsidRPr="007F3C5D">
        <w:rPr>
          <w:rFonts w:ascii="Cambria" w:hAnsi="Cambria"/>
          <w:b/>
          <w:bCs/>
          <w:i w:val="0"/>
          <w:iCs w:val="0"/>
          <w:color w:val="auto"/>
          <w:sz w:val="16"/>
          <w:szCs w:val="16"/>
          <w:lang w:val="en-US"/>
        </w:rPr>
        <w:t>2</w:t>
      </w:r>
      <w:r w:rsidR="00670906" w:rsidRPr="007F3C5D">
        <w:rPr>
          <w:rFonts w:ascii="Cambria" w:hAnsi="Cambria"/>
          <w:b/>
          <w:bCs/>
          <w:i w:val="0"/>
          <w:iCs w:val="0"/>
          <w:color w:val="auto"/>
          <w:sz w:val="16"/>
          <w:szCs w:val="16"/>
          <w:lang w:val="en-US"/>
        </w:rPr>
        <w:t xml:space="preserve">: Effect of SVOC A0 (A) and SVOC A20 (B) on neuronal (network) activity of rat primary cortical </w:t>
      </w:r>
      <w:r w:rsidR="0011236D" w:rsidRPr="007F3C5D">
        <w:rPr>
          <w:rFonts w:ascii="Cambria" w:hAnsi="Cambria"/>
          <w:b/>
          <w:bCs/>
          <w:i w:val="0"/>
          <w:iCs w:val="0"/>
          <w:color w:val="auto"/>
          <w:sz w:val="16"/>
          <w:szCs w:val="16"/>
          <w:lang w:val="en-US"/>
        </w:rPr>
        <w:t>cultures</w:t>
      </w:r>
      <w:r w:rsidR="00670906" w:rsidRPr="007F3C5D">
        <w:rPr>
          <w:rFonts w:ascii="Cambria" w:hAnsi="Cambria"/>
          <w:b/>
          <w:bCs/>
          <w:i w:val="0"/>
          <w:iCs w:val="0"/>
          <w:color w:val="auto"/>
          <w:sz w:val="16"/>
          <w:szCs w:val="16"/>
          <w:lang w:val="en-US"/>
        </w:rPr>
        <w:t>.</w:t>
      </w:r>
      <w:r w:rsidR="00670906" w:rsidRPr="007F3C5D">
        <w:rPr>
          <w:rFonts w:ascii="Cambria" w:hAnsi="Cambria"/>
          <w:i w:val="0"/>
          <w:iCs w:val="0"/>
          <w:color w:val="auto"/>
          <w:sz w:val="16"/>
          <w:szCs w:val="16"/>
          <w:lang w:val="en-US"/>
        </w:rPr>
        <w:t xml:space="preserve"> Effects on neuronal activity were assessed after 0.5 h, 24 h, 48 h and 120 h exposure.</w:t>
      </w:r>
      <w:r w:rsidR="00670906" w:rsidRPr="007F3C5D">
        <w:rPr>
          <w:rFonts w:ascii="Cambria" w:hAnsi="Cambria"/>
          <w:b/>
          <w:bCs/>
          <w:i w:val="0"/>
          <w:iCs w:val="0"/>
          <w:color w:val="auto"/>
          <w:sz w:val="16"/>
          <w:szCs w:val="16"/>
          <w:lang w:val="en-US"/>
        </w:rPr>
        <w:t xml:space="preserve"> </w:t>
      </w:r>
      <w:r w:rsidR="00670906" w:rsidRPr="007F3C5D">
        <w:rPr>
          <w:rFonts w:ascii="Cambria" w:hAnsi="Cambria"/>
          <w:i w:val="0"/>
          <w:iCs w:val="0"/>
          <w:color w:val="auto"/>
          <w:sz w:val="16"/>
          <w:szCs w:val="16"/>
          <w:lang w:val="en-US"/>
        </w:rPr>
        <w:t xml:space="preserve">Mean Spike Rate (MSR), Mean Burst Rate (MBR), and Mean Network Burst Rate (MNBR) are presented as mean treatment ratio (± SEM) normalized to </w:t>
      </w:r>
      <w:r w:rsidR="00670906" w:rsidRPr="007F3C5D">
        <w:rPr>
          <w:rFonts w:ascii="Cambria" w:hAnsi="Cambria"/>
          <w:i w:val="0"/>
          <w:iCs w:val="0"/>
          <w:color w:val="000000" w:themeColor="text1"/>
          <w:sz w:val="16"/>
          <w:szCs w:val="16"/>
          <w:lang w:val="en-US"/>
        </w:rPr>
        <w:t xml:space="preserve">control from n = 19 - 24 wells, N = 3. Effects ≤ 25% (2xSD of control; indicated by the grey area) </w:t>
      </w:r>
      <w:proofErr w:type="gramStart"/>
      <w:r w:rsidR="00670906" w:rsidRPr="007F3C5D">
        <w:rPr>
          <w:rFonts w:ascii="Cambria" w:hAnsi="Cambria"/>
          <w:i w:val="0"/>
          <w:iCs w:val="0"/>
          <w:color w:val="000000" w:themeColor="text1"/>
          <w:sz w:val="16"/>
          <w:szCs w:val="16"/>
          <w:lang w:val="en-US"/>
        </w:rPr>
        <w:t>are considered to be</w:t>
      </w:r>
      <w:proofErr w:type="gramEnd"/>
      <w:r w:rsidR="00670906" w:rsidRPr="007F3C5D">
        <w:rPr>
          <w:rFonts w:ascii="Cambria" w:hAnsi="Cambria"/>
          <w:i w:val="0"/>
          <w:iCs w:val="0"/>
          <w:color w:val="000000" w:themeColor="text1"/>
          <w:sz w:val="16"/>
          <w:szCs w:val="16"/>
          <w:lang w:val="en-US"/>
        </w:rPr>
        <w:t xml:space="preserve"> of limited toxicological relevance. Significant effects were determined by Welch’s ANOVA and if exceeding 25% of control indicated </w:t>
      </w:r>
      <w:proofErr w:type="gramStart"/>
      <w:r w:rsidR="00670906" w:rsidRPr="007F3C5D">
        <w:rPr>
          <w:rFonts w:ascii="Cambria" w:hAnsi="Cambria"/>
          <w:i w:val="0"/>
          <w:iCs w:val="0"/>
          <w:color w:val="000000" w:themeColor="text1"/>
          <w:sz w:val="16"/>
          <w:szCs w:val="16"/>
          <w:lang w:val="en-US"/>
        </w:rPr>
        <w:t xml:space="preserve">by  </w:t>
      </w:r>
      <w:r w:rsidR="00670906" w:rsidRPr="007F3C5D">
        <w:rPr>
          <w:rFonts w:ascii="Cambria" w:hAnsi="Cambria"/>
          <w:i w:val="0"/>
          <w:iCs w:val="0"/>
          <w:color w:val="000000" w:themeColor="text1"/>
          <w:sz w:val="16"/>
          <w:szCs w:val="16"/>
          <w:vertAlign w:val="superscript"/>
          <w:lang w:val="en-US"/>
        </w:rPr>
        <w:t>a</w:t>
      </w:r>
      <w:proofErr w:type="gramEnd"/>
      <w:r w:rsidR="00670906" w:rsidRPr="007F3C5D">
        <w:rPr>
          <w:rFonts w:ascii="Cambria" w:hAnsi="Cambria"/>
          <w:i w:val="0"/>
          <w:iCs w:val="0"/>
          <w:color w:val="000000" w:themeColor="text1"/>
          <w:sz w:val="16"/>
          <w:szCs w:val="16"/>
          <w:lang w:val="en-US"/>
        </w:rPr>
        <w:t xml:space="preserve">=p &lt; 0.05 for 0.5 h exposure compared to time-matched control, </w:t>
      </w:r>
      <w:r w:rsidR="00670906" w:rsidRPr="007F3C5D">
        <w:rPr>
          <w:rFonts w:ascii="Cambria" w:hAnsi="Cambria"/>
          <w:i w:val="0"/>
          <w:iCs w:val="0"/>
          <w:color w:val="000000" w:themeColor="text1"/>
          <w:sz w:val="16"/>
          <w:szCs w:val="16"/>
          <w:vertAlign w:val="superscript"/>
          <w:lang w:val="en-US"/>
        </w:rPr>
        <w:t>b</w:t>
      </w:r>
      <w:r w:rsidR="00670906" w:rsidRPr="007F3C5D">
        <w:rPr>
          <w:rFonts w:ascii="Cambria" w:hAnsi="Cambria"/>
          <w:i w:val="0"/>
          <w:iCs w:val="0"/>
          <w:color w:val="000000" w:themeColor="text1"/>
          <w:sz w:val="16"/>
          <w:szCs w:val="16"/>
          <w:lang w:val="en-US"/>
        </w:rPr>
        <w:t xml:space="preserve">=p &lt; 0.05 for 24 h exposure compared to time-matched control, </w:t>
      </w:r>
      <w:r w:rsidR="00670906" w:rsidRPr="007F3C5D">
        <w:rPr>
          <w:rFonts w:ascii="Cambria" w:hAnsi="Cambria"/>
          <w:i w:val="0"/>
          <w:iCs w:val="0"/>
          <w:color w:val="000000" w:themeColor="text1"/>
          <w:sz w:val="16"/>
          <w:szCs w:val="16"/>
          <w:vertAlign w:val="superscript"/>
          <w:lang w:val="en-US"/>
        </w:rPr>
        <w:t>c</w:t>
      </w:r>
      <w:r w:rsidR="00670906" w:rsidRPr="007F3C5D">
        <w:rPr>
          <w:rFonts w:ascii="Cambria" w:hAnsi="Cambria"/>
          <w:i w:val="0"/>
          <w:iCs w:val="0"/>
          <w:color w:val="000000" w:themeColor="text1"/>
          <w:sz w:val="16"/>
          <w:szCs w:val="16"/>
          <w:lang w:val="en-US"/>
        </w:rPr>
        <w:t xml:space="preserve">=p &lt; 0.05 for 48 h exposure compared to time-matched control, </w:t>
      </w:r>
      <w:r w:rsidR="00670906" w:rsidRPr="007F3C5D">
        <w:rPr>
          <w:rFonts w:ascii="Cambria" w:hAnsi="Cambria"/>
          <w:i w:val="0"/>
          <w:iCs w:val="0"/>
          <w:color w:val="000000" w:themeColor="text1"/>
          <w:sz w:val="16"/>
          <w:szCs w:val="16"/>
          <w:vertAlign w:val="superscript"/>
          <w:lang w:val="en-US"/>
        </w:rPr>
        <w:t>d</w:t>
      </w:r>
      <w:r w:rsidR="00670906" w:rsidRPr="007F3C5D">
        <w:rPr>
          <w:rFonts w:ascii="Cambria" w:hAnsi="Cambria"/>
          <w:i w:val="0"/>
          <w:iCs w:val="0"/>
          <w:color w:val="000000" w:themeColor="text1"/>
          <w:sz w:val="16"/>
          <w:szCs w:val="16"/>
          <w:lang w:val="en-US"/>
        </w:rPr>
        <w:t>=p &lt; 0.05 for 120 h exposure compared to time-matched control.</w:t>
      </w:r>
    </w:p>
    <w:p w14:paraId="1F444221" w14:textId="5BD0996A" w:rsidR="00670906" w:rsidRPr="007F3C5D" w:rsidRDefault="006F4D48" w:rsidP="00A14895">
      <w:pPr>
        <w:pStyle w:val="Caption"/>
        <w:spacing w:after="0" w:line="276" w:lineRule="auto"/>
        <w:rPr>
          <w:rFonts w:ascii="Cambria" w:hAnsi="Cambria"/>
          <w:i w:val="0"/>
          <w:iCs w:val="0"/>
          <w:color w:val="auto"/>
          <w:sz w:val="16"/>
          <w:szCs w:val="16"/>
          <w:lang w:val="en-US"/>
        </w:rPr>
      </w:pPr>
      <w:r w:rsidRPr="007F3C5D">
        <w:rPr>
          <w:rFonts w:ascii="Cambria" w:hAnsi="Cambria"/>
          <w:noProof/>
          <w:lang w:val="en-US"/>
        </w:rPr>
        <w:lastRenderedPageBreak/>
        <mc:AlternateContent>
          <mc:Choice Requires="wps">
            <w:drawing>
              <wp:inline distT="0" distB="0" distL="0" distR="0" wp14:anchorId="3C389380" wp14:editId="046B27B7">
                <wp:extent cx="5724000" cy="2106705"/>
                <wp:effectExtent l="0" t="0" r="16510" b="14605"/>
                <wp:docPr id="218" name="Text Box 218"/>
                <wp:cNvGraphicFramePr/>
                <a:graphic xmlns:a="http://schemas.openxmlformats.org/drawingml/2006/main">
                  <a:graphicData uri="http://schemas.microsoft.com/office/word/2010/wordprocessingShape">
                    <wps:wsp>
                      <wps:cNvSpPr txBox="1"/>
                      <wps:spPr>
                        <a:xfrm>
                          <a:off x="0" y="0"/>
                          <a:ext cx="5724000" cy="2106705"/>
                        </a:xfrm>
                        <a:prstGeom prst="rect">
                          <a:avLst/>
                        </a:prstGeom>
                        <a:noFill/>
                        <a:ln w="6350">
                          <a:solidFill>
                            <a:schemeClr val="tx1"/>
                          </a:solidFill>
                        </a:ln>
                      </wps:spPr>
                      <wps:txbx>
                        <w:txbxContent>
                          <w:p w14:paraId="269BA823" w14:textId="77777777" w:rsidR="006F4D48" w:rsidRPr="003172F0" w:rsidRDefault="006F4D48" w:rsidP="00EE6B5C">
                            <w:pPr>
                              <w:spacing w:after="0" w:line="240" w:lineRule="auto"/>
                              <w:ind w:firstLine="0"/>
                              <w:rPr>
                                <w:rFonts w:asciiTheme="minorHAnsi" w:hAnsiTheme="minorHAnsi" w:cstheme="minorHAnsi"/>
                                <w:b/>
                                <w:bCs/>
                                <w:noProof/>
                                <w:sz w:val="24"/>
                                <w:szCs w:val="24"/>
                              </w:rPr>
                            </w:pPr>
                            <w:r w:rsidRPr="003172F0">
                              <w:rPr>
                                <w:rFonts w:asciiTheme="minorHAnsi" w:hAnsiTheme="minorHAnsi" w:cstheme="minorHAnsi"/>
                                <w:b/>
                                <w:bCs/>
                                <w:noProof/>
                                <w:sz w:val="24"/>
                                <w:szCs w:val="24"/>
                              </w:rPr>
                              <w:t>A)</w:t>
                            </w:r>
                            <w:r w:rsidRPr="003172F0">
                              <w:rPr>
                                <w:rFonts w:asciiTheme="minorHAnsi" w:hAnsiTheme="minorHAnsi" w:cstheme="minorHAnsi"/>
                                <w:b/>
                                <w:bCs/>
                                <w:noProof/>
                                <w:sz w:val="24"/>
                                <w:szCs w:val="24"/>
                              </w:rPr>
                              <w:tab/>
                            </w:r>
                            <w:r>
                              <w:rPr>
                                <w:rFonts w:asciiTheme="minorHAnsi" w:hAnsiTheme="minorHAnsi" w:cstheme="minorHAnsi"/>
                                <w:b/>
                                <w:bCs/>
                                <w:noProof/>
                                <w:sz w:val="24"/>
                                <w:szCs w:val="24"/>
                              </w:rPr>
                              <w:t>SVOC A0</w:t>
                            </w:r>
                            <w:r>
                              <w:rPr>
                                <w:rFonts w:asciiTheme="minorHAnsi" w:hAnsiTheme="minorHAnsi" w:cstheme="minorHAnsi"/>
                                <w:b/>
                                <w:bCs/>
                                <w:noProof/>
                                <w:sz w:val="24"/>
                                <w:szCs w:val="24"/>
                              </w:rPr>
                              <w:tab/>
                            </w:r>
                            <w:r>
                              <w:rPr>
                                <w:rFonts w:asciiTheme="minorHAnsi" w:hAnsiTheme="minorHAnsi" w:cstheme="minorHAnsi"/>
                                <w:b/>
                                <w:bCs/>
                                <w:noProof/>
                                <w:sz w:val="24"/>
                                <w:szCs w:val="24"/>
                              </w:rPr>
                              <w:tab/>
                            </w:r>
                            <w:r>
                              <w:rPr>
                                <w:rFonts w:asciiTheme="minorHAnsi" w:hAnsiTheme="minorHAnsi" w:cstheme="minorHAnsi"/>
                                <w:b/>
                                <w:bCs/>
                                <w:noProof/>
                                <w:sz w:val="24"/>
                                <w:szCs w:val="24"/>
                              </w:rPr>
                              <w:tab/>
                            </w:r>
                            <w:r>
                              <w:rPr>
                                <w:rFonts w:asciiTheme="minorHAnsi" w:hAnsiTheme="minorHAnsi" w:cstheme="minorHAnsi"/>
                                <w:b/>
                                <w:bCs/>
                                <w:noProof/>
                                <w:sz w:val="24"/>
                                <w:szCs w:val="24"/>
                              </w:rPr>
                              <w:tab/>
                            </w:r>
                            <w:r w:rsidRPr="003172F0">
                              <w:rPr>
                                <w:rFonts w:asciiTheme="minorHAnsi" w:hAnsiTheme="minorHAnsi" w:cstheme="minorHAnsi"/>
                                <w:b/>
                                <w:bCs/>
                                <w:noProof/>
                                <w:sz w:val="24"/>
                                <w:szCs w:val="24"/>
                              </w:rPr>
                              <w:t>B)</w:t>
                            </w:r>
                            <w:r w:rsidRPr="003172F0">
                              <w:rPr>
                                <w:rFonts w:asciiTheme="minorHAnsi" w:hAnsiTheme="minorHAnsi" w:cstheme="minorHAnsi"/>
                                <w:b/>
                                <w:bCs/>
                                <w:noProof/>
                                <w:sz w:val="24"/>
                                <w:szCs w:val="24"/>
                              </w:rPr>
                              <w:tab/>
                            </w:r>
                            <w:r>
                              <w:rPr>
                                <w:rFonts w:asciiTheme="minorHAnsi" w:hAnsiTheme="minorHAnsi" w:cstheme="minorHAnsi"/>
                                <w:b/>
                                <w:bCs/>
                                <w:noProof/>
                                <w:sz w:val="24"/>
                                <w:szCs w:val="24"/>
                              </w:rPr>
                              <w:t>SVOC A20</w:t>
                            </w:r>
                          </w:p>
                          <w:p w14:paraId="3C8E0E46" w14:textId="77777777" w:rsidR="006F4D48" w:rsidRDefault="006F4D48" w:rsidP="00CD4931">
                            <w:pPr>
                              <w:spacing w:after="0" w:line="240" w:lineRule="auto"/>
                              <w:ind w:firstLine="0"/>
                              <w:contextualSpacing/>
                              <w:rPr>
                                <w:rFonts w:asciiTheme="minorHAnsi" w:hAnsiTheme="minorHAnsi" w:cstheme="minorHAnsi"/>
                                <w:b/>
                                <w:bCs/>
                                <w:noProof/>
                                <w:sz w:val="28"/>
                                <w:szCs w:val="28"/>
                              </w:rPr>
                            </w:pPr>
                            <w:r w:rsidRPr="00BE6CE1">
                              <w:rPr>
                                <w:rFonts w:asciiTheme="minorHAnsi" w:hAnsiTheme="minorHAnsi" w:cstheme="minorHAnsi"/>
                                <w:b/>
                                <w:bCs/>
                                <w:noProof/>
                                <w:sz w:val="28"/>
                                <w:szCs w:val="28"/>
                              </w:rPr>
                              <w:drawing>
                                <wp:inline distT="0" distB="0" distL="0" distR="0" wp14:anchorId="444A050B" wp14:editId="773B3600">
                                  <wp:extent cx="2672677" cy="192205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5">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r w:rsidRPr="00BE6CE1">
                              <w:rPr>
                                <w:rFonts w:asciiTheme="minorHAnsi" w:hAnsiTheme="minorHAnsi" w:cstheme="minorHAnsi"/>
                                <w:b/>
                                <w:bCs/>
                                <w:noProof/>
                                <w:sz w:val="28"/>
                                <w:szCs w:val="28"/>
                              </w:rPr>
                              <w:drawing>
                                <wp:inline distT="0" distB="0" distL="0" distR="0" wp14:anchorId="16E8BE98" wp14:editId="774C2F1F">
                                  <wp:extent cx="2672677" cy="192205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6">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3C389380" id="Text Box 218" o:spid="_x0000_s1037" type="#_x0000_t202" style="width:450.7pt;height:16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" filled="f" strokecolor="black [3213]" strokeweight=".5pt">
                <v:textbox inset="1mm,0,1mm,0">
                  <w:txbxContent>
                    <w:p w14:paraId="269BA823" w14:textId="77777777" w:rsidR="006F4D48" w:rsidRPr="003172F0" w:rsidRDefault="006F4D48" w:rsidP="00EE6B5C">
                      <w:pPr>
                        <w:spacing w:after="0" w:line="240" w:lineRule="auto"/>
                        <w:ind w:firstLine="0"/>
                        <w:rPr>
                          <w:rFonts w:asciiTheme="minorHAnsi" w:hAnsiTheme="minorHAnsi" w:cstheme="minorHAnsi"/>
                          <w:b/>
                          <w:bCs/>
                          <w:noProof/>
                          <w:sz w:val="24"/>
                          <w:szCs w:val="24"/>
                        </w:rPr>
                      </w:pPr>
                      <w:r w:rsidRPr="003172F0">
                        <w:rPr>
                          <w:rFonts w:asciiTheme="minorHAnsi" w:hAnsiTheme="minorHAnsi" w:cstheme="minorHAnsi"/>
                          <w:b/>
                          <w:bCs/>
                          <w:noProof/>
                          <w:sz w:val="24"/>
                          <w:szCs w:val="24"/>
                        </w:rPr>
                        <w:t>A)</w:t>
                      </w:r>
                      <w:r w:rsidRPr="003172F0">
                        <w:rPr>
                          <w:rFonts w:asciiTheme="minorHAnsi" w:hAnsiTheme="minorHAnsi" w:cstheme="minorHAnsi"/>
                          <w:b/>
                          <w:bCs/>
                          <w:noProof/>
                          <w:sz w:val="24"/>
                          <w:szCs w:val="24"/>
                        </w:rPr>
                        <w:tab/>
                      </w:r>
                      <w:r>
                        <w:rPr>
                          <w:rFonts w:asciiTheme="minorHAnsi" w:hAnsiTheme="minorHAnsi" w:cstheme="minorHAnsi"/>
                          <w:b/>
                          <w:bCs/>
                          <w:noProof/>
                          <w:sz w:val="24"/>
                          <w:szCs w:val="24"/>
                        </w:rPr>
                        <w:t>SVOC A0</w:t>
                      </w:r>
                      <w:r>
                        <w:rPr>
                          <w:rFonts w:asciiTheme="minorHAnsi" w:hAnsiTheme="minorHAnsi" w:cstheme="minorHAnsi"/>
                          <w:b/>
                          <w:bCs/>
                          <w:noProof/>
                          <w:sz w:val="24"/>
                          <w:szCs w:val="24"/>
                        </w:rPr>
                        <w:tab/>
                      </w:r>
                      <w:r>
                        <w:rPr>
                          <w:rFonts w:asciiTheme="minorHAnsi" w:hAnsiTheme="minorHAnsi" w:cstheme="minorHAnsi"/>
                          <w:b/>
                          <w:bCs/>
                          <w:noProof/>
                          <w:sz w:val="24"/>
                          <w:szCs w:val="24"/>
                        </w:rPr>
                        <w:tab/>
                      </w:r>
                      <w:r>
                        <w:rPr>
                          <w:rFonts w:asciiTheme="minorHAnsi" w:hAnsiTheme="minorHAnsi" w:cstheme="minorHAnsi"/>
                          <w:b/>
                          <w:bCs/>
                          <w:noProof/>
                          <w:sz w:val="24"/>
                          <w:szCs w:val="24"/>
                        </w:rPr>
                        <w:tab/>
                      </w:r>
                      <w:r>
                        <w:rPr>
                          <w:rFonts w:asciiTheme="minorHAnsi" w:hAnsiTheme="minorHAnsi" w:cstheme="minorHAnsi"/>
                          <w:b/>
                          <w:bCs/>
                          <w:noProof/>
                          <w:sz w:val="24"/>
                          <w:szCs w:val="24"/>
                        </w:rPr>
                        <w:tab/>
                      </w:r>
                      <w:r w:rsidRPr="003172F0">
                        <w:rPr>
                          <w:rFonts w:asciiTheme="minorHAnsi" w:hAnsiTheme="minorHAnsi" w:cstheme="minorHAnsi"/>
                          <w:b/>
                          <w:bCs/>
                          <w:noProof/>
                          <w:sz w:val="24"/>
                          <w:szCs w:val="24"/>
                        </w:rPr>
                        <w:t>B)</w:t>
                      </w:r>
                      <w:r w:rsidRPr="003172F0">
                        <w:rPr>
                          <w:rFonts w:asciiTheme="minorHAnsi" w:hAnsiTheme="minorHAnsi" w:cstheme="minorHAnsi"/>
                          <w:b/>
                          <w:bCs/>
                          <w:noProof/>
                          <w:sz w:val="24"/>
                          <w:szCs w:val="24"/>
                        </w:rPr>
                        <w:tab/>
                      </w:r>
                      <w:r>
                        <w:rPr>
                          <w:rFonts w:asciiTheme="minorHAnsi" w:hAnsiTheme="minorHAnsi" w:cstheme="minorHAnsi"/>
                          <w:b/>
                          <w:bCs/>
                          <w:noProof/>
                          <w:sz w:val="24"/>
                          <w:szCs w:val="24"/>
                        </w:rPr>
                        <w:t>SVOC A20</w:t>
                      </w:r>
                    </w:p>
                    <w:p w14:paraId="3C8E0E46" w14:textId="77777777" w:rsidR="006F4D48" w:rsidRDefault="006F4D48" w:rsidP="00CD4931">
                      <w:pPr>
                        <w:spacing w:after="0" w:line="240" w:lineRule="auto"/>
                        <w:ind w:firstLine="0"/>
                        <w:contextualSpacing/>
                        <w:rPr>
                          <w:rFonts w:asciiTheme="minorHAnsi" w:hAnsiTheme="minorHAnsi" w:cstheme="minorHAnsi"/>
                          <w:b/>
                          <w:bCs/>
                          <w:noProof/>
                          <w:sz w:val="28"/>
                          <w:szCs w:val="28"/>
                        </w:rPr>
                      </w:pPr>
                      <w:r w:rsidRPr="00BE6CE1">
                        <w:rPr>
                          <w:rFonts w:asciiTheme="minorHAnsi" w:hAnsiTheme="minorHAnsi" w:cstheme="minorHAnsi"/>
                          <w:b/>
                          <w:bCs/>
                          <w:noProof/>
                          <w:sz w:val="28"/>
                          <w:szCs w:val="28"/>
                        </w:rPr>
                        <w:drawing>
                          <wp:inline distT="0" distB="0" distL="0" distR="0" wp14:anchorId="444A050B" wp14:editId="773B3600">
                            <wp:extent cx="2672677" cy="192205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7">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r w:rsidRPr="00BE6CE1">
                        <w:rPr>
                          <w:rFonts w:asciiTheme="minorHAnsi" w:hAnsiTheme="minorHAnsi" w:cstheme="minorHAnsi"/>
                          <w:b/>
                          <w:bCs/>
                          <w:noProof/>
                          <w:sz w:val="28"/>
                          <w:szCs w:val="28"/>
                        </w:rPr>
                        <w:drawing>
                          <wp:inline distT="0" distB="0" distL="0" distR="0" wp14:anchorId="16E8BE98" wp14:editId="774C2F1F">
                            <wp:extent cx="2672677" cy="192205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8">
                                      <a:extLst>
                                        <a:ext uri="{28A0092B-C50C-407E-A947-70E740481C1C}">
                                          <a14:useLocalDpi xmlns:a14="http://schemas.microsoft.com/office/drawing/2010/main" val="0"/>
                                        </a:ext>
                                      </a:extLst>
                                    </a:blip>
                                    <a:stretch>
                                      <a:fillRect/>
                                    </a:stretch>
                                  </pic:blipFill>
                                  <pic:spPr>
                                    <a:xfrm>
                                      <a:off x="0" y="0"/>
                                      <a:ext cx="2672677" cy="1922053"/>
                                    </a:xfrm>
                                    <a:prstGeom prst="rect">
                                      <a:avLst/>
                                    </a:prstGeom>
                                  </pic:spPr>
                                </pic:pic>
                              </a:graphicData>
                            </a:graphic>
                          </wp:inline>
                        </w:drawing>
                      </w:r>
                    </w:p>
                  </w:txbxContent>
                </v:textbox>
                <w10:anchorlock/>
              </v:shape>
            </w:pict>
          </mc:Fallback>
        </mc:AlternateContent>
      </w:r>
      <w:r w:rsidR="00670906" w:rsidRPr="007F3C5D">
        <w:rPr>
          <w:rFonts w:ascii="Cambria" w:hAnsi="Cambria"/>
          <w:b/>
          <w:bCs/>
          <w:i w:val="0"/>
          <w:iCs w:val="0"/>
          <w:color w:val="auto"/>
          <w:sz w:val="16"/>
          <w:szCs w:val="16"/>
          <w:lang w:val="en-US"/>
        </w:rPr>
        <w:t xml:space="preserve"> Figure 1</w:t>
      </w:r>
      <w:r w:rsidR="005F6099" w:rsidRPr="007F3C5D">
        <w:rPr>
          <w:rFonts w:ascii="Cambria" w:hAnsi="Cambria"/>
          <w:b/>
          <w:bCs/>
          <w:i w:val="0"/>
          <w:iCs w:val="0"/>
          <w:color w:val="auto"/>
          <w:sz w:val="16"/>
          <w:szCs w:val="16"/>
          <w:lang w:val="en-US"/>
        </w:rPr>
        <w:t>3</w:t>
      </w:r>
      <w:r w:rsidR="00670906" w:rsidRPr="007F3C5D">
        <w:rPr>
          <w:rFonts w:ascii="Cambria" w:hAnsi="Cambria"/>
          <w:b/>
          <w:bCs/>
          <w:i w:val="0"/>
          <w:iCs w:val="0"/>
          <w:color w:val="auto"/>
          <w:sz w:val="16"/>
          <w:szCs w:val="16"/>
          <w:lang w:val="en-US"/>
        </w:rPr>
        <w:t xml:space="preserve">: Effect of SVOC A0 (A) and SVOC A20 (B) on metabolic activity of rat primary cortical </w:t>
      </w:r>
      <w:r w:rsidR="0011236D" w:rsidRPr="007F3C5D">
        <w:rPr>
          <w:rFonts w:ascii="Cambria" w:hAnsi="Cambria"/>
          <w:b/>
          <w:bCs/>
          <w:i w:val="0"/>
          <w:iCs w:val="0"/>
          <w:color w:val="auto"/>
          <w:sz w:val="16"/>
          <w:szCs w:val="16"/>
          <w:lang w:val="en-US"/>
        </w:rPr>
        <w:t xml:space="preserve">cultures </w:t>
      </w:r>
      <w:r w:rsidR="00670906" w:rsidRPr="007F3C5D">
        <w:rPr>
          <w:rFonts w:ascii="Cambria" w:hAnsi="Cambria"/>
          <w:b/>
          <w:bCs/>
          <w:i w:val="0"/>
          <w:iCs w:val="0"/>
          <w:color w:val="auto"/>
          <w:sz w:val="16"/>
          <w:szCs w:val="16"/>
          <w:lang w:val="en-US"/>
        </w:rPr>
        <w:t>after 120 h exposure</w:t>
      </w:r>
      <w:r w:rsidR="00670906" w:rsidRPr="007F3C5D">
        <w:rPr>
          <w:rFonts w:ascii="Cambria" w:hAnsi="Cambria"/>
          <w:i w:val="0"/>
          <w:iCs w:val="0"/>
          <w:color w:val="auto"/>
          <w:sz w:val="16"/>
          <w:szCs w:val="16"/>
          <w:lang w:val="en-US"/>
        </w:rPr>
        <w:t xml:space="preserve">. </w:t>
      </w:r>
      <w:r w:rsidR="00670906" w:rsidRPr="007F3C5D">
        <w:rPr>
          <w:rFonts w:ascii="Cambria" w:hAnsi="Cambria"/>
          <w:i w:val="0"/>
          <w:iCs w:val="0"/>
          <w:color w:val="000000" w:themeColor="text1"/>
          <w:sz w:val="16"/>
          <w:szCs w:val="16"/>
          <w:lang w:val="en-US"/>
        </w:rPr>
        <w:t xml:space="preserve">Cell viability data is presented as mean (± SD) normalized to control from n = 21 - 24 wells, N = 3. </w:t>
      </w:r>
      <w:r w:rsidR="00670906" w:rsidRPr="007F3C5D">
        <w:rPr>
          <w:rFonts w:ascii="Cambria" w:hAnsi="Cambria"/>
          <w:i w:val="0"/>
          <w:iCs w:val="0"/>
          <w:color w:val="auto"/>
          <w:sz w:val="16"/>
          <w:szCs w:val="16"/>
          <w:lang w:val="en-US"/>
        </w:rPr>
        <w:t>Effects ≤ 10% are of limited toxicological relevance and indicated by the grey area. Significant effects were determined by ordinary one-way ANOVA. *=p &lt; 0.05 compared to control and exceeding 10%.</w:t>
      </w:r>
      <w:bookmarkStart w:id="54" w:name="_Toc91775077"/>
    </w:p>
    <w:p w14:paraId="515A88F6" w14:textId="739D81FC" w:rsidR="006F4D48" w:rsidRPr="007F3C5D" w:rsidRDefault="006F4D48" w:rsidP="00A14895">
      <w:pPr>
        <w:pStyle w:val="Heading2"/>
      </w:pPr>
      <w:bookmarkStart w:id="55" w:name="_Toc100781393"/>
      <w:bookmarkStart w:id="56" w:name="_Toc101374939"/>
      <w:r w:rsidRPr="007F3C5D">
        <w:t>Size distribution</w:t>
      </w:r>
      <w:bookmarkEnd w:id="54"/>
      <w:bookmarkEnd w:id="55"/>
      <w:bookmarkEnd w:id="56"/>
    </w:p>
    <w:p w14:paraId="3CC8A8D4" w14:textId="54F0FCA1" w:rsidR="005F6099" w:rsidRPr="00A14895" w:rsidRDefault="00EE3C5F" w:rsidP="00A14895">
      <w:r w:rsidRPr="007F3C5D">
        <w:t>The</w:t>
      </w:r>
      <w:r w:rsidR="00F667C3" w:rsidRPr="007F3C5D">
        <w:t xml:space="preserve"> size distribution was expressed as the D50 value, which displayed the median of </w:t>
      </w:r>
      <w:r w:rsidR="00C03225" w:rsidRPr="007F3C5D">
        <w:t>hydrodynamic</w:t>
      </w:r>
      <w:r w:rsidR="00F667C3" w:rsidRPr="007F3C5D">
        <w:t xml:space="preserve"> diameter of the samples (Table </w:t>
      </w:r>
      <w:r w:rsidR="00185BCA" w:rsidRPr="007F3C5D">
        <w:t>3</w:t>
      </w:r>
      <w:r w:rsidR="00F667C3" w:rsidRPr="007F3C5D">
        <w:t>). Next to the samples, the D50 value of glutamate-free culture medium and diesel in H</w:t>
      </w:r>
      <w:r w:rsidR="00F667C3" w:rsidRPr="007F3C5D">
        <w:rPr>
          <w:vertAlign w:val="subscript"/>
        </w:rPr>
        <w:t>2</w:t>
      </w:r>
      <w:r w:rsidR="00F667C3" w:rsidRPr="007F3C5D">
        <w:t xml:space="preserve">O were </w:t>
      </w:r>
      <w:proofErr w:type="spellStart"/>
      <w:r w:rsidR="00F667C3" w:rsidRPr="007F3C5D">
        <w:t>analysed</w:t>
      </w:r>
      <w:proofErr w:type="spellEnd"/>
      <w:r w:rsidR="00F667C3" w:rsidRPr="007F3C5D">
        <w:t xml:space="preserve">. The </w:t>
      </w:r>
      <w:proofErr w:type="spellStart"/>
      <w:r w:rsidR="00F667C3" w:rsidRPr="007F3C5D">
        <w:t>glutmate</w:t>
      </w:r>
      <w:proofErr w:type="spellEnd"/>
      <w:r w:rsidR="00F667C3" w:rsidRPr="007F3C5D">
        <w:t>-free medium was indicative for the background of the medium</w:t>
      </w:r>
      <w:r w:rsidR="002637CC" w:rsidRPr="007F3C5D">
        <w:t xml:space="preserve">. Comparing the D50 of the Diesel measurements </w:t>
      </w:r>
      <w:proofErr w:type="spellStart"/>
      <w:r w:rsidR="002637CC" w:rsidRPr="007F3C5D">
        <w:t>perfomed</w:t>
      </w:r>
      <w:proofErr w:type="spellEnd"/>
      <w:r w:rsidR="002637CC" w:rsidRPr="007F3C5D">
        <w:t xml:space="preserve"> in H</w:t>
      </w:r>
      <w:r w:rsidR="002637CC" w:rsidRPr="007F3C5D">
        <w:rPr>
          <w:vertAlign w:val="subscript"/>
        </w:rPr>
        <w:t>2</w:t>
      </w:r>
      <w:r w:rsidR="002637CC" w:rsidRPr="007F3C5D">
        <w:t>O and glutamate-free culture medium</w:t>
      </w:r>
      <w:r w:rsidR="00080B59" w:rsidRPr="007F3C5D">
        <w:t xml:space="preserve"> show</w:t>
      </w:r>
      <w:r w:rsidR="002637CC" w:rsidRPr="007F3C5D">
        <w:t>s</w:t>
      </w:r>
      <w:r w:rsidR="00080B59" w:rsidRPr="007F3C5D">
        <w:t xml:space="preserve"> the </w:t>
      </w:r>
      <w:r w:rsidR="002637CC" w:rsidRPr="007F3C5D">
        <w:t>impact of the culture</w:t>
      </w:r>
      <w:r w:rsidR="00080B59" w:rsidRPr="007F3C5D">
        <w:t xml:space="preserve"> medium on the</w:t>
      </w:r>
      <w:r w:rsidR="002637CC" w:rsidRPr="007F3C5D">
        <w:t xml:space="preserve"> hydrodynamic diameter measurement of the UFP.</w:t>
      </w:r>
      <w:r w:rsidR="00AA77C8" w:rsidRPr="007F3C5D">
        <w:t xml:space="preserve"> </w:t>
      </w:r>
      <w:r w:rsidR="00743C0C" w:rsidRPr="007F3C5D">
        <w:t>The difference of diesel in H</w:t>
      </w:r>
      <w:r w:rsidR="00743C0C" w:rsidRPr="007F3C5D">
        <w:rPr>
          <w:vertAlign w:val="subscript"/>
        </w:rPr>
        <w:t>2</w:t>
      </w:r>
      <w:r w:rsidR="00743C0C" w:rsidRPr="007F3C5D">
        <w:t>O and diesel in glutamate-free culture medium indicate that the medium increases the hydro</w:t>
      </w:r>
      <w:r w:rsidR="002C1084" w:rsidRPr="007F3C5D">
        <w:t>dynamic</w:t>
      </w:r>
      <w:r w:rsidR="00743C0C" w:rsidRPr="007F3C5D">
        <w:t xml:space="preserve"> diameter. </w:t>
      </w:r>
      <w:r w:rsidR="002637CC" w:rsidRPr="007F3C5D">
        <w:t xml:space="preserve">As expected, </w:t>
      </w:r>
      <w:r w:rsidR="00EE2FD7" w:rsidRPr="007F3C5D">
        <w:t>b</w:t>
      </w:r>
      <w:r w:rsidR="002B7BF7" w:rsidRPr="007F3C5D">
        <w:t>lank extract, SVOC A0 and SVOC A20</w:t>
      </w:r>
      <w:r w:rsidR="008F27D0" w:rsidRPr="007F3C5D">
        <w:t xml:space="preserve"> </w:t>
      </w:r>
      <w:r w:rsidR="002B7BF7" w:rsidRPr="007F3C5D">
        <w:t xml:space="preserve">showed no apparent difference from the glutamate-free culture medium, thus indication that no </w:t>
      </w:r>
      <w:r w:rsidR="00D60031" w:rsidRPr="007F3C5D">
        <w:t xml:space="preserve">solid </w:t>
      </w:r>
      <w:r w:rsidR="002B7BF7" w:rsidRPr="007F3C5D">
        <w:t>particles were detected by the DLS.</w:t>
      </w:r>
      <w:r w:rsidR="00D60031" w:rsidRPr="007F3C5D">
        <w:t xml:space="preserve"> </w:t>
      </w:r>
      <w:proofErr w:type="gramStart"/>
      <w:r w:rsidR="002637CC" w:rsidRPr="007F3C5D">
        <w:t>Also</w:t>
      </w:r>
      <w:proofErr w:type="gramEnd"/>
      <w:r w:rsidR="002637CC" w:rsidRPr="007F3C5D">
        <w:t xml:space="preserve"> for EURO 6-compliant engine exhaust-derived PM</w:t>
      </w:r>
      <w:r w:rsidR="003901D6" w:rsidRPr="007F3C5D">
        <w:t>,</w:t>
      </w:r>
      <w:r w:rsidR="002637CC" w:rsidRPr="007F3C5D">
        <w:t xml:space="preserve"> the DLS measurement did not detect particles. </w:t>
      </w:r>
      <w:r w:rsidR="008F27D0" w:rsidRPr="007F3C5D">
        <w:t xml:space="preserve">Diesel and biodiesel exhaust-derived PM, EURO 2-compliant engine exhaust-derived PM, and </w:t>
      </w:r>
      <w:r w:rsidR="00D90479" w:rsidRPr="007F3C5D">
        <w:t xml:space="preserve">non-volatile </w:t>
      </w:r>
      <w:r w:rsidR="008F27D0" w:rsidRPr="007F3C5D">
        <w:t xml:space="preserve">A20 </w:t>
      </w:r>
      <w:r w:rsidR="005046EB" w:rsidRPr="007F3C5D">
        <w:t xml:space="preserve">showed an D50 value </w:t>
      </w:r>
      <w:r w:rsidR="00D90479" w:rsidRPr="007F3C5D">
        <w:t xml:space="preserve">falling in the PM2.5 size range, </w:t>
      </w:r>
      <w:r w:rsidR="00EA6B91" w:rsidRPr="007F3C5D">
        <w:t>and the D50 value of</w:t>
      </w:r>
      <w:r w:rsidR="005046EB" w:rsidRPr="007F3C5D">
        <w:t xml:space="preserve"> </w:t>
      </w:r>
      <w:r w:rsidR="00EA6B91" w:rsidRPr="007F3C5D">
        <w:t>n</w:t>
      </w:r>
      <w:r w:rsidR="00DA0006" w:rsidRPr="007F3C5D">
        <w:t>on-volatile A0 falls into the UFP size range</w:t>
      </w:r>
      <w:r w:rsidR="00EA6B91" w:rsidRPr="007F3C5D">
        <w:t>.</w:t>
      </w:r>
      <w:r w:rsidR="00623821" w:rsidRPr="007F3C5D">
        <w:t xml:space="preserve"> </w:t>
      </w:r>
    </w:p>
    <w:p w14:paraId="0118327E" w14:textId="0DDC9A5A" w:rsidR="00EE3C5F" w:rsidRPr="007F3C5D" w:rsidRDefault="00EE3C5F" w:rsidP="00A14895">
      <w:pPr>
        <w:ind w:firstLine="0"/>
        <w:rPr>
          <w:sz w:val="18"/>
          <w:szCs w:val="18"/>
        </w:rPr>
      </w:pPr>
      <w:r w:rsidRPr="007F3C5D">
        <w:rPr>
          <w:sz w:val="18"/>
          <w:szCs w:val="18"/>
        </w:rPr>
        <w:t xml:space="preserve">Table </w:t>
      </w:r>
      <w:r w:rsidR="00185BCA" w:rsidRPr="007F3C5D">
        <w:rPr>
          <w:sz w:val="18"/>
          <w:szCs w:val="18"/>
        </w:rPr>
        <w:t xml:space="preserve">3: </w:t>
      </w:r>
      <w:r w:rsidR="00EB3A54" w:rsidRPr="007F3C5D">
        <w:rPr>
          <w:sz w:val="18"/>
          <w:szCs w:val="18"/>
        </w:rPr>
        <w:t>Hydrodynamic diameter of the samples. Data is presented as D50 value (±SD)</w:t>
      </w:r>
    </w:p>
    <w:tbl>
      <w:tblPr>
        <w:tblStyle w:val="PlainTable1"/>
        <w:tblW w:w="3773"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972"/>
        <w:gridCol w:w="1557"/>
        <w:gridCol w:w="2270"/>
      </w:tblGrid>
      <w:tr w:rsidR="000E7192" w:rsidRPr="007F3C5D" w14:paraId="041D5F65" w14:textId="77777777" w:rsidTr="00D86D4D">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186" w:type="pct"/>
            <w:hideMark/>
          </w:tcPr>
          <w:p w14:paraId="1FF12128" w14:textId="77777777" w:rsidR="000E7192" w:rsidRPr="007F3C5D" w:rsidRDefault="000E7192" w:rsidP="00A14895">
            <w:pPr>
              <w:spacing w:after="0"/>
              <w:ind w:firstLine="0"/>
              <w:jc w:val="left"/>
              <w:rPr>
                <w:sz w:val="18"/>
                <w:szCs w:val="18"/>
              </w:rPr>
            </w:pPr>
            <w:r w:rsidRPr="007F3C5D">
              <w:rPr>
                <w:sz w:val="18"/>
                <w:szCs w:val="18"/>
              </w:rPr>
              <w:t>Sample ID</w:t>
            </w:r>
          </w:p>
        </w:tc>
        <w:tc>
          <w:tcPr>
            <w:tcW w:w="1145" w:type="pct"/>
            <w:hideMark/>
          </w:tcPr>
          <w:p w14:paraId="0091CEC8" w14:textId="5E2BE8D8" w:rsidR="000E7192" w:rsidRPr="007F3C5D" w:rsidRDefault="000E7192" w:rsidP="00A14895">
            <w:pPr>
              <w:spacing w:after="0"/>
              <w:ind w:firstLine="0"/>
              <w:jc w:val="left"/>
              <w:cnfStyle w:val="100000000000" w:firstRow="1" w:lastRow="0" w:firstColumn="0" w:lastColumn="0" w:oddVBand="0" w:evenVBand="0" w:oddHBand="0" w:evenHBand="0" w:firstRowFirstColumn="0" w:firstRowLastColumn="0" w:lastRowFirstColumn="0" w:lastRowLastColumn="0"/>
              <w:rPr>
                <w:sz w:val="18"/>
                <w:szCs w:val="18"/>
              </w:rPr>
            </w:pPr>
            <w:r w:rsidRPr="007F3C5D">
              <w:rPr>
                <w:sz w:val="18"/>
                <w:szCs w:val="18"/>
              </w:rPr>
              <w:t>D50 value (nm)</w:t>
            </w:r>
          </w:p>
        </w:tc>
        <w:tc>
          <w:tcPr>
            <w:tcW w:w="1669" w:type="pct"/>
            <w:hideMark/>
          </w:tcPr>
          <w:p w14:paraId="74B67A90" w14:textId="687C7B33" w:rsidR="000E7192" w:rsidRPr="007F3C5D" w:rsidRDefault="000E7192" w:rsidP="00A14895">
            <w:pPr>
              <w:spacing w:after="0"/>
              <w:ind w:firstLine="0"/>
              <w:jc w:val="left"/>
              <w:cnfStyle w:val="100000000000" w:firstRow="1" w:lastRow="0" w:firstColumn="0" w:lastColumn="0" w:oddVBand="0" w:evenVBand="0" w:oddHBand="0" w:evenHBand="0" w:firstRowFirstColumn="0" w:firstRowLastColumn="0" w:lastRowFirstColumn="0" w:lastRowLastColumn="0"/>
              <w:rPr>
                <w:sz w:val="18"/>
                <w:szCs w:val="18"/>
              </w:rPr>
            </w:pPr>
            <w:r w:rsidRPr="007F3C5D">
              <w:rPr>
                <w:sz w:val="18"/>
                <w:szCs w:val="18"/>
              </w:rPr>
              <w:t>Sample concentration</w:t>
            </w:r>
          </w:p>
        </w:tc>
      </w:tr>
      <w:tr w:rsidR="000E7192" w:rsidRPr="007F3C5D" w14:paraId="6756C5DA" w14:textId="77777777" w:rsidTr="00D86D4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186" w:type="pct"/>
          </w:tcPr>
          <w:p w14:paraId="63B8FF6F" w14:textId="77777777" w:rsidR="00EE2FD7" w:rsidRPr="007F3C5D" w:rsidRDefault="000E7192" w:rsidP="00A14895">
            <w:pPr>
              <w:spacing w:after="0"/>
              <w:ind w:firstLine="0"/>
              <w:jc w:val="left"/>
              <w:rPr>
                <w:b w:val="0"/>
                <w:bCs w:val="0"/>
                <w:sz w:val="18"/>
                <w:szCs w:val="18"/>
              </w:rPr>
            </w:pPr>
            <w:r w:rsidRPr="007F3C5D">
              <w:rPr>
                <w:sz w:val="18"/>
                <w:szCs w:val="18"/>
              </w:rPr>
              <w:t>Glutamate</w:t>
            </w:r>
            <w:r w:rsidR="00F667C3" w:rsidRPr="007F3C5D">
              <w:rPr>
                <w:sz w:val="18"/>
                <w:szCs w:val="18"/>
              </w:rPr>
              <w:t>-</w:t>
            </w:r>
            <w:r w:rsidRPr="007F3C5D">
              <w:rPr>
                <w:sz w:val="18"/>
                <w:szCs w:val="18"/>
              </w:rPr>
              <w:t>free culture medium</w:t>
            </w:r>
          </w:p>
          <w:p w14:paraId="6CEBA7A0" w14:textId="7AA0D3F7" w:rsidR="00EE2FD7" w:rsidRPr="007F3C5D" w:rsidRDefault="00EE2FD7" w:rsidP="00A14895">
            <w:pPr>
              <w:spacing w:after="0"/>
              <w:ind w:firstLine="0"/>
              <w:jc w:val="left"/>
              <w:rPr>
                <w:b w:val="0"/>
                <w:bCs w:val="0"/>
                <w:sz w:val="18"/>
                <w:szCs w:val="18"/>
              </w:rPr>
            </w:pPr>
            <w:r w:rsidRPr="007F3C5D">
              <w:rPr>
                <w:b w:val="0"/>
                <w:bCs w:val="0"/>
                <w:sz w:val="18"/>
                <w:szCs w:val="18"/>
              </w:rPr>
              <w:t>(</w:t>
            </w:r>
            <w:proofErr w:type="gramStart"/>
            <w:r w:rsidRPr="007F3C5D">
              <w:rPr>
                <w:b w:val="0"/>
                <w:bCs w:val="0"/>
                <w:sz w:val="18"/>
                <w:szCs w:val="18"/>
              </w:rPr>
              <w:t>equivalent</w:t>
            </w:r>
            <w:proofErr w:type="gramEnd"/>
            <w:r w:rsidRPr="007F3C5D">
              <w:rPr>
                <w:b w:val="0"/>
                <w:bCs w:val="0"/>
                <w:sz w:val="18"/>
                <w:szCs w:val="18"/>
              </w:rPr>
              <w:t xml:space="preserve"> to the background)</w:t>
            </w:r>
          </w:p>
        </w:tc>
        <w:tc>
          <w:tcPr>
            <w:tcW w:w="1145" w:type="pct"/>
          </w:tcPr>
          <w:p w14:paraId="278AA0B0" w14:textId="02DEBE09" w:rsidR="000E7192" w:rsidRPr="007F3C5D" w:rsidRDefault="00AB14A4" w:rsidP="00A14895">
            <w:pPr>
              <w:spacing w:after="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7F3C5D">
              <w:rPr>
                <w:sz w:val="18"/>
                <w:szCs w:val="18"/>
              </w:rPr>
              <w:t>7.4 ± 0.3</w:t>
            </w:r>
          </w:p>
        </w:tc>
        <w:tc>
          <w:tcPr>
            <w:tcW w:w="1669" w:type="pct"/>
          </w:tcPr>
          <w:p w14:paraId="0C433836" w14:textId="33F707DD" w:rsidR="000E7192" w:rsidRPr="007F3C5D" w:rsidRDefault="000E719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7F3C5D">
              <w:rPr>
                <w:sz w:val="18"/>
                <w:szCs w:val="18"/>
              </w:rPr>
              <w:t>-</w:t>
            </w:r>
          </w:p>
        </w:tc>
      </w:tr>
      <w:tr w:rsidR="006F33B2" w:rsidRPr="007F3C5D" w14:paraId="30B1F302" w14:textId="77777777" w:rsidTr="00D86D4D">
        <w:trPr>
          <w:trHeight w:val="295"/>
        </w:trPr>
        <w:tc>
          <w:tcPr>
            <w:cnfStyle w:val="001000000000" w:firstRow="0" w:lastRow="0" w:firstColumn="1" w:lastColumn="0" w:oddVBand="0" w:evenVBand="0" w:oddHBand="0" w:evenHBand="0" w:firstRowFirstColumn="0" w:firstRowLastColumn="0" w:lastRowFirstColumn="0" w:lastRowLastColumn="0"/>
            <w:tcW w:w="2186" w:type="pct"/>
          </w:tcPr>
          <w:p w14:paraId="751F7E04" w14:textId="5E3DEEFF" w:rsidR="006F33B2" w:rsidRPr="007F3C5D" w:rsidRDefault="006F33B2" w:rsidP="00A14895">
            <w:pPr>
              <w:spacing w:after="0"/>
              <w:ind w:firstLine="0"/>
              <w:jc w:val="left"/>
              <w:rPr>
                <w:sz w:val="18"/>
                <w:szCs w:val="18"/>
              </w:rPr>
            </w:pPr>
            <w:r w:rsidRPr="007F3C5D">
              <w:rPr>
                <w:sz w:val="18"/>
                <w:szCs w:val="18"/>
              </w:rPr>
              <w:t>Diesel in H</w:t>
            </w:r>
            <w:r w:rsidRPr="007F3C5D">
              <w:rPr>
                <w:sz w:val="18"/>
                <w:szCs w:val="18"/>
                <w:vertAlign w:val="subscript"/>
              </w:rPr>
              <w:t>2</w:t>
            </w:r>
            <w:r w:rsidRPr="007F3C5D">
              <w:rPr>
                <w:sz w:val="18"/>
                <w:szCs w:val="18"/>
              </w:rPr>
              <w:t>O</w:t>
            </w:r>
          </w:p>
        </w:tc>
        <w:tc>
          <w:tcPr>
            <w:tcW w:w="1145" w:type="pct"/>
          </w:tcPr>
          <w:p w14:paraId="54326161" w14:textId="6E869197" w:rsidR="006F33B2" w:rsidRPr="007F3C5D" w:rsidRDefault="00AB14A4" w:rsidP="00A14895">
            <w:pPr>
              <w:spacing w:after="0"/>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7F3C5D">
              <w:rPr>
                <w:sz w:val="18"/>
                <w:szCs w:val="18"/>
              </w:rPr>
              <w:t>167.8 ± 94.6</w:t>
            </w:r>
          </w:p>
        </w:tc>
        <w:tc>
          <w:tcPr>
            <w:tcW w:w="1669" w:type="pct"/>
          </w:tcPr>
          <w:p w14:paraId="2BCE9EE1" w14:textId="253F9EDD" w:rsidR="006F33B2" w:rsidRPr="007F3C5D" w:rsidRDefault="00AB14A4" w:rsidP="00A14895">
            <w:pPr>
              <w:spacing w:after="0"/>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7F3C5D">
              <w:rPr>
                <w:sz w:val="18"/>
                <w:szCs w:val="18"/>
              </w:rPr>
              <w:t>100 µg/mL</w:t>
            </w:r>
          </w:p>
        </w:tc>
      </w:tr>
      <w:tr w:rsidR="000E7192" w:rsidRPr="007F3C5D" w14:paraId="3A29EE46" w14:textId="77777777" w:rsidTr="00D86D4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186" w:type="pct"/>
          </w:tcPr>
          <w:p w14:paraId="75E15019" w14:textId="77777777" w:rsidR="000E7192" w:rsidRPr="007F3C5D" w:rsidRDefault="000E7192" w:rsidP="00A14895">
            <w:pPr>
              <w:spacing w:after="0"/>
              <w:ind w:firstLine="0"/>
              <w:jc w:val="left"/>
              <w:rPr>
                <w:sz w:val="18"/>
                <w:szCs w:val="18"/>
              </w:rPr>
            </w:pPr>
            <w:r w:rsidRPr="007F3C5D">
              <w:rPr>
                <w:sz w:val="18"/>
                <w:szCs w:val="18"/>
              </w:rPr>
              <w:t>Blank extract</w:t>
            </w:r>
          </w:p>
        </w:tc>
        <w:tc>
          <w:tcPr>
            <w:tcW w:w="1145" w:type="pct"/>
          </w:tcPr>
          <w:p w14:paraId="5FCAC7F1" w14:textId="017055C1" w:rsidR="000E7192" w:rsidRPr="007F3C5D" w:rsidRDefault="00AB14A4" w:rsidP="00A14895">
            <w:pPr>
              <w:spacing w:after="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7F3C5D">
              <w:rPr>
                <w:sz w:val="18"/>
                <w:szCs w:val="18"/>
              </w:rPr>
              <w:t>8.</w:t>
            </w:r>
            <w:r w:rsidR="00500E50" w:rsidRPr="007F3C5D">
              <w:rPr>
                <w:sz w:val="18"/>
                <w:szCs w:val="18"/>
              </w:rPr>
              <w:t>3 ± 0.6</w:t>
            </w:r>
          </w:p>
        </w:tc>
        <w:tc>
          <w:tcPr>
            <w:tcW w:w="1669" w:type="pct"/>
          </w:tcPr>
          <w:p w14:paraId="016541F2" w14:textId="14BE3E48" w:rsidR="000E7192" w:rsidRPr="007F3C5D" w:rsidRDefault="000E719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7F3C5D">
              <w:rPr>
                <w:sz w:val="18"/>
                <w:szCs w:val="18"/>
              </w:rPr>
              <w:t>10</w:t>
            </w:r>
            <w:r w:rsidR="00AB14A4" w:rsidRPr="007F3C5D">
              <w:rPr>
                <w:sz w:val="18"/>
                <w:szCs w:val="18"/>
              </w:rPr>
              <w:t>0</w:t>
            </w:r>
            <w:r w:rsidRPr="007F3C5D">
              <w:rPr>
                <w:sz w:val="18"/>
                <w:szCs w:val="18"/>
              </w:rPr>
              <w:t xml:space="preserve"> µg/mL</w:t>
            </w:r>
          </w:p>
        </w:tc>
      </w:tr>
      <w:tr w:rsidR="000E7192" w:rsidRPr="007F3C5D" w14:paraId="7D561A3F" w14:textId="77777777" w:rsidTr="00D86D4D">
        <w:trPr>
          <w:trHeight w:val="295"/>
        </w:trPr>
        <w:tc>
          <w:tcPr>
            <w:cnfStyle w:val="001000000000" w:firstRow="0" w:lastRow="0" w:firstColumn="1" w:lastColumn="0" w:oddVBand="0" w:evenVBand="0" w:oddHBand="0" w:evenHBand="0" w:firstRowFirstColumn="0" w:firstRowLastColumn="0" w:lastRowFirstColumn="0" w:lastRowLastColumn="0"/>
            <w:tcW w:w="2186" w:type="pct"/>
          </w:tcPr>
          <w:p w14:paraId="62E2AA0B" w14:textId="77777777" w:rsidR="000E7192" w:rsidRPr="007F3C5D" w:rsidRDefault="000E7192" w:rsidP="00A14895">
            <w:pPr>
              <w:spacing w:after="0"/>
              <w:ind w:firstLine="0"/>
              <w:jc w:val="left"/>
              <w:rPr>
                <w:sz w:val="18"/>
                <w:szCs w:val="18"/>
              </w:rPr>
            </w:pPr>
            <w:r w:rsidRPr="007F3C5D">
              <w:rPr>
                <w:sz w:val="18"/>
                <w:szCs w:val="18"/>
              </w:rPr>
              <w:t>Copper oxide particles</w:t>
            </w:r>
          </w:p>
        </w:tc>
        <w:tc>
          <w:tcPr>
            <w:tcW w:w="1145" w:type="pct"/>
          </w:tcPr>
          <w:p w14:paraId="2CA25BFD" w14:textId="6114DC67" w:rsidR="000E7192" w:rsidRPr="007F3C5D" w:rsidRDefault="00AB14A4" w:rsidP="00A14895">
            <w:pPr>
              <w:spacing w:after="0"/>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7F3C5D">
              <w:rPr>
                <w:sz w:val="18"/>
                <w:szCs w:val="18"/>
              </w:rPr>
              <w:t>362.4 ± 25.4</w:t>
            </w:r>
          </w:p>
        </w:tc>
        <w:tc>
          <w:tcPr>
            <w:tcW w:w="1669" w:type="pct"/>
          </w:tcPr>
          <w:p w14:paraId="6BAFB347" w14:textId="71C44877" w:rsidR="000E7192" w:rsidRPr="007F3C5D" w:rsidRDefault="000E719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7F3C5D">
              <w:rPr>
                <w:sz w:val="18"/>
                <w:szCs w:val="18"/>
              </w:rPr>
              <w:t>10</w:t>
            </w:r>
            <w:r w:rsidR="00AB14A4" w:rsidRPr="007F3C5D">
              <w:rPr>
                <w:sz w:val="18"/>
                <w:szCs w:val="18"/>
              </w:rPr>
              <w:t>0</w:t>
            </w:r>
            <w:r w:rsidRPr="007F3C5D">
              <w:rPr>
                <w:sz w:val="18"/>
                <w:szCs w:val="18"/>
              </w:rPr>
              <w:t xml:space="preserve"> µg/mL</w:t>
            </w:r>
          </w:p>
        </w:tc>
      </w:tr>
      <w:tr w:rsidR="000E7192" w:rsidRPr="007F3C5D" w14:paraId="783F63F2" w14:textId="77777777" w:rsidTr="00D86D4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186" w:type="pct"/>
            <w:hideMark/>
          </w:tcPr>
          <w:p w14:paraId="6B39EC74" w14:textId="77777777" w:rsidR="000E7192" w:rsidRPr="007F3C5D" w:rsidRDefault="000E7192" w:rsidP="00A14895">
            <w:pPr>
              <w:spacing w:after="0"/>
              <w:ind w:firstLine="0"/>
              <w:jc w:val="left"/>
              <w:rPr>
                <w:sz w:val="18"/>
                <w:szCs w:val="18"/>
              </w:rPr>
            </w:pPr>
            <w:r w:rsidRPr="007F3C5D">
              <w:rPr>
                <w:sz w:val="18"/>
                <w:szCs w:val="18"/>
              </w:rPr>
              <w:t>Diesel</w:t>
            </w:r>
          </w:p>
        </w:tc>
        <w:tc>
          <w:tcPr>
            <w:tcW w:w="1145" w:type="pct"/>
            <w:hideMark/>
          </w:tcPr>
          <w:p w14:paraId="28310ADD" w14:textId="37848154" w:rsidR="000E7192" w:rsidRPr="007F3C5D" w:rsidRDefault="00500E50" w:rsidP="00A14895">
            <w:pPr>
              <w:spacing w:after="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7F3C5D">
              <w:rPr>
                <w:sz w:val="18"/>
                <w:szCs w:val="18"/>
              </w:rPr>
              <w:t>270.2 ± 15.1</w:t>
            </w:r>
          </w:p>
        </w:tc>
        <w:tc>
          <w:tcPr>
            <w:tcW w:w="1669" w:type="pct"/>
            <w:hideMark/>
          </w:tcPr>
          <w:p w14:paraId="7C7A8956" w14:textId="121CEC0D" w:rsidR="000E7192" w:rsidRPr="007F3C5D" w:rsidRDefault="000E719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1</w:t>
            </w:r>
            <w:r w:rsidR="00AB14A4" w:rsidRPr="007F3C5D">
              <w:rPr>
                <w:sz w:val="18"/>
                <w:szCs w:val="18"/>
              </w:rPr>
              <w:t>0</w:t>
            </w:r>
            <w:r w:rsidRPr="007F3C5D">
              <w:rPr>
                <w:sz w:val="18"/>
                <w:szCs w:val="18"/>
              </w:rPr>
              <w:t>0 µg/mL</w:t>
            </w:r>
          </w:p>
        </w:tc>
      </w:tr>
      <w:tr w:rsidR="000E7192" w:rsidRPr="007F3C5D" w14:paraId="4B6055C0" w14:textId="77777777" w:rsidTr="00D86D4D">
        <w:trPr>
          <w:trHeight w:val="295"/>
        </w:trPr>
        <w:tc>
          <w:tcPr>
            <w:cnfStyle w:val="001000000000" w:firstRow="0" w:lastRow="0" w:firstColumn="1" w:lastColumn="0" w:oddVBand="0" w:evenVBand="0" w:oddHBand="0" w:evenHBand="0" w:firstRowFirstColumn="0" w:firstRowLastColumn="0" w:lastRowFirstColumn="0" w:lastRowLastColumn="0"/>
            <w:tcW w:w="2186" w:type="pct"/>
            <w:hideMark/>
          </w:tcPr>
          <w:p w14:paraId="32EA39FE" w14:textId="77777777" w:rsidR="000E7192" w:rsidRPr="007F3C5D" w:rsidRDefault="000E7192" w:rsidP="00A14895">
            <w:pPr>
              <w:spacing w:after="0"/>
              <w:ind w:firstLine="0"/>
              <w:jc w:val="left"/>
              <w:rPr>
                <w:sz w:val="18"/>
                <w:szCs w:val="18"/>
              </w:rPr>
            </w:pPr>
            <w:r w:rsidRPr="007F3C5D">
              <w:rPr>
                <w:sz w:val="18"/>
                <w:szCs w:val="18"/>
              </w:rPr>
              <w:t>Biodiesel</w:t>
            </w:r>
          </w:p>
        </w:tc>
        <w:tc>
          <w:tcPr>
            <w:tcW w:w="1145" w:type="pct"/>
            <w:hideMark/>
          </w:tcPr>
          <w:p w14:paraId="5EBFA182" w14:textId="56DCC536" w:rsidR="000E7192" w:rsidRPr="007F3C5D" w:rsidRDefault="00AB14A4" w:rsidP="00A14895">
            <w:pPr>
              <w:spacing w:after="0"/>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7F3C5D">
              <w:rPr>
                <w:sz w:val="18"/>
                <w:szCs w:val="18"/>
              </w:rPr>
              <w:t>245.7 ± 139.5</w:t>
            </w:r>
          </w:p>
        </w:tc>
        <w:tc>
          <w:tcPr>
            <w:tcW w:w="1669" w:type="pct"/>
            <w:hideMark/>
          </w:tcPr>
          <w:p w14:paraId="78A3E911" w14:textId="7A987B12" w:rsidR="000E7192" w:rsidRPr="007F3C5D" w:rsidRDefault="000E719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1</w:t>
            </w:r>
            <w:r w:rsidR="00AB14A4" w:rsidRPr="007F3C5D">
              <w:rPr>
                <w:sz w:val="18"/>
                <w:szCs w:val="18"/>
              </w:rPr>
              <w:t>0</w:t>
            </w:r>
            <w:r w:rsidRPr="007F3C5D">
              <w:rPr>
                <w:sz w:val="18"/>
                <w:szCs w:val="18"/>
              </w:rPr>
              <w:t>0 µg/mL</w:t>
            </w:r>
          </w:p>
        </w:tc>
      </w:tr>
      <w:tr w:rsidR="000E7192" w:rsidRPr="007F3C5D" w14:paraId="320173B0" w14:textId="77777777" w:rsidTr="00D86D4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186" w:type="pct"/>
            <w:hideMark/>
          </w:tcPr>
          <w:p w14:paraId="49C67739" w14:textId="77777777" w:rsidR="000E7192" w:rsidRPr="007F3C5D" w:rsidRDefault="000E7192" w:rsidP="00A14895">
            <w:pPr>
              <w:spacing w:after="0"/>
              <w:ind w:firstLine="0"/>
              <w:jc w:val="left"/>
              <w:rPr>
                <w:sz w:val="18"/>
                <w:szCs w:val="18"/>
              </w:rPr>
            </w:pPr>
            <w:r w:rsidRPr="007F3C5D">
              <w:rPr>
                <w:sz w:val="18"/>
                <w:szCs w:val="18"/>
              </w:rPr>
              <w:t>EURO 2 diesel</w:t>
            </w:r>
          </w:p>
        </w:tc>
        <w:tc>
          <w:tcPr>
            <w:tcW w:w="1145" w:type="pct"/>
            <w:hideMark/>
          </w:tcPr>
          <w:p w14:paraId="5DD8A2B1" w14:textId="02A15E07" w:rsidR="000E7192" w:rsidRPr="007F3C5D" w:rsidRDefault="00AB14A4" w:rsidP="00A14895">
            <w:pPr>
              <w:spacing w:after="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7F3C5D">
              <w:rPr>
                <w:sz w:val="18"/>
                <w:szCs w:val="18"/>
              </w:rPr>
              <w:t>532.5 ± 168.3</w:t>
            </w:r>
          </w:p>
        </w:tc>
        <w:tc>
          <w:tcPr>
            <w:tcW w:w="1669" w:type="pct"/>
            <w:hideMark/>
          </w:tcPr>
          <w:p w14:paraId="5AE64A19" w14:textId="46B66543" w:rsidR="000E7192" w:rsidRPr="007F3C5D" w:rsidRDefault="000E719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1</w:t>
            </w:r>
            <w:r w:rsidR="00AB14A4" w:rsidRPr="007F3C5D">
              <w:rPr>
                <w:sz w:val="18"/>
                <w:szCs w:val="18"/>
              </w:rPr>
              <w:t>0</w:t>
            </w:r>
            <w:r w:rsidRPr="007F3C5D">
              <w:rPr>
                <w:sz w:val="18"/>
                <w:szCs w:val="18"/>
              </w:rPr>
              <w:t>0 µg/mL</w:t>
            </w:r>
          </w:p>
        </w:tc>
      </w:tr>
      <w:tr w:rsidR="000E7192" w:rsidRPr="007F3C5D" w14:paraId="02A12620" w14:textId="77777777" w:rsidTr="00D86D4D">
        <w:trPr>
          <w:trHeight w:val="295"/>
        </w:trPr>
        <w:tc>
          <w:tcPr>
            <w:cnfStyle w:val="001000000000" w:firstRow="0" w:lastRow="0" w:firstColumn="1" w:lastColumn="0" w:oddVBand="0" w:evenVBand="0" w:oddHBand="0" w:evenHBand="0" w:firstRowFirstColumn="0" w:firstRowLastColumn="0" w:lastRowFirstColumn="0" w:lastRowLastColumn="0"/>
            <w:tcW w:w="2186" w:type="pct"/>
            <w:hideMark/>
          </w:tcPr>
          <w:p w14:paraId="7CBFFA67" w14:textId="77777777" w:rsidR="000E7192" w:rsidRPr="007F3C5D" w:rsidRDefault="000E7192" w:rsidP="00A14895">
            <w:pPr>
              <w:spacing w:after="0"/>
              <w:ind w:firstLine="0"/>
              <w:jc w:val="left"/>
              <w:rPr>
                <w:sz w:val="18"/>
                <w:szCs w:val="18"/>
              </w:rPr>
            </w:pPr>
            <w:r w:rsidRPr="007F3C5D">
              <w:rPr>
                <w:sz w:val="18"/>
                <w:szCs w:val="18"/>
              </w:rPr>
              <w:t>EURO 6 diesel</w:t>
            </w:r>
          </w:p>
        </w:tc>
        <w:tc>
          <w:tcPr>
            <w:tcW w:w="1145" w:type="pct"/>
            <w:hideMark/>
          </w:tcPr>
          <w:p w14:paraId="6BF64EF5" w14:textId="5E924940" w:rsidR="000E7192" w:rsidRPr="007F3C5D" w:rsidRDefault="00AB14A4" w:rsidP="00A14895">
            <w:pPr>
              <w:spacing w:after="0"/>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7F3C5D">
              <w:rPr>
                <w:sz w:val="18"/>
                <w:szCs w:val="18"/>
              </w:rPr>
              <w:t>7.6 ± 0.3</w:t>
            </w:r>
          </w:p>
        </w:tc>
        <w:tc>
          <w:tcPr>
            <w:tcW w:w="1669" w:type="pct"/>
            <w:hideMark/>
          </w:tcPr>
          <w:p w14:paraId="633FEB7D" w14:textId="5E57A1C4" w:rsidR="000E7192" w:rsidRPr="007F3C5D" w:rsidRDefault="000E719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1</w:t>
            </w:r>
            <w:r w:rsidR="00AB14A4" w:rsidRPr="007F3C5D">
              <w:rPr>
                <w:sz w:val="18"/>
                <w:szCs w:val="18"/>
              </w:rPr>
              <w:t>0</w:t>
            </w:r>
            <w:r w:rsidRPr="007F3C5D">
              <w:rPr>
                <w:sz w:val="18"/>
                <w:szCs w:val="18"/>
              </w:rPr>
              <w:t>0 µg/mL</w:t>
            </w:r>
          </w:p>
        </w:tc>
      </w:tr>
      <w:tr w:rsidR="000E7192" w:rsidRPr="007F3C5D" w14:paraId="4B47B119" w14:textId="77777777" w:rsidTr="00D86D4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186" w:type="pct"/>
            <w:hideMark/>
          </w:tcPr>
          <w:p w14:paraId="7B40568A" w14:textId="77777777" w:rsidR="000E7192" w:rsidRPr="007F3C5D" w:rsidRDefault="000E7192" w:rsidP="00A14895">
            <w:pPr>
              <w:spacing w:after="0"/>
              <w:ind w:firstLine="0"/>
              <w:jc w:val="left"/>
              <w:rPr>
                <w:sz w:val="18"/>
                <w:szCs w:val="18"/>
              </w:rPr>
            </w:pPr>
            <w:r w:rsidRPr="007F3C5D">
              <w:rPr>
                <w:sz w:val="18"/>
                <w:szCs w:val="18"/>
              </w:rPr>
              <w:t>PM A0</w:t>
            </w:r>
          </w:p>
        </w:tc>
        <w:tc>
          <w:tcPr>
            <w:tcW w:w="1145" w:type="pct"/>
            <w:hideMark/>
          </w:tcPr>
          <w:p w14:paraId="6E44DFD2" w14:textId="5BB7EAE3" w:rsidR="000E7192" w:rsidRPr="007F3C5D" w:rsidRDefault="00AB14A4" w:rsidP="00A14895">
            <w:pPr>
              <w:spacing w:after="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7F3C5D">
              <w:rPr>
                <w:sz w:val="18"/>
                <w:szCs w:val="18"/>
              </w:rPr>
              <w:t>97.1 ± 152.9</w:t>
            </w:r>
          </w:p>
        </w:tc>
        <w:tc>
          <w:tcPr>
            <w:tcW w:w="1669" w:type="pct"/>
            <w:hideMark/>
          </w:tcPr>
          <w:p w14:paraId="634B7D96" w14:textId="6B914B79" w:rsidR="000E7192" w:rsidRPr="007F3C5D" w:rsidRDefault="000E719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10 L/mL</w:t>
            </w:r>
          </w:p>
        </w:tc>
      </w:tr>
      <w:tr w:rsidR="000E7192" w:rsidRPr="007F3C5D" w14:paraId="04F6ADCD" w14:textId="77777777" w:rsidTr="00D86D4D">
        <w:trPr>
          <w:trHeight w:val="295"/>
        </w:trPr>
        <w:tc>
          <w:tcPr>
            <w:cnfStyle w:val="001000000000" w:firstRow="0" w:lastRow="0" w:firstColumn="1" w:lastColumn="0" w:oddVBand="0" w:evenVBand="0" w:oddHBand="0" w:evenHBand="0" w:firstRowFirstColumn="0" w:firstRowLastColumn="0" w:lastRowFirstColumn="0" w:lastRowLastColumn="0"/>
            <w:tcW w:w="2186" w:type="pct"/>
            <w:hideMark/>
          </w:tcPr>
          <w:p w14:paraId="1861F968" w14:textId="77777777" w:rsidR="000E7192" w:rsidRPr="007F3C5D" w:rsidRDefault="000E7192" w:rsidP="00A14895">
            <w:pPr>
              <w:spacing w:after="0"/>
              <w:ind w:firstLine="0"/>
              <w:jc w:val="left"/>
              <w:rPr>
                <w:sz w:val="18"/>
                <w:szCs w:val="18"/>
              </w:rPr>
            </w:pPr>
            <w:r w:rsidRPr="007F3C5D">
              <w:rPr>
                <w:sz w:val="18"/>
                <w:szCs w:val="18"/>
              </w:rPr>
              <w:t>PM A20</w:t>
            </w:r>
          </w:p>
        </w:tc>
        <w:tc>
          <w:tcPr>
            <w:tcW w:w="1145" w:type="pct"/>
            <w:hideMark/>
          </w:tcPr>
          <w:p w14:paraId="01A9BEC9" w14:textId="0D6E761C" w:rsidR="000E7192" w:rsidRPr="007F3C5D" w:rsidRDefault="00500E50" w:rsidP="00A14895">
            <w:pPr>
              <w:spacing w:after="0"/>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7F3C5D">
              <w:rPr>
                <w:sz w:val="18"/>
                <w:szCs w:val="18"/>
              </w:rPr>
              <w:t>405.9 ±15.6</w:t>
            </w:r>
          </w:p>
        </w:tc>
        <w:tc>
          <w:tcPr>
            <w:tcW w:w="1669" w:type="pct"/>
            <w:hideMark/>
          </w:tcPr>
          <w:p w14:paraId="6808DABE" w14:textId="14891FAF" w:rsidR="000E7192" w:rsidRPr="007F3C5D" w:rsidRDefault="000E719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10 L/mL</w:t>
            </w:r>
          </w:p>
        </w:tc>
      </w:tr>
      <w:tr w:rsidR="000E7192" w:rsidRPr="007F3C5D" w14:paraId="60FD83E2" w14:textId="77777777" w:rsidTr="00D86D4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186" w:type="pct"/>
            <w:hideMark/>
          </w:tcPr>
          <w:p w14:paraId="06764CAB" w14:textId="77777777" w:rsidR="000E7192" w:rsidRPr="007F3C5D" w:rsidRDefault="000E7192" w:rsidP="00A14895">
            <w:pPr>
              <w:spacing w:after="0"/>
              <w:ind w:firstLine="0"/>
              <w:jc w:val="left"/>
              <w:rPr>
                <w:sz w:val="18"/>
                <w:szCs w:val="18"/>
              </w:rPr>
            </w:pPr>
            <w:r w:rsidRPr="007F3C5D">
              <w:rPr>
                <w:sz w:val="18"/>
                <w:szCs w:val="18"/>
              </w:rPr>
              <w:t>SVOC A0</w:t>
            </w:r>
          </w:p>
        </w:tc>
        <w:tc>
          <w:tcPr>
            <w:tcW w:w="1145" w:type="pct"/>
            <w:hideMark/>
          </w:tcPr>
          <w:p w14:paraId="036802A2" w14:textId="59B37FE6" w:rsidR="000E7192" w:rsidRPr="007F3C5D" w:rsidRDefault="00AB14A4" w:rsidP="00A14895">
            <w:pPr>
              <w:spacing w:after="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7F3C5D">
              <w:rPr>
                <w:sz w:val="18"/>
                <w:szCs w:val="18"/>
              </w:rPr>
              <w:t>7.6 ± 0.3</w:t>
            </w:r>
          </w:p>
        </w:tc>
        <w:tc>
          <w:tcPr>
            <w:tcW w:w="1669" w:type="pct"/>
            <w:hideMark/>
          </w:tcPr>
          <w:p w14:paraId="4839B168" w14:textId="7A1A13AF" w:rsidR="000E7192" w:rsidRPr="007F3C5D" w:rsidRDefault="000E7192" w:rsidP="00A14895">
            <w:pPr>
              <w:spacing w:after="0"/>
              <w:ind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7F3C5D">
              <w:rPr>
                <w:sz w:val="18"/>
                <w:szCs w:val="18"/>
              </w:rPr>
              <w:t>10 L/mL</w:t>
            </w:r>
          </w:p>
        </w:tc>
      </w:tr>
      <w:tr w:rsidR="000E7192" w:rsidRPr="007F3C5D" w14:paraId="6223BB0F" w14:textId="77777777" w:rsidTr="00D86D4D">
        <w:trPr>
          <w:trHeight w:val="295"/>
        </w:trPr>
        <w:tc>
          <w:tcPr>
            <w:cnfStyle w:val="001000000000" w:firstRow="0" w:lastRow="0" w:firstColumn="1" w:lastColumn="0" w:oddVBand="0" w:evenVBand="0" w:oddHBand="0" w:evenHBand="0" w:firstRowFirstColumn="0" w:firstRowLastColumn="0" w:lastRowFirstColumn="0" w:lastRowLastColumn="0"/>
            <w:tcW w:w="2186" w:type="pct"/>
            <w:hideMark/>
          </w:tcPr>
          <w:p w14:paraId="78B9656A" w14:textId="77777777" w:rsidR="000E7192" w:rsidRPr="007F3C5D" w:rsidRDefault="000E7192" w:rsidP="00A14895">
            <w:pPr>
              <w:spacing w:after="0"/>
              <w:ind w:firstLine="0"/>
              <w:jc w:val="left"/>
              <w:rPr>
                <w:sz w:val="18"/>
                <w:szCs w:val="18"/>
              </w:rPr>
            </w:pPr>
            <w:r w:rsidRPr="007F3C5D">
              <w:rPr>
                <w:sz w:val="18"/>
                <w:szCs w:val="18"/>
              </w:rPr>
              <w:t>SVOC A20</w:t>
            </w:r>
          </w:p>
        </w:tc>
        <w:tc>
          <w:tcPr>
            <w:tcW w:w="1145" w:type="pct"/>
            <w:hideMark/>
          </w:tcPr>
          <w:p w14:paraId="7B749E6C" w14:textId="1BC779F4" w:rsidR="000E7192" w:rsidRPr="007F3C5D" w:rsidRDefault="00AB14A4" w:rsidP="00A14895">
            <w:pPr>
              <w:spacing w:after="0"/>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7F3C5D">
              <w:rPr>
                <w:sz w:val="18"/>
                <w:szCs w:val="18"/>
              </w:rPr>
              <w:t>7.1 ± 1.1</w:t>
            </w:r>
          </w:p>
        </w:tc>
        <w:tc>
          <w:tcPr>
            <w:tcW w:w="1669" w:type="pct"/>
            <w:hideMark/>
          </w:tcPr>
          <w:p w14:paraId="43EE8C72" w14:textId="1C5EC0E0" w:rsidR="000E7192" w:rsidRPr="007F3C5D" w:rsidRDefault="000E7192" w:rsidP="00A14895">
            <w:pPr>
              <w:spacing w:after="0"/>
              <w:ind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7F3C5D">
              <w:rPr>
                <w:sz w:val="18"/>
                <w:szCs w:val="18"/>
              </w:rPr>
              <w:t>10 L/mL</w:t>
            </w:r>
          </w:p>
        </w:tc>
      </w:tr>
    </w:tbl>
    <w:p w14:paraId="73F5090B" w14:textId="2A10A2E5" w:rsidR="003C23CE" w:rsidRPr="007F3C5D" w:rsidRDefault="003C23CE" w:rsidP="00A14895">
      <w:pPr>
        <w:pStyle w:val="Heading1"/>
        <w:spacing w:line="276" w:lineRule="auto"/>
      </w:pPr>
      <w:bookmarkStart w:id="57" w:name="_Toc101374940"/>
      <w:bookmarkStart w:id="58" w:name="_Toc100781394"/>
      <w:r w:rsidRPr="007F3C5D">
        <w:lastRenderedPageBreak/>
        <w:t>Discussion</w:t>
      </w:r>
      <w:bookmarkEnd w:id="57"/>
    </w:p>
    <w:p w14:paraId="1A68E26F" w14:textId="6EBD93F3" w:rsidR="003C23CE" w:rsidRDefault="003C23CE" w:rsidP="00A14895">
      <w:pPr>
        <w:spacing w:afterLines="120" w:after="288"/>
      </w:pPr>
      <w:r w:rsidRPr="007F3C5D">
        <w:t xml:space="preserve">In this study, various fractions (non-volatile and semi-volatile organic compounds) of traffic-derived PM, as well as reference materials, were screened for their effects on neuronal (network) function in rat primary cortical cultures using MEA recordings aiming to compare the potential neurotoxic hazard of these PMs. One of the main </w:t>
      </w:r>
      <w:proofErr w:type="spellStart"/>
      <w:r w:rsidRPr="007F3C5D">
        <w:t>obeservations</w:t>
      </w:r>
      <w:proofErr w:type="spellEnd"/>
      <w:r w:rsidRPr="007F3C5D">
        <w:t xml:space="preserve"> was that common rail engine diesel generator diesel exhaust-derived PM reduces neuronal activity more</w:t>
      </w:r>
      <w:r w:rsidR="00982990">
        <w:t>,</w:t>
      </w:r>
      <w:r w:rsidRPr="007F3C5D">
        <w:t xml:space="preserve"> both time- and </w:t>
      </w:r>
      <w:r w:rsidR="00C70E44">
        <w:t>dose</w:t>
      </w:r>
      <w:r w:rsidRPr="007F3C5D">
        <w:t>-dependent</w:t>
      </w:r>
      <w:r w:rsidR="00982990">
        <w:t>,</w:t>
      </w:r>
      <w:r w:rsidRPr="007F3C5D">
        <w:t xml:space="preserve"> than biodiesel exhaust-derived PM suggesting the PM originating from diesel exhaust is more neurotoxic. For heavy-duty engines, SVOC generated using high-aromatic (A20) diesel exhibited more neurotoxic potential than SVOC collected from the same engine when fueled with low-aromatic (A0)</w:t>
      </w:r>
      <w:r w:rsidR="00743C0C" w:rsidRPr="007F3C5D">
        <w:t xml:space="preserve">. However, high dose exposure to SVOC </w:t>
      </w:r>
      <w:r w:rsidRPr="007F3C5D">
        <w:t xml:space="preserve">was associated with </w:t>
      </w:r>
      <w:proofErr w:type="spellStart"/>
      <w:r w:rsidRPr="007F3C5D">
        <w:t>cytotoxic</w:t>
      </w:r>
      <w:r w:rsidR="00743C0C" w:rsidRPr="007F3C5D">
        <w:t>icity</w:t>
      </w:r>
      <w:proofErr w:type="spellEnd"/>
      <w:r w:rsidR="00743C0C" w:rsidRPr="007F3C5D">
        <w:t xml:space="preserve"> and therefore at high dose no specific neurotoxicity </w:t>
      </w:r>
      <w:proofErr w:type="spellStart"/>
      <w:r w:rsidR="00743C0C" w:rsidRPr="007F3C5D">
        <w:t>occured</w:t>
      </w:r>
      <w:proofErr w:type="spellEnd"/>
      <w:r w:rsidRPr="007F3C5D">
        <w:t xml:space="preserve">. Further, the </w:t>
      </w:r>
      <w:r w:rsidR="00743C0C" w:rsidRPr="007F3C5D">
        <w:t xml:space="preserve">non-cytotoxic </w:t>
      </w:r>
      <w:r w:rsidRPr="007F3C5D">
        <w:t xml:space="preserve">SVOC </w:t>
      </w:r>
      <w:r w:rsidR="00C70E44">
        <w:t>PM</w:t>
      </w:r>
      <w:r w:rsidRPr="007F3C5D">
        <w:t xml:space="preserve"> fraction originating from A20 and A0 diesel reduced neuronal activity to a greater extent than their corresponding non-volatile PM fraction. </w:t>
      </w:r>
      <w:r w:rsidR="00743C0C" w:rsidRPr="007F3C5D">
        <w:t xml:space="preserve">Finally, </w:t>
      </w:r>
      <w:r w:rsidRPr="007F3C5D">
        <w:t xml:space="preserve">carbon particles, blank extract, EURO </w:t>
      </w:r>
      <w:proofErr w:type="gramStart"/>
      <w:r w:rsidRPr="007F3C5D">
        <w:t>2</w:t>
      </w:r>
      <w:proofErr w:type="gramEnd"/>
      <w:r w:rsidRPr="007F3C5D">
        <w:t xml:space="preserve"> and EURO 6 engine exhaust-derived PM showed no consistent (time- and dose</w:t>
      </w:r>
      <w:r w:rsidR="00982990">
        <w:t>-</w:t>
      </w:r>
      <w:r w:rsidRPr="007F3C5D">
        <w:t>dependent) decrease in neuronal activity and cytotoxicity, while the copper oxide particles showed significant cytotoxic potential</w:t>
      </w:r>
      <w:r w:rsidR="00743C0C" w:rsidRPr="007F3C5D">
        <w:t xml:space="preserve"> resulting in decreased neuronal </w:t>
      </w:r>
      <w:proofErr w:type="spellStart"/>
      <w:r w:rsidR="00743C0C" w:rsidRPr="007F3C5D">
        <w:t>activty</w:t>
      </w:r>
      <w:proofErr w:type="spellEnd"/>
      <w:r w:rsidRPr="007F3C5D">
        <w:t xml:space="preserve">. </w:t>
      </w:r>
    </w:p>
    <w:p w14:paraId="16CEC640" w14:textId="46DFAD4E" w:rsidR="00D12897" w:rsidRPr="007F3C5D" w:rsidRDefault="00D12897" w:rsidP="00A14895">
      <w:pPr>
        <w:spacing w:afterLines="120" w:after="288"/>
      </w:pPr>
      <w:r>
        <w:t xml:space="preserve">The </w:t>
      </w:r>
      <w:r w:rsidR="00A91DAE">
        <w:t>particle</w:t>
      </w:r>
      <w:r>
        <w:t xml:space="preserve"> size of the samples</w:t>
      </w:r>
      <w:r w:rsidR="00A91DAE">
        <w:t xml:space="preserve"> is measured with the DLS and expressed in the D50 value for the median of the hydrodynamic diameter. For the Blank extract, SVOC A0, SVOC A20 and the EURO</w:t>
      </w:r>
      <w:r w:rsidR="006E32AE">
        <w:t xml:space="preserve"> </w:t>
      </w:r>
      <w:r w:rsidR="00A91DAE">
        <w:t xml:space="preserve">6 compliant engine exhaust-derived PM, no particles were detected that </w:t>
      </w:r>
      <w:r w:rsidR="006E32AE">
        <w:t>deviated from the D50 value of</w:t>
      </w:r>
      <w:r w:rsidR="00A91DAE">
        <w:t xml:space="preserve"> the </w:t>
      </w:r>
      <w:r w:rsidR="006E32AE">
        <w:t xml:space="preserve">glutamate-free culture </w:t>
      </w:r>
      <w:r w:rsidR="00A91DAE">
        <w:t>medium. These samples indeed did not generate mass as with the other samples</w:t>
      </w:r>
      <w:r w:rsidR="006E32AE">
        <w:t xml:space="preserve"> and were expressed in exhaust volume or the corresponding mass relative to the other samples. Diesel and biodiesel exhaust-derived PM, EURO 2 compliant engine exhaust-derived PM, PM A0, PM A20 and copper oxide particles did show a D50 value differing from the glutamate-free culture medium, ranging from </w:t>
      </w:r>
      <w:r w:rsidR="004F1B25">
        <w:t>97 to 532 nm</w:t>
      </w:r>
      <w:r w:rsidR="00AF5F4A">
        <w:t>. The D50 values of diesel in medium was far greater than diesel in H</w:t>
      </w:r>
      <w:r w:rsidR="00C70E44">
        <w:rPr>
          <w:vertAlign w:val="subscript"/>
        </w:rPr>
        <w:t>2</w:t>
      </w:r>
      <w:r w:rsidR="00AF5F4A">
        <w:t xml:space="preserve">O, indicating that the medium </w:t>
      </w:r>
      <w:r w:rsidR="000D344B">
        <w:t xml:space="preserve">increases the hydrodynamic diameter. Nanoparticles in a biological </w:t>
      </w:r>
      <w:r w:rsidR="005F3FAE">
        <w:t xml:space="preserve">environment form a corona that could be measured as part of the hydrodynamic diameter in the DLS </w:t>
      </w:r>
      <w:r w:rsidR="005F3FAE">
        <w:fldChar w:fldCharType="begin" w:fldLock="1"/>
      </w:r>
      <w:r w:rsidR="00ED4F68">
        <w:instrText>ADDIN CSL_CITATION {"citationItems":[{"id":"ITEM-1","itemData":{"DOI":"10.3390/MA13143093","ISSN":"1996-1944","abstract":"Nanoparticles (NPs) exposed to a biological milieu will strongly interact with proteins, forming &amp;ldquo;coronas&amp;rdquo; on the surfaces of the NPs. The protein coronas (PCs) affect the properties of the NPs and provide a new biological identity to the particles in the biological environment. The characterization of NP-PC complexes has attracted enormous research attention, owing to the crucial effects of the properties of an NP-PC on its interactions with living systems, as well as the diverse applications of NP-PC complexes. The analysis of NP-PC complexes without a well-considered approach will inevitably lead to misunderstandings and inappropriate applications of NPs. This review introduces methods for the characterization of NP-PC complexes and investigates their recent applications in biomedicine. Furthermore, the review evaluates these characterization methods based on comprehensive critical views and provides future perspectives regarding the applications of NP-PC complexes.","author":[{"dropping-particle":"","family":"Li","given":"Yan","non-dropping-particle":"","parse-names":false,"suffix":""},{"dropping-particle":"","family":"Lee","given":"Jae Seung","non-dropping-particle":"","parse-names":false,"suffix":""}],"container-title":"Materials 2020, Vol. 13, Page 3093","id":"ITEM-1","issue":"14","issued":{"date-parts":[["2020","7","10"]]},"page":"3093","publisher":"Multidisciplinary Digital Publishing Institute","title":"Insights into Characterization Methods and Biomedical Applications of Nanoparticle–Protein Corona","type":"article-journal","volume":"13"},"uris":["http://www.mendeley.com/documents/?uuid=126bb929-135d-3e17-90e4-6735814b1c2f"]}],"mendeley":{"formattedCitation":"(Li &amp; Lee, 2020)","plainTextFormattedCitation":"(Li &amp; Lee, 2020)","previouslyFormattedCitation":"(Li &amp; Lee, 2020)"},"properties":{"noteIndex":0},"schema":"https://github.com/citation-style-language/schema/raw/master/csl-citation.json"}</w:instrText>
      </w:r>
      <w:r w:rsidR="005F3FAE">
        <w:fldChar w:fldCharType="separate"/>
      </w:r>
      <w:r w:rsidR="005F3FAE" w:rsidRPr="005F3FAE">
        <w:rPr>
          <w:noProof/>
        </w:rPr>
        <w:t>(Li &amp; Lee, 2020)</w:t>
      </w:r>
      <w:r w:rsidR="005F3FAE">
        <w:fldChar w:fldCharType="end"/>
      </w:r>
      <w:r w:rsidR="005F3FAE">
        <w:t xml:space="preserve">. </w:t>
      </w:r>
      <w:r w:rsidR="00DB5AC7">
        <w:t xml:space="preserve">Furthermore, the chemicals that are attached on the surface of the particles could interact with the medium, further increasing the measured hydrodynamic diameter. </w:t>
      </w:r>
      <w:proofErr w:type="gramStart"/>
      <w:r w:rsidR="005F3FAE">
        <w:t>Therefore</w:t>
      </w:r>
      <w:proofErr w:type="gramEnd"/>
      <w:r w:rsidR="005F3FAE">
        <w:t xml:space="preserve"> it is possible that the medium causes the </w:t>
      </w:r>
      <w:r w:rsidR="00DB5AC7">
        <w:t>hydrodynamic diameter</w:t>
      </w:r>
      <w:r w:rsidR="005F3FAE">
        <w:t xml:space="preserve"> to be measured </w:t>
      </w:r>
      <w:r w:rsidR="00DB5AC7">
        <w:t>greater</w:t>
      </w:r>
      <w:r w:rsidR="005F3FAE">
        <w:t xml:space="preserve"> than the actual particle diameter and that these particles </w:t>
      </w:r>
      <w:r w:rsidR="002F48C4">
        <w:t xml:space="preserve">fall within the UFP size range. Furthermore, the EURO 2 compliant engine exhaust-derived PM </w:t>
      </w:r>
      <w:r w:rsidR="00393DC2">
        <w:t>showed the greatest hydrodynamic diameter of 532 ± 168 nm</w:t>
      </w:r>
      <w:r w:rsidR="00CE5D21">
        <w:t xml:space="preserve">. This sample appeared to strongly and </w:t>
      </w:r>
      <w:proofErr w:type="spellStart"/>
      <w:r w:rsidR="00CE5D21">
        <w:t>inconsistenly</w:t>
      </w:r>
      <w:proofErr w:type="spellEnd"/>
      <w:r w:rsidR="00CE5D21">
        <w:t xml:space="preserve"> clump together, possibly leading to irregular particles and high standard deviation.</w:t>
      </w:r>
    </w:p>
    <w:p w14:paraId="44C3847B" w14:textId="77777777" w:rsidR="003C23CE" w:rsidRPr="007F3C5D" w:rsidRDefault="003C23CE" w:rsidP="00A14895">
      <w:pPr>
        <w:pStyle w:val="Heading2"/>
      </w:pPr>
      <w:bookmarkStart w:id="59" w:name="_Toc101374941"/>
      <w:r w:rsidRPr="007F3C5D">
        <w:t>Diesel and biodiesel exhaust-derived PM</w:t>
      </w:r>
      <w:bookmarkEnd w:id="59"/>
    </w:p>
    <w:p w14:paraId="1BBE3974" w14:textId="36B6DF30" w:rsidR="003C23CE" w:rsidRPr="007F3C5D" w:rsidRDefault="003C23CE" w:rsidP="00A14895">
      <w:pPr>
        <w:spacing w:afterLines="120" w:after="288"/>
      </w:pPr>
      <w:r w:rsidRPr="007F3C5D">
        <w:t>By exposing rat cortical cultures on the MEA acute</w:t>
      </w:r>
      <w:r w:rsidR="00F068C1">
        <w:t>ly</w:t>
      </w:r>
      <w:r w:rsidRPr="007F3C5D">
        <w:t xml:space="preserve"> and subchronically, the difference in neuronal activity of diesel- and biodiesel-derived PM was analyzed. These results showed that biodiesel exhaust-derived PM, which was the result of the combustion of diesel supplemented with 20% biodiesel, had a less detrimental effect on neuronal activity than its diesel-only counterpart.</w:t>
      </w:r>
    </w:p>
    <w:p w14:paraId="6BAED7A7" w14:textId="6F7720A5" w:rsidR="003C23CE" w:rsidRPr="007F3C5D" w:rsidRDefault="003C23CE" w:rsidP="00A14895">
      <w:pPr>
        <w:spacing w:before="240" w:afterLines="120" w:after="288"/>
      </w:pPr>
      <w:r w:rsidRPr="007F3C5D">
        <w:t xml:space="preserve">Previous research showed contradicting results on the decrease of known toxic components in biodiesel </w:t>
      </w:r>
      <w:r w:rsidR="00743C0C" w:rsidRPr="007F3C5D">
        <w:t>exhaust compared</w:t>
      </w:r>
      <w:r w:rsidRPr="007F3C5D">
        <w:t xml:space="preserve"> to </w:t>
      </w:r>
      <w:r w:rsidR="00743C0C" w:rsidRPr="007F3C5D">
        <w:t xml:space="preserve">PM derived from regular </w:t>
      </w:r>
      <w:r w:rsidRPr="007F3C5D">
        <w:t xml:space="preserve">diesel. In several studies </w:t>
      </w:r>
      <w:r w:rsidRPr="007F3C5D">
        <w:lastRenderedPageBreak/>
        <w:t xml:space="preserve">on the chemical composition of engine exhaust, exchanging diesel fuel to biodiesel reduced the concentration of known toxicants, such as PAH and metals, in engine exhaust-derived PM </w:t>
      </w:r>
      <w:r w:rsidRPr="007F3C5D">
        <w:fldChar w:fldCharType="begin" w:fldLock="1"/>
      </w:r>
      <w:r w:rsidRPr="007F3C5D">
        <w:instrText>ADDIN CSL_CITATION {"citationItems":[{"id":"ITEM-1","itemData":{"DOI":"10.1080/10934529.2011.532444","ISSN":"1093-4529","PMID":"21240709","abstract":"This study investigated the particulate matter (PM), particle-bound carbons, and polycyclic aromatic hydrocarbons (PAHs) emitted from a diesel-engine generator fuelled with blends of pure fossil di...","author":[{"dropping-particle":"","family":"Tsai","given":"Jen-Hsiung","non-dropping-particle":"","parse-names":false,"suffix":""},{"dropping-particle":"","family":"Chen","given":"Shui-Jen","non-dropping-particle":"","parse-names":false,"suffix":""},{"dropping-particle":"","family":"Huang","given":"Kuo-Lin","non-dropping-particle":"","parse-names":false,"suffix":""},{"dropping-particle":"","family":"Lee","given":"Wen-Jhy","non-dropping-particle":"","parse-names":false,"suffix":""},{"dropping-particle":"","family":"Kuo","given":"Wen-Chien","non-dropping-particle":"","parse-names":false,"suffix":""},{"dropping-particle":"","family":"Lin","given":"Wen-Yinn","non-dropping-particle":"","parse-names":false,"suffix":""}],"container-title":"Journal of Environmental Science and Health, Part A","id":"ITEM-1","issue":"2","issued":{"date-parts":[["2011","1"]]},"page":"204-213","publisher":"Taylor &amp; Francis Group","title":"Characteristics of particulate emissions from a diesel generator fueled with varying blends of biodiesel and fossil diesel","type":"article-journal","volume":"46"},"uris":["http://www.mendeley.com/documents/?uuid=25eed1f1-9306-3378-a737-210573e6822b"]},{"id":"ITEM-2","itemData":{"DOI":"10.1016/j.scitotenv.2017.01.187","ISSN":"00489697","abstract":"• Most harmful emissions decreased with biodiesel, except NOx. • Unsaturated biodiesel produced higher NOx emissions. • The aftertreatment controls effectively reduced particle and PAH emissions. • The oxidative potential (DTT) decreased with the biodiesel blends. • Diesel exhaust PM were more reactive and showed the highest cellular responses. The emissions and the potential health effects of particulate matter (PM) were assessed from two heavy-duty trucks with and without emission control aftertreatment systems when operating on CARB ultra-low sulfur diesel (ULSD) and three different biodiesel blends. The CARB ULSD was blended with soy-based biodiesel, animal fat biodiesel, and waste cooking oil biodiesel at 50 vol%. Testing was conducted over the EPA Urban Dynamometer Driving Schedule (UDDS) in triplicate for both trucks. The aftertreatment controls effectively decreased PM mass and number emissions, as well as the polycyclic aromatic hydrocarbons (PAHs) compared to the uncontrolled truck. Emissions of nitrogen oxides (NO x) exhibited increases with the biodiesel blends, showing some feedstock dependency for the controlled truck. The oxidative potential of the emitted PM, measured by means of the dithiothreitol (DTT) assay, showed reductions with the use of biodiesel blends relative to CARB ULSD for the uncontrolled truck. Overall, the cellular responses to the particles from each fuel were reflective of the chemical content, i.e., particles from CARB ULSD were the most reactive and exhibited the highest cellular responses.","author":[{"dropping-particle":"","family":"Karavalakis","given":"Georgios","non-dropping-particle":"","parse-names":false,"suffix":""},{"dropping-particle":"","family":"Gysel","given":"Nicholas","non-dropping-particle":"","parse-names":false,"suffix":""},{"dropping-particle":"","family":"Schmitz","given":"Debra A","non-dropping-particle":"","parse-names":false,"suffix":""},{"dropping-particle":"","family":"Cho","given":"Arthur K","non-dropping-particle":"","parse-names":false,"suffix":""},{"dropping-particle":"","family":"Sioutas","given":"Constantinos","non-dropping-particle":"","parse-names":false,"suffix":""},{"dropping-particle":"","family":"Schauer","given":"James J","non-dropping-particle":"","parse-names":false,"suffix":""},{"dropping-particle":"","family":"Cocker","given":"David R","non-dropping-particle":"","parse-names":false,"suffix":""},{"dropping-particle":"","family":"Durbin","given":"Thomas D","non-dropping-particle":"","parse-names":false,"suffix":""}],"container-title":"Science of The Total Environment","id":"ITEM-2","issued":{"date-parts":[["2017","4"]]},"page":"1230-1238","title":"Impact of biodiesel on regulated and unregulated emissions, and redox and proinflammatory properties of PM emitted from heavy-duty vehicles","type":"article-journal","volume":"584-585"},"uris":["http://www.mendeley.com/documents/?uuid=5678c6bf-e378-3a75-9436-8c0fb791aa07"]}],"mendeley":{"formattedCitation":"(Karavalakis et al., 2017; Tsai et al., 2011)","plainTextFormattedCitation":"(Karavalakis et al., 2017; Tsai et al., 2011)","previouslyFormattedCitation":"(Karavalakis et al., 2017; Tsai et al., 2011)"},"properties":{"noteIndex":0},"schema":"https://github.com/citation-style-language/schema/raw/master/csl-citation.json"}</w:instrText>
      </w:r>
      <w:r w:rsidRPr="007F3C5D">
        <w:fldChar w:fldCharType="separate"/>
      </w:r>
      <w:r w:rsidRPr="007F3C5D">
        <w:rPr>
          <w:noProof/>
        </w:rPr>
        <w:t>(Karavalakis et al., 2017; Tsai et al., 2011)</w:t>
      </w:r>
      <w:r w:rsidRPr="007F3C5D">
        <w:fldChar w:fldCharType="end"/>
      </w:r>
      <w:r w:rsidRPr="007F3C5D">
        <w:t xml:space="preserve">. Furthermore, </w:t>
      </w:r>
      <w:proofErr w:type="spellStart"/>
      <w:r w:rsidRPr="007F3C5D">
        <w:t>Karavalakis</w:t>
      </w:r>
      <w:proofErr w:type="spellEnd"/>
      <w:r w:rsidRPr="007F3C5D">
        <w:t xml:space="preserve"> et al. saw that the addition of biodiesel to diesel fuel decreased the oxidative capacity and cellular reactivity of the exhaust. Contrastingly, other studies showed that the biodiesel blends in various ratios, as opposed to diesel-only fuel, induced adverse effects</w:t>
      </w:r>
      <w:r w:rsidR="009F2DD8" w:rsidRPr="007F3C5D">
        <w:t xml:space="preserve"> in non-neuronal cell lines</w:t>
      </w:r>
      <w:r w:rsidRPr="007F3C5D">
        <w:t xml:space="preserve">, </w:t>
      </w:r>
      <w:r w:rsidR="009F2DD8" w:rsidRPr="007F3C5D">
        <w:t>including</w:t>
      </w:r>
      <w:r w:rsidRPr="007F3C5D">
        <w:t xml:space="preserve"> </w:t>
      </w:r>
      <w:r w:rsidR="009F2DD8" w:rsidRPr="007F3C5D">
        <w:t xml:space="preserve">increased </w:t>
      </w:r>
      <w:r w:rsidRPr="007F3C5D">
        <w:t>inflammatory response</w:t>
      </w:r>
      <w:r w:rsidR="009F2DD8" w:rsidRPr="007F3C5D">
        <w:t xml:space="preserve">, </w:t>
      </w:r>
      <w:r w:rsidRPr="007F3C5D">
        <w:t>oxidative activity</w:t>
      </w:r>
      <w:r w:rsidR="009F2DD8" w:rsidRPr="007F3C5D">
        <w:t>,</w:t>
      </w:r>
      <w:r w:rsidRPr="007F3C5D">
        <w:t xml:space="preserve"> </w:t>
      </w:r>
      <w:r w:rsidR="009F2DD8" w:rsidRPr="007F3C5D">
        <w:t>and cytotoxicity</w:t>
      </w:r>
      <w:r w:rsidR="009F2DD8" w:rsidRPr="007F3C5D" w:rsidDel="009F2DD8">
        <w:t xml:space="preserve"> </w:t>
      </w:r>
      <w:r w:rsidRPr="007F3C5D">
        <w:fldChar w:fldCharType="begin" w:fldLock="1"/>
      </w:r>
      <w:r w:rsidRPr="007F3C5D">
        <w:instrText>ADDIN CSL_CITATION {"citationItems":[{"id":"ITEM-1","itemData":{"DOI":"10.1021/ES305330Y/SUPPL_FILE/ES305330Y_SI_002.PDF","ISSN":"0013936X","PMID":"23597117","abstract":"The link between emissions of vehicular particulate matter (PM) and adverse health effects is well established. However, the influence of new emission control technologies and fuel types on both PM emissions and health effects has been less well investigated. We examined the health impact of PM emissions from two vehicles equipped with or without a diesel particulate filter (DPF). Both vehicles were powered either with diesel (B0) or a 50% v/v biodiesel blend (B50). The DPF effectively decreased PM mass emissions (∼85%), whereas the fuel B50 without DPF lead to less reduction (∼50%). The hazard of PM per unit distance driven was decreased for the DPF-equipped vehicle as indicated by a reduced cytotoxicity, oxidative, and pro-inflammatory potential. This was not evident and even led to an increase when the hazard was expressed on a per unit of mass basis. In general, the PM oxidative potential was similar or reduced for the B50 compared to the B0 powered vehicle. However, the use of B50 resulted in increased cytotoxicity and IL-6 release in BEAS-2B cells irrespective of the expression metric. This study shows that PM mass reduction achieved by the use of B50 will not necessarily decrease the hazard of engine emissions, while the application of a DPF has a beneficial effect on both PM mass emission and PM hazard. © 2013 American Chemical Society.","author":[{"dropping-particle":"","family":"Gerlofs-Nijland","given":"Miriam E.","non-dropping-particle":"","parse-names":false,"suffix":""},{"dropping-particle":"","family":"Totlandsdal","given":"Annike I.","non-dropping-particle":"","parse-names":false,"suffix":""},{"dropping-particle":"","family":"Tzamkiozis","given":"Theodoros","non-dropping-particle":"","parse-names":false,"suffix":""},{"dropping-particle":"","family":"Leseman","given":"Daan L.A.C.","non-dropping-particle":"","parse-names":false,"suffix":""},{"dropping-particle":"","family":"Samaras","given":"Zissis","non-dropping-particle":"","parse-names":false,"suffix":""},{"dropping-particle":"","family":"Låg","given":"Marit","non-dropping-particle":"","parse-names":false,"suffix":""},{"dropping-particle":"","family":"Schwarze","given":"Per","non-dropping-particle":"","parse-names":false,"suffix":""},{"dropping-particle":"","family":"Ntziachristos","given":"Leonidas","non-dropping-particle":"","parse-names":false,"suffix":""},{"dropping-particle":"","family":"Cassee","given":"Flemming R.","non-dropping-particle":"","parse-names":false,"suffix":""}],"container-title":"Environmental Science and Technology","id":"ITEM-1","issue":"11","issued":{"date-parts":[["2013","6","4"]]},"page":"5931-5938","publisher":"American Chemical Society","title":"Cell toxicity and oxidative potential of engine exhaust particles: Impact of using particulate filter or biodiesel fuel blend","type":"article-journal","volume":"47"},"uris":["http://www.mendeley.com/documents/?uuid=04cabd11-5ab4-3695-b4af-b15f120b0870"]},{"id":"ITEM-2","itemData":{"DOI":"10.1021/ES403146C/SUPPL_FILE/ES403146C_SI_001.PDF","ISSN":"0013936X","PMID":"24053625","abstract":"Debate about the biological effects of biodiesel exhaust emissions exists due to variation in methods of exhaust generation and biological models used to assess responses. Because studies in cells do not necessarily reflect the integrated response of a whole animal, experiments were conducted in two human cell lines representing bronchial epithelial cells and macrophages and female mice using identical particle suspensions of raw exhaust generated by a Volkswagen light-duty diesel engine using petrodiesel (B0) and a biodiesel blend (B20: 20% soy biodiesel/80% B0 by volume). Tailpipe particle emissions measurement showed B0 generated two times more particle mass, larger ultrafine particle number distribution modes, and particles of more nonpolar organic composition than the B20 fuel. Biological assays (inflammatory mediators, oxidative stress biomarkers) demonstrated that particulate matter (PM) generated by combustion of the two fuels induced different responses in in vitro and in vivo models. Concentrations of inflammatory mediators (Interleukin-6, IL-6; Interferon-gamma-induced Protein 10, IP-10; Granulocyte-stimulating factor, G-CSF) in the medium of B20-treated cells and in bronchoalveolar lavage fluid of mice exposed to B20 were ∼20-30% higher than control or B0 PM, suggesting that addition of biodiesel to diesel fuels will reduce PM emissions but not necessarily adverse health outcomes. © 2013 American Chemical Society.","author":[{"dropping-particle":"","family":"Fukagawa","given":"Naomi K.","non-dropping-particle":"","parse-names":false,"suffix":""},{"dropping-particle":"","family":"Li","given":"Muyao","non-dropping-particle":"","parse-names":false,"suffix":""},{"dropping-particle":"","family":"Poynter","given":"Matthew E.","non-dropping-particle":"","parse-names":false,"suffix":""},{"dropping-particle":"","family":"Palmer","given":"Brian C.","non-dropping-particle":"","parse-names":false,"suffix":""},{"dropping-particle":"","family":"Parker","given":"Erin","non-dropping-particle":"","parse-names":false,"suffix":""},{"dropping-particle":"","family":"Kasumba","given":"John","non-dropping-particle":"","parse-names":false,"suffix":""},{"dropping-particle":"","family":"Holmén","given":"Britt A.","non-dropping-particle":"","parse-names":false,"suffix":""}],"container-title":"Environmental Science and Technology","id":"ITEM-2","issue":"21","issued":{"date-parts":[["2013","11","5"]]},"page":"12496-12504","publisher":"American Chemical Society","title":"Soy biodiesel and petrodiesel emissions differ in size, chemical composition and stimulation of inflammatory responses in cells and animals","type":"article-journal","volume":"47"},"uris":["http://www.mendeley.com/documents/?uuid=38f006b2-2721-3fe6-9295-27e5bad4890d"]},{"id":"ITEM-3","itemData":{"DOI":"10.1016/j.fuel.2014.03.018","ISSN":"00162361","abstract":"The use of biofuels as automotive fuels is gradually increasing in order to meet the legislation targets for the use of renewable products in road fuels. Many types of bio-blending components are already used for this purpose throughout Europe with Fatty Acid Methyl Esters (FAMEs) being the most common. The objective of the present study was to evaluate the impact of Rapeseed Methyl Ester (RME) application on unregulated particulate emissions of modern diesel passenger vehicles, and specifically on exhaust particles' most important chemical constituents. Particle emissions were analyzed for their soluble organic fraction (SOF) and its constituents (fuel-derived SOF and lube oil-derived SOF), as well as for major inorganic ions (nitrate, sulfate, ammonium). Furthermore, the impact of RME on SOF's redox activity was investigated. A hydrocarbon-only diesel fuel (B0) and three blends of RME at 10%, 30% and 50% v/v were tested with three Euro 4 + compliant vehicles, one equipped with an oxidation catalyst and two others with different type of Diesel Particulate Filters (DPF), over the NEDC and Artemis Urban driving cycles. The use of higher biodiesel blends seem to result in increased SOF percentage to the total PM emitted. The same trend was also observed for fuel-derived SOF, while lube oil-derived SOF and major ion percentages to total PM were not significantly affected by the fuel change. Fuel-derived SOF was the major constituent comprising from 70% to 90% of the total SOF emitted. Additionally, in the non-DPF equipped vehicle the increase of biodiesel blend resulted in increased n-alkanes emissions (μg/km) without, however, the differences being statistically significant. Although the non-DPF equipped vehicle exhibited slightly higher sulfate than nitrate emissions, in DPF equipped vehicles sulfate were not detected at all. Higher RME contents resulted in elevated DTT-redox activity per mass in all tested vehicles, while on the other hand, the DTT-redox activity per unit of distance driven was not affected by the fuel change. Both DPF equipped vehicles exhibited 2-3 times higher DTT-redox activity per mass of emitted SOF when compared to the non-DPF equipped vehicle, however they exhibited 3-6 times lower oxidation activity per km, regardless the fuel. This is an indication that a significant amount of potentially more toxic organic compounds are trapped and oxidized in the DPF resulting thus in potentially less toxic organic emissions compared to the …","author":[{"dropping-particle":"","family":"Grigoratos","given":"Theodoros","non-dropping-p</w:instrText>
      </w:r>
      <w:r w:rsidRPr="001F3A90">
        <w:rPr>
          <w:lang w:val="nl-NL"/>
        </w:rPr>
        <w:instrText>article":"","parse-names":false,"suffix":""},{"dropping-particle":"","family":"Fontaras","given":"Georgios","non-dropping-particle":"","parse-names":false,"suffix":""},{"dropping-particle":"","family":"Kalogirou","given":"Maria","non-dropping-particle":"","parse-names":false,"suffix":""},{"dropping-particle":"","family":"Samara","given":"Constantini","non-dropping-particle":"","parse-names":false,"suffix":""},{"dropping-particle":"","family":"Samaras","given":"Zissis","non-dropping-particle":"","parse-names":false,"suffix":""},{"dropping-particle":"","family":"Rose","given":"Kenneth","non-dropping-particle":"","parse-names":false,"suffix":""}],"container-title":"Fuel","id":"ITEM-3","issued":{"date-parts":[["2014","7","15"]]},"page":"260-267","publisher":"Elsevier","title":"Effect of rapeseed methylester blending on diesel passenger car emissions – Part 2: Unregulated emissions and oxidation activity","type":"article-journal","volume":"128"},"uris":["http://www.mendeley.com/documents/?uuid=de9ac515-ea56-43a3-b124-2341e8b9c8e3"]}],"mendeley":{"formattedCitation":"(Fukagawa et al., 2013; Gerlofs-Nijland et al., 2013; Grigoratos et al., 2014)","plainTextFormattedCitation":"(Fukagawa et al., 2013; Gerlofs-Nijland et al., 2013; Grigoratos et al., 2014)","previouslyFormattedCitation":"(Fukagawa et al., 2013; Gerlofs-Nijland et al., 2013; Grigoratos et al., 2014)"},"properties":{"noteIndex":0},"schema":"https://github.com/citation-style-language/schema/raw/master/csl-citation.json"}</w:instrText>
      </w:r>
      <w:r w:rsidRPr="007F3C5D">
        <w:fldChar w:fldCharType="separate"/>
      </w:r>
      <w:r w:rsidRPr="001F3A90">
        <w:rPr>
          <w:noProof/>
          <w:lang w:val="nl-NL"/>
        </w:rPr>
        <w:t>(Fukagawa et al., 2013; Gerlofs-Nijland et al., 2013; Grigoratos et al., 2014)</w:t>
      </w:r>
      <w:r w:rsidRPr="007F3C5D">
        <w:fldChar w:fldCharType="end"/>
      </w:r>
      <w:r w:rsidRPr="001F3A90">
        <w:rPr>
          <w:lang w:val="nl-NL"/>
        </w:rPr>
        <w:t xml:space="preserve">. </w:t>
      </w:r>
      <w:r w:rsidR="004543A8" w:rsidRPr="006658F3">
        <w:rPr>
          <w:lang w:val="nl-NL"/>
        </w:rPr>
        <w:t xml:space="preserve">A rat inhalation study by Valand et al. </w:t>
      </w:r>
      <w:r w:rsidR="004543A8" w:rsidRPr="007F3C5D">
        <w:fldChar w:fldCharType="begin" w:fldLock="1"/>
      </w:r>
      <w:r w:rsidR="004543A8" w:rsidRPr="007F3C5D">
        <w:instrText>ADDIN CSL_CITATION {"citationItems":[{"id":"ITEM-1","itemData":{"DOI":"10.1080/08958378.2018.1520370","ISSN":"0895-8378","PMID":"30569778","abstract":"While the impact of emissions from combustion of fossil fuel on human health has been extensively studied, current knowledge of exhaust exposure from combustion of biofuels provides limited and inc...","author":[{"dropping-particle":"","family":"Valand","given":"Renate","non-dropping-particle":"","parse-names":false,"suffix":""},{"dropping-particle":"","family":"Magnusson","given":"Pål","non-dropping-particle":"","parse-names":false,"suffix":""},{"dropping-particle":"","family":"Dziendzikowska","given":"Katarzyna","non-dropping-particle":"","parse-names":false,"suffix":""},{"dropping-particle":"","family":"Gajewska","given":"Malgorzata","non-dropping-particle":"","parse-names":false,"suffix":""},{"dropping-particle":"","family":"Wilczak","given":"Jacek","non-dropping-particle":"","parse-names":false,"suffix":""},{"dropping-particle":"","family":"Oczkowski","given":"Michał","non-dropping-particle":"","parse-names":false,"suffix":""},{"dropping-particle":"","family":"Kamola","given":"Dariusz","non-dropping-particle":"","parse-names":false,"suffix":""},{"dropping-particle":"","family":"Królikowski","given":"Tomasz","non-dropping-particle":"","parse-names":false,"suffix":""},{"dropping-particle":"","family":"Kruszewski","given":"Marcin","non-dropping-particle":"","parse-names":false,"suffix":""},{"dropping-particle":"","family":"Lankoff","given":"Anna","non-dropping-particle":"","parse-names":false,"suffix":""},{"dropping-particle":"","family":"Mruk","given":"Remigiusz","non-dropping-particle":"","parse-names":false,"suffix":""},{"dropping-particle":"","family":"Marcus Eide","given":"Dag","non-dropping-particle":"","parse-names":false,"suffix":""},{"dropping-particle":"","family":"Sapierzyński","given":"Rafał","non-dropping-particle":"","parse-names":false,"suffix":""},{"dropping-particle":"","family":"Gromadzka-Ostrowska","given":"Joanna","non-dropping-particle":"","parse-names":false,"suffix":""},{"dropping-particle":"","family":"Duale","given":"Nur","non-dropping-particle":"","parse-names":false,"suffix":""},{"dropping-particle":"","family":"Øvrevik","given":"Johan","non-dropping-particle":"","parse-names":false,"suffix":""},{"dropping-particle":"","family":"Myhre","given":"Oddvar","non-dropping-particle":"","parse-names":false,"suffix":""}],"container-title":"Inhalation Toxicology","id":"ITEM-1","issue":"7-8","issued":{"date-parts":[["2018","7","3"]]},"page":"299-312","publisher":"Taylor &amp; Francis","title":"Gene expression changes in rat brain regions after 7- and 28 days inhalation exposure to exhaust emissions from 1st and 2nd generation biodiesel fuels - The FuelHealth project","type":"article-journal","volume":"30"},"uris":["http://www.mendeley.com/documents/?uuid=9458e6c3-14d6-38d1-9c45-e0d9ada254ec"]}],"mendeley":{"formattedCitation":"(Valand et al., 2018)","manualFormatting":"(2018)","plainTextFormattedCitation":"(Valand et al., 2018)","previouslyFormattedCitation":"(Valand et al., 2018)"},"properties":{"noteIndex":0},"schema":"https://github.com/citation-style-language/schema/raw/master/csl-citation.json"}</w:instrText>
      </w:r>
      <w:r w:rsidR="004543A8" w:rsidRPr="007F3C5D">
        <w:fldChar w:fldCharType="separate"/>
      </w:r>
      <w:r w:rsidR="004543A8" w:rsidRPr="007F3C5D">
        <w:rPr>
          <w:noProof/>
        </w:rPr>
        <w:t>(2018)</w:t>
      </w:r>
      <w:r w:rsidR="004543A8" w:rsidRPr="007F3C5D">
        <w:fldChar w:fldCharType="end"/>
      </w:r>
      <w:r w:rsidR="004543A8" w:rsidRPr="007F3C5D">
        <w:t xml:space="preserve"> focused specifically on neuronal integrity between diesel and various biodiesel blend exposed animal after 7- and 28-day exposure. Only</w:t>
      </w:r>
      <w:r w:rsidRPr="007F3C5D">
        <w:t xml:space="preserve"> mild and no consistent alterations</w:t>
      </w:r>
      <w:r w:rsidR="004543A8" w:rsidRPr="007F3C5D">
        <w:t xml:space="preserve"> between different exposure groups were</w:t>
      </w:r>
      <w:r w:rsidRPr="007F3C5D">
        <w:t xml:space="preserve"> present for gene expression of genes </w:t>
      </w:r>
      <w:r w:rsidR="00892177" w:rsidRPr="007F3C5D">
        <w:t xml:space="preserve">that </w:t>
      </w:r>
      <w:r w:rsidRPr="007F3C5D">
        <w:t xml:space="preserve">were related to redox responses (Cat, Gpx1, </w:t>
      </w:r>
      <w:proofErr w:type="spellStart"/>
      <w:r w:rsidRPr="007F3C5D">
        <w:t>Gsr</w:t>
      </w:r>
      <w:proofErr w:type="spellEnd"/>
      <w:r w:rsidRPr="007F3C5D">
        <w:t xml:space="preserve">, Sod1, Sod2), genes associated </w:t>
      </w:r>
      <w:r w:rsidR="00892177" w:rsidRPr="007F3C5D">
        <w:t>with</w:t>
      </w:r>
      <w:r w:rsidRPr="007F3C5D">
        <w:t xml:space="preserve"> inflammation (Ccl3, Nfkb1, Il18) and histopathology of the frontal cortex and hippocampus. Further, no conclusive research has been done on the difference </w:t>
      </w:r>
      <w:r w:rsidR="009F2DD8" w:rsidRPr="007F3C5D">
        <w:t xml:space="preserve">in </w:t>
      </w:r>
      <w:r w:rsidRPr="007F3C5D">
        <w:t xml:space="preserve">the effect of diesel and biodiesel exhaust-derived PM on </w:t>
      </w:r>
      <w:r w:rsidR="009F2DD8" w:rsidRPr="007F3C5D">
        <w:t>neurophysiology</w:t>
      </w:r>
      <w:r w:rsidRPr="007F3C5D">
        <w:t xml:space="preserve">, neurotransmission, receptor activation etc. Hence, no consensus is reached on the difference between diesel and biodiesel engine exhaust in literature, more specifically on the fractions of PM. Nevertheless, our results support the hypothesis that biodiesel has less adverse health effects </w:t>
      </w:r>
      <w:r w:rsidR="009F2DD8" w:rsidRPr="007F3C5D">
        <w:t xml:space="preserve">on </w:t>
      </w:r>
      <w:r w:rsidRPr="007F3C5D">
        <w:t>the CNS.</w:t>
      </w:r>
    </w:p>
    <w:p w14:paraId="2D940A92" w14:textId="77777777" w:rsidR="003C23CE" w:rsidRPr="007F3C5D" w:rsidRDefault="003C23CE" w:rsidP="00A14895">
      <w:pPr>
        <w:pStyle w:val="Heading2"/>
      </w:pPr>
      <w:bookmarkStart w:id="60" w:name="_Toc101374942"/>
      <w:r w:rsidRPr="007F3C5D">
        <w:t>Aromatic compounds in exhaust-derived PM</w:t>
      </w:r>
      <w:bookmarkEnd w:id="60"/>
    </w:p>
    <w:p w14:paraId="2DC98DF8" w14:textId="31DE1166" w:rsidR="00A96912" w:rsidRPr="007F3C5D" w:rsidRDefault="003C23CE" w:rsidP="00A14895">
      <w:pPr>
        <w:spacing w:afterLines="120" w:after="288"/>
      </w:pPr>
      <w:r w:rsidRPr="007F3C5D">
        <w:t xml:space="preserve">After combustion of the low aromatic A0 and the high aromatic A20 fuels, the exhaust was collected in fractions of non-volatile UFP and SVOC UFP per fuel. The non-volatile fractions of A0 and A20 </w:t>
      </w:r>
      <w:r w:rsidR="00EE604D" w:rsidRPr="007F3C5D">
        <w:t xml:space="preserve">induced </w:t>
      </w:r>
      <w:r w:rsidRPr="007F3C5D">
        <w:t xml:space="preserve">no </w:t>
      </w:r>
      <w:r w:rsidR="00EE604D" w:rsidRPr="007F3C5D">
        <w:t>relevant changes in</w:t>
      </w:r>
      <w:r w:rsidRPr="007F3C5D">
        <w:t xml:space="preserve"> neuronal activity</w:t>
      </w:r>
      <w:r w:rsidR="009F2DD8" w:rsidRPr="007F3C5D">
        <w:t>. For both</w:t>
      </w:r>
      <w:r w:rsidRPr="007F3C5D">
        <w:t xml:space="preserve"> SVOC UFP </w:t>
      </w:r>
      <w:r w:rsidR="009F2DD8" w:rsidRPr="007F3C5D">
        <w:t>samples</w:t>
      </w:r>
      <w:r w:rsidR="004543A8" w:rsidRPr="007F3C5D">
        <w:t xml:space="preserve"> derived from</w:t>
      </w:r>
      <w:r w:rsidRPr="007F3C5D">
        <w:t xml:space="preserve"> A0 and A20</w:t>
      </w:r>
      <w:r w:rsidR="004543A8" w:rsidRPr="007F3C5D">
        <w:t xml:space="preserve"> fuel</w:t>
      </w:r>
      <w:r w:rsidR="009F2DD8" w:rsidRPr="007F3C5D">
        <w:t xml:space="preserve">, our data </w:t>
      </w:r>
      <w:r w:rsidRPr="007F3C5D">
        <w:t xml:space="preserve">showed </w:t>
      </w:r>
      <w:r w:rsidR="00EE604D" w:rsidRPr="007F3C5D">
        <w:t>clear dose- and time-dependent reduction of</w:t>
      </w:r>
      <w:r w:rsidR="009F2DD8" w:rsidRPr="007F3C5D">
        <w:t xml:space="preserve"> neuronal activity</w:t>
      </w:r>
      <w:r w:rsidRPr="007F3C5D">
        <w:t xml:space="preserve">. </w:t>
      </w:r>
      <w:r w:rsidR="009F2DD8" w:rsidRPr="007F3C5D">
        <w:t xml:space="preserve">However, </w:t>
      </w:r>
      <w:r w:rsidR="00EE604D" w:rsidRPr="007F3C5D">
        <w:t xml:space="preserve">the effects seen for </w:t>
      </w:r>
      <w:r w:rsidRPr="007F3C5D">
        <w:t xml:space="preserve">SVOC A20 </w:t>
      </w:r>
      <w:r w:rsidR="00EE604D" w:rsidRPr="007F3C5D">
        <w:t>were</w:t>
      </w:r>
      <w:r w:rsidRPr="007F3C5D">
        <w:t xml:space="preserve"> far greater than SVOC A0</w:t>
      </w:r>
      <w:r w:rsidR="00EE604D" w:rsidRPr="007F3C5D">
        <w:t>-induced chan</w:t>
      </w:r>
      <w:r w:rsidR="004543A8" w:rsidRPr="007F3C5D">
        <w:t>g</w:t>
      </w:r>
      <w:r w:rsidR="00EE604D" w:rsidRPr="007F3C5D">
        <w:t xml:space="preserve">es </w:t>
      </w:r>
      <w:r w:rsidR="009F2DD8" w:rsidRPr="007F3C5D">
        <w:t>indicating that the A20-derived samples exhibit higher neurotoxic potency</w:t>
      </w:r>
      <w:r w:rsidRPr="007F3C5D">
        <w:t xml:space="preserve">. SVOC are a fraction of engine exhaust that fluctuates between the particle and gaseous phase and </w:t>
      </w:r>
      <w:r w:rsidR="004543A8" w:rsidRPr="007F3C5D">
        <w:t xml:space="preserve">contain, amongst others, </w:t>
      </w:r>
      <w:r w:rsidRPr="007F3C5D">
        <w:t xml:space="preserve">the known toxicant group of </w:t>
      </w:r>
      <w:proofErr w:type="gramStart"/>
      <w:r w:rsidRPr="007F3C5D">
        <w:t>PAH</w:t>
      </w:r>
      <w:proofErr w:type="gramEnd"/>
      <w:r w:rsidRPr="007F3C5D">
        <w:t xml:space="preserve">. This </w:t>
      </w:r>
      <w:r w:rsidR="009F2DD8" w:rsidRPr="007F3C5D">
        <w:t xml:space="preserve">can </w:t>
      </w:r>
      <w:r w:rsidRPr="007F3C5D">
        <w:t xml:space="preserve">explain that SVOC, and especially A20, </w:t>
      </w:r>
      <w:r w:rsidR="009F2DD8" w:rsidRPr="007F3C5D">
        <w:t xml:space="preserve">disrupt </w:t>
      </w:r>
      <w:r w:rsidRPr="007F3C5D">
        <w:t>neuronal activity, because the concentration of potential toxic aromatic compounds is</w:t>
      </w:r>
      <w:r w:rsidR="009F2DD8" w:rsidRPr="007F3C5D">
        <w:t xml:space="preserve"> also expected to be</w:t>
      </w:r>
      <w:r w:rsidRPr="007F3C5D">
        <w:t xml:space="preserve"> far greater than for non-volatile UFP.</w:t>
      </w:r>
      <w:r w:rsidR="00A96912">
        <w:t xml:space="preserve"> However, it is still expected that a fraction of the SVOC would coat and be present in the non-volatile UFP, as they would retain in the particle state upon collection.</w:t>
      </w:r>
    </w:p>
    <w:p w14:paraId="24FB23F8" w14:textId="74BCF124" w:rsidR="003C23CE" w:rsidRDefault="003C23CE" w:rsidP="00A14895">
      <w:pPr>
        <w:spacing w:afterLines="120" w:after="288"/>
      </w:pPr>
      <w:r w:rsidRPr="007F3C5D">
        <w:t>The SVOC UFP fractions did not contain equal amounts of mass as non-volatile UFP from the A0 and A20 fuels did because they are partly gaseous.</w:t>
      </w:r>
      <w:r w:rsidR="00C70E44">
        <w:t xml:space="preserve"> Therefore,</w:t>
      </w:r>
      <w:r w:rsidR="00A96912">
        <w:t xml:space="preserve"> SVOC UFP fractions were not collected on filters, but on absor</w:t>
      </w:r>
      <w:r w:rsidR="003D235A">
        <w:t>p</w:t>
      </w:r>
      <w:r w:rsidR="00A96912">
        <w:t>tion tubes</w:t>
      </w:r>
      <w:r w:rsidR="003D235A">
        <w:t xml:space="preserve"> from which the weight of collected sample could not be determined. On the other hand, the volume of exhaust from which the SVOC UFP was collected was known.</w:t>
      </w:r>
      <w:r w:rsidR="00A96912">
        <w:t xml:space="preserve"> </w:t>
      </w:r>
      <w:r w:rsidRPr="007F3C5D">
        <w:t xml:space="preserve">Therefore, the SVOC UFP were exposed in L/mL rather than mg/mL, with the highest </w:t>
      </w:r>
      <w:r w:rsidR="003D235A">
        <w:t>dose</w:t>
      </w:r>
      <w:r w:rsidRPr="007F3C5D">
        <w:t xml:space="preserve"> of 20 L/mL instead of 100 mg/mL as for the non-volatile fractions. To correctly compare these fractions, the exposure doses of the non-volatile UFP were recalculated to equal units in L/</w:t>
      </w:r>
      <w:proofErr w:type="spellStart"/>
      <w:r w:rsidRPr="007F3C5D">
        <w:t>mL.</w:t>
      </w:r>
      <w:proofErr w:type="spellEnd"/>
      <w:r w:rsidRPr="007F3C5D">
        <w:t xml:space="preserve"> As the collected volume for 1 mg collected non-volatile UFP was 0.3</w:t>
      </w:r>
      <w:r w:rsidR="00C70E44">
        <w:t>8</w:t>
      </w:r>
      <w:r w:rsidRPr="007F3C5D">
        <w:t xml:space="preserve"> and 0.5</w:t>
      </w:r>
      <w:r w:rsidR="00C70E44">
        <w:t>6</w:t>
      </w:r>
      <w:r w:rsidRPr="007F3C5D">
        <w:t xml:space="preserve"> m</w:t>
      </w:r>
      <w:r w:rsidRPr="007F3C5D">
        <w:rPr>
          <w:vertAlign w:val="superscript"/>
        </w:rPr>
        <w:t>3</w:t>
      </w:r>
      <w:r w:rsidRPr="007F3C5D">
        <w:t>/mg for the A0 and A20</w:t>
      </w:r>
      <w:r w:rsidR="00161C18" w:rsidRPr="007F3C5D">
        <w:t>,</w:t>
      </w:r>
      <w:r w:rsidRPr="007F3C5D">
        <w:t xml:space="preserve"> respectively, the highest doses were equal to 37.7 and 55.8 L/</w:t>
      </w:r>
      <w:proofErr w:type="spellStart"/>
      <w:r w:rsidRPr="007F3C5D">
        <w:t>mL.</w:t>
      </w:r>
      <w:proofErr w:type="spellEnd"/>
      <w:r w:rsidRPr="007F3C5D">
        <w:t xml:space="preserve"> So compared to the SVOC UFP fraction, the </w:t>
      </w:r>
      <w:r w:rsidR="00161C18" w:rsidRPr="007F3C5D">
        <w:t xml:space="preserve">exposed </w:t>
      </w:r>
      <w:r w:rsidRPr="007F3C5D">
        <w:t xml:space="preserve">doses were </w:t>
      </w:r>
      <w:r w:rsidR="00161C18" w:rsidRPr="007F3C5D">
        <w:t>ca two</w:t>
      </w:r>
      <w:r w:rsidRPr="007F3C5D">
        <w:t xml:space="preserve"> times high</w:t>
      </w:r>
      <w:r w:rsidR="00161C18" w:rsidRPr="007F3C5D">
        <w:t>er than the dose for the SVOC</w:t>
      </w:r>
      <w:r w:rsidRPr="007F3C5D">
        <w:t>, making the SVOC UFP fractions from A0 and A20 fuel even more potent relatively to the non-volatile UFP fractions.</w:t>
      </w:r>
    </w:p>
    <w:p w14:paraId="0F7BF043" w14:textId="757F626B" w:rsidR="00E83739" w:rsidRPr="007F3C5D" w:rsidRDefault="00E83739" w:rsidP="00A14895">
      <w:pPr>
        <w:pStyle w:val="Heading2"/>
      </w:pPr>
      <w:bookmarkStart w:id="61" w:name="_Toc101374943"/>
      <w:r>
        <w:lastRenderedPageBreak/>
        <w:t xml:space="preserve">Possible mechanism of toxicity </w:t>
      </w:r>
      <w:r w:rsidR="005C26E0">
        <w:t>from</w:t>
      </w:r>
      <w:r>
        <w:t xml:space="preserve"> SVOC exposure</w:t>
      </w:r>
      <w:bookmarkEnd w:id="61"/>
    </w:p>
    <w:p w14:paraId="519FADE5" w14:textId="5C42E2F0" w:rsidR="003C23CE" w:rsidRPr="007F3C5D" w:rsidRDefault="001F6BB7" w:rsidP="00A14895">
      <w:pPr>
        <w:spacing w:afterLines="120" w:after="288"/>
      </w:pPr>
      <w:r>
        <w:t>Th</w:t>
      </w:r>
      <w:r w:rsidR="003C23CE" w:rsidRPr="007F3C5D">
        <w:t xml:space="preserve">e cytotoxicity was measured to distinguish whether inhibition of neurological activity </w:t>
      </w:r>
      <w:r w:rsidR="00161C18" w:rsidRPr="007F3C5D">
        <w:t>is</w:t>
      </w:r>
      <w:r w:rsidR="003C23CE" w:rsidRPr="007F3C5D">
        <w:t xml:space="preserve"> due to </w:t>
      </w:r>
      <w:proofErr w:type="spellStart"/>
      <w:r w:rsidR="00161C18" w:rsidRPr="007F3C5D">
        <w:t>specifc</w:t>
      </w:r>
      <w:proofErr w:type="spellEnd"/>
      <w:r w:rsidR="00161C18" w:rsidRPr="007F3C5D">
        <w:t xml:space="preserve"> interaction with cellular processes important f</w:t>
      </w:r>
      <w:r w:rsidR="001E0F05" w:rsidRPr="007F3C5D">
        <w:t>o</w:t>
      </w:r>
      <w:r w:rsidR="00161C18" w:rsidRPr="007F3C5D">
        <w:t>r neuro</w:t>
      </w:r>
      <w:r w:rsidR="001E0F05" w:rsidRPr="007F3C5D">
        <w:t xml:space="preserve">nal </w:t>
      </w:r>
      <w:proofErr w:type="spellStart"/>
      <w:r w:rsidR="001E0F05" w:rsidRPr="007F3C5D">
        <w:t>signalling</w:t>
      </w:r>
      <w:proofErr w:type="spellEnd"/>
      <w:r w:rsidR="003C23CE" w:rsidRPr="007F3C5D">
        <w:t xml:space="preserve">, or general </w:t>
      </w:r>
      <w:r w:rsidR="00161C18" w:rsidRPr="007F3C5D">
        <w:t>cy</w:t>
      </w:r>
      <w:r w:rsidR="001E0F05" w:rsidRPr="007F3C5D">
        <w:t>to</w:t>
      </w:r>
      <w:r w:rsidR="003C23CE" w:rsidRPr="007F3C5D">
        <w:t>toxicity such as apoptosis</w:t>
      </w:r>
      <w:r w:rsidR="00161C18" w:rsidRPr="007F3C5D">
        <w:t xml:space="preserve"> or necrosis</w:t>
      </w:r>
      <w:r w:rsidR="003C23CE" w:rsidRPr="007F3C5D">
        <w:t xml:space="preserve">, which </w:t>
      </w:r>
      <w:r w:rsidR="00161C18" w:rsidRPr="007F3C5D">
        <w:t>would also result in lower neuronal</w:t>
      </w:r>
      <w:r w:rsidR="003C23CE" w:rsidRPr="007F3C5D">
        <w:t xml:space="preserve"> activity. Both SVOC UFP fractions of A0 and A20 showed cytotoxicity for the dose that lowered the neuronal activity. This indicates that the decrease in neuronal activity subchronically was more related to general cellular processes, rather than the effect on specific neurological processes. However, </w:t>
      </w:r>
      <w:r w:rsidR="001E0F05" w:rsidRPr="007F3C5D">
        <w:t xml:space="preserve">also acute inhibition of the activity was observed which is unlikely a result of cytotoxicity indicating </w:t>
      </w:r>
      <w:r w:rsidR="003C23CE" w:rsidRPr="007F3C5D">
        <w:t>that SVOC</w:t>
      </w:r>
      <w:r w:rsidR="001E0F05" w:rsidRPr="007F3C5D">
        <w:t xml:space="preserve"> do exhibit specific neurotoxicity</w:t>
      </w:r>
      <w:r w:rsidR="003C23CE" w:rsidRPr="007F3C5D">
        <w:t>.</w:t>
      </w:r>
      <w:r w:rsidR="001E0F05" w:rsidRPr="007F3C5D">
        <w:t xml:space="preserve"> It is suggested to ensure that the SVOC did not affect cell viability</w:t>
      </w:r>
      <w:r w:rsidR="003C23CE" w:rsidRPr="007F3C5D">
        <w:t xml:space="preserve"> </w:t>
      </w:r>
      <w:r w:rsidR="001E0F05" w:rsidRPr="007F3C5D">
        <w:t xml:space="preserve">after acute exposure. </w:t>
      </w:r>
      <w:r w:rsidR="003C23CE" w:rsidRPr="007F3C5D">
        <w:t xml:space="preserve">Possible mechanisms that could acutely affect neurological function include changes in receptor activation and calcium concentrations in neuronal cells </w:t>
      </w:r>
      <w:r w:rsidR="003C23CE" w:rsidRPr="007F3C5D">
        <w:fldChar w:fldCharType="begin" w:fldLock="1"/>
      </w:r>
      <w:r w:rsidR="003C23CE" w:rsidRPr="007F3C5D">
        <w:instrText>ADDIN CSL_CITATION {"citationItems":[{"id":"ITEM-1","itemData":{"DOI":"10.1002/TOX.20675","ISSN":"1522-7278","PMID":"21452393","abstract":"Polycyclic aromatic hydrocarbons (PAHs) such as benzo(a)pyrene (B(a)P) constitute a major family of widely-distributed environmental toxic contaminants, known as potent ligands of the aryl hydrocarbon receptor (AhR). B(a)P has been recently shown to trigger an early and transient increase of intracellular calcium concentration ([Ca2+]i), involved in AhR-related up-regulation of target genes by B(a)P. This study was designed to determine whether AhR may play a role in [Ca2+]i induction provoked by B(a)P. We demonstrated that, in addition to B(a)P, various PAHs, including pyrene and benzo(e)pyrene, known to not or only very poorly interact with AhR, similarly up-regulated [Ca2+]i in human endothelial HMEC-1 cells. Moreover, α-naphthoflavone, a flavonoïd antagonist of AhR, was also able to induce [Ca2+]i. Knocking-down AhR expression in HMEC-1 cells through transfection of siRNAs, was finally demonstrated to not prevent B(a)P-mediated induction of [Ca2+]i, whereas it efficiently counteracted B(a)P-mediated induction of the referent AhR target gene cytochrome P-450 1B1. Taken together, these data demonstrate that environmental PAHs trigger [Ca2+]i induction in an AhR-independent manner. © 2011 Wiley Periodicals, Inc.","author":[{"dropping-particle":"","family":"Mayati","given":"Abdullah","non-dropping-particle":"","parse-names":false,"suffix":""},{"dropping-particle":"","family":"Ferrec","given":"Eric","non-dropping-particle":"Le","parse-names":false,"suffix":""},{"dropping-particle":"","family":"Lagadic-Gossmann","given":"Dominique","non-dropping-particle":"","parse-names":false,"suffix":""},{"dropping-particle":"","family":"Fardel","given":"Olivier","non-dropping-particle":"","parse-names":false,"suffix":""}],"container-title":"Environmental Toxicology","id":"ITEM-1","issue":"9","issued":{"date-parts":[["2012","9","1"]]},"page":"556-562","publisher":"John Wiley &amp; Sons, Ltd","title":"Aryl hydrocarbon receptor-independent up-regulation of intracellular calcium concentration by environmental polycyclic aromatic hydrocarbons in human endothelial HMEC-1 cells","type":"article-journal","volume":"27"},"uris":["http://www.mendeley.com/documents/?uuid=4203fe9d-eded-3c3e-9dde-6fc36389573e"]},{"id":"ITEM-2","itemData":{"DOI":"10.3390/ijms19051429","ISSN":"1422-0067","PMID":"29748474","abstract":"Exposure to diesel exhaust particles (DEPs) affects endothelial function and may contribute to the development of atherosclerosis and vasomotor dysfunction. As intracellular calcium concentration [Ca2+]i is considered important in myoendothelial signalling, we explored the effects of extractable organic matter from DEPs (DEP-EOM) on [Ca2+]i and membrane microstructure in endothelial cells. DEP-EOM of increasing polarity was obtained by pressurized sequential extraction of DEPs with n-hexane (n-Hex-EOM), dichloromethane (DCM-EOM), methanol, and water. Chemical analysis revealed that the majority of organic matter was extracted by the n-Hex- and DCM-EOM, with polycyclic aromatic hydrocarbons primarily occurring in n-Hex-EOM. The concentration of calcium was measured in human microvascular endothelial cells (HMEC-1) using micro-spectrofluorometry. The lipophilic n-Hex-EOM and DCM-EOM, but not the more polar methanol- and water-soluble extracts, induced rapid [Ca2+]i increases in HMEC-1. n-Hex-EOM triggered [Ca2+]i increase from intracellular stores, followed by extracellular calcium influx consistent with store operated calcium entry (SOCE). By contrast, the less lipophilic DCM-EOM triggered [Ca2+]i increase via extracellular influx alone, resembling receptor operated calcium entry (ROCE). Both extracts increased [Ca2+]i via aryl hydrocarbon receptor (AhR) non-genomic signalling, verified by pharmacological inhibition and RNA-interference. Moreover, DCM-EOM appeared to induce an AhR-dependent reduction in the global plasma membrane order, as visualized by confocal fluorescence microscopy. DCM-EOM-triggered [Ca2+]i increase and membrane alterations were attenuated by the membrane stabilizing lipid cholesterol. In conclusion, lipophilic constituents of DEPs extracted by n-hexane and DCM seem to induce rapid AhR-dependent [Ca2+]i increase in HMEC-1 endothelial cells, possibly involving both ROCE and SOCE-mediated mechanisms. The semi-lipophilic fraction extracted by DCM also caused an AhR-dependent reduction in global membrane order, which appeared to be connected to the [Ca2+]i increase.","author":[{"dropping-particle":"","family":"Brinchmann","given":"Bendik","non-dropping-particle":"","parse-names":false,"suffix":""},{"dropping-particle":"","family":"Ferrec","given":"Eric","non-dropping-particle":"Le","parse-names":false,"suffix":""},{"dropping-particle":"","family":"Podechard","given":"Normand","non-dropping-particle":"","parse-names":false,"suffix":""},{"dropping-particle":"","family":"Lagadic-Gossmann","given":"Dominique","non-dropping-particle":"","parse-names":false,"suffix":""},{"dropping-particle":"","family":"Shoji","given":"Kenji","non-dropping-particle":"","parse-names":false,"suffix":""},{"dropping-particle":"","family":"Penna","given":"Aubin","non-dropping-particle":"","parse-names":false,"suffix":""},{"dropping-particle":"","family":"Kukowski","given":"Klara","non-dropping-particle":"","parse-names":false,"suffix":""},{"dropping-particle":"","family":"Kubátová","given":"Alena","non-dropping-particle":"","parse-names":false,"suffix":""},{"dropping-particle":"","family":"Holme","given":"Jørn","non-dropping-particle":"","parse-names":false,"suffix":""},{"dropping-particle":"","family":"Øvrevik","given":"Johan","non-dropping-particle":"","parse-names":false,"suffix":""}],"container-title":"International Journal of Molecular Sciences","id":"ITEM-2","issue":"5","issued":{"date-parts":[["2018","5","10"]]},"page":"1429","publisher":"Multidisciplinary Digital Publishing Institute","title":"Lipophilic Chemicals from Diesel Exhaust Particles Trigger Calcium Response in Human Endothelial Cells via Aryl Hydrocarbon Receptor Non-Genomic Signalling","type":"article-journal","volume":"19"},"uris":["http://www.mendeley.com/documents/?uuid=42a162da-ee15-3e95-a405-2d646d7e7689"]}],"mendeley":{"formattedCitation":"(Brinchmann et al., 2018; Mayati et al., 2012)","plainTextFormattedCitation":"(Brinchmann et al., 2018; Mayati et al., 2012)","previouslyFormattedCitation":"(Brinchmann et al., 2018; Mayati et al., 2012)"},"properties":{"noteIndex":0},"schema":"https://github.com/citation-style-language/schema/raw/master/csl-citation.json"}</w:instrText>
      </w:r>
      <w:r w:rsidR="003C23CE" w:rsidRPr="007F3C5D">
        <w:fldChar w:fldCharType="separate"/>
      </w:r>
      <w:r w:rsidR="003C23CE" w:rsidRPr="007F3C5D">
        <w:rPr>
          <w:noProof/>
        </w:rPr>
        <w:t>(Brinchmann et al., 2018; Mayati et al., 2012)</w:t>
      </w:r>
      <w:r w:rsidR="003C23CE" w:rsidRPr="007F3C5D">
        <w:fldChar w:fldCharType="end"/>
      </w:r>
      <w:r w:rsidR="003C23CE" w:rsidRPr="007F3C5D">
        <w:t xml:space="preserve">. The study by </w:t>
      </w:r>
      <w:proofErr w:type="spellStart"/>
      <w:r w:rsidR="003C23CE" w:rsidRPr="007F3C5D">
        <w:t>Mayati</w:t>
      </w:r>
      <w:proofErr w:type="spellEnd"/>
      <w:r w:rsidR="003C23CE" w:rsidRPr="007F3C5D">
        <w:t xml:space="preserve"> et al. showed an acute (20-25 min) increase of intracellular calcium concentration </w:t>
      </w:r>
      <w:r w:rsidR="001E0F05" w:rsidRPr="007F3C5D">
        <w:t>(</w:t>
      </w:r>
      <w:r w:rsidR="003C23CE" w:rsidRPr="007F3C5D">
        <w:t>[Ca</w:t>
      </w:r>
      <w:r w:rsidR="003C23CE" w:rsidRPr="007F3C5D">
        <w:rPr>
          <w:vertAlign w:val="superscript"/>
        </w:rPr>
        <w:t>2</w:t>
      </w:r>
      <w:proofErr w:type="gramStart"/>
      <w:r w:rsidR="003C23CE" w:rsidRPr="007F3C5D">
        <w:rPr>
          <w:vertAlign w:val="superscript"/>
        </w:rPr>
        <w:t>+</w:t>
      </w:r>
      <w:r w:rsidR="003C23CE" w:rsidRPr="007F3C5D">
        <w:t>]</w:t>
      </w:r>
      <w:r w:rsidR="003C23CE" w:rsidRPr="007F3C5D">
        <w:rPr>
          <w:vertAlign w:val="subscript"/>
        </w:rPr>
        <w:t>i</w:t>
      </w:r>
      <w:proofErr w:type="gramEnd"/>
      <w:r w:rsidR="001E0F05" w:rsidRPr="007F3C5D">
        <w:t xml:space="preserve">) </w:t>
      </w:r>
      <w:r w:rsidR="003C23CE" w:rsidRPr="007F3C5D">
        <w:t>after exposure to PAH on human microvascular endothelial cells, independent of the aryl hydrocarbon receptor (</w:t>
      </w:r>
      <w:proofErr w:type="spellStart"/>
      <w:r w:rsidR="003C23CE" w:rsidRPr="007F3C5D">
        <w:t>AhR</w:t>
      </w:r>
      <w:proofErr w:type="spellEnd"/>
      <w:r w:rsidR="003C23CE" w:rsidRPr="007F3C5D">
        <w:t xml:space="preserve">) pathway. Similar results are seen in the study of </w:t>
      </w:r>
      <w:proofErr w:type="spellStart"/>
      <w:r w:rsidR="003C23CE" w:rsidRPr="007F3C5D">
        <w:t>Brinchmann</w:t>
      </w:r>
      <w:proofErr w:type="spellEnd"/>
      <w:r w:rsidR="003C23CE" w:rsidRPr="007F3C5D">
        <w:t xml:space="preserve"> et al.</w:t>
      </w:r>
      <w:r w:rsidR="00205039">
        <w:t xml:space="preserve">, </w:t>
      </w:r>
      <w:r w:rsidR="003C23CE" w:rsidRPr="007F3C5D">
        <w:t>which show</w:t>
      </w:r>
      <w:r w:rsidR="001E0F05" w:rsidRPr="007F3C5D">
        <w:t>s</w:t>
      </w:r>
      <w:r w:rsidR="003C23CE" w:rsidRPr="007F3C5D">
        <w:t xml:space="preserve"> an acute (30 min) increase of [Ca</w:t>
      </w:r>
      <w:r w:rsidR="003C23CE" w:rsidRPr="007F3C5D">
        <w:rPr>
          <w:vertAlign w:val="superscript"/>
        </w:rPr>
        <w:t>2</w:t>
      </w:r>
      <w:proofErr w:type="gramStart"/>
      <w:r w:rsidR="003C23CE" w:rsidRPr="007F3C5D">
        <w:rPr>
          <w:vertAlign w:val="superscript"/>
        </w:rPr>
        <w:t>+</w:t>
      </w:r>
      <w:r w:rsidR="003C23CE" w:rsidRPr="007F3C5D">
        <w:t>]</w:t>
      </w:r>
      <w:proofErr w:type="spellStart"/>
      <w:r w:rsidR="00486D70">
        <w:rPr>
          <w:vertAlign w:val="subscript"/>
        </w:rPr>
        <w:t>i</w:t>
      </w:r>
      <w:proofErr w:type="spellEnd"/>
      <w:proofErr w:type="gramEnd"/>
      <w:r w:rsidR="003C23CE" w:rsidRPr="007F3C5D">
        <w:t xml:space="preserve"> after exposure to the organic fractions of diesel engine particles</w:t>
      </w:r>
      <w:r w:rsidR="00205039">
        <w:t xml:space="preserve"> on</w:t>
      </w:r>
      <w:r w:rsidR="00205039" w:rsidRPr="00205039">
        <w:t xml:space="preserve"> </w:t>
      </w:r>
      <w:r w:rsidR="00205039" w:rsidRPr="007F3C5D">
        <w:t>human microvascular endothelial cells</w:t>
      </w:r>
      <w:r w:rsidR="00205039">
        <w:t>.</w:t>
      </w:r>
      <w:r w:rsidR="00381211">
        <w:t xml:space="preserve"> The effect of these fractions, which incorporate the SVOC, were </w:t>
      </w:r>
      <w:r w:rsidR="003C23CE" w:rsidRPr="007F3C5D">
        <w:t xml:space="preserve">hypothesized to be dependent on </w:t>
      </w:r>
      <w:proofErr w:type="spellStart"/>
      <w:r w:rsidR="003C23CE" w:rsidRPr="007F3C5D">
        <w:t>AhR</w:t>
      </w:r>
      <w:proofErr w:type="spellEnd"/>
      <w:r w:rsidR="003C23CE" w:rsidRPr="007F3C5D">
        <w:t xml:space="preserve"> </w:t>
      </w:r>
      <w:proofErr w:type="spellStart"/>
      <w:r w:rsidR="003C23CE" w:rsidRPr="007F3C5D">
        <w:t>signalling</w:t>
      </w:r>
      <w:proofErr w:type="spellEnd"/>
      <w:r w:rsidR="003C23CE" w:rsidRPr="007F3C5D">
        <w:t xml:space="preserve"> and the transient receptor potential channel (TRPC). Both </w:t>
      </w:r>
      <w:proofErr w:type="spellStart"/>
      <w:r w:rsidR="003C23CE" w:rsidRPr="007F3C5D">
        <w:t>AhR</w:t>
      </w:r>
      <w:proofErr w:type="spellEnd"/>
      <w:r w:rsidR="003C23CE" w:rsidRPr="007F3C5D">
        <w:t xml:space="preserve"> and TRPC are present in rat cortices and human cell lines</w:t>
      </w:r>
      <w:r w:rsidR="00F7399F">
        <w:t xml:space="preserve">, </w:t>
      </w:r>
      <w:r w:rsidR="00BA2B84">
        <w:t>and function as ligan</w:t>
      </w:r>
      <w:r w:rsidR="005665F2">
        <w:t>d</w:t>
      </w:r>
      <w:r w:rsidR="00BA2B84">
        <w:t xml:space="preserve"> activated transcription factor for xenobiotics and </w:t>
      </w:r>
      <w:r w:rsidR="005665F2">
        <w:t xml:space="preserve">voltage-independent </w:t>
      </w:r>
      <w:r w:rsidR="00BA2B84">
        <w:t>cation channel resp</w:t>
      </w:r>
      <w:r w:rsidR="005665F2">
        <w:t>ectively</w:t>
      </w:r>
      <w:r w:rsidR="00BA2B84">
        <w:t xml:space="preserve"> </w:t>
      </w:r>
      <w:r w:rsidR="003C23CE" w:rsidRPr="007F3C5D">
        <w:fldChar w:fldCharType="begin" w:fldLock="1"/>
      </w:r>
      <w:r w:rsidR="004C33AF">
        <w:instrText>ADDIN CSL_CITATION {"citationItems":[{"id":"ITEM-1","itemData":{"DOI":"10.1186/S13000-016-0522-2","ISSN":"17461596","PMID":"27506546","abstract":"Background: Aryl Hydrocarbon Receptor (AhR) is a ligand-activated transcription factor with multiple functions operating in a variety of organs, including the brain. Recent studies have revealed that AhR played a functional role in traumatic injuries. This paper aims to study the expression of AhR during the early phase following a traumatic brain injury (TBI) in rat brains by immunohistochemistry. Methods: Weight-drop induced TBI was performed in rats. The expression of AhR in brain of TBI rats were examined by immunohistochemistry. Results: Neuron expression of AhR in the rat brains of experiment group had been upregulated since day 3 in lesional hemisphere compared to that of the control group and mainly located in the cytoplasm, indicating an inactivated state. Interestingly, the accumulation of AhR+ non-neuron cells became significant as early as 18 h after injury, which had kept increasing until 24 h post injury and then decreased slowly. For AhR+ non-neuron cells, the AhR mainly located in cell nucleus, indicating a reactive status. Furthermore, double staining showed that most AhR+ non-neuron cells co-localized with W3/13, a marker for T lymphocytes, but not with ED-1 (for activated microglia/macrophages) or GFAP (for activated astrocytes), suggesting that most AhR+ non-neuron cells were T lymphocytes. Conclusion: This is the first study concerning AhR expression in brains following TBI, and our data demonstrated that AhR was upregulated and activated in T lymphocytes following TBI. More research is needed to make a more conclusive conclusion.","author":[{"dropping-particle":"","family":"Xu","given":"Kai","non-dropping-particle":"","parse-names":false,"suffix":""},{"dropping-particle":"","family":"Yang","given":"Zicheng","non-dropping-particle":"","parse-names":false,"suffix":""},{"dropping-particle":"","family":"Shi","given":"Rongchen","non-dropping-particle":"","parse-names":false,"suffix":""},{"dropping-particle":"","family":"Luo","given":"Chunxia","non-dropping-particle":"","parse-names":false,"suffix":""},{"dropping-particle":"","family":"Zhang","given":"Zhiren","non-dropping-particle":"","parse-names":false,"suffix":""}],"container-title":"Diagnostic Pathology","id":"ITEM-1","issue":"1","issued":{"date-parts":[["2016"]]},"publisher":"BioMed Central","title":"Expression of aryl hydrocarbon receptor in rat brain lesions following traumatic brain injury","type":"article-journal","volume":"11"},"uris":["http://www.mendeley.com/documents/?uuid=b6120ca0-f11e-36c7-b421-ffa54d6983bc"]},{"id":"ITEM-2","itemData":{"DOI":"10.1371/JOURNAL.PONE.0000573","ISSN":"1932-6203","PMID":"17593972","abstract":"The canonical transient receptor potential (TRPC) channels are a family of non-selective cation channels that are activated by increases in intracellular Ca2+ and G/phospholipase C-coupled receptors. We used quantitative real-time PCR, in situ hybridization, immunoblots and patch-clamp recording from several brain regions to examine the expression of the predominant TRPC channels in the rodent brain. Quantitative real-time PCR of the seven TRPC channels in the rodent brain revealed that TRPC4 and TRPC5 channels were the predominant TRPC subtypes in the adult rat brain. In situ hybridization histochemistry and immunoblotting further resolved a dense corticolimbic expression of the TRPC4 and TRPC5 channels. Total protein expression of HIP TRPC4 and 5 proteins increased throughout development and peaked late in adulthood (6-9 weeks). In adults, TRPC4 expression was high throughout the frontal cortex, lateral septum (LS), pyramidal cell layer of the hippocampus (HIP), dentate gyrus (DG), and ventral subiculum (vSUB). TRPC5 was highly expressed in the frontal cortex, pyramidal cell layer of the HIP, DG, and hypothalamus. Detailed examination of frontal cortical layer mRNA expression indicated TRPC4 mRNA is distributed throughout layers 2-6 of the prefrontal cortex (PFC), motor cortex (MCx), and somatosensory cortex (SCx). TRPC5 mRNA expression was concentrated specifically in the deep layers 5/6 and superficial layers 2/3 of the PFC and anterior cingulate. Patch-clamp recording indicated a strong metabotropic glutamate-activated cation current-mediated depolarization that was dependent on intracellular Ca2+ and inhibited by protein kinase C in brain regions associated with dense TRPC4 or 5 expression and absent in regions lacking TRPC4 and 5 expression. Overall, the dense corticolimbic expression pattern suggests that these Gq/PLC coupled nonselective cation channels may be involved in learning, memory, and goal-directed behaviors. © 2007 Fowler et al.","author":[{"dropping-particle":"","family":"Fowler","given":"Melissa A.","non-dropping-particle":"","parse-names":false,"suffix":""},{"dropping-particle":"","family":"Sidiropoulou","given":"Kyriaki","non-dropping-particle":"","parse-names":false,"suffix":""},{"dropping-particle":"","family":"Ozkan","given":"Emin D.","non-dropping-particle":"","parse-names":false,"suffix":""},{"dropping-particle":"","family":"Phillips","given":"Christopher W.","non-dropping-particle":"","parse-names":false,"suffix":""},{"dropping-particle":"","family":"Cooper","given":"Donald C.","non-dropping-particle":"","parse-names":false,"suffix":""}],"container-title":"PloS one","id":"ITEM-2","issue":"6","issued":{"date-parts":[["2007","6","27"]]},"publisher":"PLoS One","title":"Corticolimbic expression of TRPC4 and TRPC5 channels in the rodent brain","type":"article-journal","volume":"2"},"uris":["http://www.mendeley.com/documents/?uuid=34877912-0977-3a09-8b31-c540dc058bab"]},{"id":"ITEM-3","itemData":{"DOI":"10.1016/j.brainres.2008.12.069","abstract":"The canonical transient receptor potential type 3 (TRPC3) channel is a non-selective, voltage-independent cation channel that is expressed in both excitable and non-excitable cells. As little is known regarding its presence in human brain and the influence of age on its expression, we examined TRPC3 protein expression by immunoblotting in postmortem prefrontal cortex and cerebellum obtained from subjects (8 days to 83 years) with no history of psychiatric or neurological disorder. The expression of TRPC3 protein in the prefrontal cortex (Brodmann area A9/A10) of the neonates/infants (b2 y) was significantly higher (25%) than that in the adolescent to adult (11y-83y) age group, whereas cerebellar TRPC3 levels showed no age-related changes. The results indicate that TRPC3 may be developmentally regulated in prefrontal cortex, and its expression in discrete human brain regions throughout the lifespan suggests a physiological role for TRPC3 during postnatal and adult life.","author":[{"dropping-particle":"","family":"Roedding","given":"Angela S","non-dropping-particle":"","parse-names":false,"suffix":""},{"dropping-particle":"","family":"Gao","given":"Andrew F","non-dropping-particle":"","parse-names":false,"suffix":""},{"dropping-particle":"","family":"Wu","given":"Alex M L","non-dropping-particle":"","parse-names":false,"suffix":""},{"dropping-particle":"","family":"Li","given":"Peter P","non-dropping-particle":"","parse-names":false,"suffix":""},{"dropping-particle":"","family":"Kish","given":"Stephen J","non-dropping-particle":"","parse-names":false,"suffix":""},{"dropping-particle":"","family":"Warsh","given":"Jerry J","non-dropping-particle":"","parse-names":false,"suffix":""}],"container-title":"Brain Research","id":"ITEM-3","issued":{"date-parts":[["2009"]]},"page":"1-6","title":"TRPC3 protein is expressed across the lifespan in human prefrontal cortex and cerebellum","type":"article-journal","volume":"1260"},"uris":["http://www.mendeley.com/documents/?uuid=fe1f48a5-793e-3f21-807e-a1a65ffd5985"]},{"id":"ITEM-4","itemData":{"DOI":"10.1016/j.neulet.2004.03.047","ISSN":"03043940","abstract":"The neurotoxic mechanism of 2,3,7,8-tetrachlorodibenzo-p-dioxin (TCDD) has not been completely elucidated. In this study we investigated the possible role of cell cycle regulators and their dependence on arylhydrocarbon receptor (AhR) in the TCDD-mediated inhibition of cell proliferation using a human neuronal cell system. TCDD suppressed DNA synthesis of SK-N-SH human neuronal cells determined by [ 3 H]thymidine incorporation which was significantly prevented either by pretreatment with a-naphthoflavone (a-NF), a partial AhR antagonist, or 8-methoxypsoralen (MOP), a binding inhibitor of activated AhR to dioxin response elements. Cell cycle analysis showed that TCDD induced a G 1 cell cycle arrest, which was also significantly prevented by pretreatment with a-NF and MOP. TCDD did not alter the expression of cyclin D, cyclin E, p21 and p53. However, TCDD induced an enhanced expression of p27 and a hypophosphorylation of pRb, which was prevented by a-NF and MOP. Combined, these results suggest that the TCDD-induced inhibition</w:instrText>
      </w:r>
      <w:r w:rsidR="004C33AF" w:rsidRPr="001F3A90">
        <w:rPr>
          <w:lang w:val="nl-NL"/>
        </w:rPr>
        <w:instrText xml:space="preserve"> of neuronal cell proliferation may be due to the AhR-dependent G 1 arrest through an enhanced expression of p27 and a hypophosphorylation of pRB. q","author":[{"dropping-particle":"","family":"Jin","given":"Da-Qing","non-dropping-particle":"","parse-names":false,"suffix":""},{"dropping-particle":"","family":"Jung","given":"Jae Wook","non-dropping-particle":"","parse-names":false,"suffix":""},{"dropping-particle":"","family":"Lee","given":"Yong Soo","non-dropping-particle":"","parse-names":false,"suffix":""},{"dropping-particle":"","family":"Kim","given":"Jung-Ae","non-dropping-particle":"","parse-names":false,"suffix":""}],"container-title":"Neuroscience Letters","id":"ITEM-4","issue":"1","issued":{"date-parts":[["2004","6"]]},"page":"69-72","title":"2,3,7,8-Tetrachlorodibenzo-p-dioxin inhibits cell proliferation through arylhydrocarbon receptor-mediated G1 arrest in SK-N-SH human neuronal cells","type":"article-journal","volume":"363"},"uris":["http://www.mendeley.com/documents/?uuid=69138edf-2c5b-391b-9c87-0be8b5569129"]}],"mendeley":{"formattedCitation":"(Fowler et al., 2007; Jin et al., 2004; Roedding et al., 2009; Xu et al., 2016)","plainTextFormattedCitation":"(Fowler et al., 2007; Jin et al., 2004; Roedding et al., 2009; Xu et al., 2016)","previouslyFormattedCitation":"(Fowler et al., 2007; Jin et al., 2004; Roedding et al., 2009; Xu et al., 2016)"},"properties":{"noteIndex":0},"schema":"https://github.com/citation-style-language/schema/raw/master/csl-citation.json"}</w:instrText>
      </w:r>
      <w:r w:rsidR="003C23CE" w:rsidRPr="007F3C5D">
        <w:fldChar w:fldCharType="separate"/>
      </w:r>
      <w:r w:rsidR="004C33AF" w:rsidRPr="004C33AF">
        <w:rPr>
          <w:noProof/>
          <w:lang w:val="nl-NL"/>
        </w:rPr>
        <w:t>(Fowler et al., 2007; Jin et al., 2004; Roedding et al., 2009; Xu et al., 2016)</w:t>
      </w:r>
      <w:r w:rsidR="003C23CE" w:rsidRPr="007F3C5D">
        <w:fldChar w:fldCharType="end"/>
      </w:r>
      <w:r w:rsidR="003C23CE" w:rsidRPr="00BA2B84">
        <w:rPr>
          <w:lang w:val="nl-NL"/>
        </w:rPr>
        <w:t xml:space="preserve">. </w:t>
      </w:r>
      <w:r w:rsidR="003C23CE" w:rsidRPr="007F3C5D">
        <w:t>These processes potentially affect receptor (in)activation and calcium homeostasis, process</w:t>
      </w:r>
      <w:r w:rsidR="001E0F05" w:rsidRPr="007F3C5D">
        <w:t>es</w:t>
      </w:r>
      <w:r w:rsidR="003C23CE" w:rsidRPr="007F3C5D">
        <w:t xml:space="preserve"> which </w:t>
      </w:r>
      <w:r w:rsidR="001E0F05" w:rsidRPr="007F3C5D">
        <w:t>are</w:t>
      </w:r>
      <w:r w:rsidR="003C23CE" w:rsidRPr="007F3C5D">
        <w:t xml:space="preserve"> essential for neuronal signaling</w:t>
      </w:r>
      <w:r w:rsidR="004C33AF">
        <w:t xml:space="preserve"> </w:t>
      </w:r>
      <w:r w:rsidR="004C33AF">
        <w:fldChar w:fldCharType="begin" w:fldLock="1"/>
      </w:r>
      <w:r w:rsidR="00422F5D">
        <w:instrText>ADDIN CSL_CITATION {"citationItems":[{"id":"ITEM-1","itemData":{"DOI":"10.3390/IJMS19092504","ISSN":"14220067","PMID":"30149528","abstract":"The aryl hydrocarbon receptor (or AhR) is a cytoplasmic receptor of pollutants. It translocates into the nucleus upon binding to its ligands, and forms a heterodimer with ARNT (AhR nuclear translocator). The heterodimer is a transcription factor, which regulates the transcription of xenobiotic metabolizing enzymes. Expressed in many cells in vertebrates, it is mostly present in neuronal cell types in invertebrates, where it regulates dendritic morphology or feeding behavior. Surprisingly, few investigations have been conducted to unravel the function of the AhR in the central or peripheral nervous systems of vertebrates. In this review, we will present how the AhR regulates neural functions in both invertebrates and vertebrates as deduced mainly from the effects of xenobiotics. We will introduce some of the molecular mechanisms triggered by the well-known AhR ligand, 2,3,7,8-tetrachlorodibenzo-p-dioxin (TCDD), which impact on neuronal proliferation, differentiation, and survival. Finally, we will point out the common features found in mice that are exposed to pollutants, and in AhR knockout mice.","author":[{"dropping-particle":"","family":"Juricek","given":"Ludmila","non-dropping-particle":"","parse-names":false,"suffix":""},{"dropping-particle":"","family":"Coumoul","given":"Xavier","non-dropping-particle":"","parse-names":false,"suffix":""}],"container-title":"International Journal of Molecular Sciences","id":"ITEM-1","issue":"9","issued":{"date-parts":[["2018","9","1"]]},"publisher":"Multidisciplinary Digital Publishing Institute  (MDPI)","title":"The Aryl Hydrocarbon Receptor and the Nervous System","type":"article-journal","volume":"19"},"uris":["http://www.mendeley.com/documents/?uuid=90cb8f1f-8535-41d3-9f64-a1b4b9b4e7a3"]},{"id":"ITEM-2","itemData":{"ISBN":"9781439818602","PMID":"22593969","abstract":"The family of transient receptor potential canonical (TRPC) proteins was the first group of TRP homologs cloned in mammals1 after discovery of the TRP protein in Drosophila.2 There are seven members in this family (TRPC1–7). The TRPC channels formed by homo- or heteromeric TRPC proteins are Ca2+-permeable nonselective cation channels. According to the similarity in amino acid sequence, the mammalian TRPCs can be classified into four subgroups: TRPC1, TRPC2, TRPC3/6/7, and TRPC4/5,3 while the TRPC2 is a pseudogene in primates.4 The TRPC proteins have six transmembrane domains, and both N- and C-termini of these proteins are intracellular, suggesting that these channels can be regulated by intra cellular signaling molecules. These channels can be activated in various cell types by G-protein-coupled receptors (GPCR) and receptor tyrosine kinases (RTK) through a phospholipase C (PLC)-dependent mechanism. Therefore, TRPC channels may act as a sensor for environmental cues.","author":[{"dropping-particle":"","family":"Huang","given":"Junbo","non-dropping-particle":"","parse-names":false,"suffix":""},{"dropping-particle":"","family":"Du","given":"Wanlu","non-dropping-particle":"","parse-names":false,"suffix":""},{"dropping-particle":"","family":"Yao","given":"Hailan","non-dropping-particle":"","parse-names":false,"suffix":""},{"dropping-particle":"","family":"Wang","given":"Yizheng","non-dropping-particle":"","parse-names":false,"suffix":""}],"container-title":"TRP Channels","id":"ITEM-2","issued":{"date-parts":[["2011"]]},"publisher":"CRC Press/Taylor &amp; Francis","title":"TRPC Channels in Neuronal Survival","type":"article-journal"},"uris":["http://www.mendeley.com/documents/?uuid=d9d720c8-b2ba-32c4-ba1b-2fa9daa34e61"]}],"mendeley":{"formattedCitation":"(J. Huang et al., 2011; Juricek &amp; Coumoul, 2018)","plainTextFormattedCitation":"(J. Huang et al., 2011; Juricek &amp; Coumoul, 2018)","previouslyFormattedCitation":"(J. Huang et al., 2011; Juricek &amp; Coumoul, 2018)"},"properties":{"noteIndex":0},"schema":"https://github.com/citation-style-language/schema/raw/master/csl-citation.json"}</w:instrText>
      </w:r>
      <w:r w:rsidR="004C33AF">
        <w:fldChar w:fldCharType="separate"/>
      </w:r>
      <w:r w:rsidR="00CF2EAF" w:rsidRPr="00CF2EAF">
        <w:rPr>
          <w:noProof/>
        </w:rPr>
        <w:t>(J. Huang et al., 2011; Juricek &amp; Coumoul, 2018)</w:t>
      </w:r>
      <w:r w:rsidR="004C33AF">
        <w:fldChar w:fldCharType="end"/>
      </w:r>
      <w:r w:rsidR="004C33AF">
        <w:t xml:space="preserve">, </w:t>
      </w:r>
      <w:r w:rsidR="003C23CE" w:rsidRPr="007F3C5D">
        <w:t xml:space="preserve">but </w:t>
      </w:r>
      <w:r w:rsidR="001E0F05" w:rsidRPr="007F3C5D">
        <w:t>more specific investigations are</w:t>
      </w:r>
      <w:r w:rsidR="003C23CE" w:rsidRPr="007F3C5D">
        <w:t xml:space="preserve"> necessary </w:t>
      </w:r>
      <w:r w:rsidR="001E0F05" w:rsidRPr="007F3C5D">
        <w:t>to reveal which compounds in the mix of SVOC are responsible for the acute neurotoxicity and which cellular mechanisms are disturbed.</w:t>
      </w:r>
    </w:p>
    <w:p w14:paraId="75DF0AFF" w14:textId="77777777" w:rsidR="003C23CE" w:rsidRPr="007F3C5D" w:rsidRDefault="003C23CE" w:rsidP="00A14895">
      <w:pPr>
        <w:pStyle w:val="Heading2"/>
      </w:pPr>
      <w:bookmarkStart w:id="62" w:name="_Toc101374944"/>
      <w:r w:rsidRPr="007F3C5D">
        <w:t>Reference materials</w:t>
      </w:r>
      <w:bookmarkEnd w:id="62"/>
    </w:p>
    <w:p w14:paraId="08B5CC8E" w14:textId="788503C4" w:rsidR="003C23CE" w:rsidRPr="007F3C5D" w:rsidRDefault="003C23CE" w:rsidP="00A14895">
      <w:pPr>
        <w:spacing w:afterLines="120" w:after="288"/>
      </w:pPr>
      <w:r w:rsidRPr="007F3C5D">
        <w:t xml:space="preserve">The results of the generated UFP carbon and copper oxide analysis indicate that both samples did not induce specific neurotoxicity. The use of the MEA is previously shown to be successful for the assessment of the neurotoxic hazard of nanoparticles </w:t>
      </w:r>
      <w:r w:rsidRPr="007F3C5D">
        <w:fldChar w:fldCharType="begin" w:fldLock="1"/>
      </w:r>
      <w:r w:rsidR="005F3FAE">
        <w:instrText>ADDIN CSL_CITATION {"citationItems":[{"id":"ITEM-1","itemData":{"DOI":"10.3109/17435390.2015.1107142","ISSN":"1743-5404","PMID":"26593696","abstract":"Nanoparticles (NPs) may translocate to the brain following inhalation or oral exposures, yet higher throughput methods to screen NPs for potential neurotoxicity are lacking. The present study examined effects of 5 CeO2 (5- 1288 nm), and 4 TiO2 (6-142 nm) NPs and microparticles (MP) on network function in primary cultures of rat cortex on 12 well microelectrode array (MEA) plates. Particles were without cytotoxicity at concentrations ≤50 µg/ml. After recording 1 h of baseline activity prior to particle (3-50 µg/ml) exposure, changes in the total number of spikes (TS) and # of active electrodes (#AEs) were assessed 1, 24, and 48 h later. Following the 48 h recording, the response to a challenge with the GABAA antagonist bicuculline (BIC; 25 µM) was assessed. In all, particles effects were subtle, but 69 nm CeO2 and 25 nm TiO2 NPs caused concentration-related decreases in TS following 1 h exposure. At 48 h, 5 and 69 nm CeO2 and 25 and 31 nm TiO2 decreased #AE, while the two MPs increased #AEs. Following BIC, only 31 nm TiO2 produced concentration-related decreases in #AEs, while 1288 nm CeO2 caused concentration-related increases in both TS and #AE. The results indicate that some metal oxide particles cause subtle concentration-related changes in spontaneous and/or GABAA receptor-mediated neuronal activity in vitro at times when cytotoxicity is absent, and that MEAs can be used to screen and prioritize nanoparticles for neurotoxicity hazard.","author":[{"dropping-particle":"","family":"Strickland","given":"Jenna D.","non-dropping-particle":"","parse-names":false,"suffix":""},{"dropping-particle":"","family":"Lefew","given":"William R.","non-dropping-particle":"","parse-names":false,"suffix":""},{"dropping-particle":"","family":"Crooks","given":"James","non-dropping-particle":"","parse-names":false,"suffix":""},{"dropping-particle":"","family":"Hall","given":"Diana","non-dropping-particle":"","parse-names":false,"suffix":""},{"dropping-particle":"","family":"Ortenzio","given":"Jayna N R","non-dropping-particle":"","parse-names":false,"suffix":""},{"dropping-particle":"","family":"Dreher","given":"Kevin","non-dropping-particle":"","parse-names":false,"suffix":""},{"dropping-particle":"","family":"Shafer","given":"Timothy J.","non-dropping-particle":"","parse-names":false,"suffix":""}],"container-title":"Nanotoxicology","id":"ITEM-1","issue":"5","issued":{"date-parts":[["2015","11","23"]]},"page":"619-28","title":"In vitro screening of metal oxide nanoparticles for effects on neural function using cortical networks on microelectrode arrays.","type":"article-journal","volume":"10"},"uris":["http://www.mendeley.com/documents/?uuid=10a38ef4-5987-484a-b104-ae5b17043c17"]},{"id":"ITEM-2","itemData":{"DOI":"10.1016/j.tox.2016.05.009","ISSN":"0300483X","abstract":"Silver nanoparticles (AgNPs) are used in a wide range of consumer and medical products because of their antimicrobial and antifungal properties, and can translocate to the brain following exposure. Therefore, to screen AgNPs for potential impacts on human health, it is essential to examine neural function. The present study examined AgNPs (3 citrate coated, 3 PVP coated; 10-75 nm) and AgNO 3 effects on spontaneous and pharmacologically-induced neural network function in rat primary cortical cells on multi-well microelectrode array (mwMEA) plates. Baseline activity (1 h) was recorded prior to exposure to non-cytotoxic concentrations of AgNPs and AgNO 3 (0.08-0.63 and 0.08-1.7 mg/ml, respectively). Changes in number of total extracellularly-recorded action potential spikes (total spikes; TS) and active electrodes (AE), relative to controls, were assessed 1, 24, and 48 h after exposure to AgNP suspensions or AgNO 3. After the 48 h recording, the response to a pharmacological challenge with the GABA A antagonist, bicuculline (BIC), was assessed. Only two particles altered neural network function. Citrate coated 10 nm AgNP caused concentration-related increases in AEs at 24 h. After BIC treatment, PVP coated 75 nm AgNP caused concentration-dependent increases in AE. AgNO 3 effects differed from AgNPs, causing a concentration-related decrease in AEs at 24 and 48 h, and a concentration-related decrease in TS following BIC challenge. Importantly, the direction of AgNO 3 effects on neural activity was opposite those of 10 nm Ag citrate at concentrations up to 0.63 mg/ml, and different from 75 nm Ag PVP, indicating ionic silver does not mediate these effects. These results demonstrate that non-cytotoxic concentrations of 10 nm citrate-and 75 nm PVP-coated Ag NPs alter neural network function in vitro, and should be considered for additional neurotoxicity hazard characterization.","author":[{"dropping-particle":"","family":"Strickland","given":"Jenna D.","non-dropping-particle":"","parse-names":false,"suffix":""},{"dropping-particle":"","family":"LeFew","given":"William R.","non-dropping-particle":"","parse-names":false,"suffix":""},{"dropping-particle":"","family":"Crooks","given":"James","non-dropping-particle":"","parse-names":false,"suffix":""},{"dropping-particle":"","family":"Hall","given":"Diana","non-dropping-particle":"","parse-names":false,"suffix":""},{"dropping-particle":"","family":"Ortenzio","given":"Jayna N.R.","non-dropping-particle":"","parse-names":false,"suffix":""},{"dropping-particle":"","family":"Dreher","given":"Kevin","non-dropping-particle":"","parse-names":false,"suffix":""},{"dropping-particle":"","family":"Shafer","given":"Timothy J","non-dropping-particle":"","parse-names":false,"suffix":""}],"container-title":"Toxicology","id":"ITEM-2","issued":{"date-parts":[["2016","4"]]},"page":"1-8","title":"In vitro screening of silver nanoparticles and ionic silver using neural networks yields differential effects on spontaneous activity and pharmacological responses","type":"article-journal","volume":"355-356"},"uris":["http://www.mendeley.com/documents/?uuid=d51fbf38-9e59-3829-b1a7-fc4814f146aa"]}],"mendeley":{"formattedCitation":"(Strickland et al., 2015, 2016)","plainTextFormattedCitation":"(Strickland et al., 2015, 2016)","previouslyFormattedCitation":"(Strickland et al., 2015, 2016)"},"properties":{"noteIndex":0},"schema":"https://github.com/citation-style-language/schema/raw/master/csl-citation.json"}</w:instrText>
      </w:r>
      <w:r w:rsidRPr="007F3C5D">
        <w:fldChar w:fldCharType="separate"/>
      </w:r>
      <w:r w:rsidR="00422F5D" w:rsidRPr="00422F5D">
        <w:rPr>
          <w:noProof/>
        </w:rPr>
        <w:t>(Strickland et al., 2015, 2016)</w:t>
      </w:r>
      <w:r w:rsidRPr="007F3C5D">
        <w:fldChar w:fldCharType="end"/>
      </w:r>
      <w:r w:rsidRPr="007F3C5D">
        <w:t xml:space="preserve">. The carbon particles showed no decrease in neuronal activity. The results did show a decrease in cell viability, but this is most likely due to interference of the carbon particles at the </w:t>
      </w:r>
      <w:proofErr w:type="spellStart"/>
      <w:r w:rsidRPr="007F3C5D">
        <w:t>photospectometer</w:t>
      </w:r>
      <w:proofErr w:type="spellEnd"/>
      <w:r w:rsidRPr="007F3C5D">
        <w:t xml:space="preserve"> used for the Alamar Blue assay rather than cytotoxicity of the sample </w:t>
      </w:r>
      <w:r w:rsidRPr="007F3C5D">
        <w:fldChar w:fldCharType="begin" w:fldLock="1"/>
      </w:r>
      <w:r w:rsidRPr="007F3C5D">
        <w:instrText>ADDIN CSL_CITATION {"citationItems":[{"id":"ITEM-1","itemData":{"DOI":"10.1016/J.TIV.2014.09.009","ISSN":"0887-2333","PMID":"25283091","abstract":"In vitro cytotoxicity assays are essential tools in the screening of engineered nanomaterials (NM) for cellular toxicity. The resazurin live cell assay is widely used because it is non-destructive and is well suited for high-throughput platforms. However, NMs, in particular carbon nanotubes (CNT) can interfere in assays through quenching of transmitted light or fluorescence. We show that using the resazurin assay with time-point reading of clarified supernatants resolves this problem. Human lung epithelial (A549) and murine macrophage (J774A.1) cell lines were exposed to NMs in 96-well plates in 200μL of media/well. After 24h incubation, 100μL of supernatant was removed, replaced with resazurin reagent in culture media and aliquots at 10min and 120min were transferred to black-wall 96-well plates. The plates were quick-spun to sediment the residual CNTs and fluorescence was top-read (λ&lt;inf&gt;Ex&lt;/inf&gt;=540nm, λ&lt;inf&gt;Em&lt;/inf&gt;=600nm). The procedure was validated for CNTs as well as silica nanoparticles (SiNP). There was no indication of reduction of resazurin by the CNTs. Stability of resorufin, the fluorescent product of the resazurin reduction was then assessed. We found that polar CNTs could decrease the fluorescence signal for resorufin, possibly through oxidation to resazurin or hyper-reduction to hydroxyresorufin. This effect can be easily quantified for elimination of the bias. We recommend that careful consideration must be given to fluorimetric/colorimetric in vitro toxicological assessments of optically/chemically active NMs in order to relieve any potential artifacts due to the NMs themselves.","author":[{"dropping-particle":"","family":"Breznan","given":"Dalibor","non-dropping-particle":"","parse-names":false,"suffix":""},{"dropping-particle":"","family":"Das","given":"Dharani","non-dropping-particle":"","parse-names":false,"suffix":""},{"dropping-particle":"","family":"MacKinnon-Roy","given":"Christine","non-dropping-particle":"","parse-names":false,"suffix":""},{"dropping-particle":"","family":"Simard","given":"Benoit","non-dropping-particle":"","parse-names":false,"suffix":""},{"dropping-particle":"","family":"Kumarathasan","given":"Premkumari","non-dropping-particle":"","parse-names":false,"suffix":""},{"dropping-particle":"","family":"Vincent","given":"Renaud","non-dropping-particle":"","parse-names":false,"suffix":""}],"container-title":"Toxicology in Vitro","id":"ITEM-1","issue":"1","issued":{"date-parts":[["2015","2","1"]]},"page":"142-147","publisher":"Pergamon","title":"Non-specific interaction of carbon nanotubes with the resazurin assay reagent: Impact on in vitro assessment of nanoparticle cytotoxicity","type":"article-journal","volume":"29"},"uris":["http://www.mendeley.com/documents/?uuid=ff85803a-bf07-3e0e-ab47-38f0a18b144e"]}],"mendeley":{"formattedCitation":"(Breznan et al., 2015)","plainTextFormattedCitation":"(Breznan et al., 2015)","previouslyFormattedCitation":"(Breznan et al., 2015)"},"properties":{"noteIndex":0},"schema":"https://github.com/citation-style-language/schema/raw/master/csl-citation.json"}</w:instrText>
      </w:r>
      <w:r w:rsidRPr="007F3C5D">
        <w:fldChar w:fldCharType="separate"/>
      </w:r>
      <w:r w:rsidRPr="007F3C5D">
        <w:rPr>
          <w:noProof/>
        </w:rPr>
        <w:t>(Breznan et al., 2015)</w:t>
      </w:r>
      <w:r w:rsidRPr="007F3C5D">
        <w:fldChar w:fldCharType="end"/>
      </w:r>
      <w:r w:rsidRPr="007F3C5D">
        <w:t>. Furthermore, the copper oxide particles range did decrease neuronal activity at the highest dose of 1 µg/</w:t>
      </w:r>
      <w:proofErr w:type="spellStart"/>
      <w:r w:rsidRPr="007F3C5D">
        <w:t>mL.</w:t>
      </w:r>
      <w:proofErr w:type="spellEnd"/>
      <w:r w:rsidRPr="007F3C5D">
        <w:t xml:space="preserve"> However, th</w:t>
      </w:r>
      <w:r w:rsidR="001E0F05" w:rsidRPr="007F3C5D">
        <w:t>is</w:t>
      </w:r>
      <w:r w:rsidRPr="007F3C5D">
        <w:t xml:space="preserve"> decrease </w:t>
      </w:r>
      <w:r w:rsidR="001E0F05" w:rsidRPr="007F3C5D">
        <w:t xml:space="preserve">correlates with </w:t>
      </w:r>
      <w:r w:rsidRPr="007F3C5D">
        <w:t>the cell viability assay</w:t>
      </w:r>
      <w:r w:rsidR="001E0F05" w:rsidRPr="007F3C5D">
        <w:t xml:space="preserve"> data indicating cytotoxicity which was</w:t>
      </w:r>
      <w:r w:rsidRPr="007F3C5D">
        <w:t xml:space="preserve"> even </w:t>
      </w:r>
      <w:r w:rsidR="001E0F05" w:rsidRPr="007F3C5D">
        <w:t xml:space="preserve">observed </w:t>
      </w:r>
      <w:r w:rsidRPr="007F3C5D">
        <w:t>a</w:t>
      </w:r>
      <w:r w:rsidR="001E0F05" w:rsidRPr="007F3C5D">
        <w:t>t</w:t>
      </w:r>
      <w:r w:rsidRPr="007F3C5D">
        <w:t xml:space="preserve"> </w:t>
      </w:r>
      <w:r w:rsidR="001E0F05" w:rsidRPr="007F3C5D">
        <w:t xml:space="preserve">a </w:t>
      </w:r>
      <w:r w:rsidRPr="007F3C5D">
        <w:t>lower dose of 0.3 µg/</w:t>
      </w:r>
      <w:proofErr w:type="spellStart"/>
      <w:r w:rsidRPr="007F3C5D">
        <w:t>mL.</w:t>
      </w:r>
      <w:proofErr w:type="spellEnd"/>
      <w:r w:rsidRPr="007F3C5D">
        <w:t xml:space="preserve"> A study from Karlsson et al. </w:t>
      </w:r>
      <w:r w:rsidRPr="007F3C5D">
        <w:fldChar w:fldCharType="begin" w:fldLock="1"/>
      </w:r>
      <w:r w:rsidRPr="007F3C5D">
        <w:instrText>ADDIN CSL_CITATION {"citationItems":[{"id":"ITEM-1","itemData":{"DOI":"10.1021/TX800064J/ASSET/IMAGES/TX800064J.SOCIAL.JPEG_V03","ISSN":"0893228X","PMID":"18710264","abstract":"Since the manufacture and use of nanoparticles are increasing, humans are more likely to be exposed occupationally or via consumer products and the environment. However, so far toxicity data for most manufactured nanoparticles are limited. The aim of this study was to investigate and compare different nanoparticles and nanotubes regarding cytotoxicity and ability to cause DNA damage and oxidative stress. The study was focused on different metal oxide particles (CuO, TiO2, ZnO, CuZnFe2O4, Fe 3O4, Fe2O3), and the toxicity was compared to that of carbon nanoparticles and multiwalled carbon nanotubes (MWCNT). The human lung epithelial cell line A549 was exposed to the particles, and cytotoxicity was analyzed using trypan blue staining. DNA damage and oxidative lesions were determined using the comet assay, and intracellular production of reactive oxygen species (ROS) was measured using the oxidation-sensitive fluoroprobe 2′,7′-dichlorofluorescin diacetate (DCFH-DA). The results showed mat there was a high variation among different nanoparticles concerning their ability to cause toxic effects. CuO nanoparticles were most potent regarding cytotoxicity and DNA damage. The toxicity was likely not explained by Cu ions released to the cell medium. These particles also caused oxidative lesions and were the only particles that induced an almost significant increase (p = 0.058) in intracellular ROS. ZnO showed effects on cell viability as well as DNA damage, whereas the TiO2 particles (a mix of rutile and anatase) only caused DNA damage. For iron oxide particles (Fe3O4, Fe2O3), no or low toxicity was observed, but CuZnFe2O4 particles were radier potent in inducing DNA lesions. Finally, the carbon nanotubes showed cytotoxic effects and caused DNA damage in the lowest dose tested. The effects were not explained by soluble metal impurities. In conclusion, this study highlights the in vitro toxicity of CuO nanoparticles. © 2008 American Chemical Society.","author":[{"dropping-particle":"","family":"Karlsson","given":"Hanna L.","non-dropping-particle":"","parse-names":false,"suffix":""},{"dropping-particle":"","family":"Cronholm","given":"Pontus","non-dropping-particle":"","parse-names":false,"suffix":""},{"dropping-particle":"","family":"Gustafsson","given":"Johanna","non-dropping-particle":"","parse-names":false,"suffix":""},{"dropping-particle":"","family":"Möller","given":"Lennart","non-dropping-particle":"","parse-names":false,"suffix":""}],"container-title":"Chemical Research in Toxicology","id":"ITEM-1","issue":"9","issued":{"date-parts":[["2008","9"]]},"page":"1726-1732","publisher":" American Chemical Society","title":"Copper oxide nanoparticles are highly toxic: A comparison between metal oxide nanoparticles and carbon nanotubes","type":"article-journal","volume":"21"},"uris":["http://www.mendeley.com/documents/?uuid=92194f1e-6258-3b32-9be8-820e24919de4"]}],"mendeley":{"formattedCitation":"(Karlsson et al., 2008)","manualFormatting":"(2008)","plainTextFormattedCitation":"(Karlsson et al., 2008)","previouslyFormattedCitation":"(Karlsson et al., 2008)"},"properties":{"noteIndex":0},"schema":"https://github.com/citation-style-language/schema/raw/master/csl-citation.json"}</w:instrText>
      </w:r>
      <w:r w:rsidRPr="007F3C5D">
        <w:fldChar w:fldCharType="separate"/>
      </w:r>
      <w:r w:rsidRPr="007F3C5D">
        <w:rPr>
          <w:noProof/>
        </w:rPr>
        <w:t>(2008)</w:t>
      </w:r>
      <w:r w:rsidRPr="007F3C5D">
        <w:fldChar w:fldCharType="end"/>
      </w:r>
      <w:r w:rsidRPr="007F3C5D">
        <w:t xml:space="preserve"> on the effect of nanoparticles on human epithelial lung cells </w:t>
      </w:r>
      <w:r w:rsidR="001E0F05" w:rsidRPr="007F3C5D">
        <w:t xml:space="preserve">confirms </w:t>
      </w:r>
      <w:r w:rsidRPr="007F3C5D">
        <w:t>our results. In this study, the copper oxide nanoparticles induced cytotoxicity</w:t>
      </w:r>
      <w:r w:rsidR="00422F5D">
        <w:t xml:space="preserve"> at </w:t>
      </w:r>
      <w:r w:rsidR="002D6BD2">
        <w:t xml:space="preserve">a </w:t>
      </w:r>
      <w:r w:rsidR="00422F5D">
        <w:t xml:space="preserve">concentration </w:t>
      </w:r>
      <w:r w:rsidR="00137A10">
        <w:t xml:space="preserve">of </w:t>
      </w:r>
      <w:r w:rsidR="0054132F">
        <w:t xml:space="preserve">80 </w:t>
      </w:r>
      <w:r w:rsidR="00422F5D">
        <w:t>µg/mL after 18 h</w:t>
      </w:r>
      <w:r w:rsidRPr="007F3C5D">
        <w:t xml:space="preserve"> resulting from DNA damage and oxidative lesions, which were absent for carbon nanoparticles.</w:t>
      </w:r>
    </w:p>
    <w:p w14:paraId="41751710" w14:textId="77777777" w:rsidR="003C23CE" w:rsidRPr="007F3C5D" w:rsidRDefault="003C23CE" w:rsidP="00A14895">
      <w:pPr>
        <w:spacing w:afterLines="120" w:after="288"/>
      </w:pPr>
      <w:r w:rsidRPr="007F3C5D">
        <w:t xml:space="preserve">A rat study performed by </w:t>
      </w:r>
      <w:proofErr w:type="spellStart"/>
      <w:r w:rsidRPr="007F3C5D">
        <w:t>Oberdörster</w:t>
      </w:r>
      <w:proofErr w:type="spellEnd"/>
      <w:r w:rsidRPr="007F3C5D">
        <w:t xml:space="preserve"> et al. </w:t>
      </w:r>
      <w:r w:rsidRPr="007F3C5D">
        <w:fldChar w:fldCharType="begin" w:fldLock="1"/>
      </w:r>
      <w:r w:rsidRPr="007F3C5D">
        <w:instrText>ADDIN CSL_CITATION {"citationItems":[{"id":"ITEM-1","itemData":{"DOI":"10.1080/08958370490439597","ISSN":"0895-8378","PMID":"15204759","abstract":"Ultrafine particles (UFP, particles &lt;100 nm) are ubiquitous in ambient urban and indoor air from multiple sources and may contribute to adverse respiratory and cardiovascular effects of particulate...","author":[{"dropping-particle":"","family":"Oberdörster","given":"Günter","non-dropping-particle":"","parse-names":false,"suffix":""},{"dropping-particle":"","family":"Sharp","given":"Z.","non-dropping-particle":"","parse-names":false,"suffix":""},{"dropping-particle":"","family":"Atudorei","given":"V.","non-dropping-particle":"","parse-names":false,"suffix":""},{"dropping-particle":"","family":"Elder","given":"A.","non-dropping-particle":"","parse-names":false,"suffix":""},{"dropping-particle":"","family":"Gelein","given":"R.","non-dropping-particle":"","parse-names":false,"suffix":""},{"dropping-particle":"","family":"Kreyling","given":"W.","non-dropping-particle":"","parse-names":false,"suffix":""},{"dropping-particle":"","family":"Cox","given":"C.","non-dropping-particle":"","parse-names":false,"suffix":""}],"container-title":"Inhalation Toxicology","id":"ITEM-1","issue":"6-7","issued":{"date-parts":[["2004","1"]]},"page":"437-445","publisher":"Taylor &amp; Francis","title":"Translocation of Inhaled Ultrafine Particles to the Brain","type":"article-journal","volume":"16"},"uris":["http://www.mendeley.com/documents/?uuid=6a750ee9-f353-32b2-89d4-c2176d334f4d"]}],"mendeley":{"formattedCitation":"(Oberdörster et al., 2004)","manualFormatting":"(2004)","plainTextFormattedCitation":"(Oberdörster et al., 2004)","previouslyFormattedCitation":"(Oberdörster et al., 2004)"},"properties":{"noteIndex":0},"schema":"https://github.com/citation-style-language/schema/raw/master/csl-citation.json"}</w:instrText>
      </w:r>
      <w:r w:rsidRPr="007F3C5D">
        <w:fldChar w:fldCharType="separate"/>
      </w:r>
      <w:r w:rsidRPr="007F3C5D">
        <w:rPr>
          <w:noProof/>
        </w:rPr>
        <w:t>(2004)</w:t>
      </w:r>
      <w:r w:rsidRPr="007F3C5D">
        <w:fldChar w:fldCharType="end"/>
      </w:r>
      <w:r w:rsidRPr="007F3C5D">
        <w:t xml:space="preserve"> confirmed that carbon black UFP can translocate into the olfactory bulb and therefore the CNS, but the effect of these particles on the CNS remains unknown. Exposure to only carbon particles did not inhibit neuronal activity, which substantiates that solid carbon UFP in engine exhaust did not act as the toxic component itself. </w:t>
      </w:r>
      <w:r w:rsidRPr="007F3C5D">
        <w:lastRenderedPageBreak/>
        <w:t xml:space="preserve">Furthermore, the solid carbon UFP could still act as a carrier for other toxicants on its surface </w:t>
      </w:r>
      <w:r w:rsidRPr="007F3C5D">
        <w:fldChar w:fldCharType="begin" w:fldLock="1"/>
      </w:r>
      <w:r w:rsidRPr="007F3C5D">
        <w:instrText>ADDIN CSL_CITATION {"citationItems":[{"id":"ITEM-1","itemData":{"DOI":"10.1093/CARCIN/22.5.741","ISSN":"0143-3334","PMID":"11323393","abstract":"Exposure to diesel exhaust may contribute to lung cancer in humans. It remains unclear whether the carbonaceous core of the soot particle or its coat of adsorbed/condensed organics contributes most to cancer risk. Equally unclear are the extent and rate at which organic procarcinogens desorb from soot particles in the lungs following inhalation exposure and the extent of their metabolic activation in the lungs. To explore the basic relationship between a model polycyclic aromatic hydrocarbon (PAH) and a typical carrier particle, we investigated the rate and extent of release and metabolic fate of benzo[a]pyrene (BaP) adsorbed on the carbonaceous core of diesel soot. The native organic content of the soot had been denuded by toluene extraction. Exogenous BaP was adsorbed onto the denuded soot as a surface coating corresponding to 25% of a monomolecular layer. Dogs were exposed by inhalation to an aerosol bolus of the soot-adsorbed BaP. Following deposition in the alveolar region a fraction of BaP was rapidly desorbed from the soot and quickly absorbed into the circulation. Release rates then decreased drastically. When coatings reached ∼ 16% of a monolayer the remaining BaP was not bioavailable and was retained on the particles after 5.6 months in the lung. However, the bioavailability of particles transported to the lymph nodes was markedly higher; after 5.6 months the surface coating of BaP was reduced to 10%. BaP that remained adsorbed on the soot surface after this period was ∼ 30% parent compound. In contrast, the rapidly released pulse of BaP, which was quickly absorbed through the alveolar epithelium after inhalation, appeared mostly unmetabolized in the circulation, along with low concentrations of phase I and phase II BaP metabolites. However, within ∼ h this rapidly absorbed fraction of BaP was systemically metabolized into mostly conjugated phase II metabolites. The results indicate that absorption through the alveolar epithelium is an important route of entry to the circulation of unmetabolized PAHs.","author":[{"dropping-particle":"","family":"Gerde","given":"P.","non-dropping-particle":"","parse-names":false,"suffix":""},{"dropping-particle":"","family":"Muggenburg","given":"B. A.","non-dropping-particle":"","parse-names":false,"suffix":""},{"dropping-particle":"","family":"Lundborg","given":"M.","non-dropping-particle":"","parse-names":false,"suffix":""},{"dropping-particle":"","family":"Dahl","given":"A. R.","non-dropping-particle":"","parse-names":false,"suffix":""}],"container-title":"Carcinogenesis","id":"ITEM-1","issue":"5","issued":{"date-parts":[["2001"]]},"page":"741-749","publisher":"Carcinogenesis","title":"The rapid alveolar absorption of diesel soot-adsorbed benzo[a]pyrene: bioavailability, metabolism and dosimetry of an inhaled particle-borne carcinogen","type":"article-journal","volume":"22"},"uris":["http://www.mendeley.com/documents/?uuid=5c444017-f164-3f8a-bb6c-a92b77f25123"]}],"mendeley":{"formattedCitation":"(Gerde et al., 2001)","plainTextFormattedCitation":"(Gerde et al., 2001)","previouslyFormattedCitation":"(Gerde et al., 2001)"},"properties":{"noteIndex":0},"schema":"https://github.com/citation-style-language/schema/raw/master/csl-citation.json"}</w:instrText>
      </w:r>
      <w:r w:rsidRPr="007F3C5D">
        <w:fldChar w:fldCharType="separate"/>
      </w:r>
      <w:r w:rsidRPr="007F3C5D">
        <w:rPr>
          <w:noProof/>
        </w:rPr>
        <w:t>(Gerde et al., 2001)</w:t>
      </w:r>
      <w:r w:rsidRPr="007F3C5D">
        <w:fldChar w:fldCharType="end"/>
      </w:r>
      <w:r w:rsidRPr="007F3C5D">
        <w:t>.</w:t>
      </w:r>
    </w:p>
    <w:p w14:paraId="4402927C" w14:textId="77777777" w:rsidR="003C23CE" w:rsidRPr="007F3C5D" w:rsidRDefault="003C23CE" w:rsidP="00A14895">
      <w:pPr>
        <w:spacing w:afterLines="120" w:after="288"/>
      </w:pPr>
      <w:r w:rsidRPr="007F3C5D">
        <w:t xml:space="preserve">In contrast, several studies on copper oxide UFP showed that it could affect cells in the CNS </w:t>
      </w:r>
      <w:r w:rsidRPr="007F3C5D">
        <w:fldChar w:fldCharType="begin" w:fldLock="1"/>
      </w:r>
      <w:r w:rsidRPr="007F3C5D">
        <w:instrText>ADDIN CSL_CITATION {"citationItems":[{"id":"ITEM-1","itemData":{"DOI":"10.1007/s11064-015-1688-9","ISSN":"0364-3190","PMID":"26268441","abstract":"Copper is an essential trace element for many important cellular functions. However, excess of copper can impair cellular functions by copper-induced oxidative stress. In brain, astrocytes are considered to play a prominent role in the copper homeostasis. In this short review we summarise the current knowledge on the molecular mechanisms which are involved in the handling of copper by astrocytes. Cultured astrocytes efficiently take up copper ions predominantly by the copper transporter Ctr1 and the divalent metal transporter DMT1. In addition, copper oxide nanoparticles are rapidly accumulated by astrocytes via endocytosis. Cultured astrocytes tolerate moderate increases in intracellular copper contents very well. However, if a given threshold of cellular copper content is exceeded after exposure to copper, accelerated production of reactive oxygen species and compromised cell viability are observed. Upon exposure to sub-toxic concentrations of copper ions or copper oxide nanoparticles, astrocytes increase their copper storage capacity by upregulating the cellular contents of glutathione and metallothioneins. In addition, cultured astrocytes have the capacity to export copper ions which is likely to involve the copper ATPase 7A. The ability of astrocytes to efficiently accumulate, store and export copper ions suggests that astrocytes have a key role in the distribution of copper in brain. Impairment of this astrocytic function may be involved in diseases which are connected with disturbances in brain copper metabolism.","author":[{"dropping-particle":"","family":"Bulcke","given":"Felix","non-dropping-particle":"","parse-names":false,"suffix":""},{"dropping-particle":"","family":"Dringen","given":"Ralf","non-dropping-particle":"","parse-names":false,"suffix":""}],"container-title":"Neurochemical Research","id":"ITEM-1","issue":"1-2","issued":{"date-parts":[["2016","2","13"]]},"page":"33-43","publisher":"Springer US","title":"Handling of Copper and Copper Oxide Nanoparticles by Astrocytes","type":"article-journal","volume":"41"},"uris":["http://www.mendeley.com/documents/?uuid=7085fd8c-e3c5-4f42-8b7c-45df32025c9b"]},{"id":"ITEM-2","itemData":{"DOI":"10.3109/17435390.2013.829591","ISSN":"1743-5390","PMID":"23889294","abstract":"To test for consequences of an exposure of brain cells to copper oxide nanoparticles (CuO-NPs), we synthesised and characterised dimercaptosuccinate- coated CuO-NPs. These particles had a diameter of around 5 nm as determined by transmission electron microscopy, while their average hydrodynamic diameter in aqueous dispersion was 136 ± 4 nm. Dispersion in cell-culture medium containing 10% fetal calf serum increased the hydrodynamic diameter to 178 ± 12 nm and shifted the zeta potential of the particles from -49 ± 7 mV (in water) to -10 ± 3 mV. Exposure of cultured primary brain astrocytes to CuO-NPs increased the cellular copper levels and compromised the cell viability in a time-, concentration- and temperature-dependent manner. Application of CuO-NPs in concentrations above 100 μM copper (6.4 μg/ml) severely compromised the viability of the cells, as demonstrated by a lowered 3-(4,5-dimethylthiazol-2-yl)-2,5-diphenyltetrazolium bromide reduction capacity, a lowered cellular lactate dehydrogenase activity and an increased membrane permeability for the fluorescent dye propidium iodide. Copper internalisation as well as cell toxicity of astrocytes exposed to CuO-NPs were similar to that observed for cells that had been incubated with copper salts. The CuO-NP-induced toxicity was accompanied by an increase in the generation of reactive oxygen species (ROS) in the cells. Both, ROS formation and cell toxicity in CuO-NP-treated astrocytes, were lowered in the presence of the cell-permeable copper chelator tetrathiomolybdate. These data demonstrate that CuO-NPs are taken up by cultured astrocytes and suggest that excess of internalised CuO-NPs cause cell toxicity by accelerating the formation of ROS. © 2014 Informa UK, Ltd.","author":[{"dropping-particle":"","family":"Bulcke","given":"Felix","non-dropping-particle":"","parse-names":false,"suffix":""},{"dropping-particle":"","family":"Thiel","given":"Karsten","non-dropping-particle":"","parse-names":false,"suffix":""},{"dropping-particle":"","family":"Dringen","given":"Ralf","non-dropping-particle":"","parse-names":false,"suffix":""}],"container-title":"Nanotoxicology","id":"ITEM-2","issue":"7","issued":{"date-parts":[["2013","8","22"]]},"page":"1-11","title":"Uptake and toxicity of copper oxide nanoparticles in cultured primary brain astrocytes","type":"article-journal","volume":"8"},"uris":["http://www.mendeley.com/documents/?uuid=abd10ec0-bdf8-4861-97b4-e4a241db83fd"]},{"id":"ITEM-3","itemData":{"DOI":"10.1016/j.jtemb.2020.126505","abstract":"Aims: The increase in the usage of copper nanoparticles (Cu NPs) in the industrial and medical fields has raised concerns about their possible adverse effects. The present study aims to investigate the potential adverse effects of Cu NPs on the brain of adult male Wistar rats through the estimation of some oxidative stress parameters and acetylcholinesterase (AChE) activity. Basic procedures: Cu NPs were prepared and characterized using different techniques: Dynamic Light Scattering, X-Ray Diffraction, Transmission and Scanning Electron Microscopy, Fourier transform Infrared Spectroscopy, in addition to Energy Dispersive X-ray Spectroscopy. Rats were divided into two groups: Cu NPs-treated group (IV injected with 15 mg/kg ˷ 13 nm Cu NPs for 2 successive days) and a control group (injected with saline). Rats of the 2 groups were decapitated simultaneously after 48 h of the last injection. The Cu content in different brain areas was analyzed using inductively coupled plasma mass spectrometry. Moreover, the effect of Cu NPs on brain edema was evaluated. The behavior of rats in an open-field was also examined 24 h post the last injection. Main findings: Significant increases of Cu content in the cortex, cerebellum, striatum, thalamus and hippocampus were found. Moreover, Cu NPs lead to the induction of oxidative stress condition in the thalamus, hypothamaus and medulla. In addition, Cu NPs induced significant increases in AChE activity in the medulla, hippocampus, striatum besides midbrain. Cu NPs-injected rats showed also decreased exploratory behaviour. Principal conclusion: The results obtained in the present study point to the importance of toxicity assessments in evaluating the efficiency of Cu NPs for the safe implementation in different applications.","author":[{"dropping-particle":"","family":"Fahmy","given":"Heba M","non-dropping-particle":"","parse-names":false,"suffix":""},{"dropping-particle":"","family":"Ali","given":"Omnia A","non-dropping-particle":"","parse-names":false,"suffix":""},{"dropping-particle":"","family":"Hassan","given":"Asmaa A","non-dropping-particle":"","parse-names":false,"suffix":""},{"dropping-particle":"","family":"Mohamed","given":"Maha A","non-dropping-particle":"","parse-names":false,"suffix":""}],"id":"ITEM-3","issued":{"date-parts":[["2020"]]},"title":"Biodistribution and toxicity assessment of copper nanoparticles in the rat brain","type":"article-journal"},"uris":["http://www.mendeley.com/documents/?uuid=bf341865-eb06-3b81-bcbd-b69b6e50a2e4"]},{"id":"ITEM-4","itemData":{"DOI":"10.3109/17435390.2011.590906","ISSN":"17435390","PMID":"21657985","abstract":"Increasing production and application of metallic nanomaterials are likely to result in the release of these particles into the environment. These released nanoparticles may enter into the lungs an...","author":[{"dropping-particle":"","family":"Zhang","given":"Lili","non-dropping-particle":"","parse-names":false,"suffix":""},{"dropping-particle":"","family":"Ru","given":"Bai","non-dropping-particle":"","parse-names":false,"suffix":""},{"dropping-particle":"","family":"Liu","given":"Ying","non-dropping-particle":"","parse-names":false,"suffix":""},{"dropping-particle":"","family":"Li","given":"Meng","non-dropping-particle":"","parse-names":false,"suffix":""},{"dropping-particle":"","family":"Li","given":"Bai","non-dropping-parti</w:instrText>
      </w:r>
      <w:r w:rsidRPr="001F3A90">
        <w:rPr>
          <w:lang w:val="nl-NL"/>
        </w:rPr>
        <w:instrText>cle":"","parse-names":false,"suffix":""},{"dropping-particle":"","family":"Wang","given":"Liming","non-dropping-particle":"","parse-names":false,"suffix":""},{"dropping-particle":"","family":"Xu","given":"Ligeng","non-dropping-particle":"","parse-names":false,"suffix":""},{"dropping-particle":"","family":"Guyader","given":"Laurent","non-dropping-particle":"Le","parse-names":false,"suffix":""},{"dropping-particle":"","family":"Chen","given":"Chunying","non-dropping-particle":"","parse-names":false,"suffix":""}],"container-title":"http://dx.doi.org.proxy.library.uu.nl/10.3109/17435390.2011.590906","id":"ITEM-4","issue":"5","issued":{"date-parts":[["2012","8"]]},"page":"562-575","publisher":"Taylor &amp; Francis","title":"The dose-dependent toxicological effects and potential perturbation on the neurotransmitter secretion in brain following intranasal instillation of copper nanoparticles","type":"article-journal","volume":"6"},"uris":["http://www.mendeley.com/documents/?uuid=81a4ee7e-c60c-37cf-a59f-c9fab4807079"]}],"mendeley":{"formattedCitation":"(Bulcke et al., 2013; Bulcke &amp; Dringen, 2016; Fahmy et al., 2020; Zhang et al., 2012)","plainTextFormattedCitation":"(Bulcke et al., 2013; Bulcke &amp; Dringen, 2016; Fahmy et al., 2020; Zhang et al., 2012)","previouslyFormattedCitation":"(Bulcke et al., 2013; Bulcke &amp; Dringen, 2016; Fahmy et al., 2020; Zhang et al., 2012)"},"properties":{"noteIndex":0},"schema":"https://github.com/citation-style-language/schema/raw/master/csl-citation.json"}</w:instrText>
      </w:r>
      <w:r w:rsidRPr="007F3C5D">
        <w:fldChar w:fldCharType="separate"/>
      </w:r>
      <w:r w:rsidRPr="001F3A90">
        <w:rPr>
          <w:noProof/>
          <w:lang w:val="nl-NL"/>
        </w:rPr>
        <w:t>(Bulcke et al., 2013; Bulcke &amp; Dringen, 2016; Fahmy et al., 2020; Zhang et al., 2012)</w:t>
      </w:r>
      <w:r w:rsidRPr="007F3C5D">
        <w:fldChar w:fldCharType="end"/>
      </w:r>
      <w:r w:rsidRPr="001F3A90">
        <w:rPr>
          <w:lang w:val="nl-NL"/>
        </w:rPr>
        <w:t xml:space="preserve">. </w:t>
      </w:r>
      <w:r w:rsidRPr="007F3C5D">
        <w:t xml:space="preserve">These studies focus mostly on the induction of oxidative stress and decrease in cell viability, which underpins our results that the effect of copper oxide UFP is related to cytotoxicity. However, the study by Zhang et al. </w:t>
      </w:r>
      <w:r w:rsidRPr="007F3C5D">
        <w:fldChar w:fldCharType="begin" w:fldLock="1"/>
      </w:r>
      <w:r w:rsidRPr="007F3C5D">
        <w:instrText>ADDIN CSL_CITATION {"citationItems":[{"id":"ITEM-1","itemData":{"DOI":"10.3109/17435390.2011.590906","ISSN":"17435390","PMID":"21657985","abstract":"Increasing production and application of metallic nanomaterials are likely to result in the release of these particles into the environment. These released nanoparticles may enter into the lungs an...","author":[{"dropping-particle":"","family":"Zhang","given":"Lili","non-dropping-particle":"","parse-names":false,"suffix":""},{"dropping-particle":"","family":"Ru","given":"Bai","non-dropping-particle":"","parse-names":false,"suffix":""},{"dropping-particle":"","family":"Liu","given":"Ying","non-dropping-particle":"","parse-names":false,"suffix":""},{"dropping-particle":"","family":"Li","given":"Meng","non-dropping-particle":"","parse-names":false,"suffix":""},{"dropping-particle":"","family":"Li","given":"Bai","non-dropping-particle":"","parse-names":false,"suffix":""},{"dropping-particle":"","family":"Wang","given":"Liming","non-dropping-particle":"","parse-names":false,"suffix":""},{"dropping-particle":"","family":"Xu","given":"Ligeng","non-dropping-particle":"","parse-names":false,"suffix":""},{"dropping-particle":"","family":"Guyader","given":"Laurent","non-dropping-particle":"Le","parse-names":false,"suffix":""},{"dropping-particle":"","family":"Chen","given":"Chunying","non-dropping-particle":"","parse-names":false,"suffix":""}],"container-title":"http://dx.doi.org.proxy.library.uu.nl/10.3109/17435390.2011.590906","id":"ITEM-1","issue":"5","issued":{"date-parts":[["2012","8"]]},"page":"562-575","publisher":"Taylor &amp; Francis","title":"The dose-dependent toxicological effects and potential perturbation on the neurotransmitter secretion in brain following intranasal instillation of copper nanoparticles","type":"article-journal","volume":"6"},"uris":["http://www.mendeley.com/documents/?uuid=81a4ee7e-c60c-37cf-a59f-c9fab4807079"]}],"mendeley":{"formattedCitation":"(Zhang et al., 2012)","manualFormatting":"(2012)","plainTextFormattedCitation":"(Zhang et al., 2012)","previouslyFormattedCitation":"(Zhang et al., 2012)"},"properties":{"noteIndex":0},"schema":"https://github.com/citation-style-language/schema/raw/master/csl-citation.json"}</w:instrText>
      </w:r>
      <w:r w:rsidRPr="007F3C5D">
        <w:fldChar w:fldCharType="separate"/>
      </w:r>
      <w:r w:rsidRPr="007F3C5D">
        <w:rPr>
          <w:noProof/>
        </w:rPr>
        <w:t>(2012)</w:t>
      </w:r>
      <w:r w:rsidRPr="007F3C5D">
        <w:fldChar w:fldCharType="end"/>
      </w:r>
      <w:r w:rsidRPr="007F3C5D">
        <w:t xml:space="preserve"> also found that the secretion of neurotransmitters changed in some brain regions, suggesting that copper UFP interferes in specific neurological processes. Furthermore, these copper nanoparticles are hypothesized by Zhang et al. </w:t>
      </w:r>
      <w:r w:rsidRPr="007F3C5D">
        <w:fldChar w:fldCharType="begin" w:fldLock="1"/>
      </w:r>
      <w:r w:rsidRPr="007F3C5D">
        <w:instrText>ADDIN CSL_CITATION {"citationItems":[{"id":"ITEM-1","itemData":{"DOI":"10.3109/17435390.2011.590906","ISSN":"17435390","PMID":"21657985","abstract":"Increasing production and application of metallic nanomaterials are likely to result in the release of these particles into the environment. These released nanoparticles may enter into the lungs an...","author":[{"dropping-particle":"","family":"Zhang","given":"Lili","non-dropping-particle":"","parse-names":false,"suffix":""},{"dropping-particle":"","family":"Ru","given":"Bai","non-dropping-particle":"","parse-names":false,"suffix":""},{"dropping-particle":"","family":"Liu","given":"Ying","non-dropping-particle":"","parse-names":false,"suffix":""},{"dropping-particle":"","family":"Li","given":"Meng","non-dropping-particle":"","parse-names":false,"suffix":""},{"dropping-particle":"","family":"Li","given":"Bai","non-dropping-particle":"","parse-names":false,"suffix":""},{"dropping-particle":"","family":"Wang","given":"Liming","non-dropping-particle":"","parse-names":false,"suffix":""},{"dropping-particle":"","family":"Xu","given":"Ligeng","non-dropping-particle":"","parse-names":false,"suffix":""},{"dropping-particle":"","family":"Guyader","given":"Laurent","non-dropping-particle":"Le","parse-names":false,"suffix":""},{"dropping-particle":"","family":"Chen","given":"Chunying","non-dropping-particle":"","parse-names":false,"suffix":""}],"container-title":"http://dx.doi.org.proxy.library.uu.nl/10.3109/17435390.2011.590906","id":"ITEM-1","issue":"5","issued":{"date-parts":[["2012","8"]]},"page":"562-575","publisher":"Taylor &amp; Francis","title":"The dose-dependent toxicological effects and potential perturbation on the neurotransmitter secretion in brain following intranasal instillation of copper nanoparticles","type":"article-journal","volume":"6"},"uris":["http://www.mendeley.com/documents/?uuid=81a4ee7e-c60c-37cf-a59f-c9fab4807079"]}],"mendeley":{"formattedCitation":"(Zhang et al., 2012)","manualFormatting":"(2012)","plainTextFormattedCitation":"(Zhang et al., 2012)","previouslyFormattedCitation":"(Zhang et al., 2012)"},"properties":{"noteIndex":0},"schema":"https://github.com/citation-style-language/schema/raw/master/csl-citation.json"}</w:instrText>
      </w:r>
      <w:r w:rsidRPr="007F3C5D">
        <w:fldChar w:fldCharType="separate"/>
      </w:r>
      <w:r w:rsidRPr="007F3C5D">
        <w:rPr>
          <w:noProof/>
        </w:rPr>
        <w:t>(2012)</w:t>
      </w:r>
      <w:r w:rsidRPr="007F3C5D">
        <w:fldChar w:fldCharType="end"/>
      </w:r>
      <w:r w:rsidRPr="007F3C5D">
        <w:t xml:space="preserve"> to affect the dopaminergic pathways, which are absent in our rat primary cortex cultures and explains that this effects was not present for the results of this study </w:t>
      </w:r>
      <w:r w:rsidRPr="007F3C5D">
        <w:fldChar w:fldCharType="begin" w:fldLock="1"/>
      </w:r>
      <w:r w:rsidRPr="007F3C5D">
        <w:instrText>ADDIN CSL_CITATION {"citationItems":[{"id":"ITEM-1","itemData":{"DOI":"10.1016/j.neuro.2016.04.020","ISSN":"18729711","PMID":"27149913","abstract":"Annual prevalence of the use of common illicit drugs and new psychoactive substances (NPS) is high, despite the often limited knowledge on the health risks of these substances. Recently, cortical cultures grown on multi-well microelectrode arrays (mwMEAs) have been used for neurotoxicity screening of chemicals, pharmaceuticals, and toxins with a high sensitivity and specificity. However, the use of mwMEAs to investigate the effects of illicit drugs on neuronal activity is largely unexplored. We therefore first characterised the cortical cultures using immunocytochemistry and show the presence of astrocytes, glutamatergic and GABAergic neurons. Neuronal activity is concentration-dependently affected following exposure to six neurotransmitters (glutamate, GABA, serotonin, dopamine, acetylcholine and nicotine). Most neurotransmitters inhibit neuronal activity, although glutamate and acetylcholine transiently increase activity at specific concentrations. These transient effects are not detected when activity is determined during the entire 30 min exposure window, potentially resulting in false-negative results. As expected, exposure to the GABAA-receptor antagonist bicuculline increases neuronal activity. Exposure to a positive allosteric modulator of the GABAA-receptor (diazepam) or to glutamate receptor antagonists (CNQX and MK-801) reduces neuronal activity. Further, we demonstrate that exposure to common drugs (3,4-methylenedioxymethamphetamine (MDMA) and amphetamine) and NPS (1-(3-chlorophenyl)piperazine (mCPP), 4-fluoroamphetamine (4-FA) and methoxetamine (MXE)) decreases neuronal activity. MXE most potently inhibits neuronal activity with an IC50 of 0.5 μM, whereas 4-FA is least potent with an IC50 of 113 μM. Our data demonstrate the importance of analysing neuronal activity within different time windows during exposure to prevent false-negative results. We also show that cortical cultures grown on mwMEAs can successfully be applied to investigate the effects of different (illicit) drugs on neuronal activity. Compared to investigating multiple single endpoints for neurotoxicity or neuromodulation, such as receptor activation or calcium channel function, mwMEAs can provide information on integrated aspects of drug-induced neurotoxicity more rapidly. Therefore, this approach could contribute to a faster insight in possible health risks and shorten the regulation process.","author":[{"dropping-particle":"","family":"Hondebrink","given":"L.","non-dropping-particle":"","parse-names":false,"suffix":""},{"dropping-particle":"","family":"Verboven","given":"A. H.A.","non-dropping-particle":"","parse-names":false,"suffix":""},{"dropping-particle":"","family":"Drega","given":"W. S.","non-dropping-particle":"","parse-names":false,"suffix":""},{"dropping-particle":"","family":"Schmeink","given":"S.","non-dropping-particle":"","parse-names":false,"suffix":""},{"dropping-particle":"","family":"Groot","given":"M. W.G.D.M.","non-dropping-particle":"de","parse-names":false,"suffix":""},{"dropping-particle":"","family":"Kleef","given":"R. G.D.M.","non-dropping-particle":"van","parse-names":false,"suffix":""},{"dropping-particle":"","family":"Wijnolts","given":"F. M.J.","non-dropping-particle":"","parse-names":false,"suffix":""},{"dropping-particle":"","family":"Groot","given":"A.","non-dropping-particle":"de","parse-names":false,"suffix":""},{"dropping-particle":"","family":"Meulenbelt","given":"J.","non-dropping-particle":"","parse-names":false,"suffix":""},{"dropping-particle":"","family":"Westerink","given":"R. H.S.","non-dropping-particle":"","parse-names":false,"suffix":""}],"container-title":"NeuroToxicology","id":"ITEM-1","issued":{"date-parts":[["2016"]]},"page":"1-9","publisher":"Elsevier B.V.","title":"Neurotoxicity screening of (illicit) drugs using novel methods for analysis of microelectrode array (MEA) recordings","type":"article-journal","volume":"55"},"uris":["http://www.mendeley.com/documents/?uuid=cf7049e1-0c19-4df1-9d08-fd95b182a5a2"]}],"mendeley":{"formattedCitation":"(Hondebrink et al., 2016)","plainTextFormattedCitation":"(Hondebrink et al., 2016)","previouslyFormattedCitation":"(Hondebrink et al., 2016)"},"properties":{"noteIndex":0},"schema":"https://github.com/citation-style-language/schema/raw/master/csl-citation.json"}</w:instrText>
      </w:r>
      <w:r w:rsidRPr="007F3C5D">
        <w:fldChar w:fldCharType="separate"/>
      </w:r>
      <w:r w:rsidRPr="007F3C5D">
        <w:rPr>
          <w:noProof/>
        </w:rPr>
        <w:t>(Hondebrink et al., 2016)</w:t>
      </w:r>
      <w:r w:rsidRPr="007F3C5D">
        <w:fldChar w:fldCharType="end"/>
      </w:r>
      <w:r w:rsidRPr="007F3C5D">
        <w:t>.</w:t>
      </w:r>
    </w:p>
    <w:p w14:paraId="31BA7870" w14:textId="77777777" w:rsidR="003C23CE" w:rsidRPr="007F3C5D" w:rsidRDefault="003C23CE" w:rsidP="00A14895">
      <w:pPr>
        <w:pStyle w:val="Heading2"/>
      </w:pPr>
      <w:bookmarkStart w:id="63" w:name="_Toc101374945"/>
      <w:r w:rsidRPr="007F3C5D">
        <w:t>Future research</w:t>
      </w:r>
      <w:bookmarkEnd w:id="63"/>
    </w:p>
    <w:p w14:paraId="59AB2EE9" w14:textId="54B94A02" w:rsidR="003C23CE" w:rsidRPr="007F3C5D" w:rsidRDefault="003C23CE" w:rsidP="00A14895">
      <w:pPr>
        <w:spacing w:afterLines="120" w:after="288"/>
      </w:pPr>
      <w:r w:rsidRPr="007F3C5D">
        <w:t xml:space="preserve">There is still a lack of knowledge on the composition of diesel exhaust </w:t>
      </w:r>
      <w:proofErr w:type="gramStart"/>
      <w:r w:rsidRPr="007F3C5D">
        <w:t>in particular the</w:t>
      </w:r>
      <w:proofErr w:type="gramEnd"/>
      <w:r w:rsidRPr="007F3C5D">
        <w:t xml:space="preserve"> related emitted PM. Although multiple studies researched the size distribution and chemical composition of diesel exhaust </w:t>
      </w:r>
      <w:r w:rsidRPr="007F3C5D">
        <w:fldChar w:fldCharType="begin" w:fldLock="1"/>
      </w:r>
      <w:r w:rsidRPr="007F3C5D">
        <w:instrText>ADDIN CSL_CITATION {"citationItems":[{"id":"ITEM-1","itemData":{"DOI":"10.1007/S002040000155","ISSN":"0340-5761","PMID":"11097388","abstract":"Diesel engine exhaust particles (DEP) contribute substantially to ambient air pollution. They cause acute and chronic adverse health effects in humans. Biodiesel (rapeseed oil methyl ester, RME) is used as a 'green fuel' in several countries. For a preliminary assessment of environmental and health effects of RME, the particulate-associated emissions from the DEP of RME and common fossil diesel fuel (DF) and their in vitro cytotoxic and mutagenic effects were compared. A test tractor was fuelled with RME and DF and driven in a European standard test cycle (ECE R49) on an engine dynamometer. Particle numbers and size distributions of the exhausts were determined at the load modes 'idling' and 'rated power'. Filter-sampled particles were extracted and their cytotoxic properties tested using the neutral red assay. Mutagenicity was tested using the Salmonella typhimurium/microsome assay. Despite higher total particle emissions, solid particulate matter (soot) in the emissions from RME was lower than in the emissions from DF. While the size distributions and the numbers of emitted particles at 'rated power' were nearly identical for the two fuels, at 'idling' DF emitted substantially higher numbers of smaller particles than RME. The RME extracts caused fourfold stronger toxic effects on mouse fibroblasts at 'idling' but not at 'rated power' than DF extracts. The extracts at both load modes were significantly mutagenic in TA98 and TA100. However, extracts of DF showed a fourfold higher mutagenic effect in TA98 (and twofold in TA100) than extracts of RME. These results indicate benefits as well as disadvantages for humans and the environment from the use of RME as a fuel for tractors. The lower mutagenic potency of DEP from RME compared to DEP from DF is probably due to lower emissions of polycyclic aromatic compounds. The higher toxicity is probably caused by carbonyl compounds and unburned fuel, and reduces the benefits of the lower emissions of solid particulate matter and mutagens from RME.","author":[{"dropping-particle":"","family":"Bünger","given":"J.","non-dropping-particle":"","parse-names":false,"suffix":""},{"dropping-particle":"","family":"Krahl","given":"J.","non-dropping-particle":"","parse-names":false,"suffix":""},{"dropping-particle":"","family":"Baum","given":"K.","non-dropping-particle":"","parse-names":false,"suffix":""},{"dropping-particle":"","family":"Schröder","given":"O.","non-dropping-particle":"","parse-names":false,"suffix":""},{"dropping-particle":"","family":"Müller","given":"M.","non-dropping-particle":"","parse-names":false,"suffix":""},{"dropping-particle":"","family":"Westphal","given":"G.","non-dropping-particle":"","parse-names":false,"suffix":""},{"dropping-particle":"","family":"Ruhnau","given":"P.","non-dropping-particle":"","parse-names":false,"suffix":""},{"dropping-particle":"","family":"Schulz","given":"T. G.","non-dropping-particle":"","parse-names":false,"suffix":""},{"dropping-particle":"","family":"Hallier","given":"E.","non-dropping-particle":"","parse-names":false,"suffix":""}],"container-title":"Archives of toxicology","id":"ITEM-1","issue":"8","issued":{"date-parts":[["2000"]]},"page":"490-498","publisher":"Arch Toxicol","title":"Cytotoxic and mutagenic effects, particle size and concentration analysis of diesel engine emissions using biodiesel and petrol diesel as fuel","type":"article-journal","volume":"74"},"uris":["http://www.mendeley.com/documents/?uuid=e830ded7-c87d-38ca-9e7f-eeede6ddf8c8"]},{"id":"ITEM-2","itemData":{"DOI":"10.1039/c5fd00185d","ISSN":"13645498","abstract":"A number of major research questions remain concerning the sources and properties of road traffic generated particulate matter. A full understanding of the composition of primary vehicle exhaust aerosol and its contribution to secondary organic aerosol (SOA) formation still remains elusive, and many uncertainties exist relating to the semi-volatile component of the particles. Semi-Volatile Organic Compounds (SVOCs) are compounds which partition directly between the gas and aerosol phases under ambient conditions. The SVOCs in engine exhaust are typically hydrocarbons in the C15-C35 range, and are largely uncharacterised because they are unresolved by traditional gas chromatography, forming a large hump in the chromatogram referred to as Unresolved Complex Mixture (UCM). In this study, thermal desorption coupled to comprehensive Two Dimensional Gas-Chromatography Time-of-Flight Mass-Spectrometry (TD-GC × GC-ToF-MS) was exploited to characterise and quantify the composition of SVOCs from the exhaust emission. Samples were collected from the exhaust of a diesel engine, sampling before and after a diesel oxidation catalyst (DOC), while testing at steady state conditions. Engine exhaust was diluted with air and collected using both filter and impaction (nano-MOUDI), to resolve total mass and size resolved mass respectively. Adsorption tubes were utilised to collect SVOCs in the gas phase and they were then analysed using thermal desorption, while particle size distribution was evaluated by sampling with a DMS500. The SVOCs were observed to contain predominantly n-alkanes, branched alkanes, alkyl-cycloalkanes, alkyl-benzenes, PAHs and various cyclic aromatics. Particle phase compounds identified were similar to those observed in engine lubricants, while vapour phase constituents were similar to those measured in fuels. Preliminary results are presented illustrating differences in the particle size distribution and SVOCs composition when collecting samples with and without a DOC. The results indicate that the DOC tested is of very limited efficiency, under the studied engine operating conditions, for removal of SVOCs, especially at the upper end of the molecular weight range.","author":[{"dropping-particle":"","family":"Alam","given":"Mohammed S.","non-dropping-particle":"","parse-names":false,"suffix":""},{"dropping-particle":"","family":"Zeraati-Rezaei","given":"Soheil","non-dropping-particle":"","parse-names":false,"suffix":""},{"dropping-particle":"","family":"Stark","given":"Christopher P.","non-dropping-particle":"","parse-names":false,"suffix":""},{"dropping-particle":"","family":"Liang","given":"Zhirong","non-dropping-particle":"","parse-names":false,"suffix":""},{"dropping-particle":"","family":"Xu","given":"Hongming","non-dropping-particle":"","parse-names":false,"suffix":""},{"dropping-particle":"","family":"Harrison","given":"Roy M.","non-dropping-particle":"","parse-names":false,"suffix":""}],"container-title":"Faraday Discussions","id":"ITEM-2","issued":{"date-parts":[["2016"]]},"page":"69-84","publisher":"Royal Society of Chemistry","title":"The characterisation of diesel exhaust particles-composition, size distribution and partitioning","type":"article-journal","volume":"189"},"uris":["http://www.mendeley.com/documents/?uuid=690ef98e-644a-425d-a4ac-d9505561c66e"]},{"id":"ITEM-3","itemData":{"DOI":"10.1021/EF050385C","ISBN":"0071004998","ISSN":"08870624","abstract":"In the present study, the effects of the neat biodiesel (rapeseed methyl ester, RME) fueled diesel engine with the use of EGR on the particle size distribution were examined. The combustion of REM ...","author":[{"dropping-particle":"","family":"Tsolakis","given":"A.","non-dropping-particle":"","parse-names":false,"suffix":""}],"container-title":"Energy and Fuels","id":"ITEM-3","issue":"4","issued":{"date-parts":[["2006","7"]]},"page":"1418-1424","publisher":" American Chemical Society ","title":"Effects on Particle Size Distribution from the Diesel Engine Operating on RME-Biodiesel with EGR","type":"article-journal","volume":"20"},"uris":["http://www.mendeley.com/documents/?uuid=11286f10-5ffc-3383-a891-04bbe96ff8ef"]},{"id":"ITEM-4","itemData":{"DOI":"10.1016/J.FUEL.2015.04.073","ISSN":"0016-2361","abstract":"Changes in fuel characteristics and design of diesel engines have been applied in the last decades to reduce pollutant emissions in the transportation sector. Characteristics of exhaust particles and their environmental impacts need to be brought up to date. In this study, diesel and rapeseed oil were used in modern internal combustion engines (BMW and John Deere) in order to simulate stationary and transient non-road driving conditions, with attention on fouling processes in the exhaust system and contributions to atmospheric pollution. Engine particulate exhaust samples were subjected to individual particle analysis and bulk physico-chemical characterization with respect to polycyclic aromatics, water-soluble organic carbon and inorganic ions. Functionalities of alkanes and oxygen-containing compounds were determined in the exhaust particles. The emitted particles with similar morphology and composition were separated in specific groups, revealing the exhaust microstructure. In-depth characterization of individual particle composition provided insights into the relationship of chemical composition and hygroscopicity, based on fractionation analysis. With improved characterization of diesel/biofuel combustion emissions we demonstrate that the multicomponent composition of modern internal combustion engine exhaust is impacted by both fuel properties and operation conditions.","author":[{"dropping-particle":"","family":"Popovicheva","given":"Olga","non-dropping-particle":"","parse-names":false,"suffix":""},{"dropping-particle":"","family":"Engling","given":"Guenter","non-dropping-particle":"","parse-names":false,"suffix":""},{"dropping-particle":"","family":"Lin","given":"Kuan Ting","non-dropping-particle":"","parse-names":false,"suffix":""},{"dropping-particle":"","family":"Persiantseva","given":"Natalia","non-dropping-particle":"","parse-names":false,"suffix":""},{"dropping-particle":"","family":"Timofeev","given":"Mikhail","non-dropping-particle":"","parse-names":false,"suffix":""},{"dropping-particle":"","family":"Kireeva","given":"Elena","non-dropping-particle":"","parse-names":false,"suffix":""},{"dropping-particle":"","family":"Völk","given":"Peter","non-dropping-particle":"","parse-names":false,"suffix":""},{"dropping-particle":"","family":"Hubert","given":"Andreas","non-dropping-particle":"","parse-names":false,"suffix":""},{"dropping-particle":"","family":"Wachtmeister","given":"Georg","non-dropping-particle":"","parse-names":false,"suffix":""}],"container-title":"Fuel","id":"ITEM-4","issued":{"date-parts":[["2015","10","1"]]},"page":"232-239","publisher":"Elsevier","title":"Diesel/biofuel exhaust particles from modern internal combustion engines: Microstructure, composition, and hygroscopicity","type":"article-journal","volume":"157"},"uris":["http://www.mendeley.com/documents/?uuid=0e738505-a187-35a4-afc9-ed9009797f67"]}],"mendeley":{"formattedCitation":"(Alam et al., 2016; Bünger et al., 2000; Popovicheva et al., 2015; Tsolakis, 2006)","plainTextFormattedCitation":"(Alam et al., 2016; Bünger et al., 2000; Popovicheva et al., 2015; Tsolakis, 2006)","previouslyFormattedCitation":"(Alam et al., 2016; Bünger et al., 2000; Popovicheva et al., 2015; Tsolakis, 2006)"},"properties":{"noteIndex":0},"schema":"https://github.com/citation-style-language/schema/raw/master/csl-citation.json"}</w:instrText>
      </w:r>
      <w:r w:rsidRPr="007F3C5D">
        <w:fldChar w:fldCharType="separate"/>
      </w:r>
      <w:r w:rsidRPr="007F3C5D">
        <w:rPr>
          <w:noProof/>
        </w:rPr>
        <w:t>(Alam et al., 2016; Bünger et al., 2000; Popovicheva et al., 2015; Tsolakis, 2006)</w:t>
      </w:r>
      <w:r w:rsidRPr="007F3C5D">
        <w:fldChar w:fldCharType="end"/>
      </w:r>
      <w:r w:rsidRPr="007F3C5D">
        <w:t xml:space="preserve">, the variation in size distribution and especially chemical composition among studies is great because of several differences during sample generation, collection and extraction including fuel and engine types used, aftertreatment methods (e.g. diesel particle filter, </w:t>
      </w:r>
      <w:r w:rsidRPr="007F3C5D">
        <w:rPr>
          <w:rFonts w:ascii="Calibri" w:hAnsi="Calibri" w:cs="Calibri"/>
        </w:rPr>
        <w:t>﻿</w:t>
      </w:r>
      <w:r w:rsidRPr="007F3C5D">
        <w:t xml:space="preserve">diesel oxidation catalyst and </w:t>
      </w:r>
      <w:r w:rsidRPr="007F3C5D">
        <w:rPr>
          <w:rFonts w:ascii="Calibri" w:hAnsi="Calibri" w:cs="Calibri"/>
        </w:rPr>
        <w:t>﻿</w:t>
      </w:r>
      <w:r w:rsidRPr="007F3C5D">
        <w:t xml:space="preserve">selective catalytic reduction), engine load and temperatures during sample collection </w:t>
      </w:r>
      <w:r w:rsidRPr="007F3C5D">
        <w:fldChar w:fldCharType="begin" w:fldLock="1"/>
      </w:r>
      <w:r w:rsidRPr="007F3C5D">
        <w:instrText>ADDIN CSL_CITATION {"citationItems":[{"id":"ITEM-1","itemData":{"DOI":"10.1016/j.scitotenv.2016.12.041","ISBN":"3902264330","ISSN":"00489697","PMID":"28236480","abstract":"Biodiesel is regarded by many as a “greener” alternative fuel to petroleum diesel with potentially lower health risk. However, recent studies examining biodiesel particulate matter (PM) characteristics and health effects are contradictive, and typically utilize PM generated by passenger car engines in laboratory settings. There is a critical need to analyze diesel and biodiesel PM generated in a “real-world” setting where heavy duty-diesel (HDD) engines and commercially purchased fuel are utilized. This study compares the mass concentrations, chemical composition and cytotoxicity of real-world PM from combustion of both petroleum diesel and a waste grease 20% biodiesel blend (B20) at a community recycling center operating HDD nonroad equipment. PM was analyzed for metals, elemental/organic carbon (EC/OC), polycyclic aromatic hydrocarbons (PAHs), and nitro-polycyclic aromatic hydrocarbons (N-PAHs). Cytotoxicity in a human lung epithelial cell line (BEAS-2B) following 24 h exposure to the real-world particles was also evaluated. On average, higher concentrations for both EC and OC were measured in diesel PM. B20 PM contained significantly higher levels of Cu and Mo whereas diesel PM contained significantly higher concentrations of Pb. Principal component analysis determined Mo, Cu, and Ni were the metals with the greatest loading factor, suggesting a unique pattern related to the B20 fuel source. Total PAH concentration during diesel fuel use was 1.9 times higher than during B20 operations; however, total N-PAH concentration was 3.3 times higher during B20 use. Diesel PM cytotoxicity was 8.5 times higher than B20 PM (p &lt; 0.05) in a BEAS-2B cell line. This study contributes novel data on real-world, nonroad engine sources of metals, PAH and N-PAH species, comparing tailpipe PM vs. PM collected inside the equipment cabin. Results suggest PM generated from burning petroleum diesel in nonroad engines may be more harmful to human health, but the links between exposure, composition and toxicity are not straightforward.","author":[{"dropping-particle":"","family":"Martin","given":"Nathan","non-dropping-particle":"","parse-names":false,"suffix":""},{"dropping-particle":"","family":"Lombard","given":"Melissa","non-dropping-particle":"","parse-names":false,"suffix":""},{"dropping-particle":"","family":"Jensen","given":"Kirk R.","non-dropping-particle":"","parse-names":false,"suffix":""},{"dropping-particle":"","family":"Kelley","given":"Patrick","non-dropping-particle":"","parse-names":false,"suffix":""},{"dropping-particle":"","family":"Pratt","given":"Tara","non-dropping-particle":"","parse-names":false,"suffix":""},{"dropping-particle":"","family":"Traviss","given":"Nora","non-dropping-particle":"","parse-names":false,"suffix":""}],"container-title":"Science of The Total Environment","id":"ITEM-1","issue":"3","issued":{"date-parts":[["2017","5","15"]]},"page":"409-418","publisher":"NIH Public Access","title":"Effect of biodiesel fuel on “real-world”, nonroad heavy duty diesel engine particulate matter emissions, composition and cytotoxicity","type":"article-journal","volume":"586"},"uris":["http://www.mendeley.com/documents/?uuid=ed5dcf52-57a4-4863-9c5f-3af833aa9f99"]},{"id":"ITEM-2","itemData":{"DOI":"10.1016/j.envpol.2021.118767","ISSN":"02697491","abstract":"Incomplete combustion processes in diesel engines produce particulate matter (PM) that significantly contributes to air pollution. Currently, there remains a knowledge gap in relation to the physical and chemical characteristics and also the biological reactivity of the PM emitted from old-and new-generation diesel vehicles. In this study, the emissions from a Euro 3 diesel vehicle were compared to those from a Euro 6 car during the regeneration of a diesel particulate filter (DPF). Different driving cycles were used to collect two types of diesel exhaust particles (DEPs). The particle size distribution was monitored using an engine exhaust particle sizer spectrometer and an electrical low-pressure impactor. Although the Euro 6 vehicle emitted particulates only during DPF regeneration that primarily occurs for a few minutes at high speeds, such emissions are characterized by a higher number of ultrafine particles (&lt;0.1 μm) compared to those from the Euro 3 diesel vehicle. The emitted particles possess different characteristics. For example, Euro 6 DEPs exhibit a lower PAH content than do Euro 3 samples; however, they are enriched in metals that were poorly detected or undetected in Euro 3 emissions. The biological effects of the two DEPs were investigated in human bronchial BEAS-2B cells exposed to 50 μg/mL of PM (cor-responding to 5.2 μg/cm 2), and the results revealed that Euro 3 DEPs activated the typical inflammatory and pro-carcinogenic pathways induced by combustion-derived particles, while Euro 6 DEPs were less effective in regard to activating such biological responses. Although further investigations are required, it is evident that the different in vitro effects elicited by Euro 3 and Euro 6 DEPs can be correlated with the variable chemical compositions (metals and PAHs) of the emitted particles that play a pivotal role in the inflammatory and carcinogenic potential of airborne PM.","author":[{"dropping-particle":"","family":"Zerboni","given":"Alessandra","non-dropping-particle":"","parse-names":false,"suffix":""},{"dropping-particle":"","family":"Rossi","given":"Tommaso","non-dropping-particle":"","parse-names":false,"suffix":""},{"dropping-particle":"","family":"Bengalli","given":"Rossella","non-dropping-particle":"","parse-names":false,"suffix":""},{"dropping-particle":"","family":"Catelani","given":"Tiziano","non-dropping-particle":"","parse-names":false,"suffix":""},{"dropping-particle":"","family":"Rizzi","given":"Cristiana","non-dropping-particle":"","parse-names":false,"suffix":""},{"dropping-particle":"","family":"Priola","given":"Marco","non-dropping-particle":"","parse-names":false,"suffix":""},{"dropping-particle":"","family":"Casadei","given":"Simone","non-dropping-particle":"","parse-names":false,"suffix":""},{"dropping-particle":"","family":"Mantecca","given":"Paride","non-dropping-particle":"","parse-names":false,"suffix":""}],"container-title":"Environmental Pollution","id":"ITEM-2","issued":{"date-parts":[["2022","3"]]},"page":"118767","title":"Diesel exhaust particulate emissions and in vitro toxicity from Euro 3 and Euro 6 vehicles","type":"article-journal","volume":"297"},"uris":["http://www.mendeley.com/documents/?uuid=d445dda0-fa4a-37f1-92d1-51cceff2dd1d"]},{"id":"ITEM-3","itemData":{"DOI":"10.1016/j.jenvman.2015.02.027","abstract":"The increasingly stringent emission regulations, such as US 2010, Tier 2 Bin 5 and beyond, off-road Tier 4 final, and Euro V/5 for particulate matter (PM) reduction applications, will mandate the use of the diesel particulate filters (DPFs) technology, which is proven to be the only way that can effectively control the particulate emissions. This paper covers a comprehensive overview of the state-of-the-art DPF technologies , including the advanced filter substrate materials, the novel catalyst formulations, the highly sophisticated regeneration control strategies, the DPF uncontrolled regenerations and their control methodologies, the DPF soot loading prediction, and the soot sensor for the PM on-board diagnostics (OBD) legislations. Furthermore, the progress of the highly optimized hybrid approaches, which involves the integration of diesel oxidation catalyst (DOC) þ (DPF, NO x reduction catalyst), the selective catalytic reduction (SCR) catalyst coated on DPF, as well as DPF in the high-pressure exhaust gas recirculation (EGR) loop systems, is well discussed. Besides, the impacts of the quality of fuel and lubricant on the DPF performance and the maintenance and retrofit of DPF are fully elaborated. Meanwhile, the high efficiency gasoline particulate filter (GPF) technology is being required to effectively reduce the PM and particulate number (PN) emissions from the gasoline direct injection (GDI) engines to comply with the future increasingly stricter emissions regulations.","author":[{"dropping-particle":"","family":"Guan","given":"Bin","non-dropping-particle":"","parse-names":false,"suffix":""},{"dropping-particle":"","family":"Zhan","given":"Reggie","non-dropping-particle":"","parse-names":false,"suffix":""},{"dropping-particle":"","family":"Lin","given":"He","non-dropping-particle":"","parse-names":false,"suffix":""},{"dropping-particle":"","family":"Huang","given":"Zhen","non-dropping-particle":"","parse-names":false,"suffix":""}],"id":"ITEM-3","issued":{"date-parts":[["2015"]]},"title":"Review of the state-of-the-art of exhaust particulate filter technology in internal combustion engines","type":"article-journal"},"uris":["http://www.mendeley.com/documents/?uuid=a0737a6b-f004-3718-b5d0-35846152b110"]},{"id":"ITEM-4","itemData":{"DOI":"10.1021/ACS.ENERGYFUELS.7B01446","ISSN":"15205029","PMID":"32461712","abstract":"The present study examines the effects of fuel [an ultralow sulfur diesel (ULSD) versus a 20% v/v soy-based biodiesel-80% v/v petroleum blend (B20)], temperature, load, vehicle, driving cycle, and active regeneration technology on gas- and particle-phase carbon emissions from light and medium heavy-duty diesel vehicles (L/MHDDV). The study is performed using chassis dynamometer facilities that support low-temperature operation (-6.7 °C versus 21.7 °C) and heavy loads up to 12000 kg. Organic and elemental carbon (OC-EC) composition of aerosol particles is determined using a thermal-optical technique. Gas- and particle-phase semivolatile organic compound (SVOC) emissions collected using traditional filter and polyurethane foam sampling media are analyzed using advanced gas chromatograpy/mass spectrometry methods. Study-wide OC and EC emissions are 0.735 and 0.733 mg/km, on average. The emissions factors for diesel vehicles vary widely, and use of a catalyzed diesel particle filter (CDPF) device generally mutes the carbon particle emissions in the exhaust, which contains ∼90% w/w gas-phase matter. Interestingly, replacing ULSD with B20 did not significantly influence SVOC emissions, for which sums range from 0.030 to 9.4 mg/km for the L/MHDDVs. However, both low temperature and vehicle cold-starts significantly increase SVOCs in the exhaust. Real-time particle measurements indicate vehicle regeneration technology did influence emissions, although regeneration effects went unresolved using bulk chemistry techniques. A multistudy comparison of the toxic particle-phase polycyclic aromatic hydrocarbons (PAHs; molecular weight (MW) ≥ 252 amu) in diesel exhaust indicates emission factors that span up to 8 orders of magnitude over the past several decades. This study observes conditions under which PAH compounds with MW ≥ 252 amu appear in diesel particles downstream of the CDPF and can even reach low-end concentrations reported earlier for much larger HDDVs with poorly controlled exhaust streams. This rare observation suggests that analysis of PAHs in particles emitted from modern L/MHDDVs may be more complex than recognized previously.","author":[{"dropping-particle":"","family":"Hays","given":"Michael D.","non-dropping-particle":"","parse-names":false,"suffix":""},{"dropping-particle":"","family":"Preston","given":"William","non-dropping-particle":"","parse-names":false,"suffix":""},{"dropping-particle":"","family":"George","given":"Barbara J.","non-dropping-particle":"","parse-names":false,"suffix":""},{"dropping-particle":"","family":"George","given":"Ingrid J.","non-dropping-particle":"","parse-names":false,"suffix":""},{"dropping-particle":"","family":"Snow","given":"Richard","non-dropping-particle":"","parse-names":false,"suffix":""},{"dropping-particle":"","family":"Faircloth","given":"James","non-dropping-particle":"","parse-names":false,"suffix":""},{"dropping-particle":"","family":"Long","given":"Thomas","non-dropping-particle":"","parse-names":false,"suffix":""},{"dropping-particle":"","family":"Baldauf","given":"Richard W.","non-dropping-particle":"","parse-names":false,"suffix":""},{"dropping-particle":"","family":"McDonald","given":"Joseph","non-dropping-particle":"","parse-names":false,"suffix":""}],"container-title":"Energy &amp; fuels : an American Chemical Society journal","id":"ITEM-4","issue":"10","issued":{"date-parts":[["2017","10","19"]]},"page":"11034-11042","publisher":"NIH Public Access","title":"Temperature and Driving Cycle Significantly Affect Carbonaceous Gas\nand Particle Matter Emissions from Diesel Trucks","type":"article-journal","volume":"31"},"uris":["http://www.mendeley.com/documents/?uuid=0e959390-c942-300f-aa0f-9e7a4ea4abac"]},{"id":"ITEM-5","itemData":{"DOI":"10.1021/acs.est.9b02341","abstract":"Particulate matter (PM) emissions from ships are increasingly posing health risks to population living along coastal areas. However, studies on the characteristics of particulate emissions from ships fueled with heavy fuel oil (HFO) are quite rare. In this paper, the characteristics of the PM sampled from the exhaust of a low-speed two-stroke common-rail marine diesel engine fueled with HFO are investigated at different loads. The thermal/optical carbon analyzer was employed to discriminate the elemental and organic carbons (EC and OC), the combustion-based elemental analysis was performed to obtain the C/H ratio, and the nuclear magnetic resonance spectrometer was used to analyze the molecular structure of the sample. With increasing loads, the EC/OC and C/H mass ratios and the mole ratio of polycyclic aromatic hydrocarbons to aliphatic hydrocarbons increase. From transmission electron microscopy images, noticeable changes in nanostructure, size, morphology, and nanostructural parameters of soot particles were analyzed. Furthermore, the elemental spatial distribution in soot particles was observed by energy-dispersive X-ray spectroscopy mapping. The main elements were detected by point-analyzed spectra. These results are believed to be valuable references fo</w:instrText>
      </w:r>
      <w:r w:rsidRPr="001F3A90">
        <w:rPr>
          <w:lang w:val="nl-NL"/>
        </w:rPr>
        <w:instrText>r hazard evaluation and building a strategy of reducing particulate emissions from low-speed marine diesel engines.","author":[{"dropping-particle":"","family":"Jiang","given":"Hao","non-dropping-particle":"","parse-names":false,"suffix":""},{"dropping-particle":"","family":"Wu","given":"Gang","non-dropping-particle":"","parse-names":false,"suffix":""},{"dropping-particle":"","family":"Li","given":"Tie","non-dropping-particle":"","parse-names":false,"suffix":""},{"dropping-particle":"","family":"He","given":"Pengfei","non-dropping-particle":"","parse-names":false,"suffix":""},{"dropping-particle":"","family":"Chen","given":"Run","non-dropping-particle":"","parse-names":false,"suffix":""}],"id":"ITEM-5","issued":{"date-parts":[["2019"]]},"title":"Characteristics of Particulate Matter Emissions from a Low-Speed Marine Diesel Engine at Various Loads","type":"article-journal"},"uris":["http://www.mendeley.com/documents/?uuid=d531860c-5999-3a1a-9a70-fa58479fc3e4"]}],"mendeley":{"formattedCitation":"(Guan et al., 2015; Hays et al., 2017; Jiang et al., 2019; Martin et al., 2017; Zerboni et al., 2022)","plainTextFormattedCitation":"(Guan et al., 2015; Hays et al., 2017; Jiang et al., 2019; Martin et al., 2017; Zerboni et al., 2022)","previouslyFormattedCitation":"(Guan et al., 2015; Hays et al., 2017; Jiang et al., 2019; Martin et al., 2017; Zerboni et al., 2022)"},"properties":{"noteIndex":0},"schema":"https://github.com/citation-style-language/schema/raw/master/csl-citation.json"}</w:instrText>
      </w:r>
      <w:r w:rsidRPr="007F3C5D">
        <w:fldChar w:fldCharType="separate"/>
      </w:r>
      <w:r w:rsidRPr="001F3A90">
        <w:rPr>
          <w:noProof/>
          <w:lang w:val="nl-NL"/>
        </w:rPr>
        <w:t>(Guan et al., 2015; Hays et al., 2017; Jiang et al., 2019; Martin et al., 2017; Zerboni et al., 2022)</w:t>
      </w:r>
      <w:r w:rsidRPr="007F3C5D">
        <w:fldChar w:fldCharType="end"/>
      </w:r>
      <w:r w:rsidRPr="001F3A90">
        <w:rPr>
          <w:lang w:val="nl-NL"/>
        </w:rPr>
        <w:t xml:space="preserve">. </w:t>
      </w:r>
      <w:r w:rsidRPr="006658F3">
        <w:rPr>
          <w:lang w:val="nl-NL"/>
        </w:rPr>
        <w:t xml:space="preserve">For instance, Zielinska et al. </w:t>
      </w:r>
      <w:r w:rsidRPr="007F3C5D">
        <w:fldChar w:fldCharType="begin" w:fldLock="1"/>
      </w:r>
      <w:r w:rsidRPr="007F3C5D">
        <w:instrText>ADDIN CSL_CITATION {"citationItems":[{"id":"ITEM-1","itemData":{"DOI":"10.1080/10473289.2004.10470973","ISSN":"21622906","PMID":"15468666","abstract":"Emission samples for toxicity testing and detailed chemical characterization were collected from a variety of gasoline- and diesel-fueled in-use vehicles operated on the Unified Driving Cycle on a chassis dynamometer. Gasoline vehicles included normal particle mass (particulate matter [PM]) emitters (tested at 72 and 30°F), “black” and “white” smokers, and a new-technology vehicle (tested at 72 °F). Diesel vehicles included current-technology vehicles (tested at 72 and 30°F) and a high PM emitter. Total PM emission rates ranged from below 3 mg/mi up to more than 700 mg/mi for the white smoker gasoline vehicle. Emission rates of organic and elemental carbon (OC/EC), elements (metals and associated analytes), ions, and a variety of particulate and semi-volatile organic compounds (polycyclic aromatic hydrocarbons [PAH], nitro-PAH, oxy-PAH, hopanes, and steranes) are reported for these vehicles. Speciated organic analysis also was conducted on the fuels and lube oils obtained from these vehicles after the emissions testing. The compositions of emissions were highly dependent on the fuel type (gasoline vs. diesel), the state of vehicle maintenance (low, average, or high emitters; white or black smokers), and ambient conditions (i.e., temperature) of the vehicles. Fuel and oil analyses from these vehicles showed that oil served as a repository for combustion byproducts (e.g., PAH), and oil-burning gasoline vehicles emitted PAH in higher concentrations than did other vehicles. These PAH emissions matched the PAH compositions observed in oil. © 2004 Air &amp; Waste Management Association.","author":[{"dropping-particle":"","family":"Zielinska","given":"Barbara","non-dropping-particle":"","parse-names":false,"suffix":""},{"dropping-particle":"","family":"Sagebiel","given":"John","non-dropping-particle":"","parse-names":false,"suffix":""},{"dropping-particle":"","family":"Mc Donald","given":"Jacob D.","non-dropping-particle":"","parse-names":false,"suffix":""},{"dropping-particle":"","family":"Whitney","given":"Kevin","non-dropping-particle":"","parse-names":false,"suffix":""},{"dropping-particle":"","family":"Lawson","given":"Douglas R.","non-dropping-particle":"","parse-names":false,"suffix":""}],"container-title":"Journal of the Air and Waste Management Association","id":"ITEM-1","issue":"9","issued":{"date-parts":[["2004"]]},"page":"1138-1150","publisher":"J Air Waste Manag Assoc","title":"Emission rates and comparative chemical composition from selected in-use diesel and gasoline-fueled vehicles","type":"article-journal","volume":"54"},"uris":["http://www.mendeley.com/documents/?uuid=2724c518-9e07-432b-a269-92e93342fd86"]}],"mendeley":{"formattedCitation":"(Zielinska et al., 2004)","manualFormatting":"(2004)","plainTextFormattedCitation":"(Zielinska et al., 2004)","previouslyFormattedCitation":"(Zielinska et al., 2004)"},"properties":{"noteIndex":0},"schema":"https://github.com/citation-style-language/schema/raw/master/csl-citation.json"}</w:instrText>
      </w:r>
      <w:r w:rsidRPr="007F3C5D">
        <w:fldChar w:fldCharType="separate"/>
      </w:r>
      <w:r w:rsidRPr="007F3C5D">
        <w:rPr>
          <w:noProof/>
        </w:rPr>
        <w:t>(2004)</w:t>
      </w:r>
      <w:r w:rsidRPr="007F3C5D">
        <w:fldChar w:fldCharType="end"/>
      </w:r>
      <w:r w:rsidRPr="007F3C5D">
        <w:t xml:space="preserve"> discovered that a lower temperature lead to an eight times increase of organic carbon in diesel exhaust emission. In our research, two different </w:t>
      </w:r>
      <w:r w:rsidR="001E0F05" w:rsidRPr="007F3C5D">
        <w:t xml:space="preserve">institutions, RIVM and UEF, </w:t>
      </w:r>
      <w:r w:rsidRPr="007F3C5D">
        <w:t>with different circumstances and protocols provided the test samples. The diesel and biodiesel exhaust-derived PM data showed well-defined dose-effect curves that were not seen for the other non-volatile test samples collected on filters, which could be partly due to the different conditions and protocols used by RIVM as opposed to UEF. This variation will be even greater for comparisons between completely different studies. The use of standardized protocols for the combustion and collection of samples could be a way to tackle this variation. However, the options for fuel types, engine types et</w:t>
      </w:r>
      <w:r w:rsidR="00556F64">
        <w:t xml:space="preserve">c. </w:t>
      </w:r>
      <w:r w:rsidRPr="007F3C5D">
        <w:t>are endless and the same conditions are not always available worldwide.</w:t>
      </w:r>
    </w:p>
    <w:p w14:paraId="173392C3" w14:textId="33ABFEBC" w:rsidR="003C23CE" w:rsidRPr="007F3C5D" w:rsidRDefault="003C23CE" w:rsidP="00A14895">
      <w:pPr>
        <w:spacing w:afterLines="120" w:after="288"/>
      </w:pPr>
      <w:r w:rsidRPr="007F3C5D">
        <w:t xml:space="preserve">Another point of interest when interpreting the results, is the unit in which the dose is expressed. The mass of collected PM per volume in the wells on the MEA was used to obtain exposure </w:t>
      </w:r>
      <w:r w:rsidR="003D235A">
        <w:t>doses</w:t>
      </w:r>
      <w:r w:rsidRPr="007F3C5D">
        <w:t xml:space="preserve">, as they were provided in vials with a known mass content. An advantage to this method is that the effect of a specific </w:t>
      </w:r>
      <w:r w:rsidR="003D235A">
        <w:t>dose</w:t>
      </w:r>
      <w:r w:rsidRPr="007F3C5D">
        <w:t xml:space="preserve"> on neuronal activity would be clear, as this is the method that is generally applied with single chemicals. However, our samples are composed of complex mixtures collected from exhaustion from an engine. Therefore, relating our exposure </w:t>
      </w:r>
      <w:r w:rsidR="003D235A">
        <w:t>doses</w:t>
      </w:r>
      <w:r w:rsidRPr="007F3C5D">
        <w:t xml:space="preserve"> to </w:t>
      </w:r>
      <w:proofErr w:type="gramStart"/>
      <w:r w:rsidRPr="007F3C5D">
        <w:t>e.g.</w:t>
      </w:r>
      <w:proofErr w:type="gramEnd"/>
      <w:r w:rsidRPr="007F3C5D">
        <w:t xml:space="preserve"> the elapsed time of sampling or the volume of fuel that was used to collect the samples could facilitate the comparison to a more realistic exposure</w:t>
      </w:r>
      <w:r w:rsidR="00BD0E0F">
        <w:t>.</w:t>
      </w:r>
      <w:r w:rsidRPr="007F3C5D">
        <w:t xml:space="preserve"> Additionally, the different diesel fuels or engines used in this study could lead to a higher or lower mass of PM, but as we expose per unit of mass, this consideration is not included in our experiments and may affect their outcome. In a study by Tsai et al. </w:t>
      </w:r>
      <w:r w:rsidRPr="007F3C5D">
        <w:fldChar w:fldCharType="begin" w:fldLock="1"/>
      </w:r>
      <w:r w:rsidRPr="007F3C5D">
        <w:instrText>ADDIN CSL_CITATION {"citationItems":[{"id":"ITEM-1","itemData":{"DOI":"10.1080/10934529.2011.532444","ISSN":"1093-4529","PMID":"21240709","abstract":"This study investigated the particulate matter (PM), particle-bound carbons, and polycyclic aromatic hydrocarbons (PAHs) emitted from a diesel-engine generator fuelled with blends of pure fossil di...","author":[{"dropping-particle":"","family":"Tsai","given":"Jen-Hsiung","non-dropping-particle":"","parse-names":false,"suffix":""},{"dropping-particle":"","family":"Chen","given":"Shui-Jen","non-dropping-particle":"","parse-names":false,"suffix":""},{"dropping-particle":"","family":"Huang","given":"Kuo-Lin","non-dropping-particle":"","parse-names":false,"suffix":""},{"dropping-particle":"","family":"Lee","given":"Wen-Jhy","non-dropping-particle":"","parse-names":false,"suffix":""},{"dropping-particle":"","family":"Kuo","given":"Wen-Chien","non-dropping-particle":"","parse-names":false,"suffix":""},{"dropping-particle":"","family":"Lin","given":"Wen-Yinn","non-dropping-particle":"","parse-names":false,"suffix":""}],"container-title":"Journal of Environmental Science and Health, Part A","id":"ITEM-1","issue":"2","issued":{"date-parts":[["2011","1"]]},"page":"204-213","publisher":"Taylor &amp; Francis Group","title":"Characteristics of particulate emissions from a diesel generator fueled with varying blends of biodiesel and fossil diesel","type":"article-journal","volume":"46"},"uris":["http://www.mendeley.com/documents/?uuid=25eed1f1-9306-3378-a737-210573e6822b"]}],"mendeley":{"formattedCitation":"(Tsai et al., 2011)","manualFormatting":"(2011)","plainTextFormattedCitation":"(Tsai et al., 2011)","previouslyFormattedCitation":"(Tsai et al., 2011)"},"properties":{"noteIndex":0},"schema":"https://github.com/citation-style-language/schema/raw/master/csl-citation.json"}</w:instrText>
      </w:r>
      <w:r w:rsidRPr="007F3C5D">
        <w:fldChar w:fldCharType="separate"/>
      </w:r>
      <w:r w:rsidRPr="007F3C5D">
        <w:rPr>
          <w:noProof/>
        </w:rPr>
        <w:t>(2011)</w:t>
      </w:r>
      <w:r w:rsidRPr="007F3C5D">
        <w:fldChar w:fldCharType="end"/>
      </w:r>
      <w:r w:rsidRPr="007F3C5D">
        <w:t xml:space="preserve">, a 20% biodiesel blend lowered the mass of PM by 30% as opposed to diesel. If this reduction is present in our study, it could lead to a longer runtime of the engine to obtain the same </w:t>
      </w:r>
      <w:r w:rsidR="003D235A">
        <w:t>dose</w:t>
      </w:r>
      <w:r w:rsidRPr="007F3C5D">
        <w:t xml:space="preserve"> in mass per volume</w:t>
      </w:r>
      <w:r w:rsidR="002C3AED">
        <w:t>. This would lead</w:t>
      </w:r>
      <w:r w:rsidRPr="007F3C5D">
        <w:t xml:space="preserve"> to a lower exposure per </w:t>
      </w:r>
      <w:r w:rsidR="00137A10">
        <w:lastRenderedPageBreak/>
        <w:t>volume of fuel or driven distance</w:t>
      </w:r>
      <w:r w:rsidR="002C3AED">
        <w:t>,</w:t>
      </w:r>
      <w:r w:rsidR="00137A10">
        <w:t xml:space="preserve"> </w:t>
      </w:r>
      <w:r w:rsidRPr="007F3C5D">
        <w:t xml:space="preserve">suggesting that biodiesel exhaust-derived PM is even less toxic than our results indicate. An experiment including the measurement of the mass of collected PM per </w:t>
      </w:r>
      <w:r w:rsidR="00137A10">
        <w:t>volume of exhaust or fuel</w:t>
      </w:r>
      <w:r w:rsidRPr="007F3C5D">
        <w:t xml:space="preserve"> should define if a reduction of PM is present and would provide results that are easier extrapolated to human exposures.</w:t>
      </w:r>
      <w:r w:rsidR="00137A10">
        <w:t xml:space="preserve"> To </w:t>
      </w:r>
      <w:proofErr w:type="gramStart"/>
      <w:r w:rsidR="00137A10">
        <w:t xml:space="preserve">better directly compare the </w:t>
      </w:r>
      <w:r w:rsidR="002C3AED">
        <w:t>toxicity of fuel exhaust</w:t>
      </w:r>
      <w:proofErr w:type="gramEnd"/>
      <w:r w:rsidR="002C3AED">
        <w:t xml:space="preserve"> to realistic human exposure, expressing concentrations in driven distance for the amount of PM that is collected would be suitable. This way, the efficiency of the engine and fuel source are also </w:t>
      </w:r>
      <w:proofErr w:type="gramStart"/>
      <w:r w:rsidR="002C3AED">
        <w:t>taking into account</w:t>
      </w:r>
      <w:proofErr w:type="gramEnd"/>
      <w:r w:rsidR="002C3AED">
        <w:t>, keeping in mind that different fuels and engine</w:t>
      </w:r>
      <w:r w:rsidR="00B14078">
        <w:t>s</w:t>
      </w:r>
      <w:r w:rsidR="002C3AED">
        <w:t xml:space="preserve"> </w:t>
      </w:r>
      <w:r w:rsidR="00B14078">
        <w:t xml:space="preserve">also </w:t>
      </w:r>
      <w:r w:rsidR="00B14078" w:rsidRPr="00B14078">
        <w:t>provide different</w:t>
      </w:r>
      <w:r w:rsidR="00B14078">
        <w:t xml:space="preserve"> levels of</w:t>
      </w:r>
      <w:r w:rsidR="00B14078" w:rsidRPr="00B14078">
        <w:t xml:space="preserve"> energy conversion</w:t>
      </w:r>
      <w:r w:rsidR="00B14078">
        <w:t>.</w:t>
      </w:r>
    </w:p>
    <w:p w14:paraId="0F73E9A4" w14:textId="70F87724" w:rsidR="000F65B8" w:rsidRPr="007F3C5D" w:rsidRDefault="003C23CE" w:rsidP="00A14895">
      <w:pPr>
        <w:spacing w:afterLines="120" w:after="288"/>
      </w:pPr>
      <w:r w:rsidRPr="007F3C5D">
        <w:t xml:space="preserve">Working with </w:t>
      </w:r>
      <w:r w:rsidR="003D235A">
        <w:t>doses</w:t>
      </w:r>
      <w:r w:rsidRPr="007F3C5D">
        <w:t xml:space="preserve"> that are representative for realistic exposure conditions to PM in urban areas is critical for risk assessment. In the present study, doses ranging from 1-100 µg/mL and 1-20 L/mL were selected for </w:t>
      </w:r>
      <w:r w:rsidRPr="007F3C5D">
        <w:rPr>
          <w:i/>
          <w:iCs/>
        </w:rPr>
        <w:t>in vitro</w:t>
      </w:r>
      <w:r w:rsidRPr="007F3C5D">
        <w:t xml:space="preserve"> investigations to compare the various samples for neuronal (network) activity and cytotoxicity after exposure. The amount of PM that reaches the brain remains to be determined, but a study discovered that an estimate of 0.01-0.001% of inhaled iridium and carbon nanoparticles were found in the brain after 24 h exposure </w:t>
      </w:r>
      <w:r w:rsidRPr="007F3C5D">
        <w:fldChar w:fldCharType="begin" w:fldLock="1"/>
      </w:r>
      <w:r w:rsidRPr="007F3C5D">
        <w:instrText>ADDIN CSL_CITATION {"citationItems":[{"id":"ITEM-1","itemData":{"DOI":"10.1080/08958370902942517","ISSN":"08958378","PMID":"19558234","abstract":"Currently, translocation of inhaled insoluble nanoparticles (NP) across membranes like the air-blood barrier into secondary target organs (STOs) is debated. Of key interest are the involved biologi...","author":[{"dropping-particle":"","family":"Kreyling","given":"Wolfgang G.","non-dropping-particle":"","parse-names":false,"suffix":""},{"dropping-particle":"","family":"Semmler-Behnke","given":"Manuela","non-dropping-particle":"","parse-names":false,"suffix":""},{"dropping-particle":"","family":"Seitz","given":"Jrgen","non-dropping-particle":"","parse-names":false,"suffix":""},{"dropping-particle":"","family":"Scymczak","given":"Wilfüried","non-dropping-particle":"","parse-names":false,"suffix":""},{"dropping-particle":"","family":"Wenk","given":"Alexander","non-dropping-particle":"","parse-names":false,"suffix":""},{"dropping-particle":"","family":"Mayer","given":"Paula","non-dropping-particle":"","parse-names":false,"suffix":""},{"dropping-particle":"","family":"Takenaka","given":"Shinji","non-dropping-particle":"","parse-names":false,"suffix":""},{"dropping-particle":"","family":"Oberdrster","given":"Günter","non-dropping-particle":"","parse-names":false,"suffix":""}],"container-title":"https://doi-org.proxy.library.uu.nl/10.1080/08958370902942517","id":"ITEM-1","issue":"SUPPL. 1","issued":{"date-parts":[["2009"]]},"page":"55-60","publisher":"Taylor &amp; Francis","title":"Size dependence of the translocation of inhaled iridium and carbon nanoparticle aggregates from the lung of rats to the blood and secondary target organs","type":"article-journal","volume":"21"},"uris":["http://www.mendeley.com/documents/?uuid=1b4e88bf-1795-3504-be95-2f6c1c71dc55"]}],"mendeley":{"formattedCitation":"(Kreyling et al., 2009)","plainTextFormattedCitation":"(Kreyling et al., 2009)","previouslyFormattedCitation":"(Kreyling et al., 2009)"},"properties":{"noteIndex":0},"schema":"https://github.com/citation-style-language/schema/raw/master/csl-citation.json"}</w:instrText>
      </w:r>
      <w:r w:rsidRPr="007F3C5D">
        <w:fldChar w:fldCharType="separate"/>
      </w:r>
      <w:r w:rsidRPr="007F3C5D">
        <w:rPr>
          <w:noProof/>
        </w:rPr>
        <w:t>(Kreyling et al., 2009)</w:t>
      </w:r>
      <w:r w:rsidRPr="007F3C5D">
        <w:fldChar w:fldCharType="end"/>
      </w:r>
      <w:r w:rsidRPr="007F3C5D">
        <w:t>.</w:t>
      </w:r>
      <w:r w:rsidR="00B86C85" w:rsidRPr="00B86C85">
        <w:t xml:space="preserve"> </w:t>
      </w:r>
      <w:r w:rsidR="00B86C85" w:rsidRPr="007F3C5D">
        <w:t>Furthermore</w:t>
      </w:r>
      <w:r w:rsidR="00B86C85">
        <w:t xml:space="preserve">, </w:t>
      </w:r>
      <w:r w:rsidR="00884229">
        <w:t xml:space="preserve">a study on the </w:t>
      </w:r>
      <w:r w:rsidR="00884229" w:rsidRPr="00884229">
        <w:rPr>
          <w:i/>
          <w:iCs/>
        </w:rPr>
        <w:t>in vitro</w:t>
      </w:r>
      <w:r w:rsidR="00884229">
        <w:t xml:space="preserve"> and </w:t>
      </w:r>
      <w:r w:rsidR="00884229" w:rsidRPr="00884229">
        <w:rPr>
          <w:i/>
          <w:iCs/>
        </w:rPr>
        <w:t>in vivo</w:t>
      </w:r>
      <w:r w:rsidR="00884229">
        <w:t xml:space="preserve"> effect of diesel exhaust UFP </w:t>
      </w:r>
      <w:r w:rsidR="0058431D">
        <w:t>derived</w:t>
      </w:r>
      <w:r w:rsidR="00884229">
        <w:t xml:space="preserve"> that</w:t>
      </w:r>
      <w:r w:rsidR="0058431D">
        <w:t>,</w:t>
      </w:r>
      <w:r w:rsidR="00884229">
        <w:t xml:space="preserve"> </w:t>
      </w:r>
      <w:r w:rsidR="0058431D" w:rsidRPr="007F3C5D">
        <w:t xml:space="preserve">based on the estimation of </w:t>
      </w:r>
      <w:proofErr w:type="spellStart"/>
      <w:r w:rsidR="0058431D" w:rsidRPr="007F3C5D">
        <w:t>Kreyling</w:t>
      </w:r>
      <w:proofErr w:type="spellEnd"/>
      <w:r w:rsidR="0058431D" w:rsidRPr="007F3C5D">
        <w:t xml:space="preserve"> et al. </w:t>
      </w:r>
      <w:r w:rsidR="0058431D" w:rsidRPr="007F3C5D">
        <w:fldChar w:fldCharType="begin" w:fldLock="1"/>
      </w:r>
      <w:r w:rsidR="0058431D" w:rsidRPr="007F3C5D">
        <w:instrText>ADDIN CSL_CITATION {"citationItems":[{"id":"ITEM-1","itemData":{"DOI":"10.1080/08958370902942517","ISSN":"08958378","PMID":"19558234","abstract":"Currently, translocation of inhaled insoluble nanoparticles (NP) across membranes like the air-blood barrier into secondary target organs (STOs) is debated. Of key interest are the involved biologi...","author":[{"dropping-particle":"","family":"Kreyling","given":"Wolfgang G.","non-dropping-particle":"","parse-names":false,"suffix":""},{"dropping-particle":"","family":"Semmler-Behnke","given":"Manuela","non-dropping-particle":"","parse-names":false,"suffix":""},{"dropping-particle":"","family":"Seitz","given":"Jrgen","non-dropping-particle":"","parse-names":false,"suffix":""},{"dropping-particle":"","family":"Scymczak","given":"Wilfüried","non-dropping-particle":"","parse-names":false,"suffix":""},{"dropping-particle":"","family":"Wenk","given":"Alexander","non-dropping-particle":"","parse-names":false,"suffix":""},{"dropping-particle":"","family":"Mayer","given":"Paula","non-dropping-particle":"","parse-names":false,"suffix":""},{"dropping-particle":"","family":"Takenaka","given":"Shinji","non-dropping-particle":"","parse-names":false,"suffix":""},{"dropping-particle":"","family":"Oberdrster","given":"Günter","non-dropping-particle":"","parse-names":false,"suffix":""}],"container-title":"https://doi-org.proxy.library.uu.nl/10.1080/08958370902942517","id":"ITEM-1","issue":"SUPPL. 1","issued":{"date-parts":[["2009"]]},"page":"55-60","publisher":"Taylor &amp; Francis","title":"Size dependence of the translocation of inhaled iridium and carbon nanoparticle aggregates from the lung of rats to the blood and secondary target organs","type":"article-journal","volume":"21"},"uris":["http://www.mendeley.com/documents/?uuid=1b4e88bf-1795-3504-be95-2f6c1c71dc55"]}],"mendeley":{"formattedCitation":"(Kreyling et al., 2009)","manualFormatting":"(2009)","plainTextFormattedCitation":"(Kreyling et al., 2009)","previouslyFormattedCitation":"(Kreyling et al., 2009)"},"properties":{"noteIndex":0},"schema":"https://github.com/citation-style-language/schema/raw/master/csl-citation.json"}</w:instrText>
      </w:r>
      <w:r w:rsidR="0058431D" w:rsidRPr="007F3C5D">
        <w:fldChar w:fldCharType="separate"/>
      </w:r>
      <w:r w:rsidR="0058431D" w:rsidRPr="007F3C5D">
        <w:rPr>
          <w:noProof/>
        </w:rPr>
        <w:t>(2009)</w:t>
      </w:r>
      <w:r w:rsidR="0058431D" w:rsidRPr="007F3C5D">
        <w:fldChar w:fldCharType="end"/>
      </w:r>
      <w:r w:rsidR="0058431D" w:rsidRPr="007F3C5D">
        <w:t xml:space="preserve"> and their </w:t>
      </w:r>
      <w:r w:rsidR="0058431D" w:rsidRPr="007F3C5D">
        <w:rPr>
          <w:i/>
        </w:rPr>
        <w:t xml:space="preserve">in </w:t>
      </w:r>
      <w:r w:rsidR="0058431D">
        <w:rPr>
          <w:i/>
        </w:rPr>
        <w:t>vivo</w:t>
      </w:r>
      <w:r w:rsidR="0058431D" w:rsidRPr="007F3C5D">
        <w:t xml:space="preserve"> model using 0.5 and 2 mg/m</w:t>
      </w:r>
      <w:r w:rsidR="0058431D" w:rsidRPr="007F3C5D">
        <w:rPr>
          <w:vertAlign w:val="superscript"/>
        </w:rPr>
        <w:t>3</w:t>
      </w:r>
      <w:r w:rsidR="0058431D" w:rsidRPr="007F3C5D">
        <w:t xml:space="preserve"> inhalation exposure of diesel exhaust UFP to rats</w:t>
      </w:r>
      <w:r w:rsidR="0058431D">
        <w:t xml:space="preserve">, </w:t>
      </w:r>
      <w:r w:rsidR="0058431D" w:rsidRPr="007F3C5D">
        <w:t xml:space="preserve">an </w:t>
      </w:r>
      <w:r w:rsidR="0058431D" w:rsidRPr="007F3C5D">
        <w:rPr>
          <w:i/>
          <w:iCs/>
        </w:rPr>
        <w:t xml:space="preserve">in vitro </w:t>
      </w:r>
      <w:r w:rsidR="0058431D" w:rsidRPr="007F3C5D">
        <w:t xml:space="preserve">exposure </w:t>
      </w:r>
      <w:r w:rsidR="0058431D">
        <w:t>doses</w:t>
      </w:r>
      <w:r w:rsidR="0058431D" w:rsidRPr="007F3C5D">
        <w:t xml:space="preserve"> range of 5-50 µg/mL falls within the current estimates of what may reach the brain</w:t>
      </w:r>
      <w:r w:rsidR="0058431D">
        <w:t>.</w:t>
      </w:r>
      <w:r w:rsidRPr="007F3C5D">
        <w:t xml:space="preserve"> Various studies use comparable </w:t>
      </w:r>
      <w:r w:rsidR="003D235A">
        <w:t>doses</w:t>
      </w:r>
      <w:r w:rsidRPr="007F3C5D">
        <w:t xml:space="preserve"> for </w:t>
      </w:r>
      <w:r w:rsidRPr="007F3C5D">
        <w:rPr>
          <w:i/>
          <w:iCs/>
        </w:rPr>
        <w:t>in vitro</w:t>
      </w:r>
      <w:r w:rsidRPr="007F3C5D">
        <w:t xml:space="preserve"> exposure to neuronal cell lines, ranging from 1-50 µg/mL </w:t>
      </w:r>
      <w:r w:rsidRPr="007F3C5D">
        <w:fldChar w:fldCharType="begin" w:fldLock="1"/>
      </w:r>
      <w:r w:rsidR="00860564" w:rsidRPr="007F3C5D">
        <w:instrText>ADDIN CSL_CITATION {"citationItems":[{"id":"ITEM-1","itemData":{"DOI":"10.1016/j.tiv.2014.06.015","ISSN":"08872333","abstract":"Exposure to particulate matter (PM), a component of urban air pollution, may cause adverse effects in the brain. Although the exact mechanisms involved are unknown, both oxidative and inflammatory responses have been reported. Since the main route of exposure to particulate matter is through inhalation , there is a potential for compounds to directly enter the brain and alter normal cellular function. Enhancement in both oxidative stress and neuroinflammatory markers has been observed in neurode-generative disorders and PM-induced potentiation of these events may accelerate the disease process. The objective of this pilot study was to use normal human brain cells, a model system which has not been previously used, to assess cell-type-specific responses after exposure to ultrafine particles (UFP). Human microglia, neurons, and astrocytes were grown separately or as co-cultures and then exposed to aqueous UFP suspensions. Reactive Oxygen Species (ROS) formation and the proinflammatory cytokine tumor necrosis factor alpha (TNF-a) were measured as markers of oxidative stress or inflammation respectively. Our results revealed that after exposure to 2 lg/ml of particles, normal human neurons exhibit a decrease in ROS formation and an increase in TNF-a. The observed decrease in ROS formation persisted in the presence of glial cells, which contrasts previous studies done in rodent cells reporting that PM-induced microglial activation modulates neuronal responses. Our study indicates that human CNS cells may respond differently compared to rodent cells and that their use may be more predictive in risk assessment.","author":[{"dropping-particle":"","family":"Campbell","given":"Arezoo","non-dropping-particle":"","parse-names":false,"suffix":""},{"dropping-particle":"","family":"Daher","given":"Nancy","non-dropping-particle":"","parse-names":false,"suffix":""},{"dropping-particle":"","family":"Solaimani","given":"Parrisa","non-dropping-particle":"","parse-names":false,"suffix":""},{"dropping-particle":"","family":"Mendoza","given":"Kriscelle","non-dropping-particle":"","parse-names":false,"suffix":""},{"dropping-particle":"","family":"Sioutas","given":"Constantinos","non-dropping-particle":"","parse-names":false,"suffix":""}],"container-title":"Toxicology in Vitro","id":"ITEM-1","issue":"7","issued":{"date-parts":[["2014","10"]]},"page":"1290-1295","title":"Human brain derived cells respond in a type-specific manner after exposure to urban particulate matter (PM)","type":"article-journal","volume":"28"},"uris":["http://www.mendeley.com/documents/?uuid=337a9ec3-cd3a-3131-8086-6acf2e26e6b6"]},{"id":"ITEM-2","itemData":{"DOI":"10.1016/j.neuro.2011.10.006","ISSN":"0161813X","author":[{"dropping-particle":"","family":"Gillespie","given":"Patricia","non-dropping-particle":"","parse-names":false,"suffix":""},{"dropping-particle":"","family":"Tajuba","given":"Julianne","non-dropping-particle":"","parse-names":false,"suffix":""},{"dropping-particle":"","family":"Lippmann","given":"Morton","non-dropping-particle":"","parse-names":false,"suffix":""},{"dropping-particle":"","family":"Chen","given":"Lung-Chi","non-dropping-particle":"","parse-names":false,"suffix":""},{"dropping-particle":"","family":"Veronesi","given":"Bellina","non-dropping-particle":"","parse-names":false,"suffix":""}],"container-title":"NeuroToxicology","id":"ITEM-2","issued":{"date-parts":[["2013","5"]]},"page":"112-117","title":"Particulate matter neurotoxicity in culture is size-dependent","type":"article-journal","volume":"36"},"uris":["http://www.mendeley.com/documents/?uuid=68011af2-c263-3228-ba9b-47cd5cd9cb11"]},{"id":"ITEM-3","itemData":{"DOI":"10.1289/EHP.1002973","ISSN":"00916765","PMID":"21724521","abstract":"Background: Inhalation of airborne particulate matter (PM) derived from urban traffic is associated with pathology in the arteries, heart, and lung; effects on brain are also indicated but are less documented. Objective: We evaluated rodent brain responses to urban nanoscale (&lt; 200 nm) PM (nPM). Methods: Ambient nPM collected near an urban freeway was transferred to aqueous suspension and reaerosolized for 10-week inhalation exposure of mice or directly applied to rat brain cell cultures. Results: Free radicals were detected by electron paramagnetic resonance in the nPM 30 days after initial collection. Chronic inhalation of reaerosolized nPM altered selected neuronal and glial activities in mice. The neuronal glutamate receptor infunit (GluA1) was decreased in hippocampus, whereas glia were activated and inflammatory cytokines were induced [interleukin-1α (IL-1α), tumor necrosis factor-α (TNFα)] in cerebral cortex. Two in vitro models showed effects of nPM suspensions within 24-48 hr of exposure that involved glutamatergic functions. In hippocampal slice cultures, nPM increased the neurotoxicity of NMDA (N-methyl-d-aspartic acid), a glutamatergic agonist, which was in turn blocked by the NMDA antagonist AP5 [(2R)-amino-5-phosphonopentanoate]. In embryonic neuron cultures, nPM impaired neurite outgrowth, also blocked by AP5. Induction of IL-1α and TNFα in mixed glia cultures required higher nPM concentrations than did neuronal effects. Because conditioned media from nPM-exposed glia also impaired outgrowth of embryonic neurites, nPM can act indirectly, as well as directly, on neurons in vitro. Conclusions: nPM can affect embryonic and adult neurons through glutamatergic mechanisms. The interactions of nPM with glutamatergic neuronal functions suggest that cerebral ischemia, which involves glutamatergic excitotoxicity, could be exacerbated by nPM.","author":[{"dropping-particle":"","family":"Morgan","given":"Todd E.","non-dropping-particle":"","parse-names":false,"suffix":""},{"dropping-particle":"","family":"Davis","given":"David A.","non-dropping-particle":"","parse-names":false,"suffix":""},{"dropping-particle":"","family":"Iwata","given":"Nahoko","non-dropping-particle":"","parse-names":false,"suffix":""},{"dropping-particle":"","family":"Tanner","given":"Jeremy A.","non-dropping-particle":"","parse-names":false,"suffix":""},{"dropping-particle":"","family":"Snyder","given":"David","non-dropping-particle":"","parse-names":false,"suffix":""},{"dropping-particle":"","family":"Ning","given":"Zhi","non-dropping-particle":"","parse-names":false,"suffix":""},{"dropping-particle":"","family":"Kam","given":"Winnie","non-dropping-particle":"","parse-names":false,"suffix":""},{"dropping-particle":"","family":"Hsu","given":"Yu Tien","non-dropping-particle":"","parse-names":false,"suffix":""},{"dropping-particle":"","family":"Winkler","given":"Jeremy W.","non-dropping-particle":"","parse-names":false,"suffix":""},{"dropping-particle":"","family":"Chen","given":"Jiu Chiuan","non-dropping-particle":"","parse-names":false,"suffix":""},{"dropping-particle":"","family":"Petasis","given":"Nicos A.","non-dropping-particle":"","parse-names":false,"suffix":""},{"dropping-particle":"","family":"Baudry","given":"Michel","non-dropping-particle":"","parse-names":false,"suffix":""},{"dropping-particle":"","family":"Sioutas","given":"Constantinos","non-dropping-particle":"","parse-names":false,"suffix":""},{"dropping-particle":"","family":"Finch","given":"Caleb E.","non-dropping-particle":"","parse-names":false,"suffix":""}],"container-title":"Environmental Health Perspectives","id":"ITEM-3","issue":"7","issued":{"date-parts":[["2011","7"]]},"page":"1003","publisher":"National Institute of Environmental Health Sciences","title":"Glutamatergic Neurons in Rodent Models Respond to Nanoscale Particulate Urban Air Pollutants in Vivo and in Vitro","type":"article-journal","volume":"119"},"uris":["http://www.mendeley.com/documents/?uuid=3392e4c7-d0b8-3d25-8b3d-c177d164b03d"]}],"mendeley":{"formattedCitation":"(Campbell et al., 2014; Gillespie et al., 2013; Morgan et al., 2011)","plainTextFormattedCitation":"(Campbell et al., 2014; Gillespie et al., 2013; Morgan et al., 2011)","previouslyFormattedCitation":"(Campbell et al., 2014; Gillespie et al., 2013; Morgan et al., 2011)"},"properties":{"noteIndex":0},"schema":"https://github.com/citation-style-language/schema/raw/master/csl-citation.json"}</w:instrText>
      </w:r>
      <w:r w:rsidRPr="007F3C5D">
        <w:fldChar w:fldCharType="separate"/>
      </w:r>
      <w:r w:rsidR="006165BC" w:rsidRPr="007F3C5D">
        <w:rPr>
          <w:noProof/>
        </w:rPr>
        <w:t>(Campbell et al., 2014; Gillespie et al., 2013; Morgan et al., 2011)</w:t>
      </w:r>
      <w:r w:rsidRPr="007F3C5D">
        <w:fldChar w:fldCharType="end"/>
      </w:r>
      <w:r w:rsidRPr="007F3C5D">
        <w:t xml:space="preserve">. Comparing these </w:t>
      </w:r>
      <w:r w:rsidR="003D235A">
        <w:t>doses</w:t>
      </w:r>
      <w:r w:rsidRPr="007F3C5D">
        <w:t xml:space="preserve"> to realistic exposures </w:t>
      </w:r>
      <w:r w:rsidR="001E0F05" w:rsidRPr="007F3C5D">
        <w:t xml:space="preserve">remains </w:t>
      </w:r>
      <w:r w:rsidRPr="007F3C5D">
        <w:t>complicated</w:t>
      </w:r>
      <w:r w:rsidR="001E0F05" w:rsidRPr="007F3C5D">
        <w:t xml:space="preserve"> as </w:t>
      </w:r>
      <w:r w:rsidRPr="007F3C5D">
        <w:t xml:space="preserve">UFP levels are not commonly measured. As mentioned before, UFP are not monitored by the EU and limit values </w:t>
      </w:r>
      <w:r w:rsidR="001E0F05" w:rsidRPr="007F3C5D">
        <w:t xml:space="preserve">are missing </w:t>
      </w:r>
      <w:r w:rsidRPr="007F3C5D">
        <w:fldChar w:fldCharType="begin" w:fldLock="1"/>
      </w:r>
      <w:r w:rsidRPr="007F3C5D">
        <w:instrText>ADDIN CSL_CITATION {"citationItems":[{"id":"ITEM-1","itemData":{"DOI":"10.2861/808342","ISBN":"9789284676835","author":[{"dropping-particle":"","family":"European Parliament","given":"","non-dropping-particle":"","parse-names":false,"suffix":""},{"dropping-particle":"","family":"Directorate-General for Parliamentary Research Services","given":"","non-dropping-particle":"","parse-names":false,"suffix":""},{"dropping-particle":"","family":"Karamfilova","given":"E.","non-dropping-particle":"","parse-names":false,"suffix":""},{"dropping-particle":"","family":"La Trinidad Salvador Sanz","given":"L.","non-dropping-particle":"De","parse-names":false,"suffix":""}],"id":"ITEM-1","issue":"January","issued":{"date-parts":[["2021"]]},"publisher":"European Parliament","publisher-place":"Brussels","title":"EU policy on air quality: Implementation of selected EU legislation","type":"book"},"uris":["http://www.mendeley.com/documents/?uuid=b9448fa1-b3e2-4b9b-894f-4404af4ab9d8"]}],"mendeley":{"formattedCitation":"(European Parliament et al., 2021)","plainTextFormattedCitation":"(European Parliament et al., 2021)","previouslyFormattedCitation":"(European Parliament et al., 2021)"},"properties":{"noteIndex":0},"schema":"https://github.com/citation-style-language/schema/raw/master/csl-citation.json"}</w:instrText>
      </w:r>
      <w:r w:rsidRPr="007F3C5D">
        <w:fldChar w:fldCharType="separate"/>
      </w:r>
      <w:r w:rsidRPr="007F3C5D">
        <w:rPr>
          <w:noProof/>
        </w:rPr>
        <w:t>(European Parliament et al., 2021)</w:t>
      </w:r>
      <w:r w:rsidRPr="007F3C5D">
        <w:fldChar w:fldCharType="end"/>
      </w:r>
      <w:r w:rsidRPr="007F3C5D">
        <w:t xml:space="preserve">. Furthermore, spatial variations between UFP are weakly </w:t>
      </w:r>
      <w:r w:rsidR="001E0F05" w:rsidRPr="007F3C5D">
        <w:t>represented by</w:t>
      </w:r>
      <w:r w:rsidRPr="007F3C5D">
        <w:t xml:space="preserve"> PM2.5</w:t>
      </w:r>
      <w:r w:rsidR="001E0F05" w:rsidRPr="007F3C5D">
        <w:t xml:space="preserve"> measurements</w:t>
      </w:r>
      <w:r w:rsidRPr="007F3C5D">
        <w:t xml:space="preserve"> </w:t>
      </w:r>
      <w:r w:rsidRPr="007F3C5D">
        <w:fldChar w:fldCharType="begin" w:fldLock="1"/>
      </w:r>
      <w:r w:rsidRPr="007F3C5D">
        <w:instrText>ADDIN CSL_CITATION {"citationItems":[{"id":"ITEM-1","itemData":{"DOI":"10.1097/EDE.0000000000001137","ISSN":"15315487","PMID":"31714401","abstract":"Background: Ambient ultrafine particles (UFPs, &lt;0.1 m) can reach the human brain, but to our knowledge, epidemiologic studies have yet to evaluate the relation between UFPs and incident brain tumors. Methods: We conducted a cohort study of within-city spatial variations in ambient UFPs across Montreal and Toronto, Canada, among 1.9 million adults included in multiple cycles of the Canadian Census Health and Environment Cohorts (1991, 1996, 2001, and 2006). UFP exposures (3-year moving averages) were assigned to residential locations using land-use regression models with exposures updated to account for residential mobility within and between cities. We followed cohort members for malignant brain tumors (ICD-10 codes C71.0-C71.9) between 2001 and 2016; Cox proportional hazards models (stratified by age, sex, immigration status, and census cycle) were used to estimate hazard ratios (HRs) adjusting for fine particle mass concentrations (PM 2.5), nitrogen dioxide (NO 2), and various sociodemographic factors. Results: In total, we identified 1,400 incident brain tumors during the follow-up period. Each 10,000/cm3increase in UFPs was positively associated with brain tumor incidence (HR = 1.112, 95% CI = 1.042, 1.188) after adjusting for PM 2.5, NO 2, and sociodemographic factors. Applying an indirect adjustment for cigarette smoking and body mass index strengthened this relation (HR = 1.133, 95% CI = 1.032, 1.245). PM 2.5and NO 2were not associated with an increased incidence of brain tumors. Conclusions: Ambient UFPs may represent a previously unrecognized risk factor for incident brain tumors in adults. Future studies should aim to replicate these results given the high prevalence of UFP exposures in urban areas.","author":[{"dropping-particle":"","family":"Weichenthal","given":"Scott","non-dropping-particle":"","parse-names":false,"suffix":""},{"dropping-particle":"","family":"Olaniyan","given":"Toyib","non-dropping-particle":"","parse-names":false,"suffix":""},{"dropping-particle":"","family":"Christidis","given":"Tanya","non-dropping-particle":"","parse-names":false,"suffix":""},{"dropping-particle":"","family":"Lavigne","given":"Eric","non-dropping-particle":"","parse-names":false,"suffix":""},{"dropping-particle":"","family":"Hatzopoulou","given":"Marianne","non-dropping-particle":"","parse-names":false,"suffix":""},{"dropping-particle":"","family":"Ryswyk","given":"Keith","non-dropping-particle":"Van","parse-names":false,"suffix":""},{"dropping-particle":"","family":"Tjepkema","given":"Michael","non-dropping-particle":"","parse-names":false,"suffix":""},{"dropping-particle":"","family":"Burnett","given":"Rick","non-dropping-particle":"","parse-names":false,"suffix":""}],"container-title":"Epidemiology (Cambridge, Mass.)","id":"ITEM-1","issue":"2","issued":{"date-parts":[["2020","3","1"]]},"page":"177","publisher":"Wolters Kluwer Health","title":"Within-city Spatial Variations in Ambient Ultrafine Particle Concentrations and Incident Brain Tumors in Adults","type":"article-journal","volume":"31"},"uris":["http://www.mendeley.com/documents/?uuid=0828955a-3d9d-3eb0-a270-c6f492c1f929"]}],"mendeley":{"formattedCitation":"(Weichenthal et al., 2020)","plainTextFormattedCitation":"(Weichenthal et al., 2020)","previouslyFormattedCitation":"(Weichenthal et al., 2020)"},"properties":{"noteIndex":0},"schema":"https://github.com/citation-style-language/schema/raw/master/csl-citation.json"}</w:instrText>
      </w:r>
      <w:r w:rsidRPr="007F3C5D">
        <w:fldChar w:fldCharType="separate"/>
      </w:r>
      <w:r w:rsidRPr="007F3C5D">
        <w:rPr>
          <w:noProof/>
        </w:rPr>
        <w:t>(Weichenthal et al., 2020)</w:t>
      </w:r>
      <w:r w:rsidRPr="007F3C5D">
        <w:fldChar w:fldCharType="end"/>
      </w:r>
      <w:r w:rsidRPr="007F3C5D">
        <w:t xml:space="preserve"> and UFP is better expressed in particle number concentration than PM mass used for PM2.5 and PM10 </w:t>
      </w:r>
      <w:r w:rsidRPr="007F3C5D">
        <w:fldChar w:fldCharType="begin" w:fldLock="1"/>
      </w:r>
      <w:r w:rsidRPr="007F3C5D">
        <w:instrText>ADDIN CSL_CITATION {"citationItems":[{"id":"ITEM-1","itemData":{"DOI":"10.1016/j.envint.2019.05.021","ISSN":"01604120","PMID":"31125731","abstract":"Can mitigating only particle mass, as the existing air quality measures do, ultimately lead to reduction in ultrafine particles (UFP)? The aim of this study was to provide a broader urban perspective on the relationship between UFP, measured in terms of particle number concentration (PNC) and PM2.5 (mass concentration of particles with aerodynamic diameter &lt; 2.5 μm) and factors that influence their concentrations. Hourly average PNC and PM2.5 were acquired from 10 cities located in North America, Europe, Asia, and Australia over a 12-month period. A pairwise comparison of the mean difference and the Kolmogorov-Smirnov test with the application of bootstrapping were performed for each city. Diurnal and seasonal trends were obtained using a generalized additive model (GAM). The particle number to mass concentration ratios and the Pearson's correlation coefficient were calculated to elucidate the nature of the relationship between these two metrics. Results show that the annual mean concentrations ranged from 8.0 × 103 to 19.5 × 103 particles·cm−3 and from 7.0 to 65.8 μg·m−3 for PNC and PM2.5, respectively, with the data distributions generally skewed to the right, and with a wider spread for PNC. PNC showed a more distinct diurnal trend compared with PM2.5, attributed to the high contributions of UFP from vehicular emissions to PNC. The variation in both PNC and PM2.5 due to seasonality is linked to the cities' geographical location and features. Clustering the cities based on annual median concentrations of both PNC and PM2.5 demonstrated that a high PNC level does not lead to a high PM2.5, and vice versa. The particle number-to-mass ratio (in units of 109 particles·μg−1) ranged from 0.14 to 2.2, &gt;1 for roadside sites and &lt;1 for urban background sites with lower values for more polluted cities. The Pearson's r ranged from 0.09 to 0.64 for the log-transformed data, indicating generally poor linear correlation between PNC and PM2.5. Therefore, PNC and PM2.5 measurements are not representative of each other; and regulating PM2.5 does little to reduce PNC. This highlights the need to establish regulatory approaches and control measures to address the impacts of elevated UFP concentrations, especially in urban areas, considering their potential health risks.","author":[{"dropping-particle":"","family":"Jesus","given":"Alma Lorelei","non-dropping-particle":"de","parse-names":false,"suffix":""},{"dropping-particle":"","family":"Rahman","given":"Md Mahmudur","non-dropping-particle":"","parse-names":false,"suffix":""},{"dropping-particle":"","family":"Mazaheri","given":"Mandana","non-dropping-particle":"","parse-names":false,"suffix":""},{"dropping-particle":"","family":"Thompson","given":"Helen","non-dropping-particle":"","parse-names":false,"suffix":""},{"dropping-particle":"","family":"Knibbs","given":"Luke D.","non-dropping-particle":"","parse-names":false,"suffix":""},{"dropping-particle":"","family":"Jeong","given":"Cheol","non-dropping-particle":"","parse-names":false,"suffix":""},{"dropping-particle":"","family":"Evans","given":"Greg","non-dropping-particle":"","parse-names":false,"suffix":""},{"dropping-particle":"","family":"Nei","given":"Wei","non-dropping-particle":"","parse-names":false,"suffix":""},{"dropping-particle":"","family":"Ding","given":"Aijun","non-dropping-particle":"","parse-names":false,"suffix":""},{"dropping-particle":"","family":"Qiao","given":"Liping","non-dropping-particle":"","parse-names":false,"suffix":""},{"dropping-particle":"","family":"Li","given":"Li","non-dropping-particle":"","parse-names":false,"suffix":""},{"dropping-particle":"","family":"Portin","given":"Harri","non-dropping-particle":"","parse-names":false,"suffix":""},{"dropping-particle":"V.","family":"Niemi","given":"Jarkko","non-dropping-particle":"","parse-names":false,"suffix":""},{"dropping-particle":"","family":"Timonen","given":"Hilkka","non-dropping-particle":"","parse-names":false,"suffix":""},{"dropping-particle":"","family":"Luoma","given":"Krista","non-dropping-particle":"","parse-names":false,"suffix":""},{"dropping-particle":"","family":"Petäjä","given":"Tuukka","non-dropping-particle":"","parse-names":false,"suffix":""},{"dropping-particle":"","family":"Kulmala","given":"Markku","non-dropping-particle":"","parse-names":false,"suffix":""},{"dropping-particle":"","family":"Kowalski","given":"Michal","non-dropping-particle":"","parse-names":false,"suffix":""},{"dropping-particle":"","family":"Peters","given":"Annette","non-dropping-particle":"","parse-names":false,"suffix":""},{"dropping-particle":"","family":"Cyrys","given":"Josef","non-dropping-particle":"","parse-names":false,"suffix":""},{"dropping-particle":"","family":"Ferrero","given":"Luca","non-dropping-particle":"","parse-names":false,"suffix":""},{"dropping-particle":"","family":"Manigrasso","given":"Maurizio","non-dropping-particle":"","parse-names":false,"suffix":""},{"dropping-particle":"","family":"Avino","given":"Pasquale","non-dropping-particle":"","parse-names":false,"suffix":""},{"dropping-particle":"","family":"Buonano","given":"Giorgio","non-dropping-particle":"","parse-names":false,"suffix":""},{"dropping-particle":"","family":"Reche","given":"Cristina","non-dropping-particle":"","parse-names":false,"suffix":""},{"dropping-particle":"","family":"Querol","given":"Xavier","non-dropping-particle":"","parse-names":false,"suffix":""},{"dropping-particle":"","family":"Beddows","given":"David","non-dropping-particle":"","parse-names":false,"suffix":""},{"dropping-particle":"","family":"Harrison","given":"Roy M.","non-dropping-particle":"","parse-names":false,"suffix":""},{"dropping-particle":"","family":"Sowlat","given":"Mohammad H.","non-dropping-particle":"","parse-names":false,"suffix":""},{"dropping-particle":"","family":"Sioutas","given":"Constantinos","non-dropping-particle":"","parse-names":false,"suffix":""},{"dropping-particle":"","family":"Morawska","given":"Lidia","non-dropping-particle":"","parse-names":false,"suffix":""}],"container-title":"Environment International","id":"ITEM-1","issued":{"date-parts":[["2019","8","1"]]},"page":"118-135","publisher":"Pergamon","title":"Ultrafine particles and PM2.5 in the air of cities around the world: Are they representative of each other?","type":"article-journal","volume":"129"},"uris":["http://www.mendeley.com/documents/?uuid=bcbc6154-2b9e-4d6b-98ba-b8172c480036"]}],"mendeley":{"formattedCitation":"(de Jesus et al., 2019)","plainTextFormattedCitation":"(de Jesus et al., 2019)","previouslyFormattedCitation":"(de Jesus et al., 2019)"},"properties":{"noteIndex":0},"schema":"https://github.com/citation-style-language/schema/raw/master/csl-citation.json"}</w:instrText>
      </w:r>
      <w:r w:rsidRPr="007F3C5D">
        <w:fldChar w:fldCharType="separate"/>
      </w:r>
      <w:r w:rsidRPr="007F3C5D">
        <w:rPr>
          <w:noProof/>
        </w:rPr>
        <w:t>(de Jesus et al., 2019)</w:t>
      </w:r>
      <w:r w:rsidRPr="007F3C5D">
        <w:fldChar w:fldCharType="end"/>
      </w:r>
      <w:r w:rsidRPr="007F3C5D">
        <w:t xml:space="preserve">. Therefore, the measurements and limits for PM2.5 and PM10 in ambient air </w:t>
      </w:r>
      <w:r w:rsidR="001E0F05" w:rsidRPr="007F3C5D">
        <w:t xml:space="preserve">deriving </w:t>
      </w:r>
      <w:r w:rsidRPr="007F3C5D">
        <w:t>from diesel engine exhaust do not correctly translate to the exposure to UFP and the associated health risk.</w:t>
      </w:r>
    </w:p>
    <w:p w14:paraId="390A769D" w14:textId="77777777" w:rsidR="000765A0" w:rsidRDefault="000765A0">
      <w:pPr>
        <w:spacing w:after="0" w:line="240" w:lineRule="auto"/>
        <w:ind w:firstLine="0"/>
        <w:jc w:val="left"/>
        <w:rPr>
          <w:rFonts w:eastAsiaTheme="majorEastAsia" w:cstheme="majorBidi"/>
          <w:b/>
          <w:sz w:val="26"/>
          <w:szCs w:val="26"/>
          <w:lang w:val="en-GB"/>
        </w:rPr>
      </w:pPr>
      <w:r>
        <w:br w:type="page"/>
      </w:r>
    </w:p>
    <w:p w14:paraId="6E4F48CE" w14:textId="60B5C9C5" w:rsidR="003C23CE" w:rsidRPr="007F3C5D" w:rsidRDefault="003C23CE" w:rsidP="00A14895">
      <w:pPr>
        <w:pStyle w:val="Heading2"/>
      </w:pPr>
      <w:bookmarkStart w:id="64" w:name="_Toc101374946"/>
      <w:r w:rsidRPr="007F3C5D">
        <w:lastRenderedPageBreak/>
        <w:t>Conclusion</w:t>
      </w:r>
      <w:bookmarkEnd w:id="64"/>
    </w:p>
    <w:p w14:paraId="438E7A0D" w14:textId="27DD8E7C" w:rsidR="003C23CE" w:rsidRPr="007F3C5D" w:rsidRDefault="003C23CE" w:rsidP="00A14895">
      <w:pPr>
        <w:ind w:firstLine="0"/>
        <w:rPr>
          <w:rFonts w:eastAsiaTheme="majorEastAsia" w:cstheme="majorBidi"/>
          <w:b/>
          <w:sz w:val="26"/>
          <w:szCs w:val="26"/>
        </w:rPr>
      </w:pPr>
      <w:r w:rsidRPr="007F3C5D">
        <w:t xml:space="preserve">The current research was done </w:t>
      </w:r>
      <w:r w:rsidR="00E83739">
        <w:t>to determine</w:t>
      </w:r>
      <w:r w:rsidRPr="007F3C5D">
        <w:t xml:space="preserve"> whether diesel engine-derived exhaust PM affect neuronal (network) activity and give insight into which fractions could pose the most harm. To conclude, the current study shows a time- and dose-dependent decrease of neuronal activity after exposure to diesel and biodiesel exhaust-derived PM, with diesel exhaust-derived PM showing a higher potency to exert harm. Also, the SVOC fraction seems to be more detrimental than the non-volatile PM fraction, albeit the observed subchronic effects are partly due to general cytotoxic than specifically neurotoxic. Furthermore, the results show that UFP exhibit neurotoxic potential that possibly harm neuronal function. Therefore, more </w:t>
      </w:r>
      <w:r w:rsidR="00E83739">
        <w:t>attention</w:t>
      </w:r>
      <w:r w:rsidRPr="007F3C5D">
        <w:t xml:space="preserve"> for the impact of exposure to UFP, and specifically the SVOC fraction, is necessary. This novel knowledge on the neurotoxic hazard of different </w:t>
      </w:r>
      <w:proofErr w:type="spellStart"/>
      <w:r w:rsidRPr="007F3C5D">
        <w:t>fractions</w:t>
      </w:r>
      <w:proofErr w:type="spellEnd"/>
      <w:r w:rsidRPr="007F3C5D">
        <w:t xml:space="preserve"> within exhaust-derived PM opens the floor for more targeted research on the mechanisms that affect the neurotoxicity of UFP.</w:t>
      </w:r>
      <w:r w:rsidRPr="007F3C5D">
        <w:br w:type="page"/>
      </w:r>
    </w:p>
    <w:p w14:paraId="095C196F" w14:textId="6F4B3AD1" w:rsidR="00BA4170" w:rsidRPr="007F3C5D" w:rsidRDefault="00BA4170" w:rsidP="00A14895">
      <w:pPr>
        <w:pStyle w:val="Heading1"/>
        <w:spacing w:line="276" w:lineRule="auto"/>
      </w:pPr>
      <w:bookmarkStart w:id="65" w:name="_Toc101374947"/>
      <w:r w:rsidRPr="007F3C5D">
        <w:lastRenderedPageBreak/>
        <w:t>References</w:t>
      </w:r>
      <w:bookmarkEnd w:id="58"/>
      <w:bookmarkEnd w:id="65"/>
    </w:p>
    <w:p w14:paraId="758C7353" w14:textId="28B746C8" w:rsidR="00ED4F68" w:rsidRPr="00ED4F68" w:rsidRDefault="00D379E3" w:rsidP="00A14895">
      <w:pPr>
        <w:widowControl w:val="0"/>
        <w:autoSpaceDE w:val="0"/>
        <w:autoSpaceDN w:val="0"/>
        <w:adjustRightInd w:val="0"/>
        <w:ind w:left="480" w:hanging="480"/>
        <w:rPr>
          <w:rFonts w:cs="Times New Roman"/>
          <w:noProof/>
          <w:lang w:val="en-GB"/>
        </w:rPr>
      </w:pPr>
      <w:r w:rsidRPr="007F3C5D">
        <w:fldChar w:fldCharType="begin" w:fldLock="1"/>
      </w:r>
      <w:r w:rsidRPr="007F3C5D">
        <w:instrText xml:space="preserve">ADDIN Mendeley Bibliography CSL_BIBLIOGRAPHY </w:instrText>
      </w:r>
      <w:r w:rsidRPr="007F3C5D">
        <w:fldChar w:fldCharType="separate"/>
      </w:r>
      <w:r w:rsidR="00ED4F68" w:rsidRPr="00ED4F68">
        <w:rPr>
          <w:rFonts w:cs="Times New Roman"/>
          <w:noProof/>
          <w:lang w:val="en-GB"/>
        </w:rPr>
        <w:t xml:space="preserve">Alam, M. S., Zeraati-Rezaei, S., Stark, C. P., Liang, Z., Xu, H., &amp; Harrison, R. M. (2016). The characterisation of diesel exhaust particles-composition, size distribution and partitioning. </w:t>
      </w:r>
      <w:r w:rsidR="00ED4F68" w:rsidRPr="00ED4F68">
        <w:rPr>
          <w:rFonts w:cs="Times New Roman"/>
          <w:i/>
          <w:iCs/>
          <w:noProof/>
          <w:lang w:val="en-GB"/>
        </w:rPr>
        <w:t>Faraday Discussions</w:t>
      </w:r>
      <w:r w:rsidR="00ED4F68" w:rsidRPr="00ED4F68">
        <w:rPr>
          <w:rFonts w:cs="Times New Roman"/>
          <w:noProof/>
          <w:lang w:val="en-GB"/>
        </w:rPr>
        <w:t xml:space="preserve">, </w:t>
      </w:r>
      <w:r w:rsidR="00ED4F68" w:rsidRPr="00ED4F68">
        <w:rPr>
          <w:rFonts w:cs="Times New Roman"/>
          <w:i/>
          <w:iCs/>
          <w:noProof/>
          <w:lang w:val="en-GB"/>
        </w:rPr>
        <w:t>189</w:t>
      </w:r>
      <w:r w:rsidR="00ED4F68" w:rsidRPr="00ED4F68">
        <w:rPr>
          <w:rFonts w:cs="Times New Roman"/>
          <w:noProof/>
          <w:lang w:val="en-GB"/>
        </w:rPr>
        <w:t>, 69–84. https://doi.org/10.1039/c5fd00185d</w:t>
      </w:r>
    </w:p>
    <w:p w14:paraId="283131A9"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Alemany, S., Crous-Bou, M., Vilor-Tejedor, N., Milà-Alomà, M., Suárez-Calvet, M., Salvadó, G., Cirach, M., Arenaza-Urquijo, E. M., Sanchez-Benavides, G., Grau-Rivera, O., Minguillon, C., Fauria, K., Kollmorgen, G., Domingo Gispert, J., Gascón, M., Nieuwenhuijsen, M., Zetterberg, H., Blennow, K., Sunyer, J., &amp; Luis Molinuevo, J. (2021). Associations between air pollution and biomarkers of Alzheimer’s disease in cognitively unimpaired individuals. </w:t>
      </w:r>
      <w:r w:rsidRPr="00ED4F68">
        <w:rPr>
          <w:rFonts w:cs="Times New Roman"/>
          <w:i/>
          <w:iCs/>
          <w:noProof/>
          <w:lang w:val="en-GB"/>
        </w:rPr>
        <w:t>Environment International</w:t>
      </w:r>
      <w:r w:rsidRPr="00ED4F68">
        <w:rPr>
          <w:rFonts w:cs="Times New Roman"/>
          <w:noProof/>
          <w:lang w:val="en-GB"/>
        </w:rPr>
        <w:t xml:space="preserve">, </w:t>
      </w:r>
      <w:r w:rsidRPr="00ED4F68">
        <w:rPr>
          <w:rFonts w:cs="Times New Roman"/>
          <w:i/>
          <w:iCs/>
          <w:noProof/>
          <w:lang w:val="en-GB"/>
        </w:rPr>
        <w:t>157</w:t>
      </w:r>
      <w:r w:rsidRPr="00ED4F68">
        <w:rPr>
          <w:rFonts w:cs="Times New Roman"/>
          <w:noProof/>
          <w:lang w:val="en-GB"/>
        </w:rPr>
        <w:t>. https://doi.org/10.1016/J.ENVINT.2021.106864</w:t>
      </w:r>
    </w:p>
    <w:p w14:paraId="024AF9A3"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Block, M. L., &amp; Calderón-Garcidueñas, L. (2009). Air pollution: mechanisms of neuroinflammation and CNS disease. </w:t>
      </w:r>
      <w:r w:rsidRPr="00ED4F68">
        <w:rPr>
          <w:rFonts w:cs="Times New Roman"/>
          <w:i/>
          <w:iCs/>
          <w:noProof/>
          <w:lang w:val="en-GB"/>
        </w:rPr>
        <w:t>Trends in Neurosciences</w:t>
      </w:r>
      <w:r w:rsidRPr="00ED4F68">
        <w:rPr>
          <w:rFonts w:cs="Times New Roman"/>
          <w:noProof/>
          <w:lang w:val="en-GB"/>
        </w:rPr>
        <w:t xml:space="preserve">, </w:t>
      </w:r>
      <w:r w:rsidRPr="00ED4F68">
        <w:rPr>
          <w:rFonts w:cs="Times New Roman"/>
          <w:i/>
          <w:iCs/>
          <w:noProof/>
          <w:lang w:val="en-GB"/>
        </w:rPr>
        <w:t>32</w:t>
      </w:r>
      <w:r w:rsidRPr="00ED4F68">
        <w:rPr>
          <w:rFonts w:cs="Times New Roman"/>
          <w:noProof/>
          <w:lang w:val="en-GB"/>
        </w:rPr>
        <w:t>(9), 506–516. https://doi.org/10.1016/j.tins.2009.05.009</w:t>
      </w:r>
    </w:p>
    <w:p w14:paraId="1157A282"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Bräuner, E. V., Forchhammer, L., Möller, P., Simonsen, J., Glasius, M., Wåhlin, P., Raaschou-Nielsen, O., &amp; Loft, S. (2007). Exposure to ultrafine particles from ambient air and oxidative stress-induced DNA damage. </w:t>
      </w:r>
      <w:r w:rsidRPr="00ED4F68">
        <w:rPr>
          <w:rFonts w:cs="Times New Roman"/>
          <w:i/>
          <w:iCs/>
          <w:noProof/>
          <w:lang w:val="en-GB"/>
        </w:rPr>
        <w:t>Environmental Health Perspectives</w:t>
      </w:r>
      <w:r w:rsidRPr="00ED4F68">
        <w:rPr>
          <w:rFonts w:cs="Times New Roman"/>
          <w:noProof/>
          <w:lang w:val="en-GB"/>
        </w:rPr>
        <w:t xml:space="preserve">, </w:t>
      </w:r>
      <w:r w:rsidRPr="00ED4F68">
        <w:rPr>
          <w:rFonts w:cs="Times New Roman"/>
          <w:i/>
          <w:iCs/>
          <w:noProof/>
          <w:lang w:val="en-GB"/>
        </w:rPr>
        <w:t>115</w:t>
      </w:r>
      <w:r w:rsidRPr="00ED4F68">
        <w:rPr>
          <w:rFonts w:cs="Times New Roman"/>
          <w:noProof/>
          <w:lang w:val="en-GB"/>
        </w:rPr>
        <w:t>(8), 1177–1182. https://doi.org/10.1289/EHP.9984</w:t>
      </w:r>
    </w:p>
    <w:p w14:paraId="6A0202DC"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Breznan, D., Das, D., MacKinnon-Roy, C., Simard, B., Kumarathasan, P., &amp; Vincent, R. (2015). Non-specific interaction of carbon nanotubes with the resazurin assay reagent: Impact on in vitro assessment of nanoparticle cytotoxicity. </w:t>
      </w:r>
      <w:r w:rsidRPr="00ED4F68">
        <w:rPr>
          <w:rFonts w:cs="Times New Roman"/>
          <w:i/>
          <w:iCs/>
          <w:noProof/>
          <w:lang w:val="en-GB"/>
        </w:rPr>
        <w:t>Toxicology in Vitro</w:t>
      </w:r>
      <w:r w:rsidRPr="00ED4F68">
        <w:rPr>
          <w:rFonts w:cs="Times New Roman"/>
          <w:noProof/>
          <w:lang w:val="en-GB"/>
        </w:rPr>
        <w:t xml:space="preserve">, </w:t>
      </w:r>
      <w:r w:rsidRPr="00ED4F68">
        <w:rPr>
          <w:rFonts w:cs="Times New Roman"/>
          <w:i/>
          <w:iCs/>
          <w:noProof/>
          <w:lang w:val="en-GB"/>
        </w:rPr>
        <w:t>29</w:t>
      </w:r>
      <w:r w:rsidRPr="00ED4F68">
        <w:rPr>
          <w:rFonts w:cs="Times New Roman"/>
          <w:noProof/>
          <w:lang w:val="en-GB"/>
        </w:rPr>
        <w:t>(1), 142–147. https://doi.org/10.1016/J.TIV.2014.09.009</w:t>
      </w:r>
    </w:p>
    <w:p w14:paraId="6A349427"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Brinchmann, B., Le Ferrec, E., Podechard, N., Lagadic-Gossmann, D., Shoji, K., Penna, A., Kukowski, K., Kubátová, A., Holme, J., &amp; Øvrevik, J. (2018). Lipophilic Chemicals from Diesel Exhaust Particles Trigger Calcium Response in Human Endothelial Cells via Aryl Hydrocarbon Receptor Non-Genomic Signalling. </w:t>
      </w:r>
      <w:r w:rsidRPr="00ED4F68">
        <w:rPr>
          <w:rFonts w:cs="Times New Roman"/>
          <w:i/>
          <w:iCs/>
          <w:noProof/>
          <w:lang w:val="en-GB"/>
        </w:rPr>
        <w:t>International Journal of Molecular Sciences</w:t>
      </w:r>
      <w:r w:rsidRPr="00ED4F68">
        <w:rPr>
          <w:rFonts w:cs="Times New Roman"/>
          <w:noProof/>
          <w:lang w:val="en-GB"/>
        </w:rPr>
        <w:t xml:space="preserve">, </w:t>
      </w:r>
      <w:r w:rsidRPr="00ED4F68">
        <w:rPr>
          <w:rFonts w:cs="Times New Roman"/>
          <w:i/>
          <w:iCs/>
          <w:noProof/>
          <w:lang w:val="en-GB"/>
        </w:rPr>
        <w:t>19</w:t>
      </w:r>
      <w:r w:rsidRPr="00ED4F68">
        <w:rPr>
          <w:rFonts w:cs="Times New Roman"/>
          <w:noProof/>
          <w:lang w:val="en-GB"/>
        </w:rPr>
        <w:t>(5), 1429. https://doi.org/10.3390/ijms19051429</w:t>
      </w:r>
    </w:p>
    <w:p w14:paraId="7E247B06"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Bulcke, F., &amp; Dringen, R. (2016). Handling of Copper and Copper Oxide Nanoparticles by Astrocytes. </w:t>
      </w:r>
      <w:r w:rsidRPr="00ED4F68">
        <w:rPr>
          <w:rFonts w:cs="Times New Roman"/>
          <w:i/>
          <w:iCs/>
          <w:noProof/>
          <w:lang w:val="en-GB"/>
        </w:rPr>
        <w:t>Neurochemical Research</w:t>
      </w:r>
      <w:r w:rsidRPr="00ED4F68">
        <w:rPr>
          <w:rFonts w:cs="Times New Roman"/>
          <w:noProof/>
          <w:lang w:val="en-GB"/>
        </w:rPr>
        <w:t xml:space="preserve">, </w:t>
      </w:r>
      <w:r w:rsidRPr="00ED4F68">
        <w:rPr>
          <w:rFonts w:cs="Times New Roman"/>
          <w:i/>
          <w:iCs/>
          <w:noProof/>
          <w:lang w:val="en-GB"/>
        </w:rPr>
        <w:t>41</w:t>
      </w:r>
      <w:r w:rsidRPr="00ED4F68">
        <w:rPr>
          <w:rFonts w:cs="Times New Roman"/>
          <w:noProof/>
          <w:lang w:val="en-GB"/>
        </w:rPr>
        <w:t>(1–2), 33–43. https://doi.org/10.1007/s11064-015-1688-9</w:t>
      </w:r>
    </w:p>
    <w:p w14:paraId="589093BB"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Bulcke, F., Thiel, K., &amp; Dringen, R. (2013). Uptake and toxicity of copper oxide nanoparticles in cultured primary brain astrocytes. </w:t>
      </w:r>
      <w:r w:rsidRPr="00ED4F68">
        <w:rPr>
          <w:rFonts w:cs="Times New Roman"/>
          <w:i/>
          <w:iCs/>
          <w:noProof/>
          <w:lang w:val="en-GB"/>
        </w:rPr>
        <w:t>Nanotoxicology</w:t>
      </w:r>
      <w:r w:rsidRPr="00ED4F68">
        <w:rPr>
          <w:rFonts w:cs="Times New Roman"/>
          <w:noProof/>
          <w:lang w:val="en-GB"/>
        </w:rPr>
        <w:t xml:space="preserve">, </w:t>
      </w:r>
      <w:r w:rsidRPr="00ED4F68">
        <w:rPr>
          <w:rFonts w:cs="Times New Roman"/>
          <w:i/>
          <w:iCs/>
          <w:noProof/>
          <w:lang w:val="en-GB"/>
        </w:rPr>
        <w:t>8</w:t>
      </w:r>
      <w:r w:rsidRPr="00ED4F68">
        <w:rPr>
          <w:rFonts w:cs="Times New Roman"/>
          <w:noProof/>
          <w:lang w:val="en-GB"/>
        </w:rPr>
        <w:t>(7), 1–11. https://doi.org/10.3109/17435390.2013.829591</w:t>
      </w:r>
    </w:p>
    <w:p w14:paraId="3D806532"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Bünger, J., Krahl, J., Baum, K., Schröder, O., Müller, M., Westphal, G., Ruhnau, P., Schulz, T. G., &amp; Hallier, E. (2000). Cytotoxic and mutagenic effects, particle size and concentration analysis of diesel engine emissions using biodiesel and petrol diesel as fuel. </w:t>
      </w:r>
      <w:r w:rsidRPr="00ED4F68">
        <w:rPr>
          <w:rFonts w:cs="Times New Roman"/>
          <w:i/>
          <w:iCs/>
          <w:noProof/>
          <w:lang w:val="en-GB"/>
        </w:rPr>
        <w:t>Archives of Toxicology</w:t>
      </w:r>
      <w:r w:rsidRPr="00ED4F68">
        <w:rPr>
          <w:rFonts w:cs="Times New Roman"/>
          <w:noProof/>
          <w:lang w:val="en-GB"/>
        </w:rPr>
        <w:t xml:space="preserve">, </w:t>
      </w:r>
      <w:r w:rsidRPr="00ED4F68">
        <w:rPr>
          <w:rFonts w:cs="Times New Roman"/>
          <w:i/>
          <w:iCs/>
          <w:noProof/>
          <w:lang w:val="en-GB"/>
        </w:rPr>
        <w:t>74</w:t>
      </w:r>
      <w:r w:rsidRPr="00ED4F68">
        <w:rPr>
          <w:rFonts w:cs="Times New Roman"/>
          <w:noProof/>
          <w:lang w:val="en-GB"/>
        </w:rPr>
        <w:t>(8), 490–498. https://doi.org/10.1007/S002040000155</w:t>
      </w:r>
    </w:p>
    <w:p w14:paraId="01B6F719"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Calderón-Garcidueñas, L., Stommel, E. W., Rajkumar, R. P., Mukherjee, P. S., &amp; Ayala, A. (2021). Particulate Air Pollution and Risk of Neuropsychiatric Outcomes. What We Breathe, Swallow, and Put on Our Skin Matters. </w:t>
      </w:r>
      <w:r w:rsidRPr="00ED4F68">
        <w:rPr>
          <w:rFonts w:cs="Times New Roman"/>
          <w:i/>
          <w:iCs/>
          <w:noProof/>
          <w:lang w:val="en-GB"/>
        </w:rPr>
        <w:t xml:space="preserve">International Journal of Environmental Research and </w:t>
      </w:r>
      <w:r w:rsidRPr="00ED4F68">
        <w:rPr>
          <w:rFonts w:cs="Times New Roman"/>
          <w:i/>
          <w:iCs/>
          <w:noProof/>
          <w:lang w:val="en-GB"/>
        </w:rPr>
        <w:lastRenderedPageBreak/>
        <w:t>Public Health</w:t>
      </w:r>
      <w:r w:rsidRPr="00ED4F68">
        <w:rPr>
          <w:rFonts w:cs="Times New Roman"/>
          <w:noProof/>
          <w:lang w:val="en-GB"/>
        </w:rPr>
        <w:t xml:space="preserve">, </w:t>
      </w:r>
      <w:r w:rsidRPr="00ED4F68">
        <w:rPr>
          <w:rFonts w:cs="Times New Roman"/>
          <w:i/>
          <w:iCs/>
          <w:noProof/>
          <w:lang w:val="en-GB"/>
        </w:rPr>
        <w:t>18</w:t>
      </w:r>
      <w:r w:rsidRPr="00ED4F68">
        <w:rPr>
          <w:rFonts w:cs="Times New Roman"/>
          <w:noProof/>
          <w:lang w:val="en-GB"/>
        </w:rPr>
        <w:t>(21), 11568. https://doi.org/10.3390/ijerph182111568</w:t>
      </w:r>
    </w:p>
    <w:p w14:paraId="63323BF1"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Campbell, A., Daher, N., Solaimani, P., Mendoza, K., &amp; Sioutas, C. (2014). Human brain derived cells respond in a type-specific manner after exposure to urban particulate matter (PM). </w:t>
      </w:r>
      <w:r w:rsidRPr="00ED4F68">
        <w:rPr>
          <w:rFonts w:cs="Times New Roman"/>
          <w:i/>
          <w:iCs/>
          <w:noProof/>
          <w:lang w:val="en-GB"/>
        </w:rPr>
        <w:t>Toxicology in Vitro</w:t>
      </w:r>
      <w:r w:rsidRPr="00ED4F68">
        <w:rPr>
          <w:rFonts w:cs="Times New Roman"/>
          <w:noProof/>
          <w:lang w:val="en-GB"/>
        </w:rPr>
        <w:t xml:space="preserve">, </w:t>
      </w:r>
      <w:r w:rsidRPr="00ED4F68">
        <w:rPr>
          <w:rFonts w:cs="Times New Roman"/>
          <w:i/>
          <w:iCs/>
          <w:noProof/>
          <w:lang w:val="en-GB"/>
        </w:rPr>
        <w:t>28</w:t>
      </w:r>
      <w:r w:rsidRPr="00ED4F68">
        <w:rPr>
          <w:rFonts w:cs="Times New Roman"/>
          <w:noProof/>
          <w:lang w:val="en-GB"/>
        </w:rPr>
        <w:t>(7), 1290–1295. https://doi.org/10.1016/j.tiv.2014.06.015</w:t>
      </w:r>
    </w:p>
    <w:p w14:paraId="19327FCC"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Campbell, A., Oldham, M., Becaria, A., Bondy, S. C., Meacher, D., Sioutas, C., Misra, C., Mendez, L. B., &amp; Kleinman, M. (2005). Particulate Matter in Polluted Air May Increase Biomarkers of Inflammation in Mouse Brain. </w:t>
      </w:r>
      <w:r w:rsidRPr="00ED4F68">
        <w:rPr>
          <w:rFonts w:cs="Times New Roman"/>
          <w:i/>
          <w:iCs/>
          <w:noProof/>
          <w:lang w:val="en-GB"/>
        </w:rPr>
        <w:t>NeuroToxicology</w:t>
      </w:r>
      <w:r w:rsidRPr="00ED4F68">
        <w:rPr>
          <w:rFonts w:cs="Times New Roman"/>
          <w:noProof/>
          <w:lang w:val="en-GB"/>
        </w:rPr>
        <w:t xml:space="preserve">, </w:t>
      </w:r>
      <w:r w:rsidRPr="00ED4F68">
        <w:rPr>
          <w:rFonts w:cs="Times New Roman"/>
          <w:i/>
          <w:iCs/>
          <w:noProof/>
          <w:lang w:val="en-GB"/>
        </w:rPr>
        <w:t>26</w:t>
      </w:r>
      <w:r w:rsidRPr="00ED4F68">
        <w:rPr>
          <w:rFonts w:cs="Times New Roman"/>
          <w:noProof/>
          <w:lang w:val="en-GB"/>
        </w:rPr>
        <w:t>(1), 133–140. https://doi.org/10.1016/j.neuro.2004.08.003</w:t>
      </w:r>
    </w:p>
    <w:p w14:paraId="415D6729"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Charlesworth, P., Cotterill, E., Morton, A., Grant, S. G. N., &amp; Eglen, S. J. (2015). Quantitative differences in developmental profiles of spontaneous activity in cortical and hippocampal cultures. </w:t>
      </w:r>
      <w:r w:rsidRPr="00ED4F68">
        <w:rPr>
          <w:rFonts w:cs="Times New Roman"/>
          <w:i/>
          <w:iCs/>
          <w:noProof/>
          <w:lang w:val="en-GB"/>
        </w:rPr>
        <w:t>Neural Development</w:t>
      </w:r>
      <w:r w:rsidRPr="00ED4F68">
        <w:rPr>
          <w:rFonts w:cs="Times New Roman"/>
          <w:noProof/>
          <w:lang w:val="en-GB"/>
        </w:rPr>
        <w:t xml:space="preserve">, </w:t>
      </w:r>
      <w:r w:rsidRPr="00ED4F68">
        <w:rPr>
          <w:rFonts w:cs="Times New Roman"/>
          <w:i/>
          <w:iCs/>
          <w:noProof/>
          <w:lang w:val="en-GB"/>
        </w:rPr>
        <w:t>10</w:t>
      </w:r>
      <w:r w:rsidRPr="00ED4F68">
        <w:rPr>
          <w:rFonts w:cs="Times New Roman"/>
          <w:noProof/>
          <w:lang w:val="en-GB"/>
        </w:rPr>
        <w:t>(1), 1. https://doi.org/10.1186/S13064-014-0028-0</w:t>
      </w:r>
    </w:p>
    <w:p w14:paraId="374B769F"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Chen, H., Kwong, J. C., Copes, R., Hystad, P., van Donkelaar, A., Tu, K., Brook, J. R., Goldberg, M. S., Martin, R. V., Murray, B. J., Wilton, A. S., Kopp, A., &amp; Burnett, R. T. (2017). Exposure to ambient air pollution and the incidence of dementia: A population-based cohort study. </w:t>
      </w:r>
      <w:r w:rsidRPr="00ED4F68">
        <w:rPr>
          <w:rFonts w:cs="Times New Roman"/>
          <w:i/>
          <w:iCs/>
          <w:noProof/>
          <w:lang w:val="en-GB"/>
        </w:rPr>
        <w:t>Environment International</w:t>
      </w:r>
      <w:r w:rsidRPr="00ED4F68">
        <w:rPr>
          <w:rFonts w:cs="Times New Roman"/>
          <w:noProof/>
          <w:lang w:val="en-GB"/>
        </w:rPr>
        <w:t xml:space="preserve">, </w:t>
      </w:r>
      <w:r w:rsidRPr="00ED4F68">
        <w:rPr>
          <w:rFonts w:cs="Times New Roman"/>
          <w:i/>
          <w:iCs/>
          <w:noProof/>
          <w:lang w:val="en-GB"/>
        </w:rPr>
        <w:t>108</w:t>
      </w:r>
      <w:r w:rsidRPr="00ED4F68">
        <w:rPr>
          <w:rFonts w:cs="Times New Roman"/>
          <w:noProof/>
          <w:lang w:val="en-GB"/>
        </w:rPr>
        <w:t>, 271–277. https://doi.org/10.1016/J.ENVINT.2017.08.020</w:t>
      </w:r>
    </w:p>
    <w:p w14:paraId="65128CB9"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Chen, J., &amp; Hoek, G. (2020). Long-term exposure to PM and all-cause and cause-specific mortality: A systematic review and meta-analysis. </w:t>
      </w:r>
      <w:r w:rsidRPr="00ED4F68">
        <w:rPr>
          <w:rFonts w:cs="Times New Roman"/>
          <w:i/>
          <w:iCs/>
          <w:noProof/>
          <w:lang w:val="en-GB"/>
        </w:rPr>
        <w:t>Environment International</w:t>
      </w:r>
      <w:r w:rsidRPr="00ED4F68">
        <w:rPr>
          <w:rFonts w:cs="Times New Roman"/>
          <w:noProof/>
          <w:lang w:val="en-GB"/>
        </w:rPr>
        <w:t xml:space="preserve">, </w:t>
      </w:r>
      <w:r w:rsidRPr="00ED4F68">
        <w:rPr>
          <w:rFonts w:cs="Times New Roman"/>
          <w:i/>
          <w:iCs/>
          <w:noProof/>
          <w:lang w:val="en-GB"/>
        </w:rPr>
        <w:t>143</w:t>
      </w:r>
      <w:r w:rsidRPr="00ED4F68">
        <w:rPr>
          <w:rFonts w:cs="Times New Roman"/>
          <w:noProof/>
          <w:lang w:val="en-GB"/>
        </w:rPr>
        <w:t>, 105974. https://doi.org/10.1016/j.envint.2020.105974</w:t>
      </w:r>
    </w:p>
    <w:p w14:paraId="13AD82AE"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Chiappalone, M., Vato, A., Berdondini, L., Koudelka-Hep, M., &amp; Martinoia, S. (2007). Network dynamics and synchronous activity in cultured cortical neurons. </w:t>
      </w:r>
      <w:r w:rsidRPr="00ED4F68">
        <w:rPr>
          <w:rFonts w:cs="Times New Roman"/>
          <w:i/>
          <w:iCs/>
          <w:noProof/>
          <w:lang w:val="en-GB"/>
        </w:rPr>
        <w:t>International Journal of Neural Systems</w:t>
      </w:r>
      <w:r w:rsidRPr="00ED4F68">
        <w:rPr>
          <w:rFonts w:cs="Times New Roman"/>
          <w:noProof/>
          <w:lang w:val="en-GB"/>
        </w:rPr>
        <w:t xml:space="preserve">, </w:t>
      </w:r>
      <w:r w:rsidRPr="00ED4F68">
        <w:rPr>
          <w:rFonts w:cs="Times New Roman"/>
          <w:i/>
          <w:iCs/>
          <w:noProof/>
          <w:lang w:val="en-GB"/>
        </w:rPr>
        <w:t>17</w:t>
      </w:r>
      <w:r w:rsidRPr="00ED4F68">
        <w:rPr>
          <w:rFonts w:cs="Times New Roman"/>
          <w:noProof/>
          <w:lang w:val="en-GB"/>
        </w:rPr>
        <w:t>(2), 87–103. https://doi.org/10.1142/S0129065707000968</w:t>
      </w:r>
    </w:p>
    <w:p w14:paraId="027B0F27"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Cohen, A. J., Brauer, M., Burnett, R., Anderson, H. R., Frostad, J., Estep, K., Balakrishnan, K., Brunekreef, B., Dandona, L., Dandona, R., Feigin, V., Freedman, G., Hubbell, B., Jobling, A., Kan, H., Knibbs, L., Liu, Y., Martin, R., Morawska, L., … Forouzanfar, M. H. (2017). Estimates and 25-year trends of the global burden of disease attributable to ambient air pollution: an analysis of data from the Global Burden of Diseases Study 2015. </w:t>
      </w:r>
      <w:r w:rsidRPr="00ED4F68">
        <w:rPr>
          <w:rFonts w:cs="Times New Roman"/>
          <w:i/>
          <w:iCs/>
          <w:noProof/>
          <w:lang w:val="en-GB"/>
        </w:rPr>
        <w:t>The Lancet</w:t>
      </w:r>
      <w:r w:rsidRPr="00ED4F68">
        <w:rPr>
          <w:rFonts w:cs="Times New Roman"/>
          <w:noProof/>
          <w:lang w:val="en-GB"/>
        </w:rPr>
        <w:t xml:space="preserve">, </w:t>
      </w:r>
      <w:r w:rsidRPr="00ED4F68">
        <w:rPr>
          <w:rFonts w:cs="Times New Roman"/>
          <w:i/>
          <w:iCs/>
          <w:noProof/>
          <w:lang w:val="en-GB"/>
        </w:rPr>
        <w:t>389</w:t>
      </w:r>
      <w:r w:rsidRPr="00ED4F68">
        <w:rPr>
          <w:rFonts w:cs="Times New Roman"/>
          <w:noProof/>
          <w:lang w:val="en-GB"/>
        </w:rPr>
        <w:t>(10082), 1907–1918. https://doi.org/10.1016/S0140-6736(17)30505-6</w:t>
      </w:r>
    </w:p>
    <w:p w14:paraId="4600F8A6"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Costa, L. G., Cole, T. B., Coburn, J., Chang, Y.-C., Dao, K., &amp; Roqué, P. J. (2017). Neurotoxicity of traffic-related air pollution. </w:t>
      </w:r>
      <w:r w:rsidRPr="00ED4F68">
        <w:rPr>
          <w:rFonts w:cs="Times New Roman"/>
          <w:i/>
          <w:iCs/>
          <w:noProof/>
          <w:lang w:val="en-GB"/>
        </w:rPr>
        <w:t>NeuroToxicology</w:t>
      </w:r>
      <w:r w:rsidRPr="00ED4F68">
        <w:rPr>
          <w:rFonts w:cs="Times New Roman"/>
          <w:noProof/>
          <w:lang w:val="en-GB"/>
        </w:rPr>
        <w:t xml:space="preserve">, </w:t>
      </w:r>
      <w:r w:rsidRPr="00ED4F68">
        <w:rPr>
          <w:rFonts w:cs="Times New Roman"/>
          <w:i/>
          <w:iCs/>
          <w:noProof/>
          <w:lang w:val="en-GB"/>
        </w:rPr>
        <w:t>59</w:t>
      </w:r>
      <w:r w:rsidRPr="00ED4F68">
        <w:rPr>
          <w:rFonts w:cs="Times New Roman"/>
          <w:noProof/>
          <w:lang w:val="en-GB"/>
        </w:rPr>
        <w:t>(3), 133–139. https://doi.org/10.1016/j.neuro.2015.11.008</w:t>
      </w:r>
    </w:p>
    <w:p w14:paraId="2E4FDBF7"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de Jesus, A. L., Rahman, M. M., Mazaheri, M., Thompson, H., Knibbs, L. D., Jeong, C., Evans, G., Nei, W., Ding, A., Qiao, L., Li, L., Portin, H., Niemi, J. V., Timonen, H., Luoma, K., Petäjä, T., Kulmala, M., Kowalski, M., Peters, A., … Morawska, L. (2019). Ultrafine particles and PM2.5 in the air of cities around the world: Are they representative of each other? </w:t>
      </w:r>
      <w:r w:rsidRPr="00ED4F68">
        <w:rPr>
          <w:rFonts w:cs="Times New Roman"/>
          <w:i/>
          <w:iCs/>
          <w:noProof/>
          <w:lang w:val="en-GB"/>
        </w:rPr>
        <w:t>Environment International</w:t>
      </w:r>
      <w:r w:rsidRPr="00ED4F68">
        <w:rPr>
          <w:rFonts w:cs="Times New Roman"/>
          <w:noProof/>
          <w:lang w:val="en-GB"/>
        </w:rPr>
        <w:t xml:space="preserve">, </w:t>
      </w:r>
      <w:r w:rsidRPr="00ED4F68">
        <w:rPr>
          <w:rFonts w:cs="Times New Roman"/>
          <w:i/>
          <w:iCs/>
          <w:noProof/>
          <w:lang w:val="en-GB"/>
        </w:rPr>
        <w:t>129</w:t>
      </w:r>
      <w:r w:rsidRPr="00ED4F68">
        <w:rPr>
          <w:rFonts w:cs="Times New Roman"/>
          <w:noProof/>
          <w:lang w:val="en-GB"/>
        </w:rPr>
        <w:t>, 118–135. https://doi.org/10.1016/j.envint.2019.05.021</w:t>
      </w:r>
    </w:p>
    <w:p w14:paraId="48B64D2D"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de Kok, T. M. C. M., Driece, H. A. L., Hogervorst, J. G. F., &amp; Briedé, J. J. (2006). Toxicological assessment of ambient and traffic-related particulate matter: A review of recent studies. </w:t>
      </w:r>
      <w:r w:rsidRPr="00ED4F68">
        <w:rPr>
          <w:rFonts w:cs="Times New Roman"/>
          <w:i/>
          <w:iCs/>
          <w:noProof/>
          <w:lang w:val="en-GB"/>
        </w:rPr>
        <w:t>Mutation Research/Reviews in Mutation Research</w:t>
      </w:r>
      <w:r w:rsidRPr="00ED4F68">
        <w:rPr>
          <w:rFonts w:cs="Times New Roman"/>
          <w:noProof/>
          <w:lang w:val="en-GB"/>
        </w:rPr>
        <w:t xml:space="preserve">, </w:t>
      </w:r>
      <w:r w:rsidRPr="00ED4F68">
        <w:rPr>
          <w:rFonts w:cs="Times New Roman"/>
          <w:i/>
          <w:iCs/>
          <w:noProof/>
          <w:lang w:val="en-GB"/>
        </w:rPr>
        <w:t>613</w:t>
      </w:r>
      <w:r w:rsidRPr="00ED4F68">
        <w:rPr>
          <w:rFonts w:cs="Times New Roman"/>
          <w:noProof/>
          <w:lang w:val="en-GB"/>
        </w:rPr>
        <w:t>(2–3), 103–122. https://doi.org/10.1016/j.mrrev.2006.07.001</w:t>
      </w:r>
    </w:p>
    <w:p w14:paraId="14BB84E7" w14:textId="77777777" w:rsidR="00ED4F68" w:rsidRPr="0098400D" w:rsidRDefault="00ED4F68" w:rsidP="00A14895">
      <w:pPr>
        <w:widowControl w:val="0"/>
        <w:autoSpaceDE w:val="0"/>
        <w:autoSpaceDN w:val="0"/>
        <w:adjustRightInd w:val="0"/>
        <w:ind w:left="480" w:hanging="480"/>
        <w:rPr>
          <w:rFonts w:cs="Times New Roman"/>
          <w:noProof/>
          <w:lang w:val="nl-NL"/>
        </w:rPr>
      </w:pPr>
      <w:r w:rsidRPr="0098400D">
        <w:rPr>
          <w:rFonts w:cs="Times New Roman"/>
          <w:noProof/>
          <w:lang w:val="nl-NL"/>
        </w:rPr>
        <w:lastRenderedPageBreak/>
        <w:t xml:space="preserve">Dingemans, M. M. L., Schütte, M. G., Wiersma, D. M. M., de Groot, A., van Kleef, R. G. D. M., Wijnolts, F. M. J., &amp; Westerink, R. H. S. (2016). </w:t>
      </w:r>
      <w:r w:rsidRPr="00ED4F68">
        <w:rPr>
          <w:rFonts w:cs="Times New Roman"/>
          <w:noProof/>
          <w:lang w:val="en-GB"/>
        </w:rPr>
        <w:t xml:space="preserve">Chronic 14-day exposure to insecticides or methylmercury modulates neuronal activity in primary rat cortical cultures. </w:t>
      </w:r>
      <w:r w:rsidRPr="0098400D">
        <w:rPr>
          <w:rFonts w:cs="Times New Roman"/>
          <w:i/>
          <w:iCs/>
          <w:noProof/>
          <w:lang w:val="nl-NL"/>
        </w:rPr>
        <w:t>NeuroToxicology</w:t>
      </w:r>
      <w:r w:rsidRPr="0098400D">
        <w:rPr>
          <w:rFonts w:cs="Times New Roman"/>
          <w:noProof/>
          <w:lang w:val="nl-NL"/>
        </w:rPr>
        <w:t xml:space="preserve">, </w:t>
      </w:r>
      <w:r w:rsidRPr="0098400D">
        <w:rPr>
          <w:rFonts w:cs="Times New Roman"/>
          <w:i/>
          <w:iCs/>
          <w:noProof/>
          <w:lang w:val="nl-NL"/>
        </w:rPr>
        <w:t>57</w:t>
      </w:r>
      <w:r w:rsidRPr="0098400D">
        <w:rPr>
          <w:rFonts w:cs="Times New Roman"/>
          <w:noProof/>
          <w:lang w:val="nl-NL"/>
        </w:rPr>
        <w:t>, 194–202. https://doi.org/10.1016/j.neuro.2016.10.002</w:t>
      </w:r>
    </w:p>
    <w:p w14:paraId="78E64551" w14:textId="77777777" w:rsidR="00ED4F68" w:rsidRPr="00ED4F68" w:rsidRDefault="00ED4F68" w:rsidP="00A14895">
      <w:pPr>
        <w:widowControl w:val="0"/>
        <w:autoSpaceDE w:val="0"/>
        <w:autoSpaceDN w:val="0"/>
        <w:adjustRightInd w:val="0"/>
        <w:ind w:left="480" w:hanging="480"/>
        <w:rPr>
          <w:rFonts w:cs="Times New Roman"/>
          <w:noProof/>
          <w:lang w:val="en-GB"/>
        </w:rPr>
      </w:pPr>
      <w:r w:rsidRPr="0098400D">
        <w:rPr>
          <w:rFonts w:cs="Times New Roman"/>
          <w:noProof/>
          <w:lang w:val="nl-NL"/>
        </w:rPr>
        <w:t xml:space="preserve">Elder, A., Gelein, R., Silva, V., Feikert, T., Opanashuk, L., Carter, J., Potter, R., Maynard, A., Ito, Y., Finkelstein, J., &amp; Oberdörster, G. (2006). </w:t>
      </w:r>
      <w:r w:rsidRPr="00ED4F68">
        <w:rPr>
          <w:rFonts w:cs="Times New Roman"/>
          <w:noProof/>
          <w:lang w:val="en-GB"/>
        </w:rPr>
        <w:t xml:space="preserve">Translocation of inhaled ultrafine manganese oxide particles to the central nervous system. </w:t>
      </w:r>
      <w:r w:rsidRPr="00ED4F68">
        <w:rPr>
          <w:rFonts w:cs="Times New Roman"/>
          <w:i/>
          <w:iCs/>
          <w:noProof/>
          <w:lang w:val="en-GB"/>
        </w:rPr>
        <w:t>Environmental Health Perspectives</w:t>
      </w:r>
      <w:r w:rsidRPr="00ED4F68">
        <w:rPr>
          <w:rFonts w:cs="Times New Roman"/>
          <w:noProof/>
          <w:lang w:val="en-GB"/>
        </w:rPr>
        <w:t xml:space="preserve">, </w:t>
      </w:r>
      <w:r w:rsidRPr="00ED4F68">
        <w:rPr>
          <w:rFonts w:cs="Times New Roman"/>
          <w:i/>
          <w:iCs/>
          <w:noProof/>
          <w:lang w:val="en-GB"/>
        </w:rPr>
        <w:t>114</w:t>
      </w:r>
      <w:r w:rsidRPr="00ED4F68">
        <w:rPr>
          <w:rFonts w:cs="Times New Roman"/>
          <w:noProof/>
          <w:lang w:val="en-GB"/>
        </w:rPr>
        <w:t>(8), 1172–1178. https://doi.org/10.1289/EHP.9030</w:t>
      </w:r>
    </w:p>
    <w:p w14:paraId="34FE257E"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European Parliament. (2008). Directive 2008/50/EC of the European Parliament and of the Council of 21 May 2008 on ambient air quality and cleaner air for Europe. In </w:t>
      </w:r>
      <w:r w:rsidRPr="00ED4F68">
        <w:rPr>
          <w:rFonts w:cs="Times New Roman"/>
          <w:i/>
          <w:iCs/>
          <w:noProof/>
          <w:lang w:val="en-GB"/>
        </w:rPr>
        <w:t>Official Journal of the European Union</w:t>
      </w:r>
      <w:r w:rsidRPr="00ED4F68">
        <w:rPr>
          <w:rFonts w:cs="Times New Roman"/>
          <w:noProof/>
          <w:lang w:val="en-GB"/>
        </w:rPr>
        <w:t xml:space="preserve"> (Vol. 152). Official Journal of the European Union.</w:t>
      </w:r>
    </w:p>
    <w:p w14:paraId="14F1305D"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European Parliament, Directorate-General for Parliamentary Research Services, Karamfilova, E., &amp; De La Trinidad Salvador Sanz, L. (2021). </w:t>
      </w:r>
      <w:r w:rsidRPr="00ED4F68">
        <w:rPr>
          <w:rFonts w:cs="Times New Roman"/>
          <w:i/>
          <w:iCs/>
          <w:noProof/>
          <w:lang w:val="en-GB"/>
        </w:rPr>
        <w:t>EU policy on air quality: Implementation of selected EU legislation</w:t>
      </w:r>
      <w:r w:rsidRPr="00ED4F68">
        <w:rPr>
          <w:rFonts w:cs="Times New Roman"/>
          <w:noProof/>
          <w:lang w:val="en-GB"/>
        </w:rPr>
        <w:t xml:space="preserve"> (Issue January). European Parliament. https://doi.org/10.2861/808342</w:t>
      </w:r>
    </w:p>
    <w:p w14:paraId="03D90E3F"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Fagundes, L. S., Fleck, A. D. S., Zanchi, A. C., Saldiva, P. H. N., &amp; Rhoden, C. R. (2015). Direct contact with particulate matter increases oxidative stress in different brain structures. </w:t>
      </w:r>
      <w:r w:rsidRPr="00ED4F68">
        <w:rPr>
          <w:rFonts w:cs="Times New Roman"/>
          <w:i/>
          <w:iCs/>
          <w:noProof/>
          <w:lang w:val="en-GB"/>
        </w:rPr>
        <w:t>Inhalation Toxicology</w:t>
      </w:r>
      <w:r w:rsidRPr="00ED4F68">
        <w:rPr>
          <w:rFonts w:cs="Times New Roman"/>
          <w:noProof/>
          <w:lang w:val="en-GB"/>
        </w:rPr>
        <w:t xml:space="preserve">, </w:t>
      </w:r>
      <w:r w:rsidRPr="00ED4F68">
        <w:rPr>
          <w:rFonts w:cs="Times New Roman"/>
          <w:i/>
          <w:iCs/>
          <w:noProof/>
          <w:lang w:val="en-GB"/>
        </w:rPr>
        <w:t>27</w:t>
      </w:r>
      <w:r w:rsidRPr="00ED4F68">
        <w:rPr>
          <w:rFonts w:cs="Times New Roman"/>
          <w:noProof/>
          <w:lang w:val="en-GB"/>
        </w:rPr>
        <w:t>(10), 462–467. https://doi.org/10.3109/08958378.2015.1060278</w:t>
      </w:r>
    </w:p>
    <w:p w14:paraId="39042BAD"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Fahmy, H. M., Ali, O. A., Hassan, A. A., &amp; Mohamed, M. A. (2020). </w:t>
      </w:r>
      <w:r w:rsidRPr="00ED4F68">
        <w:rPr>
          <w:rFonts w:cs="Times New Roman"/>
          <w:i/>
          <w:iCs/>
          <w:noProof/>
          <w:lang w:val="en-GB"/>
        </w:rPr>
        <w:t>Biodistribution and toxicity assessment of copper nanoparticles in the rat brain</w:t>
      </w:r>
      <w:r w:rsidRPr="00ED4F68">
        <w:rPr>
          <w:rFonts w:cs="Times New Roman"/>
          <w:noProof/>
          <w:lang w:val="en-GB"/>
        </w:rPr>
        <w:t>. https://doi.org/10.1016/j.jtemb.2020.126505</w:t>
      </w:r>
    </w:p>
    <w:p w14:paraId="700C6CCD"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Fowler, M. A., Sidiropoulou, K., Ozkan, E. D., Phillips, C. W., &amp; Cooper, D. C. (2007). Corticolimbic expression of TRPC4 and TRPC5 channels in the rodent brain. </w:t>
      </w:r>
      <w:r w:rsidRPr="00ED4F68">
        <w:rPr>
          <w:rFonts w:cs="Times New Roman"/>
          <w:i/>
          <w:iCs/>
          <w:noProof/>
          <w:lang w:val="en-GB"/>
        </w:rPr>
        <w:t>PloS One</w:t>
      </w:r>
      <w:r w:rsidRPr="00ED4F68">
        <w:rPr>
          <w:rFonts w:cs="Times New Roman"/>
          <w:noProof/>
          <w:lang w:val="en-GB"/>
        </w:rPr>
        <w:t xml:space="preserve">, </w:t>
      </w:r>
      <w:r w:rsidRPr="00ED4F68">
        <w:rPr>
          <w:rFonts w:cs="Times New Roman"/>
          <w:i/>
          <w:iCs/>
          <w:noProof/>
          <w:lang w:val="en-GB"/>
        </w:rPr>
        <w:t>2</w:t>
      </w:r>
      <w:r w:rsidRPr="00ED4F68">
        <w:rPr>
          <w:rFonts w:cs="Times New Roman"/>
          <w:noProof/>
          <w:lang w:val="en-GB"/>
        </w:rPr>
        <w:t>(6). https://doi.org/10.1371/JOURNAL.PONE.0000573</w:t>
      </w:r>
    </w:p>
    <w:p w14:paraId="27B6F653"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Fukagawa, N. K., Li, M., Poynter, M. E., Palmer, B. C., Parker, E., Kasumba, J., &amp; Holmén, B. A. (2013). Soy biodiesel and petrodiesel emissions differ in size, chemical composition and stimulation of inflammatory responses in cells and animals. </w:t>
      </w:r>
      <w:r w:rsidRPr="00ED4F68">
        <w:rPr>
          <w:rFonts w:cs="Times New Roman"/>
          <w:i/>
          <w:iCs/>
          <w:noProof/>
          <w:lang w:val="en-GB"/>
        </w:rPr>
        <w:t>Environmental Science and Technology</w:t>
      </w:r>
      <w:r w:rsidRPr="00ED4F68">
        <w:rPr>
          <w:rFonts w:cs="Times New Roman"/>
          <w:noProof/>
          <w:lang w:val="en-GB"/>
        </w:rPr>
        <w:t xml:space="preserve">, </w:t>
      </w:r>
      <w:r w:rsidRPr="00ED4F68">
        <w:rPr>
          <w:rFonts w:cs="Times New Roman"/>
          <w:i/>
          <w:iCs/>
          <w:noProof/>
          <w:lang w:val="en-GB"/>
        </w:rPr>
        <w:t>47</w:t>
      </w:r>
      <w:r w:rsidRPr="00ED4F68">
        <w:rPr>
          <w:rFonts w:cs="Times New Roman"/>
          <w:noProof/>
          <w:lang w:val="en-GB"/>
        </w:rPr>
        <w:t>(21), 12496–12504. https://doi.org/10.1021/ES403146C/SUPPL_FILE/ES403146C_SI_001.PDF</w:t>
      </w:r>
    </w:p>
    <w:p w14:paraId="31149FC0" w14:textId="77777777" w:rsidR="00ED4F68" w:rsidRPr="0098400D" w:rsidRDefault="00ED4F68" w:rsidP="00A14895">
      <w:pPr>
        <w:widowControl w:val="0"/>
        <w:autoSpaceDE w:val="0"/>
        <w:autoSpaceDN w:val="0"/>
        <w:adjustRightInd w:val="0"/>
        <w:ind w:left="480" w:hanging="480"/>
        <w:rPr>
          <w:rFonts w:cs="Times New Roman"/>
          <w:noProof/>
          <w:lang w:val="nl-NL"/>
        </w:rPr>
      </w:pPr>
      <w:r w:rsidRPr="00ED4F68">
        <w:rPr>
          <w:rFonts w:cs="Times New Roman"/>
          <w:noProof/>
          <w:lang w:val="en-GB"/>
        </w:rPr>
        <w:t xml:space="preserve">Genc, S., Zadeoglulari, Z., Fuss, S. H., &amp; Genc, K. (2012). The Adverse Effects of Air Pollution on the Nervous System. </w:t>
      </w:r>
      <w:r w:rsidRPr="0098400D">
        <w:rPr>
          <w:rFonts w:cs="Times New Roman"/>
          <w:i/>
          <w:iCs/>
          <w:noProof/>
          <w:lang w:val="nl-NL"/>
        </w:rPr>
        <w:t>Journal of Toxicology</w:t>
      </w:r>
      <w:r w:rsidRPr="0098400D">
        <w:rPr>
          <w:rFonts w:cs="Times New Roman"/>
          <w:noProof/>
          <w:lang w:val="nl-NL"/>
        </w:rPr>
        <w:t xml:space="preserve">, </w:t>
      </w:r>
      <w:r w:rsidRPr="0098400D">
        <w:rPr>
          <w:rFonts w:cs="Times New Roman"/>
          <w:i/>
          <w:iCs/>
          <w:noProof/>
          <w:lang w:val="nl-NL"/>
        </w:rPr>
        <w:t>2012</w:t>
      </w:r>
      <w:r w:rsidRPr="0098400D">
        <w:rPr>
          <w:rFonts w:cs="Times New Roman"/>
          <w:noProof/>
          <w:lang w:val="nl-NL"/>
        </w:rPr>
        <w:t>, 1–23. https://doi.org/10.1155/2012/782462</w:t>
      </w:r>
    </w:p>
    <w:p w14:paraId="7F415B2B" w14:textId="77777777" w:rsidR="00ED4F68" w:rsidRPr="00ED4F68" w:rsidRDefault="00ED4F68" w:rsidP="00A14895">
      <w:pPr>
        <w:widowControl w:val="0"/>
        <w:autoSpaceDE w:val="0"/>
        <w:autoSpaceDN w:val="0"/>
        <w:adjustRightInd w:val="0"/>
        <w:ind w:left="480" w:hanging="480"/>
        <w:rPr>
          <w:rFonts w:cs="Times New Roman"/>
          <w:noProof/>
          <w:lang w:val="en-GB"/>
        </w:rPr>
      </w:pPr>
      <w:r w:rsidRPr="0098400D">
        <w:rPr>
          <w:rFonts w:cs="Times New Roman"/>
          <w:noProof/>
          <w:lang w:val="nl-NL"/>
        </w:rPr>
        <w:t xml:space="preserve">Gerber, L. S., van Melis, L. V. J., van Kleef, R. G. D. M., de Groot, A., &amp; Westerink, R. H. S. (2021). </w:t>
      </w:r>
      <w:r w:rsidRPr="00ED4F68">
        <w:rPr>
          <w:rFonts w:cs="Times New Roman"/>
          <w:noProof/>
          <w:lang w:val="en-GB"/>
        </w:rPr>
        <w:t xml:space="preserve">Culture of Rat Primary Cortical Cells for Microelectrode Array (MEA) Recordings to Screen for Acute and Developmental Neurotoxicity. </w:t>
      </w:r>
      <w:r w:rsidRPr="00ED4F68">
        <w:rPr>
          <w:rFonts w:cs="Times New Roman"/>
          <w:i/>
          <w:iCs/>
          <w:noProof/>
          <w:lang w:val="en-GB"/>
        </w:rPr>
        <w:t>Current Protocols</w:t>
      </w:r>
      <w:r w:rsidRPr="00ED4F68">
        <w:rPr>
          <w:rFonts w:cs="Times New Roman"/>
          <w:noProof/>
          <w:lang w:val="en-GB"/>
        </w:rPr>
        <w:t xml:space="preserve">, </w:t>
      </w:r>
      <w:r w:rsidRPr="00ED4F68">
        <w:rPr>
          <w:rFonts w:cs="Times New Roman"/>
          <w:i/>
          <w:iCs/>
          <w:noProof/>
          <w:lang w:val="en-GB"/>
        </w:rPr>
        <w:t>1</w:t>
      </w:r>
      <w:r w:rsidRPr="00ED4F68">
        <w:rPr>
          <w:rFonts w:cs="Times New Roman"/>
          <w:noProof/>
          <w:lang w:val="en-GB"/>
        </w:rPr>
        <w:t>(6), 1–35. https://doi.org/10.1002/cpz1.158</w:t>
      </w:r>
    </w:p>
    <w:p w14:paraId="09537956"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Gerde, P., Muggenburg, B. A., Lundborg, M., &amp; Dahl, A. R. (2001). The rapid alveolar absorption of diesel soot-adsorbed benzo[a]pyrene: bioavailability, metabolism and dosimetry of an inhaled particle-borne carcinogen. </w:t>
      </w:r>
      <w:r w:rsidRPr="00ED4F68">
        <w:rPr>
          <w:rFonts w:cs="Times New Roman"/>
          <w:i/>
          <w:iCs/>
          <w:noProof/>
          <w:lang w:val="en-GB"/>
        </w:rPr>
        <w:t>Carcinogenesis</w:t>
      </w:r>
      <w:r w:rsidRPr="00ED4F68">
        <w:rPr>
          <w:rFonts w:cs="Times New Roman"/>
          <w:noProof/>
          <w:lang w:val="en-GB"/>
        </w:rPr>
        <w:t xml:space="preserve">, </w:t>
      </w:r>
      <w:r w:rsidRPr="00ED4F68">
        <w:rPr>
          <w:rFonts w:cs="Times New Roman"/>
          <w:i/>
          <w:iCs/>
          <w:noProof/>
          <w:lang w:val="en-GB"/>
        </w:rPr>
        <w:t>22</w:t>
      </w:r>
      <w:r w:rsidRPr="00ED4F68">
        <w:rPr>
          <w:rFonts w:cs="Times New Roman"/>
          <w:noProof/>
          <w:lang w:val="en-GB"/>
        </w:rPr>
        <w:t>(5), 741–749. https://doi.org/10.1093/CARCIN/22.5.741</w:t>
      </w:r>
    </w:p>
    <w:p w14:paraId="62627D54"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lastRenderedPageBreak/>
        <w:t xml:space="preserve">Gerlofs-Nijland, M. E., Totlandsdal, A. I., Tzamkiozis, T., Leseman, D. L. A. C., Samaras, Z., Låg, M., Schwarze, P., Ntziachristos, L., &amp; Cassee, F. R. (2013). Cell toxicity and oxidative potential of engine exhaust particles: Impact of using particulate filter or biodiesel fuel blend. </w:t>
      </w:r>
      <w:r w:rsidRPr="00ED4F68">
        <w:rPr>
          <w:rFonts w:cs="Times New Roman"/>
          <w:i/>
          <w:iCs/>
          <w:noProof/>
          <w:lang w:val="en-GB"/>
        </w:rPr>
        <w:t>Environmental Science and Technology</w:t>
      </w:r>
      <w:r w:rsidRPr="00ED4F68">
        <w:rPr>
          <w:rFonts w:cs="Times New Roman"/>
          <w:noProof/>
          <w:lang w:val="en-GB"/>
        </w:rPr>
        <w:t xml:space="preserve">, </w:t>
      </w:r>
      <w:r w:rsidRPr="00ED4F68">
        <w:rPr>
          <w:rFonts w:cs="Times New Roman"/>
          <w:i/>
          <w:iCs/>
          <w:noProof/>
          <w:lang w:val="en-GB"/>
        </w:rPr>
        <w:t>47</w:t>
      </w:r>
      <w:r w:rsidRPr="00ED4F68">
        <w:rPr>
          <w:rFonts w:cs="Times New Roman"/>
          <w:noProof/>
          <w:lang w:val="en-GB"/>
        </w:rPr>
        <w:t>(11), 5931–5938. https://doi.org/10.1021/ES305330Y/SUPPL_FILE/ES305330Y_SI_002.PDF</w:t>
      </w:r>
    </w:p>
    <w:p w14:paraId="776EFC58"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Gerlofs-Nijland, M. E., van Berlo, D., Cassee, F. R., Schins, R. P. F. F., Wang, K., &amp; Campbell, A. (2010). Effect of prolonged exposure to diesel engine exhaust on proinflammatory markers in different regions of the rat brain. </w:t>
      </w:r>
      <w:r w:rsidRPr="00ED4F68">
        <w:rPr>
          <w:rFonts w:cs="Times New Roman"/>
          <w:i/>
          <w:iCs/>
          <w:noProof/>
          <w:lang w:val="en-GB"/>
        </w:rPr>
        <w:t>Particle and Fibre Toxicology</w:t>
      </w:r>
      <w:r w:rsidRPr="00ED4F68">
        <w:rPr>
          <w:rFonts w:cs="Times New Roman"/>
          <w:noProof/>
          <w:lang w:val="en-GB"/>
        </w:rPr>
        <w:t xml:space="preserve">, </w:t>
      </w:r>
      <w:r w:rsidRPr="00ED4F68">
        <w:rPr>
          <w:rFonts w:cs="Times New Roman"/>
          <w:i/>
          <w:iCs/>
          <w:noProof/>
          <w:lang w:val="en-GB"/>
        </w:rPr>
        <w:t>7</w:t>
      </w:r>
      <w:r w:rsidRPr="00ED4F68">
        <w:rPr>
          <w:rFonts w:cs="Times New Roman"/>
          <w:noProof/>
          <w:lang w:val="en-GB"/>
        </w:rPr>
        <w:t>, 1–10. https://doi.org/10.1186/1743-8977-7-12</w:t>
      </w:r>
    </w:p>
    <w:p w14:paraId="77D3AD55"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Ghio, A. J., Smith, C. B., &amp; Madden, M. C. (2012). Diesel exhaust particles and airway inflammation. </w:t>
      </w:r>
      <w:r w:rsidRPr="00ED4F68">
        <w:rPr>
          <w:rFonts w:cs="Times New Roman"/>
          <w:i/>
          <w:iCs/>
          <w:noProof/>
          <w:lang w:val="en-GB"/>
        </w:rPr>
        <w:t>Current Opinion in Pulmonary Medicine</w:t>
      </w:r>
      <w:r w:rsidRPr="00ED4F68">
        <w:rPr>
          <w:rFonts w:cs="Times New Roman"/>
          <w:noProof/>
          <w:lang w:val="en-GB"/>
        </w:rPr>
        <w:t xml:space="preserve">, </w:t>
      </w:r>
      <w:r w:rsidRPr="00ED4F68">
        <w:rPr>
          <w:rFonts w:cs="Times New Roman"/>
          <w:i/>
          <w:iCs/>
          <w:noProof/>
          <w:lang w:val="en-GB"/>
        </w:rPr>
        <w:t>18</w:t>
      </w:r>
      <w:r w:rsidRPr="00ED4F68">
        <w:rPr>
          <w:rFonts w:cs="Times New Roman"/>
          <w:noProof/>
          <w:lang w:val="en-GB"/>
        </w:rPr>
        <w:t>(2), 144–150. https://doi.org/10.1097/MCP.0b013e32834f0e2a</w:t>
      </w:r>
    </w:p>
    <w:p w14:paraId="0EAD8F57"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Gillespie, P., Tajuba, J., Lippmann, M., Chen, L.-C., &amp; Veronesi, B. (2013). Particulate matter neurotoxicity in culture is size-dependent. </w:t>
      </w:r>
      <w:r w:rsidRPr="00ED4F68">
        <w:rPr>
          <w:rFonts w:cs="Times New Roman"/>
          <w:i/>
          <w:iCs/>
          <w:noProof/>
          <w:lang w:val="en-GB"/>
        </w:rPr>
        <w:t>NeuroToxicology</w:t>
      </w:r>
      <w:r w:rsidRPr="00ED4F68">
        <w:rPr>
          <w:rFonts w:cs="Times New Roman"/>
          <w:noProof/>
          <w:lang w:val="en-GB"/>
        </w:rPr>
        <w:t xml:space="preserve">, </w:t>
      </w:r>
      <w:r w:rsidRPr="00ED4F68">
        <w:rPr>
          <w:rFonts w:cs="Times New Roman"/>
          <w:i/>
          <w:iCs/>
          <w:noProof/>
          <w:lang w:val="en-GB"/>
        </w:rPr>
        <w:t>36</w:t>
      </w:r>
      <w:r w:rsidRPr="00ED4F68">
        <w:rPr>
          <w:rFonts w:cs="Times New Roman"/>
          <w:noProof/>
          <w:lang w:val="en-GB"/>
        </w:rPr>
        <w:t>, 112–117. https://doi.org/10.1016/j.neuro.2011.10.006</w:t>
      </w:r>
    </w:p>
    <w:p w14:paraId="3360C104"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Grigoratos, T., Fontaras, G., Kalogirou, M., Samara, C., Samaras, Z., &amp; Rose, K. (2014). Effect of rapeseed methylester blending on diesel passenger car emissions – Part 2: Unregulated emissions and oxidation activity. </w:t>
      </w:r>
      <w:r w:rsidRPr="00ED4F68">
        <w:rPr>
          <w:rFonts w:cs="Times New Roman"/>
          <w:i/>
          <w:iCs/>
          <w:noProof/>
          <w:lang w:val="en-GB"/>
        </w:rPr>
        <w:t>Fuel</w:t>
      </w:r>
      <w:r w:rsidRPr="00ED4F68">
        <w:rPr>
          <w:rFonts w:cs="Times New Roman"/>
          <w:noProof/>
          <w:lang w:val="en-GB"/>
        </w:rPr>
        <w:t xml:space="preserve">, </w:t>
      </w:r>
      <w:r w:rsidRPr="00ED4F68">
        <w:rPr>
          <w:rFonts w:cs="Times New Roman"/>
          <w:i/>
          <w:iCs/>
          <w:noProof/>
          <w:lang w:val="en-GB"/>
        </w:rPr>
        <w:t>128</w:t>
      </w:r>
      <w:r w:rsidRPr="00ED4F68">
        <w:rPr>
          <w:rFonts w:cs="Times New Roman"/>
          <w:noProof/>
          <w:lang w:val="en-GB"/>
        </w:rPr>
        <w:t>, 260–267. https://doi.org/10.1016/j.fuel.2014.03.018</w:t>
      </w:r>
    </w:p>
    <w:p w14:paraId="21D98A13"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Guan, B., Zhan, R., Lin, H., &amp; Huang, Z. (2015). </w:t>
      </w:r>
      <w:r w:rsidRPr="00ED4F68">
        <w:rPr>
          <w:rFonts w:cs="Times New Roman"/>
          <w:i/>
          <w:iCs/>
          <w:noProof/>
          <w:lang w:val="en-GB"/>
        </w:rPr>
        <w:t>Review of the state-of-the-art of exhaust particulate filter technology in internal combustion engines</w:t>
      </w:r>
      <w:r w:rsidRPr="00ED4F68">
        <w:rPr>
          <w:rFonts w:cs="Times New Roman"/>
          <w:noProof/>
          <w:lang w:val="en-GB"/>
        </w:rPr>
        <w:t>. https://doi.org/10.1016/j.jenvman.2015.02.027</w:t>
      </w:r>
    </w:p>
    <w:p w14:paraId="3192C9A7"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Hamra, G. B., Guha, N., Cohen, A., Laden, F., Raaschou-Nielsen, O., Samet, J. M., Vineis, P., Forastiere, F., Saldiva, P., Yorifuji, T., &amp; Loomis, D. (2014). Outdoor particulate matter exposure and lung cancer: A systematic review and meta-analysis. </w:t>
      </w:r>
      <w:r w:rsidRPr="00ED4F68">
        <w:rPr>
          <w:rFonts w:cs="Times New Roman"/>
          <w:i/>
          <w:iCs/>
          <w:noProof/>
          <w:lang w:val="en-GB"/>
        </w:rPr>
        <w:t>Environmental Health Perspectives</w:t>
      </w:r>
      <w:r w:rsidRPr="00ED4F68">
        <w:rPr>
          <w:rFonts w:cs="Times New Roman"/>
          <w:noProof/>
          <w:lang w:val="en-GB"/>
        </w:rPr>
        <w:t xml:space="preserve">, </w:t>
      </w:r>
      <w:r w:rsidRPr="00ED4F68">
        <w:rPr>
          <w:rFonts w:cs="Times New Roman"/>
          <w:i/>
          <w:iCs/>
          <w:noProof/>
          <w:lang w:val="en-GB"/>
        </w:rPr>
        <w:t>122</w:t>
      </w:r>
      <w:r w:rsidRPr="00ED4F68">
        <w:rPr>
          <w:rFonts w:cs="Times New Roman"/>
          <w:noProof/>
          <w:lang w:val="en-GB"/>
        </w:rPr>
        <w:t>(9), 906–911. https://doi.org/10.1289/EHP.1408092</w:t>
      </w:r>
    </w:p>
    <w:p w14:paraId="674EE1D5"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Hays, M. D., Preston, W., George, B. J., George, I. J., Snow, R., Faircloth, J., Long, T., Baldauf, R. W., &amp; McDonald, J. (2017). Temperature and Driving Cycle Significantly Affect Carbonaceous Gasand Particle Matter Emissions from Diesel Trucks. </w:t>
      </w:r>
      <w:r w:rsidRPr="00ED4F68">
        <w:rPr>
          <w:rFonts w:cs="Times New Roman"/>
          <w:i/>
          <w:iCs/>
          <w:noProof/>
          <w:lang w:val="en-GB"/>
        </w:rPr>
        <w:t>Energy &amp; Fuels : An American Chemical Society Journal</w:t>
      </w:r>
      <w:r w:rsidRPr="00ED4F68">
        <w:rPr>
          <w:rFonts w:cs="Times New Roman"/>
          <w:noProof/>
          <w:lang w:val="en-GB"/>
        </w:rPr>
        <w:t xml:space="preserve">, </w:t>
      </w:r>
      <w:r w:rsidRPr="00ED4F68">
        <w:rPr>
          <w:rFonts w:cs="Times New Roman"/>
          <w:i/>
          <w:iCs/>
          <w:noProof/>
          <w:lang w:val="en-GB"/>
        </w:rPr>
        <w:t>31</w:t>
      </w:r>
      <w:r w:rsidRPr="00ED4F68">
        <w:rPr>
          <w:rFonts w:cs="Times New Roman"/>
          <w:noProof/>
          <w:lang w:val="en-GB"/>
        </w:rPr>
        <w:t>(10), 11034–11042. https://doi.org/10.1021/ACS.ENERGYFUELS.7B01446</w:t>
      </w:r>
    </w:p>
    <w:p w14:paraId="583AA43C"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Hesterberg, T. W., Long, C. M., Sax, S. N., Lapin, C. A., McClellan, R. O., Bunn, W. B., &amp; Valberg, P. A. (2011). Particulate Matter in New Technology Diesel Exhaust (NTDE) is Quantitatively and Qualitatively Very Different from that Found in Traditional Diesel Exhaust (TDE). </w:t>
      </w:r>
      <w:r w:rsidRPr="00ED4F68">
        <w:rPr>
          <w:rFonts w:cs="Times New Roman"/>
          <w:i/>
          <w:iCs/>
          <w:noProof/>
          <w:lang w:val="en-GB"/>
        </w:rPr>
        <w:t>Journal of the Air &amp; Waste Management Association</w:t>
      </w:r>
      <w:r w:rsidRPr="00ED4F68">
        <w:rPr>
          <w:rFonts w:cs="Times New Roman"/>
          <w:noProof/>
          <w:lang w:val="en-GB"/>
        </w:rPr>
        <w:t xml:space="preserve">, </w:t>
      </w:r>
      <w:r w:rsidRPr="00ED4F68">
        <w:rPr>
          <w:rFonts w:cs="Times New Roman"/>
          <w:i/>
          <w:iCs/>
          <w:noProof/>
          <w:lang w:val="en-GB"/>
        </w:rPr>
        <w:t>61</w:t>
      </w:r>
      <w:r w:rsidRPr="00ED4F68">
        <w:rPr>
          <w:rFonts w:cs="Times New Roman"/>
          <w:noProof/>
          <w:lang w:val="en-GB"/>
        </w:rPr>
        <w:t>(9), 894–913. https://doi.org/10.1080/10473289.2011.599277</w:t>
      </w:r>
    </w:p>
    <w:p w14:paraId="5CBB754D" w14:textId="77777777" w:rsidR="00ED4F68" w:rsidRPr="00ED4F68" w:rsidRDefault="00ED4F68" w:rsidP="00A14895">
      <w:pPr>
        <w:widowControl w:val="0"/>
        <w:autoSpaceDE w:val="0"/>
        <w:autoSpaceDN w:val="0"/>
        <w:adjustRightInd w:val="0"/>
        <w:ind w:left="480" w:hanging="480"/>
        <w:rPr>
          <w:rFonts w:cs="Times New Roman"/>
          <w:noProof/>
          <w:lang w:val="en-GB"/>
        </w:rPr>
      </w:pPr>
      <w:r w:rsidRPr="0098400D">
        <w:rPr>
          <w:rFonts w:cs="Times New Roman"/>
          <w:noProof/>
          <w:lang w:val="nl-NL"/>
        </w:rPr>
        <w:t xml:space="preserve">Hoek, G., Krishnan, R. M., Beelen, R., Peters, A., Ostro, B., Brunekreef, B., &amp; Kaufman, J. D. (2013). </w:t>
      </w:r>
      <w:r w:rsidRPr="00ED4F68">
        <w:rPr>
          <w:rFonts w:cs="Times New Roman"/>
          <w:noProof/>
          <w:lang w:val="en-GB"/>
        </w:rPr>
        <w:t xml:space="preserve">Long-term air pollution exposure and cardio-respiratory mortality: A review. </w:t>
      </w:r>
      <w:r w:rsidRPr="00ED4F68">
        <w:rPr>
          <w:rFonts w:cs="Times New Roman"/>
          <w:i/>
          <w:iCs/>
          <w:noProof/>
          <w:lang w:val="en-GB"/>
        </w:rPr>
        <w:t>Environmental Health: A Global Access Science Source</w:t>
      </w:r>
      <w:r w:rsidRPr="00ED4F68">
        <w:rPr>
          <w:rFonts w:cs="Times New Roman"/>
          <w:noProof/>
          <w:lang w:val="en-GB"/>
        </w:rPr>
        <w:t xml:space="preserve">, </w:t>
      </w:r>
      <w:r w:rsidRPr="00ED4F68">
        <w:rPr>
          <w:rFonts w:cs="Times New Roman"/>
          <w:i/>
          <w:iCs/>
          <w:noProof/>
          <w:lang w:val="en-GB"/>
        </w:rPr>
        <w:t>12</w:t>
      </w:r>
      <w:r w:rsidRPr="00ED4F68">
        <w:rPr>
          <w:rFonts w:cs="Times New Roman"/>
          <w:noProof/>
          <w:lang w:val="en-GB"/>
        </w:rPr>
        <w:t>(1), 43. https://doi.org/10.1186/1476-069X-12-</w:t>
      </w:r>
      <w:r w:rsidRPr="00ED4F68">
        <w:rPr>
          <w:rFonts w:cs="Times New Roman"/>
          <w:noProof/>
          <w:lang w:val="en-GB"/>
        </w:rPr>
        <w:lastRenderedPageBreak/>
        <w:t>43</w:t>
      </w:r>
    </w:p>
    <w:p w14:paraId="1E8FED35" w14:textId="77777777" w:rsidR="00ED4F68" w:rsidRPr="00ED4F68" w:rsidRDefault="00ED4F68" w:rsidP="00A14895">
      <w:pPr>
        <w:widowControl w:val="0"/>
        <w:autoSpaceDE w:val="0"/>
        <w:autoSpaceDN w:val="0"/>
        <w:adjustRightInd w:val="0"/>
        <w:ind w:left="480" w:hanging="480"/>
        <w:rPr>
          <w:rFonts w:cs="Times New Roman"/>
          <w:noProof/>
          <w:lang w:val="en-GB"/>
        </w:rPr>
      </w:pPr>
      <w:r w:rsidRPr="0098400D">
        <w:rPr>
          <w:rFonts w:cs="Times New Roman"/>
          <w:noProof/>
          <w:lang w:val="nl-NL"/>
        </w:rPr>
        <w:t xml:space="preserve">Hondebrink, L., Verboven, A. H. A., Drega, W. S., Schmeink, S., de Groot, M. W. G. D. M., van Kleef, R. G. D. M., Wijnolts, F. M. J., de Groot, A., Meulenbelt, J., &amp; Westerink, R. H. S. (2016). </w:t>
      </w:r>
      <w:r w:rsidRPr="00ED4F68">
        <w:rPr>
          <w:rFonts w:cs="Times New Roman"/>
          <w:noProof/>
          <w:lang w:val="en-GB"/>
        </w:rPr>
        <w:t xml:space="preserve">Neurotoxicity screening of (illicit) drugs using novel methods for analysis of microelectrode array (MEA) recordings. </w:t>
      </w:r>
      <w:r w:rsidRPr="00ED4F68">
        <w:rPr>
          <w:rFonts w:cs="Times New Roman"/>
          <w:i/>
          <w:iCs/>
          <w:noProof/>
          <w:lang w:val="en-GB"/>
        </w:rPr>
        <w:t>NeuroToxicology</w:t>
      </w:r>
      <w:r w:rsidRPr="00ED4F68">
        <w:rPr>
          <w:rFonts w:cs="Times New Roman"/>
          <w:noProof/>
          <w:lang w:val="en-GB"/>
        </w:rPr>
        <w:t xml:space="preserve">, </w:t>
      </w:r>
      <w:r w:rsidRPr="00ED4F68">
        <w:rPr>
          <w:rFonts w:cs="Times New Roman"/>
          <w:i/>
          <w:iCs/>
          <w:noProof/>
          <w:lang w:val="en-GB"/>
        </w:rPr>
        <w:t>55</w:t>
      </w:r>
      <w:r w:rsidRPr="00ED4F68">
        <w:rPr>
          <w:rFonts w:cs="Times New Roman"/>
          <w:noProof/>
          <w:lang w:val="en-GB"/>
        </w:rPr>
        <w:t>, 1–9. https://doi.org/10.1016/j.neuro.2016.04.020</w:t>
      </w:r>
    </w:p>
    <w:p w14:paraId="128BC2C1"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Huang, J., Du, W., Yao, H., &amp; Wang, Y. (2011). TRPC Channels in Neuronal Survival. </w:t>
      </w:r>
      <w:r w:rsidRPr="00ED4F68">
        <w:rPr>
          <w:rFonts w:cs="Times New Roman"/>
          <w:i/>
          <w:iCs/>
          <w:noProof/>
          <w:lang w:val="en-GB"/>
        </w:rPr>
        <w:t>TRP Channels</w:t>
      </w:r>
      <w:r w:rsidRPr="00ED4F68">
        <w:rPr>
          <w:rFonts w:cs="Times New Roman"/>
          <w:noProof/>
          <w:lang w:val="en-GB"/>
        </w:rPr>
        <w:t>. https://www.ncbi.nlm.nih.gov/books/NBK92826/</w:t>
      </w:r>
    </w:p>
    <w:p w14:paraId="16BB17F2"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Huang, L., Bohac, S. V., Chernyak, S. M., &amp; Batterman, S. A. (2013). Composition and Integrity of PAHs, Nitro-PAHs, Hopanes and Steranes In Diesel Exhaust Particulate Matter. </w:t>
      </w:r>
      <w:r w:rsidRPr="00ED4F68">
        <w:rPr>
          <w:rFonts w:cs="Times New Roman"/>
          <w:i/>
          <w:iCs/>
          <w:noProof/>
          <w:lang w:val="en-GB"/>
        </w:rPr>
        <w:t>Water, Air, and Soil Pollution</w:t>
      </w:r>
      <w:r w:rsidRPr="00ED4F68">
        <w:rPr>
          <w:rFonts w:cs="Times New Roman"/>
          <w:noProof/>
          <w:lang w:val="en-GB"/>
        </w:rPr>
        <w:t xml:space="preserve">, </w:t>
      </w:r>
      <w:r w:rsidRPr="00ED4F68">
        <w:rPr>
          <w:rFonts w:cs="Times New Roman"/>
          <w:i/>
          <w:iCs/>
          <w:noProof/>
          <w:lang w:val="en-GB"/>
        </w:rPr>
        <w:t>224</w:t>
      </w:r>
      <w:r w:rsidRPr="00ED4F68">
        <w:rPr>
          <w:rFonts w:cs="Times New Roman"/>
          <w:noProof/>
          <w:lang w:val="en-GB"/>
        </w:rPr>
        <w:t>(8). https://doi.org/10.1007/S11270-013-1630-1</w:t>
      </w:r>
    </w:p>
    <w:p w14:paraId="22924A60"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Jiang, H., Wu, G., Li, T., He, P., &amp; Chen, R. (2019). </w:t>
      </w:r>
      <w:r w:rsidRPr="00ED4F68">
        <w:rPr>
          <w:rFonts w:cs="Times New Roman"/>
          <w:i/>
          <w:iCs/>
          <w:noProof/>
          <w:lang w:val="en-GB"/>
        </w:rPr>
        <w:t>Characteristics of Particulate Matter Emissions from a Low-Speed Marine Diesel Engine at Various Loads</w:t>
      </w:r>
      <w:r w:rsidRPr="00ED4F68">
        <w:rPr>
          <w:rFonts w:cs="Times New Roman"/>
          <w:noProof/>
          <w:lang w:val="en-GB"/>
        </w:rPr>
        <w:t>. https://doi.org/10.1021/acs.est.9b02341</w:t>
      </w:r>
    </w:p>
    <w:p w14:paraId="613C05D6"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Jin, D.-Q., Jung, J. W., Lee, Y. S., &amp; Kim, J.-A. (2004). 2,3,7,8-Tetrachlorodibenzo-p-dioxin inhibits cell proliferation through arylhydrocarbon receptor-mediated G1 arrest in SK-N-SH human neuronal cells. </w:t>
      </w:r>
      <w:r w:rsidRPr="00ED4F68">
        <w:rPr>
          <w:rFonts w:cs="Times New Roman"/>
          <w:i/>
          <w:iCs/>
          <w:noProof/>
          <w:lang w:val="en-GB"/>
        </w:rPr>
        <w:t>Neuroscience Letters</w:t>
      </w:r>
      <w:r w:rsidRPr="00ED4F68">
        <w:rPr>
          <w:rFonts w:cs="Times New Roman"/>
          <w:noProof/>
          <w:lang w:val="en-GB"/>
        </w:rPr>
        <w:t xml:space="preserve">, </w:t>
      </w:r>
      <w:r w:rsidRPr="00ED4F68">
        <w:rPr>
          <w:rFonts w:cs="Times New Roman"/>
          <w:i/>
          <w:iCs/>
          <w:noProof/>
          <w:lang w:val="en-GB"/>
        </w:rPr>
        <w:t>363</w:t>
      </w:r>
      <w:r w:rsidRPr="00ED4F68">
        <w:rPr>
          <w:rFonts w:cs="Times New Roman"/>
          <w:noProof/>
          <w:lang w:val="en-GB"/>
        </w:rPr>
        <w:t>(1), 69–72. https://doi.org/10.1016/j.neulet.2004.03.047</w:t>
      </w:r>
    </w:p>
    <w:p w14:paraId="56B8CF16"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Juricek, L., &amp; Coumoul, X. (2018). The Aryl Hydrocarbon Receptor and the Nervous System. </w:t>
      </w:r>
      <w:r w:rsidRPr="00ED4F68">
        <w:rPr>
          <w:rFonts w:cs="Times New Roman"/>
          <w:i/>
          <w:iCs/>
          <w:noProof/>
          <w:lang w:val="en-GB"/>
        </w:rPr>
        <w:t>International Journal of Molecular Sciences</w:t>
      </w:r>
      <w:r w:rsidRPr="00ED4F68">
        <w:rPr>
          <w:rFonts w:cs="Times New Roman"/>
          <w:noProof/>
          <w:lang w:val="en-GB"/>
        </w:rPr>
        <w:t xml:space="preserve">, </w:t>
      </w:r>
      <w:r w:rsidRPr="00ED4F68">
        <w:rPr>
          <w:rFonts w:cs="Times New Roman"/>
          <w:i/>
          <w:iCs/>
          <w:noProof/>
          <w:lang w:val="en-GB"/>
        </w:rPr>
        <w:t>19</w:t>
      </w:r>
      <w:r w:rsidRPr="00ED4F68">
        <w:rPr>
          <w:rFonts w:cs="Times New Roman"/>
          <w:noProof/>
          <w:lang w:val="en-GB"/>
        </w:rPr>
        <w:t>(9). https://doi.org/10.3390/IJMS19092504</w:t>
      </w:r>
    </w:p>
    <w:p w14:paraId="0AED71DC"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Kanayama, Y., Enomoto, S., Irie, T., &amp; Amano, R. (2005). Axonal transport of rubidium and thallium in the olfactory nerve of mice. </w:t>
      </w:r>
      <w:r w:rsidRPr="00ED4F68">
        <w:rPr>
          <w:rFonts w:cs="Times New Roman"/>
          <w:i/>
          <w:iCs/>
          <w:noProof/>
          <w:lang w:val="en-GB"/>
        </w:rPr>
        <w:t>Nuclear Medicine and Biology</w:t>
      </w:r>
      <w:r w:rsidRPr="00ED4F68">
        <w:rPr>
          <w:rFonts w:cs="Times New Roman"/>
          <w:noProof/>
          <w:lang w:val="en-GB"/>
        </w:rPr>
        <w:t xml:space="preserve">, </w:t>
      </w:r>
      <w:r w:rsidRPr="00ED4F68">
        <w:rPr>
          <w:rFonts w:cs="Times New Roman"/>
          <w:i/>
          <w:iCs/>
          <w:noProof/>
          <w:lang w:val="en-GB"/>
        </w:rPr>
        <w:t>32</w:t>
      </w:r>
      <w:r w:rsidRPr="00ED4F68">
        <w:rPr>
          <w:rFonts w:cs="Times New Roman"/>
          <w:noProof/>
          <w:lang w:val="en-GB"/>
        </w:rPr>
        <w:t>(5), 505–512. https://doi.org/10.1016/j.nucmedbio.2005.03.009</w:t>
      </w:r>
    </w:p>
    <w:p w14:paraId="5235C9DB"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Karavalakis, G., Gysel, N., Schmitz, D. A., Cho, A. K., Sioutas, C., Schauer, J. J., Cocker, D. R., &amp; Durbin, T. D. (2017). Impact of biodiesel on regulated and unregulated emissions, and redox and proinflammatory properties of PM emitted from heavy-duty vehicles. </w:t>
      </w:r>
      <w:r w:rsidRPr="00ED4F68">
        <w:rPr>
          <w:rFonts w:cs="Times New Roman"/>
          <w:i/>
          <w:iCs/>
          <w:noProof/>
          <w:lang w:val="en-GB"/>
        </w:rPr>
        <w:t>Science of The Total Environment</w:t>
      </w:r>
      <w:r w:rsidRPr="00ED4F68">
        <w:rPr>
          <w:rFonts w:cs="Times New Roman"/>
          <w:noProof/>
          <w:lang w:val="en-GB"/>
        </w:rPr>
        <w:t xml:space="preserve">, </w:t>
      </w:r>
      <w:r w:rsidRPr="00ED4F68">
        <w:rPr>
          <w:rFonts w:cs="Times New Roman"/>
          <w:i/>
          <w:iCs/>
          <w:noProof/>
          <w:lang w:val="en-GB"/>
        </w:rPr>
        <w:t>584</w:t>
      </w:r>
      <w:r w:rsidRPr="00ED4F68">
        <w:rPr>
          <w:rFonts w:cs="Times New Roman"/>
          <w:noProof/>
          <w:lang w:val="en-GB"/>
        </w:rPr>
        <w:t>–</w:t>
      </w:r>
      <w:r w:rsidRPr="00ED4F68">
        <w:rPr>
          <w:rFonts w:cs="Times New Roman"/>
          <w:i/>
          <w:iCs/>
          <w:noProof/>
          <w:lang w:val="en-GB"/>
        </w:rPr>
        <w:t>585</w:t>
      </w:r>
      <w:r w:rsidRPr="00ED4F68">
        <w:rPr>
          <w:rFonts w:cs="Times New Roman"/>
          <w:noProof/>
          <w:lang w:val="en-GB"/>
        </w:rPr>
        <w:t>, 1230–1238. https://doi.org/10.1016/j.scitotenv.2017.01.187</w:t>
      </w:r>
    </w:p>
    <w:p w14:paraId="748DB497"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Karlsson, H. L., Cronholm, P., Gustafsson, J., &amp; Möller, L. (2008). Copper oxide nanoparticles are highly toxic: A comparison between metal oxide nanoparticles and carbon nanotubes. </w:t>
      </w:r>
      <w:r w:rsidRPr="00ED4F68">
        <w:rPr>
          <w:rFonts w:cs="Times New Roman"/>
          <w:i/>
          <w:iCs/>
          <w:noProof/>
          <w:lang w:val="en-GB"/>
        </w:rPr>
        <w:t>Chemical Research in Toxicology</w:t>
      </w:r>
      <w:r w:rsidRPr="00ED4F68">
        <w:rPr>
          <w:rFonts w:cs="Times New Roman"/>
          <w:noProof/>
          <w:lang w:val="en-GB"/>
        </w:rPr>
        <w:t xml:space="preserve">, </w:t>
      </w:r>
      <w:r w:rsidRPr="00ED4F68">
        <w:rPr>
          <w:rFonts w:cs="Times New Roman"/>
          <w:i/>
          <w:iCs/>
          <w:noProof/>
          <w:lang w:val="en-GB"/>
        </w:rPr>
        <w:t>21</w:t>
      </w:r>
      <w:r w:rsidRPr="00ED4F68">
        <w:rPr>
          <w:rFonts w:cs="Times New Roman"/>
          <w:noProof/>
          <w:lang w:val="en-GB"/>
        </w:rPr>
        <w:t>(9), 1726–1732. https://doi.org/10.1021/TX800064J/ASSET/IMAGES/TX800064J.SOCIAL.JPEG_V03</w:t>
      </w:r>
    </w:p>
    <w:p w14:paraId="7B56037B" w14:textId="77777777" w:rsidR="00ED4F68" w:rsidRPr="00ED4F68" w:rsidRDefault="00ED4F68" w:rsidP="00A14895">
      <w:pPr>
        <w:widowControl w:val="0"/>
        <w:autoSpaceDE w:val="0"/>
        <w:autoSpaceDN w:val="0"/>
        <w:adjustRightInd w:val="0"/>
        <w:ind w:left="480" w:hanging="480"/>
        <w:rPr>
          <w:rFonts w:cs="Times New Roman"/>
          <w:noProof/>
          <w:lang w:val="en-GB"/>
        </w:rPr>
      </w:pPr>
      <w:r w:rsidRPr="0098400D">
        <w:rPr>
          <w:rFonts w:cs="Times New Roman"/>
          <w:noProof/>
          <w:lang w:val="nl-NL"/>
        </w:rPr>
        <w:t xml:space="preserve">Khreis, H., Ramani, T., de Hoogh, K., Mueller, N., Rojas-Rueda, D., Zietsman, J., &amp; Nieuwenhuijsen, M. J. (2019). </w:t>
      </w:r>
      <w:r w:rsidRPr="00ED4F68">
        <w:rPr>
          <w:rFonts w:cs="Times New Roman"/>
          <w:noProof/>
          <w:lang w:val="en-GB"/>
        </w:rPr>
        <w:t xml:space="preserve">Traffic-related air pollution and the local burden of childhood asthma in Bradford, UK. </w:t>
      </w:r>
      <w:r w:rsidRPr="00ED4F68">
        <w:rPr>
          <w:rFonts w:cs="Times New Roman"/>
          <w:i/>
          <w:iCs/>
          <w:noProof/>
          <w:lang w:val="en-GB"/>
        </w:rPr>
        <w:t>International Journal of Transportation Science and Technology</w:t>
      </w:r>
      <w:r w:rsidRPr="00ED4F68">
        <w:rPr>
          <w:rFonts w:cs="Times New Roman"/>
          <w:noProof/>
          <w:lang w:val="en-GB"/>
        </w:rPr>
        <w:t xml:space="preserve">, </w:t>
      </w:r>
      <w:r w:rsidRPr="00ED4F68">
        <w:rPr>
          <w:rFonts w:cs="Times New Roman"/>
          <w:i/>
          <w:iCs/>
          <w:noProof/>
          <w:lang w:val="en-GB"/>
        </w:rPr>
        <w:t>8</w:t>
      </w:r>
      <w:r w:rsidRPr="00ED4F68">
        <w:rPr>
          <w:rFonts w:cs="Times New Roman"/>
          <w:noProof/>
          <w:lang w:val="en-GB"/>
        </w:rPr>
        <w:t>(2), 116–128. https://doi.org/10.1016/j.ijtst.2018.07.003</w:t>
      </w:r>
    </w:p>
    <w:p w14:paraId="2DD084FD"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Kim, D., Chen, Z., Zhou, L.-F., &amp; Huang, S.-X. (2018). Air pollutants and early origins of respiratory diseases. </w:t>
      </w:r>
      <w:r w:rsidRPr="00ED4F68">
        <w:rPr>
          <w:rFonts w:cs="Times New Roman"/>
          <w:i/>
          <w:iCs/>
          <w:noProof/>
          <w:lang w:val="en-GB"/>
        </w:rPr>
        <w:t>Chronic Diseases and Translational Medicine</w:t>
      </w:r>
      <w:r w:rsidRPr="00ED4F68">
        <w:rPr>
          <w:rFonts w:cs="Times New Roman"/>
          <w:noProof/>
          <w:lang w:val="en-GB"/>
        </w:rPr>
        <w:t xml:space="preserve">, </w:t>
      </w:r>
      <w:r w:rsidRPr="00ED4F68">
        <w:rPr>
          <w:rFonts w:cs="Times New Roman"/>
          <w:i/>
          <w:iCs/>
          <w:noProof/>
          <w:lang w:val="en-GB"/>
        </w:rPr>
        <w:t>4</w:t>
      </w:r>
      <w:r w:rsidRPr="00ED4F68">
        <w:rPr>
          <w:rFonts w:cs="Times New Roman"/>
          <w:noProof/>
          <w:lang w:val="en-GB"/>
        </w:rPr>
        <w:t>(2), 75–94. https://doi.org/10.1016/j.cdtm.2018.03.003</w:t>
      </w:r>
    </w:p>
    <w:p w14:paraId="338AA8C4"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lastRenderedPageBreak/>
        <w:t xml:space="preserve">Kreyling, W. G., Semmler-Behnke, M., Seitz, J., Scymczak, W., Wenk, A., Mayer, P., Takenaka, S., &amp; Oberdrster, G. (2009). Size dependence of the translocation of inhaled iridium and carbon nanoparticle aggregates from the lung of rats to the blood and secondary target organs. </w:t>
      </w:r>
      <w:r w:rsidRPr="00ED4F68">
        <w:rPr>
          <w:rFonts w:cs="Times New Roman"/>
          <w:i/>
          <w:iCs/>
          <w:noProof/>
          <w:lang w:val="en-GB"/>
        </w:rPr>
        <w:t>Https://Doi-Org.Proxy.Library.Uu.Nl/10.1080/08958370902942517</w:t>
      </w:r>
      <w:r w:rsidRPr="00ED4F68">
        <w:rPr>
          <w:rFonts w:cs="Times New Roman"/>
          <w:noProof/>
          <w:lang w:val="en-GB"/>
        </w:rPr>
        <w:t xml:space="preserve">, </w:t>
      </w:r>
      <w:r w:rsidRPr="00ED4F68">
        <w:rPr>
          <w:rFonts w:cs="Times New Roman"/>
          <w:i/>
          <w:iCs/>
          <w:noProof/>
          <w:lang w:val="en-GB"/>
        </w:rPr>
        <w:t>21</w:t>
      </w:r>
      <w:r w:rsidRPr="00ED4F68">
        <w:rPr>
          <w:rFonts w:cs="Times New Roman"/>
          <w:noProof/>
          <w:lang w:val="en-GB"/>
        </w:rPr>
        <w:t>(SUPPL. 1), 55–60. https://doi.org/10.1080/08958370902942517</w:t>
      </w:r>
    </w:p>
    <w:p w14:paraId="69792C49"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Kwon, H.-S. S., Ryu, M. H., &amp; Carlsten, C. (2020). Ultrafine particles: unique physicochemical properties relevant to health and disease. </w:t>
      </w:r>
      <w:r w:rsidRPr="00ED4F68">
        <w:rPr>
          <w:rFonts w:cs="Times New Roman"/>
          <w:i/>
          <w:iCs/>
          <w:noProof/>
          <w:lang w:val="en-GB"/>
        </w:rPr>
        <w:t>Experimental &amp; Molecular Medicine</w:t>
      </w:r>
      <w:r w:rsidRPr="00ED4F68">
        <w:rPr>
          <w:rFonts w:cs="Times New Roman"/>
          <w:noProof/>
          <w:lang w:val="en-GB"/>
        </w:rPr>
        <w:t xml:space="preserve">, </w:t>
      </w:r>
      <w:r w:rsidRPr="00ED4F68">
        <w:rPr>
          <w:rFonts w:cs="Times New Roman"/>
          <w:i/>
          <w:iCs/>
          <w:noProof/>
          <w:lang w:val="en-GB"/>
        </w:rPr>
        <w:t>52</w:t>
      </w:r>
      <w:r w:rsidRPr="00ED4F68">
        <w:rPr>
          <w:rFonts w:cs="Times New Roman"/>
          <w:noProof/>
          <w:lang w:val="en-GB"/>
        </w:rPr>
        <w:t>(3), 318–328. https://doi.org/10.1038/s12276-020-0405-1</w:t>
      </w:r>
    </w:p>
    <w:p w14:paraId="68A4D87D"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Legendy, C. R., &amp; Salcman, M. (1985). Bursts and recurrences of bursts in the spike trains of spontaneously active striate cortex neurons. </w:t>
      </w:r>
      <w:r w:rsidRPr="00ED4F68">
        <w:rPr>
          <w:rFonts w:cs="Times New Roman"/>
          <w:i/>
          <w:iCs/>
          <w:noProof/>
          <w:lang w:val="en-GB"/>
        </w:rPr>
        <w:t>Journal of Neurophysiology</w:t>
      </w:r>
      <w:r w:rsidRPr="00ED4F68">
        <w:rPr>
          <w:rFonts w:cs="Times New Roman"/>
          <w:noProof/>
          <w:lang w:val="en-GB"/>
        </w:rPr>
        <w:t xml:space="preserve">, </w:t>
      </w:r>
      <w:r w:rsidRPr="00ED4F68">
        <w:rPr>
          <w:rFonts w:cs="Times New Roman"/>
          <w:i/>
          <w:iCs/>
          <w:noProof/>
          <w:lang w:val="en-GB"/>
        </w:rPr>
        <w:t>53</w:t>
      </w:r>
      <w:r w:rsidRPr="00ED4F68">
        <w:rPr>
          <w:rFonts w:cs="Times New Roman"/>
          <w:noProof/>
          <w:lang w:val="en-GB"/>
        </w:rPr>
        <w:t>(4), 926–939. https://doi.org/10.1152/jn.1985.53.4.926</w:t>
      </w:r>
    </w:p>
    <w:p w14:paraId="171229CD"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Lelieveld, J., Klingmüller, K., Pozzer, A., Pöschl, U., Fnais, M., Daiber, A., &amp; Münzel, T. (2019). Cardiovascular disease burden from ambient air pollution in Europe reassessed using novel hazard ratio functions. </w:t>
      </w:r>
      <w:r w:rsidRPr="00ED4F68">
        <w:rPr>
          <w:rFonts w:cs="Times New Roman"/>
          <w:i/>
          <w:iCs/>
          <w:noProof/>
          <w:lang w:val="en-GB"/>
        </w:rPr>
        <w:t>European Heart Journal</w:t>
      </w:r>
      <w:r w:rsidRPr="00ED4F68">
        <w:rPr>
          <w:rFonts w:cs="Times New Roman"/>
          <w:noProof/>
          <w:lang w:val="en-GB"/>
        </w:rPr>
        <w:t xml:space="preserve">, </w:t>
      </w:r>
      <w:r w:rsidRPr="00ED4F68">
        <w:rPr>
          <w:rFonts w:cs="Times New Roman"/>
          <w:i/>
          <w:iCs/>
          <w:noProof/>
          <w:lang w:val="en-GB"/>
        </w:rPr>
        <w:t>40</w:t>
      </w:r>
      <w:r w:rsidRPr="00ED4F68">
        <w:rPr>
          <w:rFonts w:cs="Times New Roman"/>
          <w:noProof/>
          <w:lang w:val="en-GB"/>
        </w:rPr>
        <w:t>(20), 1590–1596. https://doi.org/10.1093/eurheartj/ehz135</w:t>
      </w:r>
    </w:p>
    <w:p w14:paraId="2EDA50A6"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Levesque, S., Surace, M. J., McDonald, J., &amp; Block, M. L. (2011). Air pollution &amp; the brain: Subchronic diesel exhaust exposure causes neuroinflammation and elevates early markers of neurodegenerative disease. </w:t>
      </w:r>
      <w:r w:rsidRPr="00ED4F68">
        <w:rPr>
          <w:rFonts w:cs="Times New Roman"/>
          <w:i/>
          <w:iCs/>
          <w:noProof/>
          <w:lang w:val="en-GB"/>
        </w:rPr>
        <w:t>Journal of Neuroinflammation</w:t>
      </w:r>
      <w:r w:rsidRPr="00ED4F68">
        <w:rPr>
          <w:rFonts w:cs="Times New Roman"/>
          <w:noProof/>
          <w:lang w:val="en-GB"/>
        </w:rPr>
        <w:t xml:space="preserve">, </w:t>
      </w:r>
      <w:r w:rsidRPr="00ED4F68">
        <w:rPr>
          <w:rFonts w:cs="Times New Roman"/>
          <w:i/>
          <w:iCs/>
          <w:noProof/>
          <w:lang w:val="en-GB"/>
        </w:rPr>
        <w:t>8</w:t>
      </w:r>
      <w:r w:rsidRPr="00ED4F68">
        <w:rPr>
          <w:rFonts w:cs="Times New Roman"/>
          <w:noProof/>
          <w:lang w:val="en-GB"/>
        </w:rPr>
        <w:t>(1), 105. https://doi.org/10.1186/1742-2094-8-105</w:t>
      </w:r>
    </w:p>
    <w:p w14:paraId="0854CC78"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Li, Y., &amp; Lee, J. S. (2020). Insights into Characterization Methods and Biomedical Applications of Nanoparticle–Protein Corona. </w:t>
      </w:r>
      <w:r w:rsidRPr="00ED4F68">
        <w:rPr>
          <w:rFonts w:cs="Times New Roman"/>
          <w:i/>
          <w:iCs/>
          <w:noProof/>
          <w:lang w:val="en-GB"/>
        </w:rPr>
        <w:t>Materials 2020, Vol. 13, Page 3093</w:t>
      </w:r>
      <w:r w:rsidRPr="00ED4F68">
        <w:rPr>
          <w:rFonts w:cs="Times New Roman"/>
          <w:noProof/>
          <w:lang w:val="en-GB"/>
        </w:rPr>
        <w:t xml:space="preserve">, </w:t>
      </w:r>
      <w:r w:rsidRPr="00ED4F68">
        <w:rPr>
          <w:rFonts w:cs="Times New Roman"/>
          <w:i/>
          <w:iCs/>
          <w:noProof/>
          <w:lang w:val="en-GB"/>
        </w:rPr>
        <w:t>13</w:t>
      </w:r>
      <w:r w:rsidRPr="00ED4F68">
        <w:rPr>
          <w:rFonts w:cs="Times New Roman"/>
          <w:noProof/>
          <w:lang w:val="en-GB"/>
        </w:rPr>
        <w:t>(14), 3093. https://doi.org/10.3390/MA13143093</w:t>
      </w:r>
    </w:p>
    <w:p w14:paraId="3834DB1B"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Manigrasso, M., Costabile, F., Liberto, L. Di, Gobbi, G. P., Gualtieri, M., Zanini, G., &amp; Avino, P. (2020). Size resolved aerosol respiratory doses in a Mediterranean urban area: From PM10 to ultrafine particles. </w:t>
      </w:r>
      <w:r w:rsidRPr="00ED4F68">
        <w:rPr>
          <w:rFonts w:cs="Times New Roman"/>
          <w:i/>
          <w:iCs/>
          <w:noProof/>
          <w:lang w:val="en-GB"/>
        </w:rPr>
        <w:t>Environment International</w:t>
      </w:r>
      <w:r w:rsidRPr="00ED4F68">
        <w:rPr>
          <w:rFonts w:cs="Times New Roman"/>
          <w:noProof/>
          <w:lang w:val="en-GB"/>
        </w:rPr>
        <w:t xml:space="preserve">, </w:t>
      </w:r>
      <w:r w:rsidRPr="00ED4F68">
        <w:rPr>
          <w:rFonts w:cs="Times New Roman"/>
          <w:i/>
          <w:iCs/>
          <w:noProof/>
          <w:lang w:val="en-GB"/>
        </w:rPr>
        <w:t>141</w:t>
      </w:r>
      <w:r w:rsidRPr="00ED4F68">
        <w:rPr>
          <w:rFonts w:cs="Times New Roman"/>
          <w:noProof/>
          <w:lang w:val="en-GB"/>
        </w:rPr>
        <w:t>, 105714. https://doi.org/10.1016/j.envint.2020.105714</w:t>
      </w:r>
    </w:p>
    <w:p w14:paraId="5EC66789"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Mannucci, P. M., Harari, S., &amp; Franchini, M. (2019). Novel evidence for a greater burden of ambient air pollution on cardiovascular disease. </w:t>
      </w:r>
      <w:r w:rsidRPr="00ED4F68">
        <w:rPr>
          <w:rFonts w:cs="Times New Roman"/>
          <w:i/>
          <w:iCs/>
          <w:noProof/>
          <w:lang w:val="en-GB"/>
        </w:rPr>
        <w:t>Haematologica</w:t>
      </w:r>
      <w:r w:rsidRPr="00ED4F68">
        <w:rPr>
          <w:rFonts w:cs="Times New Roman"/>
          <w:noProof/>
          <w:lang w:val="en-GB"/>
        </w:rPr>
        <w:t xml:space="preserve">, </w:t>
      </w:r>
      <w:r w:rsidRPr="00ED4F68">
        <w:rPr>
          <w:rFonts w:cs="Times New Roman"/>
          <w:i/>
          <w:iCs/>
          <w:noProof/>
          <w:lang w:val="en-GB"/>
        </w:rPr>
        <w:t>104</w:t>
      </w:r>
      <w:r w:rsidRPr="00ED4F68">
        <w:rPr>
          <w:rFonts w:cs="Times New Roman"/>
          <w:noProof/>
          <w:lang w:val="en-GB"/>
        </w:rPr>
        <w:t>(12), 2349–2357. https://doi.org/10.3324/haematol.2019.225086</w:t>
      </w:r>
    </w:p>
    <w:p w14:paraId="7C7ECC9B"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Martin, N., Lombard, M., Jensen, K. R., Kelley, P., Pratt, T., &amp; Traviss, N. (2017). Effect of biodiesel fuel on “real-world”, nonroad heavy duty diesel engine particulate matter emissions, composition and cytotoxicity. </w:t>
      </w:r>
      <w:r w:rsidRPr="00ED4F68">
        <w:rPr>
          <w:rFonts w:cs="Times New Roman"/>
          <w:i/>
          <w:iCs/>
          <w:noProof/>
          <w:lang w:val="en-GB"/>
        </w:rPr>
        <w:t>Science of The Total Environment</w:t>
      </w:r>
      <w:r w:rsidRPr="00ED4F68">
        <w:rPr>
          <w:rFonts w:cs="Times New Roman"/>
          <w:noProof/>
          <w:lang w:val="en-GB"/>
        </w:rPr>
        <w:t xml:space="preserve">, </w:t>
      </w:r>
      <w:r w:rsidRPr="00ED4F68">
        <w:rPr>
          <w:rFonts w:cs="Times New Roman"/>
          <w:i/>
          <w:iCs/>
          <w:noProof/>
          <w:lang w:val="en-GB"/>
        </w:rPr>
        <w:t>586</w:t>
      </w:r>
      <w:r w:rsidRPr="00ED4F68">
        <w:rPr>
          <w:rFonts w:cs="Times New Roman"/>
          <w:noProof/>
          <w:lang w:val="en-GB"/>
        </w:rPr>
        <w:t>(3), 409–418. https://doi.org/10.1016/j.scitotenv.2016.12.041</w:t>
      </w:r>
    </w:p>
    <w:p w14:paraId="277C4E58"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Mayati, A., Le Ferrec, E., Lagadic-Gossmann, D., &amp; Fardel, O. (2012). Aryl hydrocarbon receptor-independent up-regulation of intracellular calcium concentration by environmental polycyclic aromatic hydrocarbons in human endothelial HMEC-1 cells. </w:t>
      </w:r>
      <w:r w:rsidRPr="00ED4F68">
        <w:rPr>
          <w:rFonts w:cs="Times New Roman"/>
          <w:i/>
          <w:iCs/>
          <w:noProof/>
          <w:lang w:val="en-GB"/>
        </w:rPr>
        <w:t>Environmental Toxicology</w:t>
      </w:r>
      <w:r w:rsidRPr="00ED4F68">
        <w:rPr>
          <w:rFonts w:cs="Times New Roman"/>
          <w:noProof/>
          <w:lang w:val="en-GB"/>
        </w:rPr>
        <w:t xml:space="preserve">, </w:t>
      </w:r>
      <w:r w:rsidRPr="00ED4F68">
        <w:rPr>
          <w:rFonts w:cs="Times New Roman"/>
          <w:i/>
          <w:iCs/>
          <w:noProof/>
          <w:lang w:val="en-GB"/>
        </w:rPr>
        <w:t>27</w:t>
      </w:r>
      <w:r w:rsidRPr="00ED4F68">
        <w:rPr>
          <w:rFonts w:cs="Times New Roman"/>
          <w:noProof/>
          <w:lang w:val="en-GB"/>
        </w:rPr>
        <w:t>(9), 556–562. https://doi.org/10.1002/TOX.20675</w:t>
      </w:r>
    </w:p>
    <w:p w14:paraId="66D65F82"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McCormick, R. L., Williams, A., Ireland, J., &amp; Hayes, R. R. (2006). </w:t>
      </w:r>
      <w:r w:rsidRPr="00ED4F68">
        <w:rPr>
          <w:rFonts w:cs="Times New Roman"/>
          <w:i/>
          <w:iCs/>
          <w:noProof/>
          <w:lang w:val="en-GB"/>
        </w:rPr>
        <w:t>Effects of Biodiesel Blends on Vehicle Emissions: Fiscal Year 2006 Annual Operating Plan Milestone 10.4</w:t>
      </w:r>
      <w:r w:rsidRPr="00ED4F68">
        <w:rPr>
          <w:rFonts w:cs="Times New Roman"/>
          <w:noProof/>
          <w:lang w:val="en-GB"/>
        </w:rPr>
        <w:t xml:space="preserve">. </w:t>
      </w:r>
      <w:r w:rsidRPr="00ED4F68">
        <w:rPr>
          <w:rFonts w:cs="Times New Roman"/>
          <w:noProof/>
          <w:lang w:val="en-GB"/>
        </w:rPr>
        <w:lastRenderedPageBreak/>
        <w:t>https://doi.org/10.2172/894987</w:t>
      </w:r>
    </w:p>
    <w:p w14:paraId="491ADA63"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Morgan, T. E., Davis, D. A., Iwata, N., Tanner, J. A., Snyder, D., Ning, Z., Kam, W., Hsu, Y. T., Winkler, J. W., Chen, J. C., Petasis, N. A., Baudry, M., Sioutas, C., &amp; Finch, C. E. (2011). Glutamatergic Neurons in Rodent Models Respond to Nanoscale Particulate Urban Air Pollutants in Vivo and in Vitro. </w:t>
      </w:r>
      <w:r w:rsidRPr="00ED4F68">
        <w:rPr>
          <w:rFonts w:cs="Times New Roman"/>
          <w:i/>
          <w:iCs/>
          <w:noProof/>
          <w:lang w:val="en-GB"/>
        </w:rPr>
        <w:t>Environmental Health Perspectives</w:t>
      </w:r>
      <w:r w:rsidRPr="00ED4F68">
        <w:rPr>
          <w:rFonts w:cs="Times New Roman"/>
          <w:noProof/>
          <w:lang w:val="en-GB"/>
        </w:rPr>
        <w:t xml:space="preserve">, </w:t>
      </w:r>
      <w:r w:rsidRPr="00ED4F68">
        <w:rPr>
          <w:rFonts w:cs="Times New Roman"/>
          <w:i/>
          <w:iCs/>
          <w:noProof/>
          <w:lang w:val="en-GB"/>
        </w:rPr>
        <w:t>119</w:t>
      </w:r>
      <w:r w:rsidRPr="00ED4F68">
        <w:rPr>
          <w:rFonts w:cs="Times New Roman"/>
          <w:noProof/>
          <w:lang w:val="en-GB"/>
        </w:rPr>
        <w:t>(7), 1003. https://doi.org/10.1289/EHP.1002973</w:t>
      </w:r>
    </w:p>
    <w:p w14:paraId="2638F1D7"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Oberdörster, G., Oberdörster, E., &amp; Oberdörster, J. (2005). Nanotoxicology: An Emerging Discipline Evolving from Studies of Ultrafine Particles. </w:t>
      </w:r>
      <w:r w:rsidRPr="00ED4F68">
        <w:rPr>
          <w:rFonts w:cs="Times New Roman"/>
          <w:i/>
          <w:iCs/>
          <w:noProof/>
          <w:lang w:val="en-GB"/>
        </w:rPr>
        <w:t>Environmental Health Perspectives</w:t>
      </w:r>
      <w:r w:rsidRPr="00ED4F68">
        <w:rPr>
          <w:rFonts w:cs="Times New Roman"/>
          <w:noProof/>
          <w:lang w:val="en-GB"/>
        </w:rPr>
        <w:t xml:space="preserve">, </w:t>
      </w:r>
      <w:r w:rsidRPr="00ED4F68">
        <w:rPr>
          <w:rFonts w:cs="Times New Roman"/>
          <w:i/>
          <w:iCs/>
          <w:noProof/>
          <w:lang w:val="en-GB"/>
        </w:rPr>
        <w:t>113</w:t>
      </w:r>
      <w:r w:rsidRPr="00ED4F68">
        <w:rPr>
          <w:rFonts w:cs="Times New Roman"/>
          <w:noProof/>
          <w:lang w:val="en-GB"/>
        </w:rPr>
        <w:t>(7), 823–839. https://doi.org/10.1289/ehp.7339</w:t>
      </w:r>
    </w:p>
    <w:p w14:paraId="71A291D4"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Oberdörster, G., Sharp, Z., Atudorei, V., Elder, A., Gelein, R., Kreyling, W., &amp; Cox, C. (2004). Translocation of Inhaled Ultrafine Particles to the Brain. </w:t>
      </w:r>
      <w:r w:rsidRPr="00ED4F68">
        <w:rPr>
          <w:rFonts w:cs="Times New Roman"/>
          <w:i/>
          <w:iCs/>
          <w:noProof/>
          <w:lang w:val="en-GB"/>
        </w:rPr>
        <w:t>Inhalation Toxicology</w:t>
      </w:r>
      <w:r w:rsidRPr="00ED4F68">
        <w:rPr>
          <w:rFonts w:cs="Times New Roman"/>
          <w:noProof/>
          <w:lang w:val="en-GB"/>
        </w:rPr>
        <w:t xml:space="preserve">, </w:t>
      </w:r>
      <w:r w:rsidRPr="00ED4F68">
        <w:rPr>
          <w:rFonts w:cs="Times New Roman"/>
          <w:i/>
          <w:iCs/>
          <w:noProof/>
          <w:lang w:val="en-GB"/>
        </w:rPr>
        <w:t>16</w:t>
      </w:r>
      <w:r w:rsidRPr="00ED4F68">
        <w:rPr>
          <w:rFonts w:cs="Times New Roman"/>
          <w:noProof/>
          <w:lang w:val="en-GB"/>
        </w:rPr>
        <w:t>(6–7), 437–445. https://doi.org/10.1080/08958370490439597</w:t>
      </w:r>
    </w:p>
    <w:p w14:paraId="04C17239" w14:textId="77777777" w:rsidR="00ED4F68" w:rsidRPr="0098400D" w:rsidRDefault="00ED4F68" w:rsidP="00A14895">
      <w:pPr>
        <w:widowControl w:val="0"/>
        <w:autoSpaceDE w:val="0"/>
        <w:autoSpaceDN w:val="0"/>
        <w:adjustRightInd w:val="0"/>
        <w:ind w:left="480" w:hanging="480"/>
        <w:rPr>
          <w:rFonts w:cs="Times New Roman"/>
          <w:noProof/>
          <w:lang w:val="nl-NL"/>
        </w:rPr>
      </w:pPr>
      <w:r w:rsidRPr="00ED4F68">
        <w:rPr>
          <w:rFonts w:cs="Times New Roman"/>
          <w:noProof/>
          <w:lang w:val="en-GB"/>
        </w:rPr>
        <w:t xml:space="preserve">Popovicheva, O., Engling, G., Lin, K. T., Persiantseva, N., Timofeev, M., Kireeva, E., Völk, P., Hubert, A., &amp; Wachtmeister, G. (2015). Diesel/biofuel exhaust particles from modern internal combustion engines: Microstructure, composition, and hygroscopicity. </w:t>
      </w:r>
      <w:r w:rsidRPr="0098400D">
        <w:rPr>
          <w:rFonts w:cs="Times New Roman"/>
          <w:i/>
          <w:iCs/>
          <w:noProof/>
          <w:lang w:val="nl-NL"/>
        </w:rPr>
        <w:t>Fuel</w:t>
      </w:r>
      <w:r w:rsidRPr="0098400D">
        <w:rPr>
          <w:rFonts w:cs="Times New Roman"/>
          <w:noProof/>
          <w:lang w:val="nl-NL"/>
        </w:rPr>
        <w:t xml:space="preserve">, </w:t>
      </w:r>
      <w:r w:rsidRPr="0098400D">
        <w:rPr>
          <w:rFonts w:cs="Times New Roman"/>
          <w:i/>
          <w:iCs/>
          <w:noProof/>
          <w:lang w:val="nl-NL"/>
        </w:rPr>
        <w:t>157</w:t>
      </w:r>
      <w:r w:rsidRPr="0098400D">
        <w:rPr>
          <w:rFonts w:cs="Times New Roman"/>
          <w:noProof/>
          <w:lang w:val="nl-NL"/>
        </w:rPr>
        <w:t>, 232–239. https://doi.org/10.1016/J.FUEL.2015.04.073</w:t>
      </w:r>
    </w:p>
    <w:p w14:paraId="0C47A018" w14:textId="77777777" w:rsidR="00ED4F68" w:rsidRPr="00ED4F68" w:rsidRDefault="00ED4F68" w:rsidP="00A14895">
      <w:pPr>
        <w:widowControl w:val="0"/>
        <w:autoSpaceDE w:val="0"/>
        <w:autoSpaceDN w:val="0"/>
        <w:adjustRightInd w:val="0"/>
        <w:ind w:left="480" w:hanging="480"/>
        <w:rPr>
          <w:rFonts w:cs="Times New Roman"/>
          <w:noProof/>
          <w:lang w:val="en-GB"/>
        </w:rPr>
      </w:pPr>
      <w:r w:rsidRPr="0098400D">
        <w:rPr>
          <w:rFonts w:cs="Times New Roman"/>
          <w:noProof/>
          <w:lang w:val="nl-NL"/>
        </w:rPr>
        <w:t xml:space="preserve">Qian, Y., Qiu, Y., Zhang, Y., &amp; Lu, X. (2017). </w:t>
      </w:r>
      <w:r w:rsidRPr="00ED4F68">
        <w:rPr>
          <w:rFonts w:cs="Times New Roman"/>
          <w:noProof/>
          <w:lang w:val="en-GB"/>
        </w:rPr>
        <w:t xml:space="preserve">Effects of different aromatics blended with diesel on combustion and emission characteristics with a common rail diesel engine. </w:t>
      </w:r>
      <w:r w:rsidRPr="00ED4F68">
        <w:rPr>
          <w:rFonts w:cs="Times New Roman"/>
          <w:i/>
          <w:iCs/>
          <w:noProof/>
          <w:lang w:val="en-GB"/>
        </w:rPr>
        <w:t>Applied Thermal Engineering</w:t>
      </w:r>
      <w:r w:rsidRPr="00ED4F68">
        <w:rPr>
          <w:rFonts w:cs="Times New Roman"/>
          <w:noProof/>
          <w:lang w:val="en-GB"/>
        </w:rPr>
        <w:t xml:space="preserve">, </w:t>
      </w:r>
      <w:r w:rsidRPr="00ED4F68">
        <w:rPr>
          <w:rFonts w:cs="Times New Roman"/>
          <w:i/>
          <w:iCs/>
          <w:noProof/>
          <w:lang w:val="en-GB"/>
        </w:rPr>
        <w:t>125</w:t>
      </w:r>
      <w:r w:rsidRPr="00ED4F68">
        <w:rPr>
          <w:rFonts w:cs="Times New Roman"/>
          <w:noProof/>
          <w:lang w:val="en-GB"/>
        </w:rPr>
        <w:t>, 1530–1538. https://doi.org/10.1016/j.applthermaleng.2017.07.145</w:t>
      </w:r>
    </w:p>
    <w:p w14:paraId="32D572B7"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Roedding, A. S., Gao, A. F., Wu, A. M. L., Li, P. P., Kish, S. J., &amp; Warsh, J. J. (2009). TRPC3 protein is expressed across the lifespan in human prefrontal cortex and cerebellum. </w:t>
      </w:r>
      <w:r w:rsidRPr="00ED4F68">
        <w:rPr>
          <w:rFonts w:cs="Times New Roman"/>
          <w:i/>
          <w:iCs/>
          <w:noProof/>
          <w:lang w:val="en-GB"/>
        </w:rPr>
        <w:t>Brain Research</w:t>
      </w:r>
      <w:r w:rsidRPr="00ED4F68">
        <w:rPr>
          <w:rFonts w:cs="Times New Roman"/>
          <w:noProof/>
          <w:lang w:val="en-GB"/>
        </w:rPr>
        <w:t xml:space="preserve">, </w:t>
      </w:r>
      <w:r w:rsidRPr="00ED4F68">
        <w:rPr>
          <w:rFonts w:cs="Times New Roman"/>
          <w:i/>
          <w:iCs/>
          <w:noProof/>
          <w:lang w:val="en-GB"/>
        </w:rPr>
        <w:t>1260</w:t>
      </w:r>
      <w:r w:rsidRPr="00ED4F68">
        <w:rPr>
          <w:rFonts w:cs="Times New Roman"/>
          <w:noProof/>
          <w:lang w:val="en-GB"/>
        </w:rPr>
        <w:t>, 1–6. https://doi.org/10.1016/j.brainres.2008.12.069</w:t>
      </w:r>
    </w:p>
    <w:p w14:paraId="419EA096"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Shi, L., Steenland, K., Li, H., Liu, P., Zhang, Y., Lyles, R. H., Requia, W. J., Ilango, S. D., Chang, H. H., Wingo, T., Weber, R. J., &amp; Schwartz, J. (2021). A national cohort study (2000–2018) of long-term air pollution exposure and incident dementia in older adults in the United States. </w:t>
      </w:r>
      <w:r w:rsidRPr="00ED4F68">
        <w:rPr>
          <w:rFonts w:cs="Times New Roman"/>
          <w:i/>
          <w:iCs/>
          <w:noProof/>
          <w:lang w:val="en-GB"/>
        </w:rPr>
        <w:t>Nature Communications</w:t>
      </w:r>
      <w:r w:rsidRPr="00ED4F68">
        <w:rPr>
          <w:rFonts w:cs="Times New Roman"/>
          <w:noProof/>
          <w:lang w:val="en-GB"/>
        </w:rPr>
        <w:t xml:space="preserve">, </w:t>
      </w:r>
      <w:r w:rsidRPr="00ED4F68">
        <w:rPr>
          <w:rFonts w:cs="Times New Roman"/>
          <w:i/>
          <w:iCs/>
          <w:noProof/>
          <w:lang w:val="en-GB"/>
        </w:rPr>
        <w:t>12</w:t>
      </w:r>
      <w:r w:rsidRPr="00ED4F68">
        <w:rPr>
          <w:rFonts w:cs="Times New Roman"/>
          <w:noProof/>
          <w:lang w:val="en-GB"/>
        </w:rPr>
        <w:t>(1). https://doi.org/10.1038/S41467-021-27049-2</w:t>
      </w:r>
    </w:p>
    <w:p w14:paraId="7D83669E"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Shin, S., Burnett, R. T., Kwong, J. C., Hystad, P., Van Donkelaar, A., Brook, J. R., Copes, R., Tu, K., Goldberg, M. S., Villeneuve, P. J., Martin, R. V., Murray, B. J., Wilton, A. S., Kopp, A., &amp; Chen, H. (2018). Effects of ambient air pollution on incident Parkinson’s disease in Ontario, 2001 to 2013: A population-based cohort study. </w:t>
      </w:r>
      <w:r w:rsidRPr="00ED4F68">
        <w:rPr>
          <w:rFonts w:cs="Times New Roman"/>
          <w:i/>
          <w:iCs/>
          <w:noProof/>
          <w:lang w:val="en-GB"/>
        </w:rPr>
        <w:t>International Journal of Epidemiology</w:t>
      </w:r>
      <w:r w:rsidRPr="00ED4F68">
        <w:rPr>
          <w:rFonts w:cs="Times New Roman"/>
          <w:noProof/>
          <w:lang w:val="en-GB"/>
        </w:rPr>
        <w:t xml:space="preserve">, </w:t>
      </w:r>
      <w:r w:rsidRPr="00ED4F68">
        <w:rPr>
          <w:rFonts w:cs="Times New Roman"/>
          <w:i/>
          <w:iCs/>
          <w:noProof/>
          <w:lang w:val="en-GB"/>
        </w:rPr>
        <w:t>47</w:t>
      </w:r>
      <w:r w:rsidRPr="00ED4F68">
        <w:rPr>
          <w:rFonts w:cs="Times New Roman"/>
          <w:noProof/>
          <w:lang w:val="en-GB"/>
        </w:rPr>
        <w:t>(6), 2038–2048. https://doi.org/10.1093/IJE/DYY172</w:t>
      </w:r>
    </w:p>
    <w:p w14:paraId="3504AA38"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Strickland, J. D., Lefew, W. R., Crooks, J., Hall, D., Ortenzio, J. N. R., Dreher, K., &amp; Shafer, T. J. (2015). In vitro screening of metal oxide nanoparticles for effects on neural function using cortical networks on microelectrode arrays. </w:t>
      </w:r>
      <w:r w:rsidRPr="00ED4F68">
        <w:rPr>
          <w:rFonts w:cs="Times New Roman"/>
          <w:i/>
          <w:iCs/>
          <w:noProof/>
          <w:lang w:val="en-GB"/>
        </w:rPr>
        <w:t>Nanotoxicology</w:t>
      </w:r>
      <w:r w:rsidRPr="00ED4F68">
        <w:rPr>
          <w:rFonts w:cs="Times New Roman"/>
          <w:noProof/>
          <w:lang w:val="en-GB"/>
        </w:rPr>
        <w:t xml:space="preserve">, </w:t>
      </w:r>
      <w:r w:rsidRPr="00ED4F68">
        <w:rPr>
          <w:rFonts w:cs="Times New Roman"/>
          <w:i/>
          <w:iCs/>
          <w:noProof/>
          <w:lang w:val="en-GB"/>
        </w:rPr>
        <w:t>10</w:t>
      </w:r>
      <w:r w:rsidRPr="00ED4F68">
        <w:rPr>
          <w:rFonts w:cs="Times New Roman"/>
          <w:noProof/>
          <w:lang w:val="en-GB"/>
        </w:rPr>
        <w:t>(5), 619–628. https://doi.org/10.3109/17435390.2015.1107142</w:t>
      </w:r>
    </w:p>
    <w:p w14:paraId="0F02F2B3"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Strickland, J. D., LeFew, W. R., Crooks, J., Hall, D., Ortenzio, J. N. R., Dreher, K., &amp; Shafer, T. J. (2016). In vitro screening of silver nanoparticles and ionic silver using neural networks yields differential effects on spontaneous activity and pharmacological responses. </w:t>
      </w:r>
      <w:r w:rsidRPr="00ED4F68">
        <w:rPr>
          <w:rFonts w:cs="Times New Roman"/>
          <w:i/>
          <w:iCs/>
          <w:noProof/>
          <w:lang w:val="en-GB"/>
        </w:rPr>
        <w:t>Toxicology</w:t>
      </w:r>
      <w:r w:rsidRPr="00ED4F68">
        <w:rPr>
          <w:rFonts w:cs="Times New Roman"/>
          <w:noProof/>
          <w:lang w:val="en-GB"/>
        </w:rPr>
        <w:t xml:space="preserve">, </w:t>
      </w:r>
      <w:r w:rsidRPr="00ED4F68">
        <w:rPr>
          <w:rFonts w:cs="Times New Roman"/>
          <w:i/>
          <w:iCs/>
          <w:noProof/>
          <w:lang w:val="en-GB"/>
        </w:rPr>
        <w:t>355</w:t>
      </w:r>
      <w:r w:rsidRPr="00ED4F68">
        <w:rPr>
          <w:rFonts w:cs="Times New Roman"/>
          <w:noProof/>
          <w:lang w:val="en-GB"/>
        </w:rPr>
        <w:t>–</w:t>
      </w:r>
      <w:r w:rsidRPr="00ED4F68">
        <w:rPr>
          <w:rFonts w:cs="Times New Roman"/>
          <w:i/>
          <w:iCs/>
          <w:noProof/>
          <w:lang w:val="en-GB"/>
        </w:rPr>
        <w:t>356</w:t>
      </w:r>
      <w:r w:rsidRPr="00ED4F68">
        <w:rPr>
          <w:rFonts w:cs="Times New Roman"/>
          <w:noProof/>
          <w:lang w:val="en-GB"/>
        </w:rPr>
        <w:t>, 1–8. https://doi.org/10.1016/j.tox.2016.05.009</w:t>
      </w:r>
    </w:p>
    <w:p w14:paraId="7F257405"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lastRenderedPageBreak/>
        <w:t xml:space="preserve">Tibuakuu, M., Michos, E. D., Navas-Acien, A., &amp; Jones, M. R. (2018). Air Pollution and Cardiovascular Disease: a Focus on Vulnerable Populations Worldwide. </w:t>
      </w:r>
      <w:r w:rsidRPr="00ED4F68">
        <w:rPr>
          <w:rFonts w:cs="Times New Roman"/>
          <w:i/>
          <w:iCs/>
          <w:noProof/>
          <w:lang w:val="en-GB"/>
        </w:rPr>
        <w:t>Current Epidemiology Reports</w:t>
      </w:r>
      <w:r w:rsidRPr="00ED4F68">
        <w:rPr>
          <w:rFonts w:cs="Times New Roman"/>
          <w:noProof/>
          <w:lang w:val="en-GB"/>
        </w:rPr>
        <w:t xml:space="preserve">, </w:t>
      </w:r>
      <w:r w:rsidRPr="00ED4F68">
        <w:rPr>
          <w:rFonts w:cs="Times New Roman"/>
          <w:i/>
          <w:iCs/>
          <w:noProof/>
          <w:lang w:val="en-GB"/>
        </w:rPr>
        <w:t>5</w:t>
      </w:r>
      <w:r w:rsidRPr="00ED4F68">
        <w:rPr>
          <w:rFonts w:cs="Times New Roman"/>
          <w:noProof/>
          <w:lang w:val="en-GB"/>
        </w:rPr>
        <w:t>(4), 370–378. https://doi.org/10.1007/s40471-018-0166-8</w:t>
      </w:r>
    </w:p>
    <w:p w14:paraId="5AE0F075"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Traboulsi, H., Guerrina, N., Iu, M., Maysinger, D., Ariya, P., &amp; Baglole, C. (2017). Inhaled Pollutants: The Molecular Scene behind Respiratory and Systemic Diseases Associated with Ultrafine Particulate Matter. </w:t>
      </w:r>
      <w:r w:rsidRPr="00ED4F68">
        <w:rPr>
          <w:rFonts w:cs="Times New Roman"/>
          <w:i/>
          <w:iCs/>
          <w:noProof/>
          <w:lang w:val="en-GB"/>
        </w:rPr>
        <w:t>International Journal of Molecular Sciences</w:t>
      </w:r>
      <w:r w:rsidRPr="00ED4F68">
        <w:rPr>
          <w:rFonts w:cs="Times New Roman"/>
          <w:noProof/>
          <w:lang w:val="en-GB"/>
        </w:rPr>
        <w:t xml:space="preserve">, </w:t>
      </w:r>
      <w:r w:rsidRPr="00ED4F68">
        <w:rPr>
          <w:rFonts w:cs="Times New Roman"/>
          <w:i/>
          <w:iCs/>
          <w:noProof/>
          <w:lang w:val="en-GB"/>
        </w:rPr>
        <w:t>18</w:t>
      </w:r>
      <w:r w:rsidRPr="00ED4F68">
        <w:rPr>
          <w:rFonts w:cs="Times New Roman"/>
          <w:noProof/>
          <w:lang w:val="en-GB"/>
        </w:rPr>
        <w:t>(2), 243. https://doi.org/10.3390/ijms18020243</w:t>
      </w:r>
    </w:p>
    <w:p w14:paraId="02759019"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Tsai, J.-H., Chen, S.-J., Huang, K.-L., Lee, W.-J., Kuo, W.-C., &amp; Lin, W.-Y. (2011). Characteristics of particulate emissions from a diesel generator fueled with varying blends of biodiesel and fossil diesel. </w:t>
      </w:r>
      <w:r w:rsidRPr="00ED4F68">
        <w:rPr>
          <w:rFonts w:cs="Times New Roman"/>
          <w:i/>
          <w:iCs/>
          <w:noProof/>
          <w:lang w:val="en-GB"/>
        </w:rPr>
        <w:t>Journal of Environmental Science and Health, Part A</w:t>
      </w:r>
      <w:r w:rsidRPr="00ED4F68">
        <w:rPr>
          <w:rFonts w:cs="Times New Roman"/>
          <w:noProof/>
          <w:lang w:val="en-GB"/>
        </w:rPr>
        <w:t xml:space="preserve">, </w:t>
      </w:r>
      <w:r w:rsidRPr="00ED4F68">
        <w:rPr>
          <w:rFonts w:cs="Times New Roman"/>
          <w:i/>
          <w:iCs/>
          <w:noProof/>
          <w:lang w:val="en-GB"/>
        </w:rPr>
        <w:t>46</w:t>
      </w:r>
      <w:r w:rsidRPr="00ED4F68">
        <w:rPr>
          <w:rFonts w:cs="Times New Roman"/>
          <w:noProof/>
          <w:lang w:val="en-GB"/>
        </w:rPr>
        <w:t>(2), 204–213. https://doi.org/10.1080/10934529.2011.532444</w:t>
      </w:r>
    </w:p>
    <w:p w14:paraId="7325CF84"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Tsolakis, A. (2006). Effects on Particle Size Distribution from the Diesel Engine Operating on RME-Biodiesel with EGR. </w:t>
      </w:r>
      <w:r w:rsidRPr="00ED4F68">
        <w:rPr>
          <w:rFonts w:cs="Times New Roman"/>
          <w:i/>
          <w:iCs/>
          <w:noProof/>
          <w:lang w:val="en-GB"/>
        </w:rPr>
        <w:t>Energy and Fuels</w:t>
      </w:r>
      <w:r w:rsidRPr="00ED4F68">
        <w:rPr>
          <w:rFonts w:cs="Times New Roman"/>
          <w:noProof/>
          <w:lang w:val="en-GB"/>
        </w:rPr>
        <w:t xml:space="preserve">, </w:t>
      </w:r>
      <w:r w:rsidRPr="00ED4F68">
        <w:rPr>
          <w:rFonts w:cs="Times New Roman"/>
          <w:i/>
          <w:iCs/>
          <w:noProof/>
          <w:lang w:val="en-GB"/>
        </w:rPr>
        <w:t>20</w:t>
      </w:r>
      <w:r w:rsidRPr="00ED4F68">
        <w:rPr>
          <w:rFonts w:cs="Times New Roman"/>
          <w:noProof/>
          <w:lang w:val="en-GB"/>
        </w:rPr>
        <w:t>(4), 1418–1424. https://doi.org/10.1021/EF050385C</w:t>
      </w:r>
    </w:p>
    <w:p w14:paraId="0C970341"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Tukker, A. M., Wijnolts, F. M. J., de Groot, A., &amp; Westerink, R. H. S. (2018). Human iPSC-derived neuronal models for in vitro neurotoxicity assessment. </w:t>
      </w:r>
      <w:r w:rsidRPr="00ED4F68">
        <w:rPr>
          <w:rFonts w:cs="Times New Roman"/>
          <w:i/>
          <w:iCs/>
          <w:noProof/>
          <w:lang w:val="en-GB"/>
        </w:rPr>
        <w:t>NeuroToxicology</w:t>
      </w:r>
      <w:r w:rsidRPr="00ED4F68">
        <w:rPr>
          <w:rFonts w:cs="Times New Roman"/>
          <w:noProof/>
          <w:lang w:val="en-GB"/>
        </w:rPr>
        <w:t xml:space="preserve">, </w:t>
      </w:r>
      <w:r w:rsidRPr="00ED4F68">
        <w:rPr>
          <w:rFonts w:cs="Times New Roman"/>
          <w:i/>
          <w:iCs/>
          <w:noProof/>
          <w:lang w:val="en-GB"/>
        </w:rPr>
        <w:t>67</w:t>
      </w:r>
      <w:r w:rsidRPr="00ED4F68">
        <w:rPr>
          <w:rFonts w:cs="Times New Roman"/>
          <w:noProof/>
          <w:lang w:val="en-GB"/>
        </w:rPr>
        <w:t>(November 2017), 215–225. https://doi.org/10.1016/j.neuro.2018.06.007</w:t>
      </w:r>
    </w:p>
    <w:p w14:paraId="1864883E"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Valand, R., Magnusson, P., Dziendzikowska, K., Gajewska, M., Wilczak, J., Oczkowski, M., Kamola, D., Królikowski, T., Kruszewski, M., Lankoff, A., Mruk, R., Marcus Eide, D., Sapierzyński, R., Gromadzka-Ostrowska, J., Duale, N., Øvrevik, J., &amp; Myhre, O. (2018). Gene expression changes in rat brain regions after 7- and 28 days inhalation exposure to exhaust emissions from 1st and 2nd generation biodiesel fuels - The FuelHealth project. </w:t>
      </w:r>
      <w:r w:rsidRPr="00ED4F68">
        <w:rPr>
          <w:rFonts w:cs="Times New Roman"/>
          <w:i/>
          <w:iCs/>
          <w:noProof/>
          <w:lang w:val="en-GB"/>
        </w:rPr>
        <w:t>Inhalation Toxicology</w:t>
      </w:r>
      <w:r w:rsidRPr="00ED4F68">
        <w:rPr>
          <w:rFonts w:cs="Times New Roman"/>
          <w:noProof/>
          <w:lang w:val="en-GB"/>
        </w:rPr>
        <w:t xml:space="preserve">, </w:t>
      </w:r>
      <w:r w:rsidRPr="00ED4F68">
        <w:rPr>
          <w:rFonts w:cs="Times New Roman"/>
          <w:i/>
          <w:iCs/>
          <w:noProof/>
          <w:lang w:val="en-GB"/>
        </w:rPr>
        <w:t>30</w:t>
      </w:r>
      <w:r w:rsidRPr="00ED4F68">
        <w:rPr>
          <w:rFonts w:cs="Times New Roman"/>
          <w:noProof/>
          <w:lang w:val="en-GB"/>
        </w:rPr>
        <w:t>(7–8), 299–312. https://doi.org/10.1080/08958378.2018.1520370</w:t>
      </w:r>
    </w:p>
    <w:p w14:paraId="63CB6BC4"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Vassallo, A., Chiappalone, M., De Camargos Lopes, R., Scelfo, B., Novellino, A., Defranchi, E., Palosaari, T., Weisschu, T., Ramirez, T., Martinoia, S., Johnstone, A. F. M., Mack, C. M., Landsiedel, R., Whelan, M., Bal-Price, A., &amp; Shafer, T. J. (2017). A multi-laboratory evaluation of microelectrode array-based measurements of neural network activity for acute neurotoxicity testing. </w:t>
      </w:r>
      <w:r w:rsidRPr="00ED4F68">
        <w:rPr>
          <w:rFonts w:cs="Times New Roman"/>
          <w:i/>
          <w:iCs/>
          <w:noProof/>
          <w:lang w:val="en-GB"/>
        </w:rPr>
        <w:t>NeuroToxicology</w:t>
      </w:r>
      <w:r w:rsidRPr="00ED4F68">
        <w:rPr>
          <w:rFonts w:cs="Times New Roman"/>
          <w:noProof/>
          <w:lang w:val="en-GB"/>
        </w:rPr>
        <w:t xml:space="preserve">, </w:t>
      </w:r>
      <w:r w:rsidRPr="00ED4F68">
        <w:rPr>
          <w:rFonts w:cs="Times New Roman"/>
          <w:i/>
          <w:iCs/>
          <w:noProof/>
          <w:lang w:val="en-GB"/>
        </w:rPr>
        <w:t>60</w:t>
      </w:r>
      <w:r w:rsidRPr="00ED4F68">
        <w:rPr>
          <w:rFonts w:cs="Times New Roman"/>
          <w:noProof/>
          <w:lang w:val="en-GB"/>
        </w:rPr>
        <w:t>, 280–292. https://doi.org/10.1016/j.neuro.2016.03.019</w:t>
      </w:r>
    </w:p>
    <w:p w14:paraId="0DF235B8"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Weichenthal, S., Olaniyan, T., Christidis, T., Lavigne, E., Hatzopoulou, M., Van Ryswyk, K., Tjepkema, M., &amp; Burnett, R. (2020). Within-city Spatial Variations in Ambient Ultrafine Particle Concentrations and Incident Brain Tumors in Adults. </w:t>
      </w:r>
      <w:r w:rsidRPr="00ED4F68">
        <w:rPr>
          <w:rFonts w:cs="Times New Roman"/>
          <w:i/>
          <w:iCs/>
          <w:noProof/>
          <w:lang w:val="en-GB"/>
        </w:rPr>
        <w:t>Epidemiology (Cambridge, Mass.)</w:t>
      </w:r>
      <w:r w:rsidRPr="00ED4F68">
        <w:rPr>
          <w:rFonts w:cs="Times New Roman"/>
          <w:noProof/>
          <w:lang w:val="en-GB"/>
        </w:rPr>
        <w:t xml:space="preserve">, </w:t>
      </w:r>
      <w:r w:rsidRPr="00ED4F68">
        <w:rPr>
          <w:rFonts w:cs="Times New Roman"/>
          <w:i/>
          <w:iCs/>
          <w:noProof/>
          <w:lang w:val="en-GB"/>
        </w:rPr>
        <w:t>31</w:t>
      </w:r>
      <w:r w:rsidRPr="00ED4F68">
        <w:rPr>
          <w:rFonts w:cs="Times New Roman"/>
          <w:noProof/>
          <w:lang w:val="en-GB"/>
        </w:rPr>
        <w:t>(2), 177. https://doi.org/10.1097/EDE.0000000000001137</w:t>
      </w:r>
    </w:p>
    <w:p w14:paraId="20037C75"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WHO. (2013). </w:t>
      </w:r>
      <w:r w:rsidRPr="00ED4F68">
        <w:rPr>
          <w:rFonts w:cs="Times New Roman"/>
          <w:i/>
          <w:iCs/>
          <w:noProof/>
          <w:lang w:val="en-GB"/>
        </w:rPr>
        <w:t>Review of evidence on health aspects of air pollution–REVIHAAP Project</w:t>
      </w:r>
      <w:r w:rsidRPr="00ED4F68">
        <w:rPr>
          <w:rFonts w:cs="Times New Roman"/>
          <w:noProof/>
          <w:lang w:val="en-GB"/>
        </w:rPr>
        <w:t>.</w:t>
      </w:r>
    </w:p>
    <w:p w14:paraId="40CA5937"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WHO. (2016). </w:t>
      </w:r>
      <w:r w:rsidRPr="00ED4F68">
        <w:rPr>
          <w:rFonts w:cs="Times New Roman"/>
          <w:i/>
          <w:iCs/>
          <w:noProof/>
          <w:lang w:val="en-GB"/>
        </w:rPr>
        <w:t>Ambient air pollution: A global assessment of exposure and burden of disease</w:t>
      </w:r>
      <w:r w:rsidRPr="00ED4F68">
        <w:rPr>
          <w:rFonts w:cs="Times New Roman"/>
          <w:noProof/>
          <w:lang w:val="en-GB"/>
        </w:rPr>
        <w:t>.</w:t>
      </w:r>
    </w:p>
    <w:p w14:paraId="2DCD5C1D" w14:textId="77777777" w:rsidR="00ED4F68" w:rsidRPr="00ED4F68" w:rsidRDefault="00ED4F68" w:rsidP="00A14895">
      <w:pPr>
        <w:widowControl w:val="0"/>
        <w:autoSpaceDE w:val="0"/>
        <w:autoSpaceDN w:val="0"/>
        <w:adjustRightInd w:val="0"/>
        <w:ind w:left="480" w:hanging="480"/>
        <w:rPr>
          <w:rFonts w:cs="Times New Roman"/>
          <w:noProof/>
          <w:lang w:val="en-GB"/>
        </w:rPr>
      </w:pPr>
      <w:r w:rsidRPr="0098400D">
        <w:rPr>
          <w:rFonts w:cs="Times New Roman"/>
          <w:noProof/>
          <w:lang w:val="nl-NL"/>
        </w:rPr>
        <w:t xml:space="preserve">Xu, K., Yang, Z., Shi, R., Luo, C., &amp; Zhang, Z. (2016). </w:t>
      </w:r>
      <w:r w:rsidRPr="00ED4F68">
        <w:rPr>
          <w:rFonts w:cs="Times New Roman"/>
          <w:noProof/>
          <w:lang w:val="en-GB"/>
        </w:rPr>
        <w:t xml:space="preserve">Expression of aryl hydrocarbon receptor in rat brain lesions following traumatic brain injury. </w:t>
      </w:r>
      <w:r w:rsidRPr="00ED4F68">
        <w:rPr>
          <w:rFonts w:cs="Times New Roman"/>
          <w:i/>
          <w:iCs/>
          <w:noProof/>
          <w:lang w:val="en-GB"/>
        </w:rPr>
        <w:t>Diagnostic Pathology</w:t>
      </w:r>
      <w:r w:rsidRPr="00ED4F68">
        <w:rPr>
          <w:rFonts w:cs="Times New Roman"/>
          <w:noProof/>
          <w:lang w:val="en-GB"/>
        </w:rPr>
        <w:t xml:space="preserve">, </w:t>
      </w:r>
      <w:r w:rsidRPr="00ED4F68">
        <w:rPr>
          <w:rFonts w:cs="Times New Roman"/>
          <w:i/>
          <w:iCs/>
          <w:noProof/>
          <w:lang w:val="en-GB"/>
        </w:rPr>
        <w:t>11</w:t>
      </w:r>
      <w:r w:rsidRPr="00ED4F68">
        <w:rPr>
          <w:rFonts w:cs="Times New Roman"/>
          <w:noProof/>
          <w:lang w:val="en-GB"/>
        </w:rPr>
        <w:t>(1). https://doi.org/10.1186/S13000-016-0522-2</w:t>
      </w:r>
    </w:p>
    <w:p w14:paraId="3A5382CD"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lastRenderedPageBreak/>
        <w:t xml:space="preserve">Zerboni, A., Rossi, T., Bengalli, R., Catelani, T., Rizzi, C., Priola, M., Casadei, S., &amp; Mantecca, P. (2022). Diesel exhaust particulate emissions and in vitro toxicity from Euro 3 and Euro 6 vehicles. </w:t>
      </w:r>
      <w:r w:rsidRPr="00ED4F68">
        <w:rPr>
          <w:rFonts w:cs="Times New Roman"/>
          <w:i/>
          <w:iCs/>
          <w:noProof/>
          <w:lang w:val="en-GB"/>
        </w:rPr>
        <w:t>Environmental Pollution</w:t>
      </w:r>
      <w:r w:rsidRPr="00ED4F68">
        <w:rPr>
          <w:rFonts w:cs="Times New Roman"/>
          <w:noProof/>
          <w:lang w:val="en-GB"/>
        </w:rPr>
        <w:t xml:space="preserve">, </w:t>
      </w:r>
      <w:r w:rsidRPr="00ED4F68">
        <w:rPr>
          <w:rFonts w:cs="Times New Roman"/>
          <w:i/>
          <w:iCs/>
          <w:noProof/>
          <w:lang w:val="en-GB"/>
        </w:rPr>
        <w:t>297</w:t>
      </w:r>
      <w:r w:rsidRPr="00ED4F68">
        <w:rPr>
          <w:rFonts w:cs="Times New Roman"/>
          <w:noProof/>
          <w:lang w:val="en-GB"/>
        </w:rPr>
        <w:t>, 118767. https://doi.org/10.1016/j.envpol.2021.118767</w:t>
      </w:r>
    </w:p>
    <w:p w14:paraId="30CDCA24"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Zhang, L., Ru, B., Liu, Y., Li, M., Li, B., Wang, L., Xu, L., Le Guyader, L., &amp; Chen, C. (2012). The dose-dependent toxicological effects and potential perturbation on the neurotransmitter secretion in brain following intranasal instillation of copper nanoparticles. </w:t>
      </w:r>
      <w:r w:rsidRPr="00ED4F68">
        <w:rPr>
          <w:rFonts w:cs="Times New Roman"/>
          <w:i/>
          <w:iCs/>
          <w:noProof/>
          <w:lang w:val="en-GB"/>
        </w:rPr>
        <w:t>Http://Dx.Doi.Org.Proxy.Library.Uu.Nl/10.3109/17435390.2011.590906</w:t>
      </w:r>
      <w:r w:rsidRPr="00ED4F68">
        <w:rPr>
          <w:rFonts w:cs="Times New Roman"/>
          <w:noProof/>
          <w:lang w:val="en-GB"/>
        </w:rPr>
        <w:t xml:space="preserve">, </w:t>
      </w:r>
      <w:r w:rsidRPr="00ED4F68">
        <w:rPr>
          <w:rFonts w:cs="Times New Roman"/>
          <w:i/>
          <w:iCs/>
          <w:noProof/>
          <w:lang w:val="en-GB"/>
        </w:rPr>
        <w:t>6</w:t>
      </w:r>
      <w:r w:rsidRPr="00ED4F68">
        <w:rPr>
          <w:rFonts w:cs="Times New Roman"/>
          <w:noProof/>
          <w:lang w:val="en-GB"/>
        </w:rPr>
        <w:t>(5), 562–575. https://doi.org/10.3109/17435390.2011.590906</w:t>
      </w:r>
    </w:p>
    <w:p w14:paraId="61D08E7C" w14:textId="77777777" w:rsidR="00ED4F68" w:rsidRPr="00ED4F68" w:rsidRDefault="00ED4F68" w:rsidP="00A14895">
      <w:pPr>
        <w:widowControl w:val="0"/>
        <w:autoSpaceDE w:val="0"/>
        <w:autoSpaceDN w:val="0"/>
        <w:adjustRightInd w:val="0"/>
        <w:ind w:left="480" w:hanging="480"/>
        <w:rPr>
          <w:rFonts w:cs="Times New Roman"/>
          <w:noProof/>
          <w:lang w:val="en-GB"/>
        </w:rPr>
      </w:pPr>
      <w:r w:rsidRPr="0098400D">
        <w:rPr>
          <w:rFonts w:cs="Times New Roman"/>
          <w:noProof/>
          <w:lang w:val="nl-NL"/>
        </w:rPr>
        <w:t xml:space="preserve">Zhu, F., Ding, R., Lei, R., Cheng, H., Liu, J., Shen, C., Zhang, C., Xu, Y., Xiao, C., Li, X., Zhang, J., &amp; Cao, J. (2019). </w:t>
      </w:r>
      <w:r w:rsidRPr="00ED4F68">
        <w:rPr>
          <w:rFonts w:cs="Times New Roman"/>
          <w:noProof/>
          <w:lang w:val="en-GB"/>
        </w:rPr>
        <w:t xml:space="preserve">The short-term effects of air pollution on respiratory diseases and lung cancer mortality in Hefei: A time-series analysis. </w:t>
      </w:r>
      <w:r w:rsidRPr="00ED4F68">
        <w:rPr>
          <w:rFonts w:cs="Times New Roman"/>
          <w:i/>
          <w:iCs/>
          <w:noProof/>
          <w:lang w:val="en-GB"/>
        </w:rPr>
        <w:t>Respiratory Medicine</w:t>
      </w:r>
      <w:r w:rsidRPr="00ED4F68">
        <w:rPr>
          <w:rFonts w:cs="Times New Roman"/>
          <w:noProof/>
          <w:lang w:val="en-GB"/>
        </w:rPr>
        <w:t xml:space="preserve">, </w:t>
      </w:r>
      <w:r w:rsidRPr="00ED4F68">
        <w:rPr>
          <w:rFonts w:cs="Times New Roman"/>
          <w:i/>
          <w:iCs/>
          <w:noProof/>
          <w:lang w:val="en-GB"/>
        </w:rPr>
        <w:t>146</w:t>
      </w:r>
      <w:r w:rsidRPr="00ED4F68">
        <w:rPr>
          <w:rFonts w:cs="Times New Roman"/>
          <w:noProof/>
          <w:lang w:val="en-GB"/>
        </w:rPr>
        <w:t>, 57–65. https://doi.org/10.1016/j.rmed.2018.11.019</w:t>
      </w:r>
    </w:p>
    <w:p w14:paraId="18F708DC" w14:textId="77777777" w:rsidR="00ED4F68" w:rsidRPr="00ED4F68" w:rsidRDefault="00ED4F68" w:rsidP="00A14895">
      <w:pPr>
        <w:widowControl w:val="0"/>
        <w:autoSpaceDE w:val="0"/>
        <w:autoSpaceDN w:val="0"/>
        <w:adjustRightInd w:val="0"/>
        <w:ind w:left="480" w:hanging="480"/>
        <w:rPr>
          <w:rFonts w:cs="Times New Roman"/>
          <w:noProof/>
          <w:lang w:val="en-GB"/>
        </w:rPr>
      </w:pPr>
      <w:r w:rsidRPr="00ED4F68">
        <w:rPr>
          <w:rFonts w:cs="Times New Roman"/>
          <w:noProof/>
          <w:lang w:val="en-GB"/>
        </w:rPr>
        <w:t xml:space="preserve">Zielinska, B., Sagebiel, J., Mc Donald, J. D., Whitney, K., &amp; Lawson, D. R. (2004). Emission rates and comparative chemical composition from selected in-use diesel and gasoline-fueled vehicles. </w:t>
      </w:r>
      <w:r w:rsidRPr="00ED4F68">
        <w:rPr>
          <w:rFonts w:cs="Times New Roman"/>
          <w:i/>
          <w:iCs/>
          <w:noProof/>
          <w:lang w:val="en-GB"/>
        </w:rPr>
        <w:t>Journal of the Air and Waste Management Association</w:t>
      </w:r>
      <w:r w:rsidRPr="00ED4F68">
        <w:rPr>
          <w:rFonts w:cs="Times New Roman"/>
          <w:noProof/>
          <w:lang w:val="en-GB"/>
        </w:rPr>
        <w:t xml:space="preserve">, </w:t>
      </w:r>
      <w:r w:rsidRPr="00ED4F68">
        <w:rPr>
          <w:rFonts w:cs="Times New Roman"/>
          <w:i/>
          <w:iCs/>
          <w:noProof/>
          <w:lang w:val="en-GB"/>
        </w:rPr>
        <w:t>54</w:t>
      </w:r>
      <w:r w:rsidRPr="00ED4F68">
        <w:rPr>
          <w:rFonts w:cs="Times New Roman"/>
          <w:noProof/>
          <w:lang w:val="en-GB"/>
        </w:rPr>
        <w:t>(9), 1138–1150. https://doi.org/10.1080/10473289.2004.10470973</w:t>
      </w:r>
    </w:p>
    <w:p w14:paraId="581BA348" w14:textId="77777777" w:rsidR="00ED4F68" w:rsidRPr="00ED4F68" w:rsidRDefault="00ED4F68" w:rsidP="00A14895">
      <w:pPr>
        <w:widowControl w:val="0"/>
        <w:autoSpaceDE w:val="0"/>
        <w:autoSpaceDN w:val="0"/>
        <w:adjustRightInd w:val="0"/>
        <w:ind w:left="480" w:hanging="480"/>
        <w:rPr>
          <w:noProof/>
        </w:rPr>
      </w:pPr>
      <w:r w:rsidRPr="0098400D">
        <w:rPr>
          <w:rFonts w:cs="Times New Roman"/>
          <w:noProof/>
          <w:lang w:val="nl-NL"/>
        </w:rPr>
        <w:t xml:space="preserve">Zwartsen, A., Hondebrink, L., &amp; Westerink, R. H. (2018). </w:t>
      </w:r>
      <w:r w:rsidRPr="00ED4F68">
        <w:rPr>
          <w:rFonts w:cs="Times New Roman"/>
          <w:noProof/>
          <w:lang w:val="en-GB"/>
        </w:rPr>
        <w:t xml:space="preserve">Neurotoxicity screening of new psychoactive substances (NPS): Effects on neuronal activity in rat cortical cultures using microelectrode arrays (MEA). </w:t>
      </w:r>
      <w:r w:rsidRPr="00ED4F68">
        <w:rPr>
          <w:rFonts w:cs="Times New Roman"/>
          <w:i/>
          <w:iCs/>
          <w:noProof/>
          <w:lang w:val="en-GB"/>
        </w:rPr>
        <w:t>NeuroToxicology</w:t>
      </w:r>
      <w:r w:rsidRPr="00ED4F68">
        <w:rPr>
          <w:rFonts w:cs="Times New Roman"/>
          <w:noProof/>
          <w:lang w:val="en-GB"/>
        </w:rPr>
        <w:t xml:space="preserve">, </w:t>
      </w:r>
      <w:r w:rsidRPr="00ED4F68">
        <w:rPr>
          <w:rFonts w:cs="Times New Roman"/>
          <w:i/>
          <w:iCs/>
          <w:noProof/>
          <w:lang w:val="en-GB"/>
        </w:rPr>
        <w:t>66</w:t>
      </w:r>
      <w:r w:rsidRPr="00ED4F68">
        <w:rPr>
          <w:rFonts w:cs="Times New Roman"/>
          <w:noProof/>
          <w:lang w:val="en-GB"/>
        </w:rPr>
        <w:t>, 87–97. https://doi.org/10.1016/j.neuro.2018.03.007</w:t>
      </w:r>
    </w:p>
    <w:p w14:paraId="5F6EAFE2" w14:textId="3753E64F" w:rsidR="00CF3F85" w:rsidRPr="007F3C5D" w:rsidRDefault="00D379E3" w:rsidP="00A14895">
      <w:pPr>
        <w:widowControl w:val="0"/>
        <w:autoSpaceDE w:val="0"/>
        <w:autoSpaceDN w:val="0"/>
        <w:adjustRightInd w:val="0"/>
        <w:ind w:left="480" w:hanging="480"/>
      </w:pPr>
      <w:r w:rsidRPr="007F3C5D">
        <w:fldChar w:fldCharType="end"/>
      </w:r>
    </w:p>
    <w:sectPr w:rsidR="00CF3F85" w:rsidRPr="007F3C5D" w:rsidSect="00023D00">
      <w:footerReference w:type="default" r:id="rId109"/>
      <w:pgSz w:w="11900" w:h="16840"/>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BE50C8" w14:textId="77777777" w:rsidR="001D3650" w:rsidRDefault="001D3650" w:rsidP="00B71F62">
      <w:r>
        <w:separator/>
      </w:r>
    </w:p>
    <w:p w14:paraId="652DB8C2" w14:textId="77777777" w:rsidR="001D3650" w:rsidRDefault="001D3650" w:rsidP="00B71F62"/>
  </w:endnote>
  <w:endnote w:type="continuationSeparator" w:id="0">
    <w:p w14:paraId="2F9FC07E" w14:textId="77777777" w:rsidR="001D3650" w:rsidRDefault="001D3650" w:rsidP="00B71F62">
      <w:r>
        <w:continuationSeparator/>
      </w:r>
    </w:p>
    <w:p w14:paraId="1EA85F24" w14:textId="77777777" w:rsidR="001D3650" w:rsidRDefault="001D3650" w:rsidP="00B71F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Body CS)">
    <w:altName w:val="Times New Roman"/>
    <w:panose1 w:val="020B0604020202020204"/>
    <w:charset w:val="00"/>
    <w:family w:val="roman"/>
    <w:pitch w:val="default"/>
  </w:font>
  <w:font w:name="Calibri Light">
    <w:panose1 w:val="020F0302020204030204"/>
    <w:charset w:val="00"/>
    <w:family w:val="swiss"/>
    <w:pitch w:val="variable"/>
    <w:sig w:usb0="E4002EFF" w:usb1="C000247B" w:usb2="00000009" w:usb3="00000000" w:csb0="000001FF" w:csb1="00000000"/>
  </w:font>
  <w:font w:name="Calibri (Body)">
    <w:altName w:val="Calibri"/>
    <w:panose1 w:val="020B0604020202020204"/>
    <w:charset w:val="00"/>
    <w:family w:val="roman"/>
    <w:pitch w:val="default"/>
  </w:font>
  <w:font w:name="Arial">
    <w:panose1 w:val="020B0604020202020204"/>
    <w:charset w:val="00"/>
    <w:family w:val="swiss"/>
    <w:pitch w:val="variable"/>
    <w:sig w:usb0="E0002EFF" w:usb1="C000785B" w:usb2="00000009" w:usb3="00000000" w:csb0="000001FF" w:csb1="00000000"/>
  </w:font>
  <w:font w:name="Times New Roman (Headings CS)">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84026232"/>
      <w:docPartObj>
        <w:docPartGallery w:val="Page Numbers (Bottom of Page)"/>
        <w:docPartUnique/>
      </w:docPartObj>
    </w:sdtPr>
    <w:sdtEndPr>
      <w:rPr>
        <w:rStyle w:val="PageNumber"/>
      </w:rPr>
    </w:sdtEndPr>
    <w:sdtContent>
      <w:p w14:paraId="4F8E52BA" w14:textId="3E8043F8" w:rsidR="002B5C9A" w:rsidRDefault="002B5C9A" w:rsidP="001204E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97CD14D" w14:textId="77777777" w:rsidR="002B5C9A" w:rsidRDefault="002B5C9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05193237"/>
      <w:docPartObj>
        <w:docPartGallery w:val="Page Numbers (Bottom of Page)"/>
        <w:docPartUnique/>
      </w:docPartObj>
    </w:sdtPr>
    <w:sdtEndPr>
      <w:rPr>
        <w:rStyle w:val="PageNumber"/>
      </w:rPr>
    </w:sdtEndPr>
    <w:sdtContent>
      <w:p w14:paraId="635C8625" w14:textId="52BAE58E" w:rsidR="002B5C9A" w:rsidRDefault="002B5C9A" w:rsidP="001204E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4619C24" w14:textId="670562C2" w:rsidR="002B5C9A" w:rsidRDefault="002B5C9A" w:rsidP="002B5C9A">
    <w:pPr>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D118E6" w14:textId="77777777" w:rsidR="001D3650" w:rsidRDefault="001D3650" w:rsidP="00B71F62">
      <w:r>
        <w:separator/>
      </w:r>
    </w:p>
    <w:p w14:paraId="51B5045F" w14:textId="77777777" w:rsidR="001D3650" w:rsidRDefault="001D3650" w:rsidP="00B71F62"/>
  </w:footnote>
  <w:footnote w:type="continuationSeparator" w:id="0">
    <w:p w14:paraId="43D5C780" w14:textId="77777777" w:rsidR="001D3650" w:rsidRDefault="001D3650" w:rsidP="00B71F62">
      <w:r>
        <w:continuationSeparator/>
      </w:r>
    </w:p>
    <w:p w14:paraId="7B5354FC" w14:textId="77777777" w:rsidR="001D3650" w:rsidRDefault="001D3650" w:rsidP="00B71F6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4C1D52"/>
    <w:multiLevelType w:val="hybridMultilevel"/>
    <w:tmpl w:val="2DF698C8"/>
    <w:lvl w:ilvl="0" w:tplc="5818F79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612294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activeWritingStyle w:appName="MSWord" w:lang="en-GB" w:vendorID="64" w:dllVersion="0" w:nlCheck="1" w:checkStyle="0"/>
  <w:activeWritingStyle w:appName="MSWord" w:lang="en-US" w:vendorID="64" w:dllVersion="0" w:nlCheck="1" w:checkStyle="0"/>
  <w:activeWritingStyle w:appName="MSWord" w:lang="nl-NL" w:vendorID="64" w:dllVersion="0" w:nlCheck="1" w:checkStyle="0"/>
  <w:activeWritingStyle w:appName="MSWord" w:lang="es-ES" w:vendorID="64" w:dllVersion="0" w:nlCheck="1" w:checkStyle="0"/>
  <w:activeWritingStyle w:appName="MSWord" w:lang="de-DE" w:vendorID="64" w:dllVersion="0" w:nlCheck="1" w:checkStyle="0"/>
  <w:activeWritingStyle w:appName="MSWord" w:lang="fr-FR" w:vendorID="64" w:dllVersion="0" w:nlCheck="1" w:checkStyle="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Q3NjC2MDAzMDYxMTVV0lEKTi0uzszPAykwNKwFAAYfSQMtAAAA"/>
  </w:docVars>
  <w:rsids>
    <w:rsidRoot w:val="009122F3"/>
    <w:rsid w:val="00004186"/>
    <w:rsid w:val="000119E5"/>
    <w:rsid w:val="00011E00"/>
    <w:rsid w:val="0001641B"/>
    <w:rsid w:val="00017935"/>
    <w:rsid w:val="0002323E"/>
    <w:rsid w:val="00023D00"/>
    <w:rsid w:val="00023D93"/>
    <w:rsid w:val="000251CD"/>
    <w:rsid w:val="00026CF5"/>
    <w:rsid w:val="00030F58"/>
    <w:rsid w:val="000504F7"/>
    <w:rsid w:val="00053796"/>
    <w:rsid w:val="00057D07"/>
    <w:rsid w:val="00061E39"/>
    <w:rsid w:val="000765A0"/>
    <w:rsid w:val="00080B59"/>
    <w:rsid w:val="00081E65"/>
    <w:rsid w:val="00081FFC"/>
    <w:rsid w:val="00082751"/>
    <w:rsid w:val="00082FF1"/>
    <w:rsid w:val="00092B54"/>
    <w:rsid w:val="00093CCE"/>
    <w:rsid w:val="000971F3"/>
    <w:rsid w:val="000A19EE"/>
    <w:rsid w:val="000A600E"/>
    <w:rsid w:val="000A6197"/>
    <w:rsid w:val="000A79C2"/>
    <w:rsid w:val="000B2B6F"/>
    <w:rsid w:val="000B41B3"/>
    <w:rsid w:val="000B5D9B"/>
    <w:rsid w:val="000C04A2"/>
    <w:rsid w:val="000C39EE"/>
    <w:rsid w:val="000C4080"/>
    <w:rsid w:val="000C59BB"/>
    <w:rsid w:val="000D344B"/>
    <w:rsid w:val="000D5CBD"/>
    <w:rsid w:val="000D68F7"/>
    <w:rsid w:val="000E6F27"/>
    <w:rsid w:val="000E7192"/>
    <w:rsid w:val="000F1C20"/>
    <w:rsid w:val="000F65B8"/>
    <w:rsid w:val="000F7DC2"/>
    <w:rsid w:val="001011B7"/>
    <w:rsid w:val="00101BCA"/>
    <w:rsid w:val="001020FD"/>
    <w:rsid w:val="001059AD"/>
    <w:rsid w:val="0011236D"/>
    <w:rsid w:val="001131EA"/>
    <w:rsid w:val="00113610"/>
    <w:rsid w:val="0011392C"/>
    <w:rsid w:val="0011444A"/>
    <w:rsid w:val="00117097"/>
    <w:rsid w:val="001210B3"/>
    <w:rsid w:val="001269E6"/>
    <w:rsid w:val="00130168"/>
    <w:rsid w:val="001308EC"/>
    <w:rsid w:val="00132ECF"/>
    <w:rsid w:val="00134162"/>
    <w:rsid w:val="001357B8"/>
    <w:rsid w:val="001362E5"/>
    <w:rsid w:val="00136E06"/>
    <w:rsid w:val="00137A10"/>
    <w:rsid w:val="00137F01"/>
    <w:rsid w:val="0014012A"/>
    <w:rsid w:val="00140316"/>
    <w:rsid w:val="001406E8"/>
    <w:rsid w:val="001427A8"/>
    <w:rsid w:val="00146538"/>
    <w:rsid w:val="00146D8C"/>
    <w:rsid w:val="00161C18"/>
    <w:rsid w:val="0016463B"/>
    <w:rsid w:val="001646B3"/>
    <w:rsid w:val="00165580"/>
    <w:rsid w:val="00170E85"/>
    <w:rsid w:val="0018113C"/>
    <w:rsid w:val="001848F4"/>
    <w:rsid w:val="00185BCA"/>
    <w:rsid w:val="001870B1"/>
    <w:rsid w:val="001879BF"/>
    <w:rsid w:val="001903B0"/>
    <w:rsid w:val="00195D03"/>
    <w:rsid w:val="001A2C4D"/>
    <w:rsid w:val="001A46A6"/>
    <w:rsid w:val="001A4816"/>
    <w:rsid w:val="001A51A3"/>
    <w:rsid w:val="001A6469"/>
    <w:rsid w:val="001B5533"/>
    <w:rsid w:val="001B762C"/>
    <w:rsid w:val="001C0847"/>
    <w:rsid w:val="001D0FA0"/>
    <w:rsid w:val="001D3650"/>
    <w:rsid w:val="001D4374"/>
    <w:rsid w:val="001D4399"/>
    <w:rsid w:val="001D5934"/>
    <w:rsid w:val="001E0246"/>
    <w:rsid w:val="001E0F05"/>
    <w:rsid w:val="001E1D5E"/>
    <w:rsid w:val="001E2359"/>
    <w:rsid w:val="001E3A8F"/>
    <w:rsid w:val="001E7C1D"/>
    <w:rsid w:val="001F2639"/>
    <w:rsid w:val="001F338F"/>
    <w:rsid w:val="001F3A90"/>
    <w:rsid w:val="001F574F"/>
    <w:rsid w:val="001F61FB"/>
    <w:rsid w:val="001F6BB7"/>
    <w:rsid w:val="00202C7A"/>
    <w:rsid w:val="002044B2"/>
    <w:rsid w:val="00205039"/>
    <w:rsid w:val="00206A60"/>
    <w:rsid w:val="00207461"/>
    <w:rsid w:val="002105A9"/>
    <w:rsid w:val="00212EE4"/>
    <w:rsid w:val="002166D1"/>
    <w:rsid w:val="002244CE"/>
    <w:rsid w:val="00232434"/>
    <w:rsid w:val="00237ED0"/>
    <w:rsid w:val="00241C04"/>
    <w:rsid w:val="00243BE3"/>
    <w:rsid w:val="00246B82"/>
    <w:rsid w:val="00252D56"/>
    <w:rsid w:val="0025573A"/>
    <w:rsid w:val="00257BD0"/>
    <w:rsid w:val="002637CC"/>
    <w:rsid w:val="00272EDE"/>
    <w:rsid w:val="002876C0"/>
    <w:rsid w:val="00287DC8"/>
    <w:rsid w:val="0029383F"/>
    <w:rsid w:val="00295364"/>
    <w:rsid w:val="002A0A14"/>
    <w:rsid w:val="002A22DB"/>
    <w:rsid w:val="002A2E76"/>
    <w:rsid w:val="002A33FA"/>
    <w:rsid w:val="002A6B33"/>
    <w:rsid w:val="002B3A24"/>
    <w:rsid w:val="002B4FE3"/>
    <w:rsid w:val="002B5569"/>
    <w:rsid w:val="002B5C9A"/>
    <w:rsid w:val="002B7BF7"/>
    <w:rsid w:val="002C1084"/>
    <w:rsid w:val="002C3AED"/>
    <w:rsid w:val="002C3B01"/>
    <w:rsid w:val="002C7A5E"/>
    <w:rsid w:val="002D52BB"/>
    <w:rsid w:val="002D5A4E"/>
    <w:rsid w:val="002D5F38"/>
    <w:rsid w:val="002D6BD2"/>
    <w:rsid w:val="002E1A91"/>
    <w:rsid w:val="002F48C4"/>
    <w:rsid w:val="002F4D4A"/>
    <w:rsid w:val="002F4FF0"/>
    <w:rsid w:val="00300371"/>
    <w:rsid w:val="00303DB7"/>
    <w:rsid w:val="003041B7"/>
    <w:rsid w:val="003046FE"/>
    <w:rsid w:val="00310CBF"/>
    <w:rsid w:val="0032004B"/>
    <w:rsid w:val="00320AB9"/>
    <w:rsid w:val="003252C3"/>
    <w:rsid w:val="00325D04"/>
    <w:rsid w:val="00327B59"/>
    <w:rsid w:val="00337487"/>
    <w:rsid w:val="00337E0D"/>
    <w:rsid w:val="0034475F"/>
    <w:rsid w:val="0034703C"/>
    <w:rsid w:val="00352FA8"/>
    <w:rsid w:val="00353AD8"/>
    <w:rsid w:val="00356FC4"/>
    <w:rsid w:val="00366E1C"/>
    <w:rsid w:val="0037277E"/>
    <w:rsid w:val="00374954"/>
    <w:rsid w:val="00376EA3"/>
    <w:rsid w:val="00377771"/>
    <w:rsid w:val="00381211"/>
    <w:rsid w:val="003901D6"/>
    <w:rsid w:val="00393DC2"/>
    <w:rsid w:val="003A176E"/>
    <w:rsid w:val="003A7743"/>
    <w:rsid w:val="003B2206"/>
    <w:rsid w:val="003C23CE"/>
    <w:rsid w:val="003C3833"/>
    <w:rsid w:val="003C3D7D"/>
    <w:rsid w:val="003D0652"/>
    <w:rsid w:val="003D0B53"/>
    <w:rsid w:val="003D1AA6"/>
    <w:rsid w:val="003D235A"/>
    <w:rsid w:val="003D5DCD"/>
    <w:rsid w:val="003D616F"/>
    <w:rsid w:val="003D6BB3"/>
    <w:rsid w:val="003D7B23"/>
    <w:rsid w:val="003E408B"/>
    <w:rsid w:val="003E4E61"/>
    <w:rsid w:val="003F55B0"/>
    <w:rsid w:val="003F5B80"/>
    <w:rsid w:val="003F6C56"/>
    <w:rsid w:val="004046E3"/>
    <w:rsid w:val="0041157B"/>
    <w:rsid w:val="00422032"/>
    <w:rsid w:val="004229FC"/>
    <w:rsid w:val="00422A09"/>
    <w:rsid w:val="00422F5D"/>
    <w:rsid w:val="00436B5A"/>
    <w:rsid w:val="00437378"/>
    <w:rsid w:val="00443530"/>
    <w:rsid w:val="00446354"/>
    <w:rsid w:val="00446592"/>
    <w:rsid w:val="00450CBB"/>
    <w:rsid w:val="004543A8"/>
    <w:rsid w:val="004559DC"/>
    <w:rsid w:val="0046063F"/>
    <w:rsid w:val="0046759F"/>
    <w:rsid w:val="0046768B"/>
    <w:rsid w:val="00471C9E"/>
    <w:rsid w:val="004738E8"/>
    <w:rsid w:val="00475968"/>
    <w:rsid w:val="00480776"/>
    <w:rsid w:val="00486D70"/>
    <w:rsid w:val="004919BF"/>
    <w:rsid w:val="00492572"/>
    <w:rsid w:val="00495642"/>
    <w:rsid w:val="00496187"/>
    <w:rsid w:val="004B0EF9"/>
    <w:rsid w:val="004B2D3A"/>
    <w:rsid w:val="004B5EC0"/>
    <w:rsid w:val="004C161B"/>
    <w:rsid w:val="004C295A"/>
    <w:rsid w:val="004C33AF"/>
    <w:rsid w:val="004C4EF9"/>
    <w:rsid w:val="004C576B"/>
    <w:rsid w:val="004C6325"/>
    <w:rsid w:val="004D43F3"/>
    <w:rsid w:val="004D6A91"/>
    <w:rsid w:val="004D7855"/>
    <w:rsid w:val="004E3505"/>
    <w:rsid w:val="004E5034"/>
    <w:rsid w:val="004F1B25"/>
    <w:rsid w:val="004F3A8C"/>
    <w:rsid w:val="004F3CD9"/>
    <w:rsid w:val="004F408C"/>
    <w:rsid w:val="004F646F"/>
    <w:rsid w:val="004F6879"/>
    <w:rsid w:val="00500E50"/>
    <w:rsid w:val="00501505"/>
    <w:rsid w:val="00503524"/>
    <w:rsid w:val="00503A34"/>
    <w:rsid w:val="005046EB"/>
    <w:rsid w:val="00507C47"/>
    <w:rsid w:val="00516F03"/>
    <w:rsid w:val="0051705A"/>
    <w:rsid w:val="00523030"/>
    <w:rsid w:val="005306D0"/>
    <w:rsid w:val="00531202"/>
    <w:rsid w:val="00531B30"/>
    <w:rsid w:val="00533FB0"/>
    <w:rsid w:val="00534FBD"/>
    <w:rsid w:val="0054132F"/>
    <w:rsid w:val="00541FC5"/>
    <w:rsid w:val="0054541F"/>
    <w:rsid w:val="0055021E"/>
    <w:rsid w:val="00550570"/>
    <w:rsid w:val="00552496"/>
    <w:rsid w:val="00555AE4"/>
    <w:rsid w:val="00556F64"/>
    <w:rsid w:val="00557AE2"/>
    <w:rsid w:val="00557CB3"/>
    <w:rsid w:val="0056164D"/>
    <w:rsid w:val="005618DA"/>
    <w:rsid w:val="00565EB1"/>
    <w:rsid w:val="005665F2"/>
    <w:rsid w:val="00567D33"/>
    <w:rsid w:val="00567F5F"/>
    <w:rsid w:val="00571A4E"/>
    <w:rsid w:val="0057225A"/>
    <w:rsid w:val="00576B88"/>
    <w:rsid w:val="0058431D"/>
    <w:rsid w:val="005903A6"/>
    <w:rsid w:val="005910ED"/>
    <w:rsid w:val="005912E1"/>
    <w:rsid w:val="0059130A"/>
    <w:rsid w:val="005937A5"/>
    <w:rsid w:val="00593EEF"/>
    <w:rsid w:val="005941B2"/>
    <w:rsid w:val="005951FD"/>
    <w:rsid w:val="00597225"/>
    <w:rsid w:val="005972AB"/>
    <w:rsid w:val="00597977"/>
    <w:rsid w:val="005A24FA"/>
    <w:rsid w:val="005A3142"/>
    <w:rsid w:val="005A4B18"/>
    <w:rsid w:val="005A60BE"/>
    <w:rsid w:val="005B22BB"/>
    <w:rsid w:val="005B38E6"/>
    <w:rsid w:val="005B469E"/>
    <w:rsid w:val="005B5F8E"/>
    <w:rsid w:val="005C0663"/>
    <w:rsid w:val="005C0737"/>
    <w:rsid w:val="005C0920"/>
    <w:rsid w:val="005C26E0"/>
    <w:rsid w:val="005C349A"/>
    <w:rsid w:val="005C532C"/>
    <w:rsid w:val="005D1154"/>
    <w:rsid w:val="005D5230"/>
    <w:rsid w:val="005D554D"/>
    <w:rsid w:val="005D55F6"/>
    <w:rsid w:val="005D5B7A"/>
    <w:rsid w:val="005E3755"/>
    <w:rsid w:val="005E4109"/>
    <w:rsid w:val="005F2DC3"/>
    <w:rsid w:val="005F3FAE"/>
    <w:rsid w:val="005F6099"/>
    <w:rsid w:val="005F69D7"/>
    <w:rsid w:val="00603C88"/>
    <w:rsid w:val="0061030B"/>
    <w:rsid w:val="00612885"/>
    <w:rsid w:val="006145BF"/>
    <w:rsid w:val="00615452"/>
    <w:rsid w:val="006165BC"/>
    <w:rsid w:val="00621205"/>
    <w:rsid w:val="00623821"/>
    <w:rsid w:val="006241A8"/>
    <w:rsid w:val="006260C7"/>
    <w:rsid w:val="00626959"/>
    <w:rsid w:val="0063196E"/>
    <w:rsid w:val="00637996"/>
    <w:rsid w:val="006418F9"/>
    <w:rsid w:val="00645852"/>
    <w:rsid w:val="006509C5"/>
    <w:rsid w:val="00653360"/>
    <w:rsid w:val="00653B18"/>
    <w:rsid w:val="00653E7C"/>
    <w:rsid w:val="006545C8"/>
    <w:rsid w:val="00656A4A"/>
    <w:rsid w:val="00662544"/>
    <w:rsid w:val="00662F17"/>
    <w:rsid w:val="006658F3"/>
    <w:rsid w:val="00665937"/>
    <w:rsid w:val="00670906"/>
    <w:rsid w:val="00671C73"/>
    <w:rsid w:val="0067781F"/>
    <w:rsid w:val="0068159E"/>
    <w:rsid w:val="00685594"/>
    <w:rsid w:val="00690BBD"/>
    <w:rsid w:val="00691EF9"/>
    <w:rsid w:val="00692144"/>
    <w:rsid w:val="006958E8"/>
    <w:rsid w:val="00696721"/>
    <w:rsid w:val="006A2A05"/>
    <w:rsid w:val="006A3583"/>
    <w:rsid w:val="006B25F6"/>
    <w:rsid w:val="006B6028"/>
    <w:rsid w:val="006C3391"/>
    <w:rsid w:val="006C51DF"/>
    <w:rsid w:val="006D035F"/>
    <w:rsid w:val="006D546E"/>
    <w:rsid w:val="006E185B"/>
    <w:rsid w:val="006E32AE"/>
    <w:rsid w:val="006E42AE"/>
    <w:rsid w:val="006E496C"/>
    <w:rsid w:val="006F2451"/>
    <w:rsid w:val="006F33B2"/>
    <w:rsid w:val="006F3DA4"/>
    <w:rsid w:val="006F4D48"/>
    <w:rsid w:val="006F5E07"/>
    <w:rsid w:val="00707D4D"/>
    <w:rsid w:val="0071488D"/>
    <w:rsid w:val="00714BC0"/>
    <w:rsid w:val="00714E97"/>
    <w:rsid w:val="00715CAE"/>
    <w:rsid w:val="007227C9"/>
    <w:rsid w:val="007241C0"/>
    <w:rsid w:val="00724D93"/>
    <w:rsid w:val="00732A1D"/>
    <w:rsid w:val="00737BEA"/>
    <w:rsid w:val="00743C0C"/>
    <w:rsid w:val="00746AAD"/>
    <w:rsid w:val="00754306"/>
    <w:rsid w:val="00754F94"/>
    <w:rsid w:val="00756E54"/>
    <w:rsid w:val="00765051"/>
    <w:rsid w:val="007659EF"/>
    <w:rsid w:val="00766227"/>
    <w:rsid w:val="007676B8"/>
    <w:rsid w:val="00770C71"/>
    <w:rsid w:val="007736F7"/>
    <w:rsid w:val="00774063"/>
    <w:rsid w:val="00775C2C"/>
    <w:rsid w:val="007766BA"/>
    <w:rsid w:val="00776721"/>
    <w:rsid w:val="00782C9C"/>
    <w:rsid w:val="00792531"/>
    <w:rsid w:val="00796A37"/>
    <w:rsid w:val="007A69DB"/>
    <w:rsid w:val="007B49D3"/>
    <w:rsid w:val="007B4EB7"/>
    <w:rsid w:val="007B7D5A"/>
    <w:rsid w:val="007D1101"/>
    <w:rsid w:val="007F3C5D"/>
    <w:rsid w:val="007F6F39"/>
    <w:rsid w:val="00810791"/>
    <w:rsid w:val="00811F8B"/>
    <w:rsid w:val="008148D2"/>
    <w:rsid w:val="00814E37"/>
    <w:rsid w:val="00823509"/>
    <w:rsid w:val="0082680F"/>
    <w:rsid w:val="00827391"/>
    <w:rsid w:val="008362CA"/>
    <w:rsid w:val="0084329D"/>
    <w:rsid w:val="0084385A"/>
    <w:rsid w:val="00843E39"/>
    <w:rsid w:val="008445AE"/>
    <w:rsid w:val="00845F2F"/>
    <w:rsid w:val="00850A3A"/>
    <w:rsid w:val="00850C25"/>
    <w:rsid w:val="00851E3B"/>
    <w:rsid w:val="00860564"/>
    <w:rsid w:val="00862A42"/>
    <w:rsid w:val="008669EC"/>
    <w:rsid w:val="00866F09"/>
    <w:rsid w:val="00873124"/>
    <w:rsid w:val="00876B81"/>
    <w:rsid w:val="00877913"/>
    <w:rsid w:val="00880CA1"/>
    <w:rsid w:val="008830AC"/>
    <w:rsid w:val="00883C54"/>
    <w:rsid w:val="00884229"/>
    <w:rsid w:val="008854CB"/>
    <w:rsid w:val="0088567A"/>
    <w:rsid w:val="008873A1"/>
    <w:rsid w:val="00892177"/>
    <w:rsid w:val="008950B9"/>
    <w:rsid w:val="008A2FAD"/>
    <w:rsid w:val="008A3175"/>
    <w:rsid w:val="008A447C"/>
    <w:rsid w:val="008A49B7"/>
    <w:rsid w:val="008A7903"/>
    <w:rsid w:val="008B3CFB"/>
    <w:rsid w:val="008B46D0"/>
    <w:rsid w:val="008B7335"/>
    <w:rsid w:val="008C1369"/>
    <w:rsid w:val="008C73AB"/>
    <w:rsid w:val="008E4A33"/>
    <w:rsid w:val="008E4D0B"/>
    <w:rsid w:val="008E6B9E"/>
    <w:rsid w:val="008E6CEF"/>
    <w:rsid w:val="008F19E5"/>
    <w:rsid w:val="008F27D0"/>
    <w:rsid w:val="008F4CA9"/>
    <w:rsid w:val="00901A25"/>
    <w:rsid w:val="00902B2B"/>
    <w:rsid w:val="00905C75"/>
    <w:rsid w:val="00907006"/>
    <w:rsid w:val="00907180"/>
    <w:rsid w:val="009122F3"/>
    <w:rsid w:val="00913027"/>
    <w:rsid w:val="0091484B"/>
    <w:rsid w:val="00920E20"/>
    <w:rsid w:val="00921554"/>
    <w:rsid w:val="00921B77"/>
    <w:rsid w:val="00931B6E"/>
    <w:rsid w:val="00933951"/>
    <w:rsid w:val="009342A0"/>
    <w:rsid w:val="00937628"/>
    <w:rsid w:val="00947A6D"/>
    <w:rsid w:val="00956D72"/>
    <w:rsid w:val="00962FAB"/>
    <w:rsid w:val="00964886"/>
    <w:rsid w:val="0096536A"/>
    <w:rsid w:val="0096683D"/>
    <w:rsid w:val="00966B8C"/>
    <w:rsid w:val="009715D5"/>
    <w:rsid w:val="00974100"/>
    <w:rsid w:val="00975130"/>
    <w:rsid w:val="009816F0"/>
    <w:rsid w:val="00982990"/>
    <w:rsid w:val="0098400D"/>
    <w:rsid w:val="009913F9"/>
    <w:rsid w:val="00991A4F"/>
    <w:rsid w:val="00993BDA"/>
    <w:rsid w:val="00994956"/>
    <w:rsid w:val="00996FD7"/>
    <w:rsid w:val="009A143C"/>
    <w:rsid w:val="009A4421"/>
    <w:rsid w:val="009A5498"/>
    <w:rsid w:val="009A54B9"/>
    <w:rsid w:val="009B6383"/>
    <w:rsid w:val="009B7014"/>
    <w:rsid w:val="009C2B18"/>
    <w:rsid w:val="009C4B43"/>
    <w:rsid w:val="009D1FF1"/>
    <w:rsid w:val="009D2B93"/>
    <w:rsid w:val="009D5CA7"/>
    <w:rsid w:val="009E7342"/>
    <w:rsid w:val="009F2DD8"/>
    <w:rsid w:val="009F4439"/>
    <w:rsid w:val="009F6F76"/>
    <w:rsid w:val="009F74C6"/>
    <w:rsid w:val="00A0035A"/>
    <w:rsid w:val="00A03EF9"/>
    <w:rsid w:val="00A046A0"/>
    <w:rsid w:val="00A05075"/>
    <w:rsid w:val="00A050EA"/>
    <w:rsid w:val="00A0640E"/>
    <w:rsid w:val="00A07218"/>
    <w:rsid w:val="00A14895"/>
    <w:rsid w:val="00A15597"/>
    <w:rsid w:val="00A249E6"/>
    <w:rsid w:val="00A26B49"/>
    <w:rsid w:val="00A30FF4"/>
    <w:rsid w:val="00A32FDE"/>
    <w:rsid w:val="00A33BD3"/>
    <w:rsid w:val="00A3492A"/>
    <w:rsid w:val="00A36CE6"/>
    <w:rsid w:val="00A430E4"/>
    <w:rsid w:val="00A44D20"/>
    <w:rsid w:val="00A450A0"/>
    <w:rsid w:val="00A4562C"/>
    <w:rsid w:val="00A46AB0"/>
    <w:rsid w:val="00A51AC9"/>
    <w:rsid w:val="00A51F80"/>
    <w:rsid w:val="00A53D62"/>
    <w:rsid w:val="00A549DF"/>
    <w:rsid w:val="00A54C25"/>
    <w:rsid w:val="00A56BC2"/>
    <w:rsid w:val="00A72429"/>
    <w:rsid w:val="00A76881"/>
    <w:rsid w:val="00A84542"/>
    <w:rsid w:val="00A87B7A"/>
    <w:rsid w:val="00A91DAE"/>
    <w:rsid w:val="00A94422"/>
    <w:rsid w:val="00A94E67"/>
    <w:rsid w:val="00A96912"/>
    <w:rsid w:val="00AA77C8"/>
    <w:rsid w:val="00AB14A4"/>
    <w:rsid w:val="00AB29EA"/>
    <w:rsid w:val="00AB4165"/>
    <w:rsid w:val="00AB50B9"/>
    <w:rsid w:val="00AB5D69"/>
    <w:rsid w:val="00AB7124"/>
    <w:rsid w:val="00AC0973"/>
    <w:rsid w:val="00AC14E9"/>
    <w:rsid w:val="00AC1BA7"/>
    <w:rsid w:val="00AC1F8B"/>
    <w:rsid w:val="00AC7376"/>
    <w:rsid w:val="00AD1BDE"/>
    <w:rsid w:val="00AD1E9E"/>
    <w:rsid w:val="00AE2F53"/>
    <w:rsid w:val="00AE4A9E"/>
    <w:rsid w:val="00AF5B06"/>
    <w:rsid w:val="00AF5F4A"/>
    <w:rsid w:val="00AF7520"/>
    <w:rsid w:val="00B017EC"/>
    <w:rsid w:val="00B01E7A"/>
    <w:rsid w:val="00B02B41"/>
    <w:rsid w:val="00B04438"/>
    <w:rsid w:val="00B0575A"/>
    <w:rsid w:val="00B12A89"/>
    <w:rsid w:val="00B14078"/>
    <w:rsid w:val="00B24904"/>
    <w:rsid w:val="00B265DE"/>
    <w:rsid w:val="00B26D2B"/>
    <w:rsid w:val="00B31368"/>
    <w:rsid w:val="00B34E2D"/>
    <w:rsid w:val="00B37532"/>
    <w:rsid w:val="00B37F41"/>
    <w:rsid w:val="00B44275"/>
    <w:rsid w:val="00B44AFB"/>
    <w:rsid w:val="00B45006"/>
    <w:rsid w:val="00B4526A"/>
    <w:rsid w:val="00B5002E"/>
    <w:rsid w:val="00B53EBA"/>
    <w:rsid w:val="00B6172A"/>
    <w:rsid w:val="00B64C5C"/>
    <w:rsid w:val="00B71F62"/>
    <w:rsid w:val="00B759E4"/>
    <w:rsid w:val="00B76F0D"/>
    <w:rsid w:val="00B81C56"/>
    <w:rsid w:val="00B82319"/>
    <w:rsid w:val="00B86631"/>
    <w:rsid w:val="00B86C85"/>
    <w:rsid w:val="00B93944"/>
    <w:rsid w:val="00B947FB"/>
    <w:rsid w:val="00B94DB9"/>
    <w:rsid w:val="00BA2B84"/>
    <w:rsid w:val="00BA3CC8"/>
    <w:rsid w:val="00BA4170"/>
    <w:rsid w:val="00BA5552"/>
    <w:rsid w:val="00BA559A"/>
    <w:rsid w:val="00BA736B"/>
    <w:rsid w:val="00BB0E11"/>
    <w:rsid w:val="00BB5E8A"/>
    <w:rsid w:val="00BB67F6"/>
    <w:rsid w:val="00BC4882"/>
    <w:rsid w:val="00BC50A6"/>
    <w:rsid w:val="00BD02FE"/>
    <w:rsid w:val="00BD0E0F"/>
    <w:rsid w:val="00BE7C74"/>
    <w:rsid w:val="00BF433B"/>
    <w:rsid w:val="00BF5773"/>
    <w:rsid w:val="00BF6947"/>
    <w:rsid w:val="00C00072"/>
    <w:rsid w:val="00C03225"/>
    <w:rsid w:val="00C07E66"/>
    <w:rsid w:val="00C10743"/>
    <w:rsid w:val="00C11028"/>
    <w:rsid w:val="00C12291"/>
    <w:rsid w:val="00C166D3"/>
    <w:rsid w:val="00C172BA"/>
    <w:rsid w:val="00C17706"/>
    <w:rsid w:val="00C34B4F"/>
    <w:rsid w:val="00C35835"/>
    <w:rsid w:val="00C36F2A"/>
    <w:rsid w:val="00C41834"/>
    <w:rsid w:val="00C50F44"/>
    <w:rsid w:val="00C65F44"/>
    <w:rsid w:val="00C660DA"/>
    <w:rsid w:val="00C70E44"/>
    <w:rsid w:val="00C718AA"/>
    <w:rsid w:val="00C71B43"/>
    <w:rsid w:val="00C741D3"/>
    <w:rsid w:val="00C742A4"/>
    <w:rsid w:val="00C75ED4"/>
    <w:rsid w:val="00C82ACC"/>
    <w:rsid w:val="00C855A1"/>
    <w:rsid w:val="00C86F75"/>
    <w:rsid w:val="00C87063"/>
    <w:rsid w:val="00C91B73"/>
    <w:rsid w:val="00C92759"/>
    <w:rsid w:val="00CA3DF4"/>
    <w:rsid w:val="00CB05D4"/>
    <w:rsid w:val="00CB20B0"/>
    <w:rsid w:val="00CB2AC0"/>
    <w:rsid w:val="00CB3AEB"/>
    <w:rsid w:val="00CB5CFE"/>
    <w:rsid w:val="00CB60EB"/>
    <w:rsid w:val="00CC0035"/>
    <w:rsid w:val="00CC28C3"/>
    <w:rsid w:val="00CC6196"/>
    <w:rsid w:val="00CC79CE"/>
    <w:rsid w:val="00CD0187"/>
    <w:rsid w:val="00CD1681"/>
    <w:rsid w:val="00CD22F3"/>
    <w:rsid w:val="00CD4931"/>
    <w:rsid w:val="00CD680E"/>
    <w:rsid w:val="00CD725C"/>
    <w:rsid w:val="00CE05F4"/>
    <w:rsid w:val="00CE08D1"/>
    <w:rsid w:val="00CE1FEE"/>
    <w:rsid w:val="00CE5D21"/>
    <w:rsid w:val="00CE7E26"/>
    <w:rsid w:val="00CE7FCE"/>
    <w:rsid w:val="00CF2EAF"/>
    <w:rsid w:val="00CF33CE"/>
    <w:rsid w:val="00CF3F85"/>
    <w:rsid w:val="00CF6FC3"/>
    <w:rsid w:val="00CF7714"/>
    <w:rsid w:val="00CF7D65"/>
    <w:rsid w:val="00D0199E"/>
    <w:rsid w:val="00D03164"/>
    <w:rsid w:val="00D12897"/>
    <w:rsid w:val="00D13C41"/>
    <w:rsid w:val="00D16B94"/>
    <w:rsid w:val="00D16F96"/>
    <w:rsid w:val="00D179AD"/>
    <w:rsid w:val="00D240F6"/>
    <w:rsid w:val="00D2684C"/>
    <w:rsid w:val="00D30E9B"/>
    <w:rsid w:val="00D35140"/>
    <w:rsid w:val="00D368C9"/>
    <w:rsid w:val="00D36F74"/>
    <w:rsid w:val="00D37269"/>
    <w:rsid w:val="00D379E3"/>
    <w:rsid w:val="00D422F4"/>
    <w:rsid w:val="00D43BDF"/>
    <w:rsid w:val="00D53A5F"/>
    <w:rsid w:val="00D545EC"/>
    <w:rsid w:val="00D549DF"/>
    <w:rsid w:val="00D60031"/>
    <w:rsid w:val="00D61485"/>
    <w:rsid w:val="00D61AA4"/>
    <w:rsid w:val="00D65D59"/>
    <w:rsid w:val="00D661CD"/>
    <w:rsid w:val="00D71FD1"/>
    <w:rsid w:val="00D734A0"/>
    <w:rsid w:val="00D73EEA"/>
    <w:rsid w:val="00D75D60"/>
    <w:rsid w:val="00D77D93"/>
    <w:rsid w:val="00D802F7"/>
    <w:rsid w:val="00D81EC5"/>
    <w:rsid w:val="00D85D2E"/>
    <w:rsid w:val="00D86281"/>
    <w:rsid w:val="00D86D4D"/>
    <w:rsid w:val="00D90479"/>
    <w:rsid w:val="00D90A75"/>
    <w:rsid w:val="00D922E6"/>
    <w:rsid w:val="00D92B0E"/>
    <w:rsid w:val="00D93010"/>
    <w:rsid w:val="00DA0006"/>
    <w:rsid w:val="00DA0DD3"/>
    <w:rsid w:val="00DA1F50"/>
    <w:rsid w:val="00DA3CF9"/>
    <w:rsid w:val="00DB5224"/>
    <w:rsid w:val="00DB5AC7"/>
    <w:rsid w:val="00DC3F82"/>
    <w:rsid w:val="00DC4E86"/>
    <w:rsid w:val="00DD1160"/>
    <w:rsid w:val="00DD41C9"/>
    <w:rsid w:val="00DD7915"/>
    <w:rsid w:val="00DE120D"/>
    <w:rsid w:val="00DE397D"/>
    <w:rsid w:val="00DF1BB4"/>
    <w:rsid w:val="00E02A36"/>
    <w:rsid w:val="00E038A6"/>
    <w:rsid w:val="00E03D2C"/>
    <w:rsid w:val="00E03E68"/>
    <w:rsid w:val="00E14287"/>
    <w:rsid w:val="00E15439"/>
    <w:rsid w:val="00E17C52"/>
    <w:rsid w:val="00E21C0E"/>
    <w:rsid w:val="00E300C2"/>
    <w:rsid w:val="00E31641"/>
    <w:rsid w:val="00E35A65"/>
    <w:rsid w:val="00E42371"/>
    <w:rsid w:val="00E44C2A"/>
    <w:rsid w:val="00E56B8F"/>
    <w:rsid w:val="00E66353"/>
    <w:rsid w:val="00E67CEB"/>
    <w:rsid w:val="00E76DCC"/>
    <w:rsid w:val="00E77C7A"/>
    <w:rsid w:val="00E83739"/>
    <w:rsid w:val="00E876A8"/>
    <w:rsid w:val="00E90D7C"/>
    <w:rsid w:val="00E910DA"/>
    <w:rsid w:val="00E9318A"/>
    <w:rsid w:val="00E94085"/>
    <w:rsid w:val="00EA0365"/>
    <w:rsid w:val="00EA5C4F"/>
    <w:rsid w:val="00EA64C3"/>
    <w:rsid w:val="00EA6B91"/>
    <w:rsid w:val="00EA6EA8"/>
    <w:rsid w:val="00EA7027"/>
    <w:rsid w:val="00EB3A54"/>
    <w:rsid w:val="00EC0F6C"/>
    <w:rsid w:val="00EC27B3"/>
    <w:rsid w:val="00EC30E7"/>
    <w:rsid w:val="00EC33CF"/>
    <w:rsid w:val="00EC420C"/>
    <w:rsid w:val="00ED008B"/>
    <w:rsid w:val="00ED1156"/>
    <w:rsid w:val="00ED2853"/>
    <w:rsid w:val="00ED4F68"/>
    <w:rsid w:val="00EE0270"/>
    <w:rsid w:val="00EE0F3D"/>
    <w:rsid w:val="00EE2FD7"/>
    <w:rsid w:val="00EE32C7"/>
    <w:rsid w:val="00EE3C5F"/>
    <w:rsid w:val="00EE51EA"/>
    <w:rsid w:val="00EE604D"/>
    <w:rsid w:val="00EE6B5C"/>
    <w:rsid w:val="00EF0C1D"/>
    <w:rsid w:val="00EF6C66"/>
    <w:rsid w:val="00F01B09"/>
    <w:rsid w:val="00F068C1"/>
    <w:rsid w:val="00F11225"/>
    <w:rsid w:val="00F11D6E"/>
    <w:rsid w:val="00F127A8"/>
    <w:rsid w:val="00F210BB"/>
    <w:rsid w:val="00F23848"/>
    <w:rsid w:val="00F264FE"/>
    <w:rsid w:val="00F300E7"/>
    <w:rsid w:val="00F31983"/>
    <w:rsid w:val="00F32EFE"/>
    <w:rsid w:val="00F3404A"/>
    <w:rsid w:val="00F348A7"/>
    <w:rsid w:val="00F36FB4"/>
    <w:rsid w:val="00F448AE"/>
    <w:rsid w:val="00F50ED5"/>
    <w:rsid w:val="00F514A6"/>
    <w:rsid w:val="00F528CF"/>
    <w:rsid w:val="00F52D7A"/>
    <w:rsid w:val="00F63362"/>
    <w:rsid w:val="00F64EBF"/>
    <w:rsid w:val="00F64FED"/>
    <w:rsid w:val="00F655F0"/>
    <w:rsid w:val="00F65EF0"/>
    <w:rsid w:val="00F667C3"/>
    <w:rsid w:val="00F70565"/>
    <w:rsid w:val="00F70BDF"/>
    <w:rsid w:val="00F7399F"/>
    <w:rsid w:val="00F7557A"/>
    <w:rsid w:val="00F777DB"/>
    <w:rsid w:val="00F819A2"/>
    <w:rsid w:val="00F82B28"/>
    <w:rsid w:val="00F842DC"/>
    <w:rsid w:val="00F85590"/>
    <w:rsid w:val="00F866C2"/>
    <w:rsid w:val="00F867D4"/>
    <w:rsid w:val="00F9074F"/>
    <w:rsid w:val="00FA40D0"/>
    <w:rsid w:val="00FA50C8"/>
    <w:rsid w:val="00FB0577"/>
    <w:rsid w:val="00FB1142"/>
    <w:rsid w:val="00FC005E"/>
    <w:rsid w:val="00FC0BDC"/>
    <w:rsid w:val="00FC0E90"/>
    <w:rsid w:val="00FD31CD"/>
    <w:rsid w:val="00FE2B24"/>
    <w:rsid w:val="00FE47DA"/>
    <w:rsid w:val="00FE57E3"/>
    <w:rsid w:val="00FF3EB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724C4A"/>
  <w15:chartTrackingRefBased/>
  <w15:docId w15:val="{F55E6162-4003-AF46-916C-54FD884C4C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Theme="minorHAnsi" w:hAnsi="Cambria" w:cs="Times New Roman (Body CS)"/>
        <w:sz w:val="22"/>
        <w:szCs w:val="22"/>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1F62"/>
    <w:pPr>
      <w:spacing w:after="240" w:line="276" w:lineRule="auto"/>
      <w:ind w:firstLine="720"/>
      <w:jc w:val="both"/>
    </w:pPr>
    <w:rPr>
      <w:rFonts w:eastAsiaTheme="minorEastAsia"/>
      <w:lang w:val="en-US"/>
    </w:rPr>
  </w:style>
  <w:style w:type="paragraph" w:styleId="Heading1">
    <w:name w:val="heading 1"/>
    <w:basedOn w:val="Normal"/>
    <w:next w:val="Normal"/>
    <w:link w:val="Heading1Char"/>
    <w:autoRedefine/>
    <w:uiPriority w:val="9"/>
    <w:qFormat/>
    <w:rsid w:val="00366E1C"/>
    <w:pPr>
      <w:keepNext/>
      <w:keepLines/>
      <w:spacing w:before="360" w:after="120" w:line="360" w:lineRule="auto"/>
      <w:ind w:firstLine="0"/>
      <w:outlineLvl w:val="0"/>
    </w:pPr>
    <w:rPr>
      <w:rFonts w:eastAsiaTheme="majorEastAsia" w:cstheme="majorBidi"/>
      <w:b/>
      <w:sz w:val="32"/>
      <w:szCs w:val="32"/>
    </w:rPr>
  </w:style>
  <w:style w:type="paragraph" w:styleId="Heading2">
    <w:name w:val="heading 2"/>
    <w:basedOn w:val="Normal"/>
    <w:next w:val="Normal"/>
    <w:link w:val="Heading2Char"/>
    <w:autoRedefine/>
    <w:uiPriority w:val="9"/>
    <w:unhideWhenUsed/>
    <w:qFormat/>
    <w:rsid w:val="001F6BB7"/>
    <w:pPr>
      <w:keepNext/>
      <w:keepLines/>
      <w:spacing w:before="120" w:after="120"/>
      <w:ind w:firstLine="0"/>
      <w:outlineLvl w:val="1"/>
    </w:pPr>
    <w:rPr>
      <w:rFonts w:eastAsiaTheme="majorEastAsia" w:cstheme="majorBidi"/>
      <w:b/>
      <w:sz w:val="26"/>
      <w:szCs w:val="26"/>
      <w:lang w:val="en-GB"/>
    </w:rPr>
  </w:style>
  <w:style w:type="paragraph" w:styleId="Heading3">
    <w:name w:val="heading 3"/>
    <w:basedOn w:val="Normal"/>
    <w:next w:val="Normal"/>
    <w:link w:val="Heading3Char"/>
    <w:autoRedefine/>
    <w:uiPriority w:val="9"/>
    <w:unhideWhenUsed/>
    <w:qFormat/>
    <w:rsid w:val="00BA4170"/>
    <w:pPr>
      <w:keepNext/>
      <w:keepLines/>
      <w:spacing w:before="40" w:line="240" w:lineRule="auto"/>
      <w:ind w:firstLine="0"/>
      <w:outlineLvl w:val="2"/>
    </w:pPr>
    <w:rPr>
      <w:rFonts w:eastAsiaTheme="majorEastAsia" w:cstheme="majorBidi"/>
      <w:b/>
      <w:sz w:val="24"/>
      <w:szCs w:val="24"/>
    </w:rPr>
  </w:style>
  <w:style w:type="paragraph" w:styleId="Heading4">
    <w:name w:val="heading 4"/>
    <w:basedOn w:val="Normal"/>
    <w:next w:val="Normal"/>
    <w:link w:val="Heading4Char"/>
    <w:autoRedefine/>
    <w:uiPriority w:val="9"/>
    <w:semiHidden/>
    <w:unhideWhenUsed/>
    <w:qFormat/>
    <w:rsid w:val="00902B2B"/>
    <w:pPr>
      <w:keepNext/>
      <w:keepLines/>
      <w:spacing w:before="40"/>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66E1C"/>
    <w:rPr>
      <w:rFonts w:eastAsiaTheme="majorEastAsia" w:cstheme="majorBidi"/>
      <w:b/>
      <w:sz w:val="32"/>
      <w:szCs w:val="32"/>
      <w:lang w:val="en-US"/>
    </w:rPr>
  </w:style>
  <w:style w:type="paragraph" w:styleId="NoSpacing">
    <w:name w:val="No Spacing"/>
    <w:basedOn w:val="Normal"/>
    <w:uiPriority w:val="1"/>
    <w:qFormat/>
    <w:rsid w:val="00243BE3"/>
    <w:pPr>
      <w:spacing w:line="240" w:lineRule="auto"/>
    </w:pPr>
  </w:style>
  <w:style w:type="character" w:customStyle="1" w:styleId="Heading2Char">
    <w:name w:val="Heading 2 Char"/>
    <w:basedOn w:val="DefaultParagraphFont"/>
    <w:link w:val="Heading2"/>
    <w:uiPriority w:val="9"/>
    <w:rsid w:val="001F6BB7"/>
    <w:rPr>
      <w:rFonts w:eastAsiaTheme="majorEastAsia" w:cstheme="majorBidi"/>
      <w:b/>
      <w:sz w:val="26"/>
      <w:szCs w:val="26"/>
      <w:lang w:val="en-GB"/>
    </w:rPr>
  </w:style>
  <w:style w:type="character" w:customStyle="1" w:styleId="Heading3Char">
    <w:name w:val="Heading 3 Char"/>
    <w:basedOn w:val="DefaultParagraphFont"/>
    <w:link w:val="Heading3"/>
    <w:uiPriority w:val="9"/>
    <w:rsid w:val="00BA4170"/>
    <w:rPr>
      <w:rFonts w:eastAsiaTheme="majorEastAsia" w:cstheme="majorBidi"/>
      <w:b/>
      <w:sz w:val="24"/>
      <w:szCs w:val="24"/>
      <w:lang w:val="en-US"/>
    </w:rPr>
  </w:style>
  <w:style w:type="paragraph" w:styleId="Title">
    <w:name w:val="Title"/>
    <w:basedOn w:val="Normal"/>
    <w:next w:val="Normal"/>
    <w:link w:val="TitleChar"/>
    <w:autoRedefine/>
    <w:uiPriority w:val="10"/>
    <w:qFormat/>
    <w:rsid w:val="0001641B"/>
    <w:pPr>
      <w:ind w:firstLine="0"/>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01641B"/>
    <w:rPr>
      <w:rFonts w:eastAsiaTheme="majorEastAsia" w:cstheme="majorBidi"/>
      <w:spacing w:val="-10"/>
      <w:kern w:val="28"/>
      <w:sz w:val="56"/>
      <w:szCs w:val="56"/>
      <w:lang w:val="en-US"/>
    </w:rPr>
  </w:style>
  <w:style w:type="paragraph" w:styleId="Subtitle">
    <w:name w:val="Subtitle"/>
    <w:basedOn w:val="Normal"/>
    <w:next w:val="Normal"/>
    <w:link w:val="SubtitleChar"/>
    <w:autoRedefine/>
    <w:uiPriority w:val="11"/>
    <w:qFormat/>
    <w:rsid w:val="0001641B"/>
    <w:pPr>
      <w:numPr>
        <w:ilvl w:val="1"/>
      </w:numPr>
      <w:spacing w:line="360" w:lineRule="auto"/>
      <w:ind w:firstLine="720"/>
      <w:jc w:val="left"/>
    </w:pPr>
    <w:rPr>
      <w:color w:val="5A5A5A" w:themeColor="text1" w:themeTint="A5"/>
      <w:spacing w:val="15"/>
      <w:sz w:val="24"/>
      <w:szCs w:val="24"/>
    </w:rPr>
  </w:style>
  <w:style w:type="character" w:customStyle="1" w:styleId="SubtitleChar">
    <w:name w:val="Subtitle Char"/>
    <w:basedOn w:val="DefaultParagraphFont"/>
    <w:link w:val="Subtitle"/>
    <w:uiPriority w:val="11"/>
    <w:rsid w:val="0001641B"/>
    <w:rPr>
      <w:rFonts w:eastAsiaTheme="minorEastAsia"/>
      <w:color w:val="5A5A5A" w:themeColor="text1" w:themeTint="A5"/>
      <w:spacing w:val="15"/>
      <w:sz w:val="24"/>
      <w:szCs w:val="24"/>
      <w:lang w:val="en-US"/>
    </w:rPr>
  </w:style>
  <w:style w:type="character" w:customStyle="1" w:styleId="Heading4Char">
    <w:name w:val="Heading 4 Char"/>
    <w:basedOn w:val="DefaultParagraphFont"/>
    <w:link w:val="Heading4"/>
    <w:uiPriority w:val="9"/>
    <w:semiHidden/>
    <w:rsid w:val="00902B2B"/>
    <w:rPr>
      <w:rFonts w:eastAsiaTheme="majorEastAsia" w:cstheme="majorBidi"/>
      <w:i/>
      <w:iCs/>
    </w:rPr>
  </w:style>
  <w:style w:type="table" w:styleId="TableGrid">
    <w:name w:val="Table Grid"/>
    <w:basedOn w:val="TableNormal"/>
    <w:uiPriority w:val="39"/>
    <w:rsid w:val="00557AE2"/>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C1102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
    <w:name w:val="Grid Table 1 Light"/>
    <w:basedOn w:val="TableNormal"/>
    <w:uiPriority w:val="46"/>
    <w:rsid w:val="00C11028"/>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C11028"/>
    <w:pPr>
      <w:tabs>
        <w:tab w:val="center" w:pos="4680"/>
        <w:tab w:val="right" w:pos="9360"/>
      </w:tabs>
      <w:spacing w:line="240" w:lineRule="auto"/>
    </w:pPr>
  </w:style>
  <w:style w:type="character" w:customStyle="1" w:styleId="HeaderChar">
    <w:name w:val="Header Char"/>
    <w:basedOn w:val="DefaultParagraphFont"/>
    <w:link w:val="Header"/>
    <w:uiPriority w:val="99"/>
    <w:rsid w:val="00C11028"/>
  </w:style>
  <w:style w:type="paragraph" w:styleId="Footer">
    <w:name w:val="footer"/>
    <w:basedOn w:val="Normal"/>
    <w:link w:val="FooterChar"/>
    <w:uiPriority w:val="99"/>
    <w:unhideWhenUsed/>
    <w:rsid w:val="00C11028"/>
    <w:pPr>
      <w:tabs>
        <w:tab w:val="center" w:pos="4680"/>
        <w:tab w:val="right" w:pos="9360"/>
      </w:tabs>
      <w:spacing w:line="240" w:lineRule="auto"/>
    </w:pPr>
  </w:style>
  <w:style w:type="character" w:customStyle="1" w:styleId="FooterChar">
    <w:name w:val="Footer Char"/>
    <w:basedOn w:val="DefaultParagraphFont"/>
    <w:link w:val="Footer"/>
    <w:uiPriority w:val="99"/>
    <w:rsid w:val="00C11028"/>
  </w:style>
  <w:style w:type="table" w:styleId="PlainTable1">
    <w:name w:val="Plain Table 1"/>
    <w:basedOn w:val="TableNormal"/>
    <w:uiPriority w:val="41"/>
    <w:rsid w:val="0097513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63196E"/>
    <w:rPr>
      <w:sz w:val="16"/>
      <w:szCs w:val="16"/>
    </w:rPr>
  </w:style>
  <w:style w:type="paragraph" w:styleId="CommentText">
    <w:name w:val="annotation text"/>
    <w:basedOn w:val="Normal"/>
    <w:link w:val="CommentTextChar"/>
    <w:uiPriority w:val="99"/>
    <w:unhideWhenUsed/>
    <w:rsid w:val="0063196E"/>
    <w:pPr>
      <w:spacing w:line="240" w:lineRule="auto"/>
    </w:pPr>
    <w:rPr>
      <w:sz w:val="20"/>
      <w:szCs w:val="20"/>
    </w:rPr>
  </w:style>
  <w:style w:type="character" w:customStyle="1" w:styleId="CommentTextChar">
    <w:name w:val="Comment Text Char"/>
    <w:basedOn w:val="DefaultParagraphFont"/>
    <w:link w:val="CommentText"/>
    <w:uiPriority w:val="99"/>
    <w:rsid w:val="0063196E"/>
    <w:rPr>
      <w:sz w:val="20"/>
      <w:szCs w:val="20"/>
      <w:lang w:val="en-US"/>
    </w:rPr>
  </w:style>
  <w:style w:type="paragraph" w:styleId="CommentSubject">
    <w:name w:val="annotation subject"/>
    <w:basedOn w:val="CommentText"/>
    <w:next w:val="CommentText"/>
    <w:link w:val="CommentSubjectChar"/>
    <w:uiPriority w:val="99"/>
    <w:semiHidden/>
    <w:unhideWhenUsed/>
    <w:rsid w:val="0063196E"/>
    <w:rPr>
      <w:b/>
      <w:bCs/>
    </w:rPr>
  </w:style>
  <w:style w:type="character" w:customStyle="1" w:styleId="CommentSubjectChar">
    <w:name w:val="Comment Subject Char"/>
    <w:basedOn w:val="CommentTextChar"/>
    <w:link w:val="CommentSubject"/>
    <w:uiPriority w:val="99"/>
    <w:semiHidden/>
    <w:rsid w:val="0063196E"/>
    <w:rPr>
      <w:b/>
      <w:bCs/>
      <w:sz w:val="20"/>
      <w:szCs w:val="20"/>
      <w:lang w:val="en-US"/>
    </w:rPr>
  </w:style>
  <w:style w:type="character" w:styleId="PageNumber">
    <w:name w:val="page number"/>
    <w:basedOn w:val="DefaultParagraphFont"/>
    <w:uiPriority w:val="99"/>
    <w:semiHidden/>
    <w:unhideWhenUsed/>
    <w:rsid w:val="00EC33CF"/>
  </w:style>
  <w:style w:type="paragraph" w:styleId="TOCHeading">
    <w:name w:val="TOC Heading"/>
    <w:basedOn w:val="Heading1"/>
    <w:next w:val="Normal"/>
    <w:uiPriority w:val="39"/>
    <w:unhideWhenUsed/>
    <w:qFormat/>
    <w:rsid w:val="00EC33CF"/>
    <w:pPr>
      <w:spacing w:before="480" w:after="0"/>
      <w:outlineLvl w:val="9"/>
    </w:pPr>
    <w:rPr>
      <w:rFonts w:asciiTheme="majorHAnsi" w:hAnsiTheme="majorHAnsi"/>
      <w:bCs/>
      <w:color w:val="2F5496" w:themeColor="accent1" w:themeShade="BF"/>
      <w:sz w:val="28"/>
      <w:szCs w:val="28"/>
    </w:rPr>
  </w:style>
  <w:style w:type="paragraph" w:styleId="TOC1">
    <w:name w:val="toc 1"/>
    <w:basedOn w:val="Normal"/>
    <w:next w:val="Normal"/>
    <w:autoRedefine/>
    <w:uiPriority w:val="39"/>
    <w:unhideWhenUsed/>
    <w:rsid w:val="00366E1C"/>
    <w:pPr>
      <w:tabs>
        <w:tab w:val="right" w:leader="dot" w:pos="9010"/>
      </w:tabs>
      <w:spacing w:before="120" w:after="120" w:line="240" w:lineRule="auto"/>
      <w:ind w:firstLine="0"/>
      <w:jc w:val="left"/>
    </w:pPr>
    <w:rPr>
      <w:rFonts w:cstheme="minorHAnsi"/>
      <w:b/>
      <w:bCs/>
      <w:caps/>
      <w:sz w:val="20"/>
      <w:szCs w:val="20"/>
    </w:rPr>
  </w:style>
  <w:style w:type="paragraph" w:styleId="TOC2">
    <w:name w:val="toc 2"/>
    <w:basedOn w:val="Normal"/>
    <w:next w:val="Normal"/>
    <w:autoRedefine/>
    <w:uiPriority w:val="39"/>
    <w:unhideWhenUsed/>
    <w:rsid w:val="000A6197"/>
    <w:pPr>
      <w:tabs>
        <w:tab w:val="right" w:leader="dot" w:pos="9010"/>
      </w:tabs>
      <w:spacing w:after="0"/>
      <w:ind w:left="85" w:firstLine="0"/>
      <w:jc w:val="left"/>
    </w:pPr>
    <w:rPr>
      <w:rFonts w:cs="Calibri (Body)"/>
      <w:sz w:val="18"/>
      <w:szCs w:val="20"/>
    </w:rPr>
  </w:style>
  <w:style w:type="character" w:styleId="Hyperlink">
    <w:name w:val="Hyperlink"/>
    <w:basedOn w:val="DefaultParagraphFont"/>
    <w:uiPriority w:val="99"/>
    <w:unhideWhenUsed/>
    <w:rsid w:val="00EC33CF"/>
    <w:rPr>
      <w:color w:val="0563C1" w:themeColor="hyperlink"/>
      <w:u w:val="single"/>
    </w:rPr>
  </w:style>
  <w:style w:type="paragraph" w:styleId="TOC3">
    <w:name w:val="toc 3"/>
    <w:basedOn w:val="Normal"/>
    <w:next w:val="Normal"/>
    <w:autoRedefine/>
    <w:uiPriority w:val="39"/>
    <w:unhideWhenUsed/>
    <w:rsid w:val="00756E54"/>
    <w:pPr>
      <w:spacing w:after="0"/>
      <w:ind w:left="113" w:firstLine="0"/>
      <w:jc w:val="left"/>
    </w:pPr>
    <w:rPr>
      <w:rFonts w:asciiTheme="minorHAnsi" w:hAnsiTheme="minorHAnsi" w:cstheme="minorHAnsi"/>
      <w:i/>
      <w:iCs/>
      <w:sz w:val="20"/>
      <w:szCs w:val="20"/>
    </w:rPr>
  </w:style>
  <w:style w:type="paragraph" w:styleId="TOC4">
    <w:name w:val="toc 4"/>
    <w:basedOn w:val="Normal"/>
    <w:next w:val="Normal"/>
    <w:autoRedefine/>
    <w:uiPriority w:val="39"/>
    <w:unhideWhenUsed/>
    <w:rsid w:val="00756E54"/>
    <w:pPr>
      <w:spacing w:after="0"/>
      <w:ind w:left="170" w:firstLine="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EC33CF"/>
    <w:pPr>
      <w:spacing w:after="0"/>
      <w:ind w:left="88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EC33CF"/>
    <w:pPr>
      <w:spacing w:after="0"/>
      <w:ind w:left="11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EC33CF"/>
    <w:pPr>
      <w:spacing w:after="0"/>
      <w:ind w:left="132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EC33CF"/>
    <w:pPr>
      <w:spacing w:after="0"/>
      <w:ind w:left="154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EC33CF"/>
    <w:pPr>
      <w:spacing w:after="0"/>
      <w:ind w:left="1760"/>
      <w:jc w:val="left"/>
    </w:pPr>
    <w:rPr>
      <w:rFonts w:asciiTheme="minorHAnsi" w:hAnsiTheme="minorHAnsi" w:cstheme="minorHAnsi"/>
      <w:sz w:val="18"/>
      <w:szCs w:val="18"/>
    </w:rPr>
  </w:style>
  <w:style w:type="paragraph" w:styleId="Revision">
    <w:name w:val="Revision"/>
    <w:hidden/>
    <w:uiPriority w:val="99"/>
    <w:semiHidden/>
    <w:rsid w:val="001C0847"/>
    <w:rPr>
      <w:rFonts w:eastAsiaTheme="minorEastAsia"/>
      <w:lang w:val="en-US"/>
    </w:rPr>
  </w:style>
  <w:style w:type="table" w:styleId="PlainTable2">
    <w:name w:val="Plain Table 2"/>
    <w:basedOn w:val="TableNormal"/>
    <w:uiPriority w:val="42"/>
    <w:rsid w:val="00A050E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aption">
    <w:name w:val="caption"/>
    <w:basedOn w:val="Normal"/>
    <w:next w:val="Normal"/>
    <w:uiPriority w:val="35"/>
    <w:unhideWhenUsed/>
    <w:qFormat/>
    <w:rsid w:val="00AC7376"/>
    <w:pPr>
      <w:spacing w:after="200" w:line="240" w:lineRule="auto"/>
      <w:ind w:firstLine="0"/>
    </w:pPr>
    <w:rPr>
      <w:rFonts w:ascii="Arial" w:eastAsiaTheme="minorHAnsi" w:hAnsi="Arial" w:cstheme="minorBidi"/>
      <w:i/>
      <w:iCs/>
      <w:color w:val="44546A" w:themeColor="text2"/>
      <w:sz w:val="18"/>
      <w:szCs w:val="18"/>
      <w:lang w:val="en-GB"/>
    </w:rPr>
  </w:style>
  <w:style w:type="paragraph" w:styleId="ListParagraph">
    <w:name w:val="List Paragraph"/>
    <w:basedOn w:val="Normal"/>
    <w:uiPriority w:val="34"/>
    <w:qFormat/>
    <w:rsid w:val="006F4D48"/>
    <w:pPr>
      <w:ind w:left="720"/>
      <w:contextualSpacing/>
    </w:pPr>
  </w:style>
  <w:style w:type="character" w:styleId="PlaceholderText">
    <w:name w:val="Placeholder Text"/>
    <w:basedOn w:val="DefaultParagraphFont"/>
    <w:uiPriority w:val="99"/>
    <w:semiHidden/>
    <w:rsid w:val="00F667C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26469">
      <w:bodyDiv w:val="1"/>
      <w:marLeft w:val="0"/>
      <w:marRight w:val="0"/>
      <w:marTop w:val="0"/>
      <w:marBottom w:val="0"/>
      <w:divBdr>
        <w:top w:val="none" w:sz="0" w:space="0" w:color="auto"/>
        <w:left w:val="none" w:sz="0" w:space="0" w:color="auto"/>
        <w:bottom w:val="none" w:sz="0" w:space="0" w:color="auto"/>
        <w:right w:val="none" w:sz="0" w:space="0" w:color="auto"/>
      </w:divBdr>
    </w:div>
    <w:div w:id="200554570">
      <w:bodyDiv w:val="1"/>
      <w:marLeft w:val="0"/>
      <w:marRight w:val="0"/>
      <w:marTop w:val="0"/>
      <w:marBottom w:val="0"/>
      <w:divBdr>
        <w:top w:val="none" w:sz="0" w:space="0" w:color="auto"/>
        <w:left w:val="none" w:sz="0" w:space="0" w:color="auto"/>
        <w:bottom w:val="none" w:sz="0" w:space="0" w:color="auto"/>
        <w:right w:val="none" w:sz="0" w:space="0" w:color="auto"/>
      </w:divBdr>
    </w:div>
    <w:div w:id="524364057">
      <w:bodyDiv w:val="1"/>
      <w:marLeft w:val="0"/>
      <w:marRight w:val="0"/>
      <w:marTop w:val="0"/>
      <w:marBottom w:val="0"/>
      <w:divBdr>
        <w:top w:val="none" w:sz="0" w:space="0" w:color="auto"/>
        <w:left w:val="none" w:sz="0" w:space="0" w:color="auto"/>
        <w:bottom w:val="none" w:sz="0" w:space="0" w:color="auto"/>
        <w:right w:val="none" w:sz="0" w:space="0" w:color="auto"/>
      </w:divBdr>
    </w:div>
    <w:div w:id="689138008">
      <w:bodyDiv w:val="1"/>
      <w:marLeft w:val="0"/>
      <w:marRight w:val="0"/>
      <w:marTop w:val="0"/>
      <w:marBottom w:val="0"/>
      <w:divBdr>
        <w:top w:val="none" w:sz="0" w:space="0" w:color="auto"/>
        <w:left w:val="none" w:sz="0" w:space="0" w:color="auto"/>
        <w:bottom w:val="none" w:sz="0" w:space="0" w:color="auto"/>
        <w:right w:val="none" w:sz="0" w:space="0" w:color="auto"/>
      </w:divBdr>
    </w:div>
    <w:div w:id="723257111">
      <w:bodyDiv w:val="1"/>
      <w:marLeft w:val="0"/>
      <w:marRight w:val="0"/>
      <w:marTop w:val="0"/>
      <w:marBottom w:val="0"/>
      <w:divBdr>
        <w:top w:val="none" w:sz="0" w:space="0" w:color="auto"/>
        <w:left w:val="none" w:sz="0" w:space="0" w:color="auto"/>
        <w:bottom w:val="none" w:sz="0" w:space="0" w:color="auto"/>
        <w:right w:val="none" w:sz="0" w:space="0" w:color="auto"/>
      </w:divBdr>
    </w:div>
    <w:div w:id="869531664">
      <w:bodyDiv w:val="1"/>
      <w:marLeft w:val="0"/>
      <w:marRight w:val="0"/>
      <w:marTop w:val="0"/>
      <w:marBottom w:val="0"/>
      <w:divBdr>
        <w:top w:val="none" w:sz="0" w:space="0" w:color="auto"/>
        <w:left w:val="none" w:sz="0" w:space="0" w:color="auto"/>
        <w:bottom w:val="none" w:sz="0" w:space="0" w:color="auto"/>
        <w:right w:val="none" w:sz="0" w:space="0" w:color="auto"/>
      </w:divBdr>
    </w:div>
    <w:div w:id="1111508392">
      <w:bodyDiv w:val="1"/>
      <w:marLeft w:val="0"/>
      <w:marRight w:val="0"/>
      <w:marTop w:val="0"/>
      <w:marBottom w:val="0"/>
      <w:divBdr>
        <w:top w:val="none" w:sz="0" w:space="0" w:color="auto"/>
        <w:left w:val="none" w:sz="0" w:space="0" w:color="auto"/>
        <w:bottom w:val="none" w:sz="0" w:space="0" w:color="auto"/>
        <w:right w:val="none" w:sz="0" w:space="0" w:color="auto"/>
      </w:divBdr>
    </w:div>
    <w:div w:id="1257248600">
      <w:bodyDiv w:val="1"/>
      <w:marLeft w:val="0"/>
      <w:marRight w:val="0"/>
      <w:marTop w:val="0"/>
      <w:marBottom w:val="0"/>
      <w:divBdr>
        <w:top w:val="none" w:sz="0" w:space="0" w:color="auto"/>
        <w:left w:val="none" w:sz="0" w:space="0" w:color="auto"/>
        <w:bottom w:val="none" w:sz="0" w:space="0" w:color="auto"/>
        <w:right w:val="none" w:sz="0" w:space="0" w:color="auto"/>
      </w:divBdr>
    </w:div>
    <w:div w:id="1307197514">
      <w:bodyDiv w:val="1"/>
      <w:marLeft w:val="0"/>
      <w:marRight w:val="0"/>
      <w:marTop w:val="0"/>
      <w:marBottom w:val="0"/>
      <w:divBdr>
        <w:top w:val="none" w:sz="0" w:space="0" w:color="auto"/>
        <w:left w:val="none" w:sz="0" w:space="0" w:color="auto"/>
        <w:bottom w:val="none" w:sz="0" w:space="0" w:color="auto"/>
        <w:right w:val="none" w:sz="0" w:space="0" w:color="auto"/>
      </w:divBdr>
    </w:div>
    <w:div w:id="1374503403">
      <w:bodyDiv w:val="1"/>
      <w:marLeft w:val="0"/>
      <w:marRight w:val="0"/>
      <w:marTop w:val="0"/>
      <w:marBottom w:val="0"/>
      <w:divBdr>
        <w:top w:val="none" w:sz="0" w:space="0" w:color="auto"/>
        <w:left w:val="none" w:sz="0" w:space="0" w:color="auto"/>
        <w:bottom w:val="none" w:sz="0" w:space="0" w:color="auto"/>
        <w:right w:val="none" w:sz="0" w:space="0" w:color="auto"/>
      </w:divBdr>
    </w:div>
    <w:div w:id="1428424188">
      <w:bodyDiv w:val="1"/>
      <w:marLeft w:val="0"/>
      <w:marRight w:val="0"/>
      <w:marTop w:val="0"/>
      <w:marBottom w:val="0"/>
      <w:divBdr>
        <w:top w:val="none" w:sz="0" w:space="0" w:color="auto"/>
        <w:left w:val="none" w:sz="0" w:space="0" w:color="auto"/>
        <w:bottom w:val="none" w:sz="0" w:space="0" w:color="auto"/>
        <w:right w:val="none" w:sz="0" w:space="0" w:color="auto"/>
      </w:divBdr>
      <w:divsChild>
        <w:div w:id="1290740887">
          <w:marLeft w:val="0"/>
          <w:marRight w:val="0"/>
          <w:marTop w:val="0"/>
          <w:marBottom w:val="0"/>
          <w:divBdr>
            <w:top w:val="none" w:sz="0" w:space="0" w:color="auto"/>
            <w:left w:val="none" w:sz="0" w:space="0" w:color="auto"/>
            <w:bottom w:val="none" w:sz="0" w:space="0" w:color="auto"/>
            <w:right w:val="none" w:sz="0" w:space="0" w:color="auto"/>
          </w:divBdr>
          <w:divsChild>
            <w:div w:id="2003503947">
              <w:marLeft w:val="0"/>
              <w:marRight w:val="0"/>
              <w:marTop w:val="0"/>
              <w:marBottom w:val="0"/>
              <w:divBdr>
                <w:top w:val="none" w:sz="0" w:space="0" w:color="auto"/>
                <w:left w:val="none" w:sz="0" w:space="0" w:color="auto"/>
                <w:bottom w:val="none" w:sz="0" w:space="0" w:color="auto"/>
                <w:right w:val="none" w:sz="0" w:space="0" w:color="auto"/>
              </w:divBdr>
              <w:divsChild>
                <w:div w:id="95907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553406">
      <w:bodyDiv w:val="1"/>
      <w:marLeft w:val="0"/>
      <w:marRight w:val="0"/>
      <w:marTop w:val="0"/>
      <w:marBottom w:val="0"/>
      <w:divBdr>
        <w:top w:val="none" w:sz="0" w:space="0" w:color="auto"/>
        <w:left w:val="none" w:sz="0" w:space="0" w:color="auto"/>
        <w:bottom w:val="none" w:sz="0" w:space="0" w:color="auto"/>
        <w:right w:val="none" w:sz="0" w:space="0" w:color="auto"/>
      </w:divBdr>
    </w:div>
    <w:div w:id="1525165211">
      <w:bodyDiv w:val="1"/>
      <w:marLeft w:val="0"/>
      <w:marRight w:val="0"/>
      <w:marTop w:val="0"/>
      <w:marBottom w:val="0"/>
      <w:divBdr>
        <w:top w:val="none" w:sz="0" w:space="0" w:color="auto"/>
        <w:left w:val="none" w:sz="0" w:space="0" w:color="auto"/>
        <w:bottom w:val="none" w:sz="0" w:space="0" w:color="auto"/>
        <w:right w:val="none" w:sz="0" w:space="0" w:color="auto"/>
      </w:divBdr>
    </w:div>
    <w:div w:id="1529680397">
      <w:bodyDiv w:val="1"/>
      <w:marLeft w:val="0"/>
      <w:marRight w:val="0"/>
      <w:marTop w:val="0"/>
      <w:marBottom w:val="0"/>
      <w:divBdr>
        <w:top w:val="none" w:sz="0" w:space="0" w:color="auto"/>
        <w:left w:val="none" w:sz="0" w:space="0" w:color="auto"/>
        <w:bottom w:val="none" w:sz="0" w:space="0" w:color="auto"/>
        <w:right w:val="none" w:sz="0" w:space="0" w:color="auto"/>
      </w:divBdr>
    </w:div>
    <w:div w:id="1601330897">
      <w:bodyDiv w:val="1"/>
      <w:marLeft w:val="0"/>
      <w:marRight w:val="0"/>
      <w:marTop w:val="0"/>
      <w:marBottom w:val="0"/>
      <w:divBdr>
        <w:top w:val="none" w:sz="0" w:space="0" w:color="auto"/>
        <w:left w:val="none" w:sz="0" w:space="0" w:color="auto"/>
        <w:bottom w:val="none" w:sz="0" w:space="0" w:color="auto"/>
        <w:right w:val="none" w:sz="0" w:space="0" w:color="auto"/>
      </w:divBdr>
    </w:div>
    <w:div w:id="1788619199">
      <w:bodyDiv w:val="1"/>
      <w:marLeft w:val="0"/>
      <w:marRight w:val="0"/>
      <w:marTop w:val="0"/>
      <w:marBottom w:val="0"/>
      <w:divBdr>
        <w:top w:val="none" w:sz="0" w:space="0" w:color="auto"/>
        <w:left w:val="none" w:sz="0" w:space="0" w:color="auto"/>
        <w:bottom w:val="none" w:sz="0" w:space="0" w:color="auto"/>
        <w:right w:val="none" w:sz="0" w:space="0" w:color="auto"/>
      </w:divBdr>
    </w:div>
    <w:div w:id="1866939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170.png"/><Relationship Id="rId47" Type="http://schemas.openxmlformats.org/officeDocument/2006/relationships/image" Target="media/image22.png"/><Relationship Id="rId63" Type="http://schemas.openxmlformats.org/officeDocument/2006/relationships/image" Target="media/image30.png"/><Relationship Id="rId68" Type="http://schemas.openxmlformats.org/officeDocument/2006/relationships/image" Target="media/image290.png"/><Relationship Id="rId84" Type="http://schemas.openxmlformats.org/officeDocument/2006/relationships/image" Target="media/image370.png"/><Relationship Id="rId89" Type="http://schemas.openxmlformats.org/officeDocument/2006/relationships/image" Target="media/image42.png"/><Relationship Id="rId16" Type="http://schemas.openxmlformats.org/officeDocument/2006/relationships/image" Target="media/image30.emf"/><Relationship Id="rId107" Type="http://schemas.openxmlformats.org/officeDocument/2006/relationships/image" Target="media/image500.png"/><Relationship Id="rId11" Type="http://schemas.openxmlformats.org/officeDocument/2006/relationships/image" Target="media/image3.emf"/><Relationship Id="rId32" Type="http://schemas.openxmlformats.org/officeDocument/2006/relationships/image" Target="media/image130.png"/><Relationship Id="rId37" Type="http://schemas.openxmlformats.org/officeDocument/2006/relationships/image" Target="media/image16.png"/><Relationship Id="rId53" Type="http://schemas.openxmlformats.org/officeDocument/2006/relationships/image" Target="media/image220.png"/><Relationship Id="rId58" Type="http://schemas.openxmlformats.org/officeDocument/2006/relationships/image" Target="media/image27.png"/><Relationship Id="rId74" Type="http://schemas.openxmlformats.org/officeDocument/2006/relationships/image" Target="media/image35.png"/><Relationship Id="rId79" Type="http://schemas.openxmlformats.org/officeDocument/2006/relationships/image" Target="media/image38.png"/><Relationship Id="rId102" Type="http://schemas.openxmlformats.org/officeDocument/2006/relationships/image" Target="media/image470.png"/><Relationship Id="rId5" Type="http://schemas.openxmlformats.org/officeDocument/2006/relationships/webSettings" Target="webSettings.xml"/><Relationship Id="rId90" Type="http://schemas.openxmlformats.org/officeDocument/2006/relationships/image" Target="media/image43.png"/><Relationship Id="rId95" Type="http://schemas.openxmlformats.org/officeDocument/2006/relationships/image" Target="media/image46.png"/><Relationship Id="rId22" Type="http://schemas.openxmlformats.org/officeDocument/2006/relationships/image" Target="media/image9.png"/><Relationship Id="rId27" Type="http://schemas.openxmlformats.org/officeDocument/2006/relationships/image" Target="media/image80.png"/><Relationship Id="rId43" Type="http://schemas.openxmlformats.org/officeDocument/2006/relationships/image" Target="media/image180.png"/><Relationship Id="rId48" Type="http://schemas.openxmlformats.org/officeDocument/2006/relationships/image" Target="media/image23.png"/><Relationship Id="rId64" Type="http://schemas.openxmlformats.org/officeDocument/2006/relationships/image" Target="media/image31.png"/><Relationship Id="rId69" Type="http://schemas.openxmlformats.org/officeDocument/2006/relationships/image" Target="media/image300.png"/><Relationship Id="rId80" Type="http://schemas.openxmlformats.org/officeDocument/2006/relationships/image" Target="media/image39.png"/><Relationship Id="rId85" Type="http://schemas.openxmlformats.org/officeDocument/2006/relationships/image" Target="media/image380.png"/><Relationship Id="rId12" Type="http://schemas.openxmlformats.org/officeDocument/2006/relationships/image" Target="media/image4.png"/><Relationship Id="rId17" Type="http://schemas.openxmlformats.org/officeDocument/2006/relationships/image" Target="media/image410.png"/><Relationship Id="rId33" Type="http://schemas.openxmlformats.org/officeDocument/2006/relationships/image" Target="media/image14.png"/><Relationship Id="rId38" Type="http://schemas.openxmlformats.org/officeDocument/2006/relationships/image" Target="media/image17.png"/><Relationship Id="rId59" Type="http://schemas.openxmlformats.org/officeDocument/2006/relationships/image" Target="media/image260.png"/><Relationship Id="rId103" Type="http://schemas.openxmlformats.org/officeDocument/2006/relationships/image" Target="media/image480.png"/><Relationship Id="rId108" Type="http://schemas.openxmlformats.org/officeDocument/2006/relationships/image" Target="media/image510.png"/><Relationship Id="rId54" Type="http://schemas.openxmlformats.org/officeDocument/2006/relationships/image" Target="media/image230.png"/><Relationship Id="rId70" Type="http://schemas.openxmlformats.org/officeDocument/2006/relationships/image" Target="media/image310.png"/><Relationship Id="rId75" Type="http://schemas.openxmlformats.org/officeDocument/2006/relationships/image" Target="media/image340.png"/><Relationship Id="rId91" Type="http://schemas.openxmlformats.org/officeDocument/2006/relationships/image" Target="media/image420.png"/><Relationship Id="rId96"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0.png"/><Relationship Id="rId28" Type="http://schemas.openxmlformats.org/officeDocument/2006/relationships/image" Target="media/image90.png"/><Relationship Id="rId36" Type="http://schemas.openxmlformats.org/officeDocument/2006/relationships/image" Target="media/image150.png"/><Relationship Id="rId49" Type="http://schemas.openxmlformats.org/officeDocument/2006/relationships/image" Target="media/image24.png"/><Relationship Id="rId57" Type="http://schemas.openxmlformats.org/officeDocument/2006/relationships/image" Target="media/image26.png"/><Relationship Id="rId106" Type="http://schemas.openxmlformats.org/officeDocument/2006/relationships/image" Target="media/image51.png"/><Relationship Id="rId10" Type="http://schemas.openxmlformats.org/officeDocument/2006/relationships/image" Target="media/image2.png"/><Relationship Id="rId31" Type="http://schemas.openxmlformats.org/officeDocument/2006/relationships/image" Target="media/image120.png"/><Relationship Id="rId44" Type="http://schemas.openxmlformats.org/officeDocument/2006/relationships/image" Target="media/image190.png"/><Relationship Id="rId52" Type="http://schemas.openxmlformats.org/officeDocument/2006/relationships/image" Target="media/image210.png"/><Relationship Id="rId60" Type="http://schemas.openxmlformats.org/officeDocument/2006/relationships/image" Target="media/image270.png"/><Relationship Id="rId65" Type="http://schemas.openxmlformats.org/officeDocument/2006/relationships/image" Target="media/image32.png"/><Relationship Id="rId73" Type="http://schemas.openxmlformats.org/officeDocument/2006/relationships/image" Target="media/image34.png"/><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image" Target="media/image390.png"/><Relationship Id="rId94" Type="http://schemas.openxmlformats.org/officeDocument/2006/relationships/image" Target="media/image45.png"/><Relationship Id="rId99" Type="http://schemas.openxmlformats.org/officeDocument/2006/relationships/image" Target="media/image440.png"/><Relationship Id="rId101" Type="http://schemas.openxmlformats.org/officeDocument/2006/relationships/image" Target="media/image460.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52.png"/><Relationship Id="rId39" Type="http://schemas.openxmlformats.org/officeDocument/2006/relationships/image" Target="media/image18.png"/><Relationship Id="rId109" Type="http://schemas.openxmlformats.org/officeDocument/2006/relationships/footer" Target="footer2.xml"/><Relationship Id="rId34" Type="http://schemas.openxmlformats.org/officeDocument/2006/relationships/image" Target="media/image15.png"/><Relationship Id="rId50" Type="http://schemas.openxmlformats.org/officeDocument/2006/relationships/image" Target="media/image25.png"/><Relationship Id="rId55" Type="http://schemas.openxmlformats.org/officeDocument/2006/relationships/image" Target="media/image240.png"/><Relationship Id="rId76" Type="http://schemas.openxmlformats.org/officeDocument/2006/relationships/image" Target="media/image350.png"/><Relationship Id="rId97" Type="http://schemas.openxmlformats.org/officeDocument/2006/relationships/image" Target="media/image48.png"/><Relationship Id="rId104" Type="http://schemas.openxmlformats.org/officeDocument/2006/relationships/image" Target="media/image490.png"/><Relationship Id="rId7" Type="http://schemas.openxmlformats.org/officeDocument/2006/relationships/endnotes" Target="endnotes.xml"/><Relationship Id="rId71" Type="http://schemas.openxmlformats.org/officeDocument/2006/relationships/image" Target="media/image320.png"/><Relationship Id="rId92" Type="http://schemas.openxmlformats.org/officeDocument/2006/relationships/image" Target="media/image430.png"/><Relationship Id="rId2" Type="http://schemas.openxmlformats.org/officeDocument/2006/relationships/numbering" Target="numbering.xml"/><Relationship Id="rId29" Type="http://schemas.openxmlformats.org/officeDocument/2006/relationships/image" Target="media/image100.png"/><Relationship Id="rId24" Type="http://schemas.openxmlformats.org/officeDocument/2006/relationships/image" Target="media/image11.png"/><Relationship Id="rId40" Type="http://schemas.openxmlformats.org/officeDocument/2006/relationships/image" Target="media/image19.png"/><Relationship Id="rId45" Type="http://schemas.openxmlformats.org/officeDocument/2006/relationships/image" Target="media/image20.png"/><Relationship Id="rId66" Type="http://schemas.openxmlformats.org/officeDocument/2006/relationships/image" Target="media/image33.png"/><Relationship Id="rId87" Type="http://schemas.openxmlformats.org/officeDocument/2006/relationships/image" Target="media/image400.png"/><Relationship Id="rId110" Type="http://schemas.openxmlformats.org/officeDocument/2006/relationships/fontTable" Target="fontTable.xml"/><Relationship Id="rId61" Type="http://schemas.openxmlformats.org/officeDocument/2006/relationships/image" Target="media/image28.png"/><Relationship Id="rId82" Type="http://schemas.openxmlformats.org/officeDocument/2006/relationships/image" Target="media/image41.png"/><Relationship Id="rId19" Type="http://schemas.openxmlformats.org/officeDocument/2006/relationships/image" Target="media/image60.png"/><Relationship Id="rId14" Type="http://schemas.openxmlformats.org/officeDocument/2006/relationships/image" Target="media/image6.png"/><Relationship Id="rId30" Type="http://schemas.openxmlformats.org/officeDocument/2006/relationships/image" Target="media/image110.png"/><Relationship Id="rId35" Type="http://schemas.openxmlformats.org/officeDocument/2006/relationships/image" Target="media/image140.png"/><Relationship Id="rId56" Type="http://schemas.openxmlformats.org/officeDocument/2006/relationships/image" Target="media/image250.png"/><Relationship Id="rId77" Type="http://schemas.openxmlformats.org/officeDocument/2006/relationships/image" Target="media/image36.png"/><Relationship Id="rId100" Type="http://schemas.openxmlformats.org/officeDocument/2006/relationships/image" Target="media/image450.png"/><Relationship Id="rId105" Type="http://schemas.openxmlformats.org/officeDocument/2006/relationships/image" Target="media/image50.png"/><Relationship Id="rId8" Type="http://schemas.openxmlformats.org/officeDocument/2006/relationships/image" Target="media/image1.png"/><Relationship Id="rId51" Type="http://schemas.openxmlformats.org/officeDocument/2006/relationships/image" Target="media/image200.png"/><Relationship Id="rId72" Type="http://schemas.openxmlformats.org/officeDocument/2006/relationships/image" Target="media/image330.png"/><Relationship Id="rId93" Type="http://schemas.openxmlformats.org/officeDocument/2006/relationships/image" Target="media/image44.png"/><Relationship Id="rId98" Type="http://schemas.openxmlformats.org/officeDocument/2006/relationships/image" Target="media/image49.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1.png"/><Relationship Id="rId67" Type="http://schemas.openxmlformats.org/officeDocument/2006/relationships/image" Target="media/image280.png"/><Relationship Id="rId20" Type="http://schemas.openxmlformats.org/officeDocument/2006/relationships/image" Target="media/image70.png"/><Relationship Id="rId41" Type="http://schemas.openxmlformats.org/officeDocument/2006/relationships/image" Target="media/image160.png"/><Relationship Id="rId62" Type="http://schemas.openxmlformats.org/officeDocument/2006/relationships/image" Target="media/image29.png"/><Relationship Id="rId83" Type="http://schemas.openxmlformats.org/officeDocument/2006/relationships/image" Target="media/image360.png"/><Relationship Id="rId88" Type="http://schemas.openxmlformats.org/officeDocument/2006/relationships/image" Target="media/image411.png"/><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EF1827-4618-8A4C-BB7A-4C8B8E3311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41</Pages>
  <Words>60316</Words>
  <Characters>343805</Characters>
  <Application>Microsoft Office Word</Application>
  <DocSecurity>0</DocSecurity>
  <Lines>2865</Lines>
  <Paragraphs>806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Dirk de Leijer</dc:creator>
  <cp:keywords/>
  <dc:description/>
  <cp:lastModifiedBy>Dirk de Leijer</cp:lastModifiedBy>
  <cp:revision>5</cp:revision>
  <cp:lastPrinted>2022-04-20T17:22:00Z</cp:lastPrinted>
  <dcterms:created xsi:type="dcterms:W3CDTF">2022-04-20T17:27:00Z</dcterms:created>
  <dcterms:modified xsi:type="dcterms:W3CDTF">2022-04-20T17:47:00Z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6d70a3a0-5f85-36f8-82fc-6bd24921e107</vt:lpwstr>
  </property>
  <property fmtid="{D5CDD505-2E9C-101B-9397-08002B2CF9AE}" pid="24" name="Mendeley Citation Style_1">
    <vt:lpwstr>http://www.zotero.org/styles/apa</vt:lpwstr>
  </property>
</Properties>
</file>