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margin" w:tblpXSpec="center" w:tblpY="1711"/>
        <w:tblW w:w="5462" w:type="pct"/>
        <w:tblBorders>
          <w:left w:val="single" w:sz="12" w:space="0" w:color="4472C4" w:themeColor="accent1"/>
        </w:tblBorders>
        <w:tblCellMar>
          <w:left w:w="144" w:type="dxa"/>
          <w:right w:w="115" w:type="dxa"/>
        </w:tblCellMar>
        <w:tblLook w:val="04A0" w:firstRow="1" w:lastRow="0" w:firstColumn="1" w:lastColumn="0" w:noHBand="0" w:noVBand="1"/>
      </w:tblPr>
      <w:tblGrid>
        <w:gridCol w:w="10630"/>
      </w:tblGrid>
      <w:tr w:rsidR="003D39C3" w:rsidTr="00ED05BD">
        <w:trPr>
          <w:trHeight w:val="348"/>
        </w:trPr>
        <w:sdt>
          <w:sdtPr>
            <w:rPr>
              <w:sz w:val="30"/>
              <w:szCs w:val="30"/>
            </w:rPr>
            <w:alias w:val="Company"/>
            <w:id w:val="13406915"/>
            <w:placeholder>
              <w:docPart w:val="537372A6D0BE47A8AFE0310BD1B06F57"/>
            </w:placeholder>
            <w:dataBinding w:prefixMappings="xmlns:ns0='http://schemas.openxmlformats.org/officeDocument/2006/extended-properties'" w:xpath="/ns0:Properties[1]/ns0:Company[1]" w:storeItemID="{6668398D-A668-4E3E-A5EB-62B293D839F1}"/>
            <w:text/>
          </w:sdtPr>
          <w:sdtEndPr/>
          <w:sdtContent>
            <w:tc>
              <w:tcPr>
                <w:tcW w:w="10631" w:type="dxa"/>
                <w:tcMar>
                  <w:top w:w="216" w:type="dxa"/>
                  <w:left w:w="115" w:type="dxa"/>
                  <w:bottom w:w="216" w:type="dxa"/>
                  <w:right w:w="115" w:type="dxa"/>
                </w:tcMar>
              </w:tcPr>
              <w:p w:rsidR="003D39C3" w:rsidRPr="003D39C3" w:rsidRDefault="00B8333A" w:rsidP="00FC7A2B">
                <w:pPr>
                  <w:pStyle w:val="NoSpacing"/>
                  <w:rPr>
                    <w:sz w:val="24"/>
                  </w:rPr>
                </w:pPr>
                <w:r w:rsidRPr="00B8333A">
                  <w:rPr>
                    <w:sz w:val="30"/>
                    <w:szCs w:val="30"/>
                  </w:rPr>
                  <w:t>Utrecht University</w:t>
                </w:r>
              </w:p>
            </w:tc>
          </w:sdtContent>
        </w:sdt>
      </w:tr>
      <w:tr w:rsidR="00B8333A" w:rsidRPr="00B8333A" w:rsidTr="00ED05BD">
        <w:trPr>
          <w:trHeight w:val="348"/>
        </w:trPr>
        <w:tc>
          <w:tcPr>
            <w:tcW w:w="10631" w:type="dxa"/>
            <w:tcMar>
              <w:top w:w="216" w:type="dxa"/>
              <w:left w:w="115" w:type="dxa"/>
              <w:bottom w:w="216" w:type="dxa"/>
              <w:right w:w="115" w:type="dxa"/>
            </w:tcMar>
          </w:tcPr>
          <w:p w:rsidR="00B8333A" w:rsidRPr="00B8333A" w:rsidRDefault="00B8333A" w:rsidP="00FC7A2B">
            <w:pPr>
              <w:pStyle w:val="NoSpacing"/>
              <w:rPr>
                <w:sz w:val="30"/>
                <w:szCs w:val="30"/>
                <w:lang w:val="en-US"/>
              </w:rPr>
            </w:pPr>
            <w:r w:rsidRPr="00B8333A">
              <w:rPr>
                <w:sz w:val="30"/>
                <w:szCs w:val="30"/>
                <w:lang w:val="en-US"/>
              </w:rPr>
              <w:t xml:space="preserve">Physical and Colloid Chemistry </w:t>
            </w:r>
          </w:p>
        </w:tc>
      </w:tr>
      <w:tr w:rsidR="003D39C3" w:rsidRPr="004F00D3" w:rsidTr="00ED05BD">
        <w:trPr>
          <w:trHeight w:val="1970"/>
        </w:trPr>
        <w:tc>
          <w:tcPr>
            <w:tcW w:w="10631" w:type="dxa"/>
          </w:tcPr>
          <w:bookmarkStart w:id="0" w:name="_Hlk31100155" w:displacedByCustomXml="next"/>
          <w:sdt>
            <w:sdtPr>
              <w:rPr>
                <w:rFonts w:asciiTheme="majorHAnsi" w:eastAsiaTheme="majorEastAsia" w:hAnsiTheme="majorHAnsi" w:cstheme="majorBidi"/>
                <w:sz w:val="84"/>
                <w:szCs w:val="84"/>
                <w:lang w:val="en-US"/>
              </w:rPr>
              <w:alias w:val="Title"/>
              <w:id w:val="13406919"/>
              <w:placeholder>
                <w:docPart w:val="48F12436C4744D7F8412A8B9D095EAB9"/>
              </w:placeholder>
              <w:dataBinding w:prefixMappings="xmlns:ns0='http://schemas.openxmlformats.org/package/2006/metadata/core-properties' xmlns:ns1='http://purl.org/dc/elements/1.1/'" w:xpath="/ns0:coreProperties[1]/ns1:title[1]" w:storeItemID="{6C3C8BC8-F283-45AE-878A-BAB7291924A1}"/>
              <w:text/>
            </w:sdtPr>
            <w:sdtEndPr/>
            <w:sdtContent>
              <w:p w:rsidR="003D39C3" w:rsidRPr="00B8333A" w:rsidRDefault="00B8333A" w:rsidP="00FC7A2B">
                <w:pPr>
                  <w:pStyle w:val="NoSpacing"/>
                  <w:rPr>
                    <w:rFonts w:asciiTheme="majorHAnsi" w:eastAsiaTheme="majorEastAsia" w:hAnsiTheme="majorHAnsi" w:cstheme="majorBidi"/>
                    <w:sz w:val="88"/>
                    <w:szCs w:val="88"/>
                    <w:lang w:val="en-US"/>
                  </w:rPr>
                </w:pPr>
                <w:r w:rsidRPr="00B8333A">
                  <w:rPr>
                    <w:rFonts w:asciiTheme="majorHAnsi" w:eastAsiaTheme="majorEastAsia" w:hAnsiTheme="majorHAnsi" w:cstheme="majorBidi"/>
                    <w:sz w:val="84"/>
                    <w:szCs w:val="84"/>
                    <w:lang w:val="en-US"/>
                  </w:rPr>
                  <w:t>Self-assembly of pH-responsive (anisotropic) colloidal particles</w:t>
                </w:r>
              </w:p>
            </w:sdtContent>
          </w:sdt>
          <w:bookmarkEnd w:id="0" w:displacedByCustomXml="prev"/>
        </w:tc>
      </w:tr>
      <w:tr w:rsidR="003D39C3" w:rsidRPr="004F00D3" w:rsidTr="00ED05BD">
        <w:trPr>
          <w:trHeight w:val="266"/>
        </w:trPr>
        <w:tc>
          <w:tcPr>
            <w:tcW w:w="10631" w:type="dxa"/>
            <w:tcMar>
              <w:top w:w="216" w:type="dxa"/>
              <w:left w:w="115" w:type="dxa"/>
              <w:bottom w:w="216" w:type="dxa"/>
              <w:right w:w="115" w:type="dxa"/>
            </w:tcMar>
          </w:tcPr>
          <w:p w:rsidR="003D39C3" w:rsidRPr="00810920" w:rsidRDefault="003D39C3" w:rsidP="00FC7A2B">
            <w:pPr>
              <w:pStyle w:val="NoSpacing"/>
              <w:rPr>
                <w:sz w:val="24"/>
                <w:lang w:val="en-US"/>
              </w:rPr>
            </w:pPr>
          </w:p>
        </w:tc>
      </w:tr>
    </w:tbl>
    <w:sdt>
      <w:sdtPr>
        <w:id w:val="-1390112427"/>
        <w:docPartObj>
          <w:docPartGallery w:val="Cover Pages"/>
          <w:docPartUnique/>
        </w:docPartObj>
      </w:sdtPr>
      <w:sdtEndPr>
        <w:rPr>
          <w:b/>
        </w:rPr>
      </w:sdtEndPr>
      <w:sdtContent>
        <w:p w:rsidR="00D52BBF" w:rsidRPr="00B8333A" w:rsidRDefault="00ED05BD" w:rsidP="00FC7A2B">
          <w:pPr>
            <w:spacing w:line="240" w:lineRule="auto"/>
            <w:rPr>
              <w:lang w:val="en-US"/>
            </w:rPr>
          </w:pPr>
          <w:r w:rsidRPr="00B8333A">
            <w:rPr>
              <w:b/>
              <w:noProof/>
            </w:rPr>
            <w:drawing>
              <wp:anchor distT="0" distB="0" distL="114300" distR="114300" simplePos="0" relativeHeight="251713536" behindDoc="0" locked="0" layoutInCell="1" allowOverlap="1" wp14:anchorId="24C27923" wp14:editId="0809F34D">
                <wp:simplePos x="0" y="0"/>
                <wp:positionH relativeFrom="column">
                  <wp:posOffset>4197985</wp:posOffset>
                </wp:positionH>
                <wp:positionV relativeFrom="paragraph">
                  <wp:posOffset>-124460</wp:posOffset>
                </wp:positionV>
                <wp:extent cx="1923415" cy="1091565"/>
                <wp:effectExtent l="19050" t="19050" r="19685" b="13335"/>
                <wp:wrapNone/>
                <wp:docPr id="31" name="Picture 57">
                  <a:extLst xmlns:a="http://schemas.openxmlformats.org/drawingml/2006/main">
                    <a:ext uri="{FF2B5EF4-FFF2-40B4-BE49-F238E27FC236}">
                      <a16:creationId xmlns:a16="http://schemas.microsoft.com/office/drawing/2014/main" id="{02425D1D-9BC4-4463-B2A7-E992F5A2E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7">
                          <a:extLst>
                            <a:ext uri="{FF2B5EF4-FFF2-40B4-BE49-F238E27FC236}">
                              <a16:creationId xmlns:a16="http://schemas.microsoft.com/office/drawing/2014/main" id="{02425D1D-9BC4-4463-B2A7-E992F5A2E1FD}"/>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23415" cy="109156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B8333A">
            <w:rPr>
              <w:b/>
              <w:noProof/>
            </w:rPr>
            <w:drawing>
              <wp:anchor distT="0" distB="0" distL="114300" distR="114300" simplePos="0" relativeHeight="251714560" behindDoc="0" locked="0" layoutInCell="1" allowOverlap="1" wp14:anchorId="5CBD726D" wp14:editId="00C7782A">
                <wp:simplePos x="0" y="0"/>
                <wp:positionH relativeFrom="column">
                  <wp:posOffset>4134835</wp:posOffset>
                </wp:positionH>
                <wp:positionV relativeFrom="paragraph">
                  <wp:posOffset>-753635</wp:posOffset>
                </wp:positionV>
                <wp:extent cx="2045525" cy="567633"/>
                <wp:effectExtent l="0" t="0" r="0" b="4445"/>
                <wp:wrapNone/>
                <wp:docPr id="81" name="Picture 54">
                  <a:extLst xmlns:a="http://schemas.openxmlformats.org/drawingml/2006/main">
                    <a:ext uri="{FF2B5EF4-FFF2-40B4-BE49-F238E27FC236}">
                      <a16:creationId xmlns:a16="http://schemas.microsoft.com/office/drawing/2014/main" id="{A608AB18-427D-4E74-A357-E0AA3BCB0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4">
                          <a:extLst>
                            <a:ext uri="{FF2B5EF4-FFF2-40B4-BE49-F238E27FC236}">
                              <a16:creationId xmlns:a16="http://schemas.microsoft.com/office/drawing/2014/main" id="{A608AB18-427D-4E74-A357-E0AA3BCB021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45525" cy="5676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pPr w:leftFromText="187" w:rightFromText="187" w:vertAnchor="page" w:horzAnchor="page" w:tblpX="772" w:tblpY="14117"/>
            <w:tblW w:w="3857" w:type="pct"/>
            <w:tblLook w:val="04A0" w:firstRow="1" w:lastRow="0" w:firstColumn="1" w:lastColumn="0" w:noHBand="0" w:noVBand="1"/>
          </w:tblPr>
          <w:tblGrid>
            <w:gridCol w:w="7518"/>
          </w:tblGrid>
          <w:tr w:rsidR="00B8333A" w:rsidTr="00ED05BD">
            <w:tc>
              <w:tcPr>
                <w:tcW w:w="7518" w:type="dxa"/>
                <w:tcMar>
                  <w:top w:w="216" w:type="dxa"/>
                  <w:left w:w="115" w:type="dxa"/>
                  <w:bottom w:w="216" w:type="dxa"/>
                  <w:right w:w="115" w:type="dxa"/>
                </w:tcMar>
              </w:tcPr>
              <w:sdt>
                <w:sdtPr>
                  <w:rPr>
                    <w:sz w:val="28"/>
                    <w:szCs w:val="28"/>
                  </w:rPr>
                  <w:alias w:val="Author"/>
                  <w:id w:val="13406928"/>
                  <w:placeholder>
                    <w:docPart w:val="9CB13490F57241D4BFA6C99FB54FE6FF"/>
                  </w:placeholder>
                  <w:dataBinding w:prefixMappings="xmlns:ns0='http://schemas.openxmlformats.org/package/2006/metadata/core-properties' xmlns:ns1='http://purl.org/dc/elements/1.1/'" w:xpath="/ns0:coreProperties[1]/ns1:creator[1]" w:storeItemID="{6C3C8BC8-F283-45AE-878A-BAB7291924A1}"/>
                  <w:text/>
                </w:sdtPr>
                <w:sdtEndPr/>
                <w:sdtContent>
                  <w:p w:rsidR="00B8333A" w:rsidRPr="003D39C3" w:rsidRDefault="00B8333A" w:rsidP="00FC7A2B">
                    <w:pPr>
                      <w:pStyle w:val="NoSpacing"/>
                      <w:rPr>
                        <w:sz w:val="28"/>
                        <w:szCs w:val="28"/>
                      </w:rPr>
                    </w:pPr>
                    <w:r w:rsidRPr="003D39C3">
                      <w:rPr>
                        <w:sz w:val="28"/>
                        <w:szCs w:val="28"/>
                      </w:rPr>
                      <w:t>Lucas Gyurik</w:t>
                    </w:r>
                  </w:p>
                </w:sdtContent>
              </w:sdt>
              <w:sdt>
                <w:sdtPr>
                  <w:rPr>
                    <w:sz w:val="28"/>
                    <w:szCs w:val="28"/>
                  </w:rPr>
                  <w:alias w:val="Date"/>
                  <w:tag w:val="Date"/>
                  <w:id w:val="13406932"/>
                  <w:placeholder>
                    <w:docPart w:val="80DCBB72DFCB465A8ACFF90104CA463D"/>
                  </w:placeholder>
                  <w:dataBinding w:prefixMappings="xmlns:ns0='http://schemas.microsoft.com/office/2006/coverPageProps'" w:xpath="/ns0:CoverPageProperties[1]/ns0:PublishDate[1]" w:storeItemID="{55AF091B-3C7A-41E3-B477-F2FDAA23CFDA}"/>
                  <w:date w:fullDate="2020-01-31T00:00:00Z">
                    <w:dateFormat w:val="M-d-yyyy"/>
                    <w:lid w:val="en-US"/>
                    <w:storeMappedDataAs w:val="dateTime"/>
                    <w:calendar w:val="gregorian"/>
                  </w:date>
                </w:sdtPr>
                <w:sdtEndPr/>
                <w:sdtContent>
                  <w:p w:rsidR="00B8333A" w:rsidRPr="00B8333A" w:rsidRDefault="00B8333A" w:rsidP="00FC7A2B">
                    <w:pPr>
                      <w:pStyle w:val="NoSpacing"/>
                      <w:rPr>
                        <w:sz w:val="28"/>
                        <w:szCs w:val="28"/>
                      </w:rPr>
                    </w:pPr>
                    <w:r>
                      <w:rPr>
                        <w:sz w:val="28"/>
                        <w:szCs w:val="28"/>
                        <w:lang w:val="en-US"/>
                      </w:rPr>
                      <w:t>1-31-2020</w:t>
                    </w:r>
                  </w:p>
                </w:sdtContent>
              </w:sdt>
            </w:tc>
          </w:tr>
        </w:tbl>
        <w:p w:rsidR="00D52BBF" w:rsidRPr="00A41569" w:rsidRDefault="00ED05BD" w:rsidP="00FC7A2B">
          <w:pPr>
            <w:spacing w:after="160" w:line="240" w:lineRule="auto"/>
            <w:rPr>
              <w:b/>
            </w:rPr>
          </w:pPr>
          <w:r w:rsidRPr="00334BF0">
            <w:rPr>
              <w:b/>
              <w:noProof/>
            </w:rPr>
            <w:drawing>
              <wp:anchor distT="0" distB="0" distL="114300" distR="114300" simplePos="0" relativeHeight="251719680" behindDoc="0" locked="0" layoutInCell="1" allowOverlap="1" wp14:anchorId="1AE36D22" wp14:editId="717BAF6B">
                <wp:simplePos x="0" y="0"/>
                <wp:positionH relativeFrom="column">
                  <wp:posOffset>-364538</wp:posOffset>
                </wp:positionH>
                <wp:positionV relativeFrom="paragraph">
                  <wp:posOffset>3497220</wp:posOffset>
                </wp:positionV>
                <wp:extent cx="2339975" cy="2127885"/>
                <wp:effectExtent l="19050" t="19050" r="22225" b="24765"/>
                <wp:wrapThrough wrapText="bothSides">
                  <wp:wrapPolygon edited="0">
                    <wp:start x="-176" y="-193"/>
                    <wp:lineTo x="-176" y="21658"/>
                    <wp:lineTo x="21629" y="21658"/>
                    <wp:lineTo x="21629" y="-193"/>
                    <wp:lineTo x="-176" y="-193"/>
                  </wp:wrapPolygon>
                </wp:wrapThrough>
                <wp:docPr id="93" name="Picture 6">
                  <a:extLst xmlns:a="http://schemas.openxmlformats.org/drawingml/2006/main">
                    <a:ext uri="{FF2B5EF4-FFF2-40B4-BE49-F238E27FC236}">
                      <a16:creationId xmlns:a16="http://schemas.microsoft.com/office/drawing/2014/main" id="{085AD187-FC4F-4A8F-A8C3-CDF98B50F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85AD187-FC4F-4A8F-A8C3-CDF98B50FFAF}"/>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3460" b="6190"/>
                        <a:stretch/>
                      </pic:blipFill>
                      <pic:spPr>
                        <a:xfrm>
                          <a:off x="0" y="0"/>
                          <a:ext cx="2339975" cy="2127885"/>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sidRPr="00334BF0">
            <w:rPr>
              <w:b/>
              <w:noProof/>
            </w:rPr>
            <w:drawing>
              <wp:anchor distT="0" distB="0" distL="114300" distR="114300" simplePos="0" relativeHeight="251723776" behindDoc="0" locked="0" layoutInCell="1" allowOverlap="1" wp14:anchorId="665D9B0F" wp14:editId="30128EF4">
                <wp:simplePos x="0" y="0"/>
                <wp:positionH relativeFrom="column">
                  <wp:posOffset>585470</wp:posOffset>
                </wp:positionH>
                <wp:positionV relativeFrom="paragraph">
                  <wp:posOffset>5929829</wp:posOffset>
                </wp:positionV>
                <wp:extent cx="1086485" cy="1137285"/>
                <wp:effectExtent l="19050" t="19050" r="18415" b="24765"/>
                <wp:wrapThrough wrapText="bothSides">
                  <wp:wrapPolygon edited="0">
                    <wp:start x="-379" y="-362"/>
                    <wp:lineTo x="-379" y="21709"/>
                    <wp:lineTo x="21587" y="21709"/>
                    <wp:lineTo x="21587" y="-362"/>
                    <wp:lineTo x="-379" y="-362"/>
                  </wp:wrapPolygon>
                </wp:wrapThrough>
                <wp:docPr id="98" name="Picture 10">
                  <a:extLst xmlns:a="http://schemas.openxmlformats.org/drawingml/2006/main">
                    <a:ext uri="{FF2B5EF4-FFF2-40B4-BE49-F238E27FC236}">
                      <a16:creationId xmlns:a16="http://schemas.microsoft.com/office/drawing/2014/main" id="{5CC7251E-AA66-464C-8655-401D6A242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CC7251E-AA66-464C-8655-401D6A242E44}"/>
                            </a:ext>
                          </a:extLst>
                        </pic:cNvPr>
                        <pic:cNvPicPr>
                          <a:picLocks noChangeAspect="1"/>
                        </pic:cNvPicPr>
                      </pic:nvPicPr>
                      <pic:blipFill rotWithShape="1">
                        <a:blip r:embed="rId12">
                          <a:extLst>
                            <a:ext uri="{28A0092B-C50C-407E-A947-70E740481C1C}">
                              <a14:useLocalDpi xmlns:a14="http://schemas.microsoft.com/office/drawing/2010/main" val="0"/>
                            </a:ext>
                          </a:extLst>
                        </a:blip>
                        <a:srcRect l="55495" t="16339" r="28834" b="67173"/>
                        <a:stretch/>
                      </pic:blipFill>
                      <pic:spPr bwMode="auto">
                        <a:xfrm>
                          <a:off x="0" y="0"/>
                          <a:ext cx="1086485" cy="1137285"/>
                        </a:xfrm>
                        <a:prstGeom prst="rect">
                          <a:avLst/>
                        </a:prstGeom>
                        <a:noFill/>
                        <a:ln>
                          <a:solidFill>
                            <a:srgbClr val="FFC000"/>
                          </a:solidFill>
                        </a:ln>
                      </pic:spPr>
                    </pic:pic>
                  </a:graphicData>
                </a:graphic>
                <wp14:sizeRelH relativeFrom="margin">
                  <wp14:pctWidth>0</wp14:pctWidth>
                </wp14:sizeRelH>
                <wp14:sizeRelV relativeFrom="margin">
                  <wp14:pctHeight>0</wp14:pctHeight>
                </wp14:sizeRelV>
              </wp:anchor>
            </w:drawing>
          </w:r>
          <w:r w:rsidR="00A7317C" w:rsidRPr="00A7317C">
            <w:rPr>
              <w:b/>
              <w:noProof/>
            </w:rPr>
            <mc:AlternateContent>
              <mc:Choice Requires="wps">
                <w:drawing>
                  <wp:anchor distT="0" distB="0" distL="114300" distR="114300" simplePos="0" relativeHeight="251748352" behindDoc="0" locked="0" layoutInCell="1" allowOverlap="1" wp14:anchorId="7A1C23AF" wp14:editId="2491DB0D">
                    <wp:simplePos x="0" y="0"/>
                    <wp:positionH relativeFrom="column">
                      <wp:posOffset>5055427</wp:posOffset>
                    </wp:positionH>
                    <wp:positionV relativeFrom="paragraph">
                      <wp:posOffset>7835900</wp:posOffset>
                    </wp:positionV>
                    <wp:extent cx="1360968" cy="948906"/>
                    <wp:effectExtent l="0" t="0" r="0" b="0"/>
                    <wp:wrapNone/>
                    <wp:docPr id="12" name="TextBox 3"/>
                    <wp:cNvGraphicFramePr/>
                    <a:graphic xmlns:a="http://schemas.openxmlformats.org/drawingml/2006/main">
                      <a:graphicData uri="http://schemas.microsoft.com/office/word/2010/wordprocessingShape">
                        <wps:wsp>
                          <wps:cNvSpPr txBox="1"/>
                          <wps:spPr>
                            <a:xfrm>
                              <a:off x="0" y="0"/>
                              <a:ext cx="1360968" cy="948906"/>
                            </a:xfrm>
                            <a:prstGeom prst="rect">
                              <a:avLst/>
                            </a:prstGeom>
                            <a:noFill/>
                          </wps:spPr>
                          <wps:txbx>
                            <w:txbxContent>
                              <w:p w:rsidR="00ED05BD" w:rsidRPr="00A7317C" w:rsidRDefault="00ED05BD" w:rsidP="00A7317C">
                                <w:pPr>
                                  <w:spacing w:line="240" w:lineRule="auto"/>
                                  <w:rPr>
                                    <w:sz w:val="24"/>
                                    <w:szCs w:val="24"/>
                                    <w:lang w:val="de-DE"/>
                                  </w:rPr>
                                </w:pPr>
                                <w:r w:rsidRPr="00A7317C">
                                  <w:rPr>
                                    <w:rFonts w:hAnsi="Calibri"/>
                                    <w:color w:val="000000" w:themeColor="text1"/>
                                    <w:kern w:val="24"/>
                                    <w:sz w:val="28"/>
                                    <w:szCs w:val="28"/>
                                    <w:lang w:val="de-DE"/>
                                  </w:rPr>
                                  <w:t>Supervisors:</w:t>
                                </w:r>
                                <w:r w:rsidRPr="00A7317C">
                                  <w:rPr>
                                    <w:sz w:val="24"/>
                                    <w:szCs w:val="24"/>
                                    <w:lang w:val="de-DE"/>
                                  </w:rPr>
                                  <w:br/>
                                </w:r>
                                <w:r w:rsidRPr="00A7317C">
                                  <w:rPr>
                                    <w:rFonts w:hAnsi="Calibri"/>
                                    <w:color w:val="000000" w:themeColor="text1"/>
                                    <w:kern w:val="24"/>
                                    <w:sz w:val="28"/>
                                    <w:szCs w:val="28"/>
                                    <w:lang w:val="de-DE"/>
                                  </w:rPr>
                                  <w:t>Michele Zanini</w:t>
                                </w:r>
                                <w:r w:rsidRPr="00A7317C">
                                  <w:rPr>
                                    <w:sz w:val="24"/>
                                    <w:szCs w:val="24"/>
                                    <w:lang w:val="de-DE"/>
                                  </w:rPr>
                                  <w:br/>
                                </w:r>
                                <w:r w:rsidRPr="00A7317C">
                                  <w:rPr>
                                    <w:rFonts w:hAnsi="Calibri"/>
                                    <w:color w:val="000000" w:themeColor="text1"/>
                                    <w:kern w:val="24"/>
                                    <w:sz w:val="28"/>
                                    <w:szCs w:val="28"/>
                                    <w:lang w:val="de-DE"/>
                                  </w:rPr>
                                  <w:t>Faranaaz Rogier</w:t>
                                </w:r>
                                <w:r w:rsidRPr="00A7317C">
                                  <w:rPr>
                                    <w:sz w:val="24"/>
                                    <w:szCs w:val="24"/>
                                    <w:lang w:val="de-DE"/>
                                  </w:rPr>
                                  <w:br/>
                                </w:r>
                                <w:r w:rsidRPr="00A7317C">
                                  <w:rPr>
                                    <w:rFonts w:hAnsi="Calibri"/>
                                    <w:color w:val="000000" w:themeColor="text1"/>
                                    <w:kern w:val="24"/>
                                    <w:sz w:val="28"/>
                                    <w:szCs w:val="28"/>
                                    <w:lang w:val="de-DE"/>
                                  </w:rPr>
                                  <w:t>Willem Kegel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1C23AF" id="_x0000_t202" coordsize="21600,21600" o:spt="202" path="m,l,21600r21600,l21600,xe">
                    <v:stroke joinstyle="miter"/>
                    <v:path gradientshapeok="t" o:connecttype="rect"/>
                  </v:shapetype>
                  <v:shape id="TextBox 3" o:spid="_x0000_s1026" type="#_x0000_t202" style="position:absolute;margin-left:398.05pt;margin-top:617pt;width:107.15pt;height:7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" filled="f" stroked="f">
                    <v:textbox>
                      <w:txbxContent>
                        <w:p w:rsidR="00ED05BD" w:rsidRPr="00A7317C" w:rsidRDefault="00ED05BD" w:rsidP="00A7317C">
                          <w:pPr>
                            <w:spacing w:line="240" w:lineRule="auto"/>
                            <w:rPr>
                              <w:sz w:val="24"/>
                              <w:szCs w:val="24"/>
                              <w:lang w:val="de-DE"/>
                            </w:rPr>
                          </w:pPr>
                          <w:r w:rsidRPr="00A7317C">
                            <w:rPr>
                              <w:rFonts w:hAnsi="Calibri"/>
                              <w:color w:val="000000" w:themeColor="text1"/>
                              <w:kern w:val="24"/>
                              <w:sz w:val="28"/>
                              <w:szCs w:val="28"/>
                              <w:lang w:val="de-DE"/>
                            </w:rPr>
                            <w:t>Supervisors:</w:t>
                          </w:r>
                          <w:r w:rsidRPr="00A7317C">
                            <w:rPr>
                              <w:sz w:val="24"/>
                              <w:szCs w:val="24"/>
                              <w:lang w:val="de-DE"/>
                            </w:rPr>
                            <w:br/>
                          </w:r>
                          <w:r w:rsidRPr="00A7317C">
                            <w:rPr>
                              <w:rFonts w:hAnsi="Calibri"/>
                              <w:color w:val="000000" w:themeColor="text1"/>
                              <w:kern w:val="24"/>
                              <w:sz w:val="28"/>
                              <w:szCs w:val="28"/>
                              <w:lang w:val="de-DE"/>
                            </w:rPr>
                            <w:t>Michele Zanini</w:t>
                          </w:r>
                          <w:r w:rsidRPr="00A7317C">
                            <w:rPr>
                              <w:sz w:val="24"/>
                              <w:szCs w:val="24"/>
                              <w:lang w:val="de-DE"/>
                            </w:rPr>
                            <w:br/>
                          </w:r>
                          <w:r w:rsidRPr="00A7317C">
                            <w:rPr>
                              <w:rFonts w:hAnsi="Calibri"/>
                              <w:color w:val="000000" w:themeColor="text1"/>
                              <w:kern w:val="24"/>
                              <w:sz w:val="28"/>
                              <w:szCs w:val="28"/>
                              <w:lang w:val="de-DE"/>
                            </w:rPr>
                            <w:t>Faranaaz Rogier</w:t>
                          </w:r>
                          <w:r w:rsidRPr="00A7317C">
                            <w:rPr>
                              <w:sz w:val="24"/>
                              <w:szCs w:val="24"/>
                              <w:lang w:val="de-DE"/>
                            </w:rPr>
                            <w:br/>
                          </w:r>
                          <w:r w:rsidRPr="00A7317C">
                            <w:rPr>
                              <w:rFonts w:hAnsi="Calibri"/>
                              <w:color w:val="000000" w:themeColor="text1"/>
                              <w:kern w:val="24"/>
                              <w:sz w:val="28"/>
                              <w:szCs w:val="28"/>
                              <w:lang w:val="de-DE"/>
                            </w:rPr>
                            <w:t>Willem Kegel</w:t>
                          </w:r>
                        </w:p>
                      </w:txbxContent>
                    </v:textbox>
                  </v:shape>
                </w:pict>
              </mc:Fallback>
            </mc:AlternateContent>
          </w:r>
          <w:r w:rsidR="00A41569" w:rsidRPr="00334BF0">
            <w:rPr>
              <w:b/>
              <w:noProof/>
            </w:rPr>
            <w:drawing>
              <wp:anchor distT="0" distB="0" distL="114300" distR="114300" simplePos="0" relativeHeight="251720704" behindDoc="0" locked="0" layoutInCell="1" allowOverlap="1" wp14:anchorId="22B39E24" wp14:editId="31059FE5">
                <wp:simplePos x="0" y="0"/>
                <wp:positionH relativeFrom="column">
                  <wp:posOffset>2152163</wp:posOffset>
                </wp:positionH>
                <wp:positionV relativeFrom="paragraph">
                  <wp:posOffset>4857156</wp:posOffset>
                </wp:positionV>
                <wp:extent cx="2279015" cy="2284095"/>
                <wp:effectExtent l="19050" t="19050" r="26035" b="20955"/>
                <wp:wrapThrough wrapText="bothSides">
                  <wp:wrapPolygon edited="0">
                    <wp:start x="-181" y="-180"/>
                    <wp:lineTo x="-181" y="21618"/>
                    <wp:lineTo x="21666" y="21618"/>
                    <wp:lineTo x="21666" y="-180"/>
                    <wp:lineTo x="-181" y="-180"/>
                  </wp:wrapPolygon>
                </wp:wrapThrough>
                <wp:docPr id="94" name="Picture 8">
                  <a:extLst xmlns:a="http://schemas.openxmlformats.org/drawingml/2006/main">
                    <a:ext uri="{FF2B5EF4-FFF2-40B4-BE49-F238E27FC236}">
                      <a16:creationId xmlns:a16="http://schemas.microsoft.com/office/drawing/2014/main" id="{D4C1B7EF-D7AC-4204-A1BD-62BEDD149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4C1B7EF-D7AC-4204-A1BD-62BEDD149C4B}"/>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79015" cy="2284095"/>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sidR="00A41569" w:rsidRPr="00334BF0">
            <w:rPr>
              <w:b/>
              <w:noProof/>
            </w:rPr>
            <w:drawing>
              <wp:anchor distT="0" distB="0" distL="114300" distR="114300" simplePos="0" relativeHeight="251722752" behindDoc="0" locked="0" layoutInCell="1" allowOverlap="1" wp14:anchorId="1761734B" wp14:editId="5302EDD2">
                <wp:simplePos x="0" y="0"/>
                <wp:positionH relativeFrom="column">
                  <wp:posOffset>4883150</wp:posOffset>
                </wp:positionH>
                <wp:positionV relativeFrom="paragraph">
                  <wp:posOffset>5723890</wp:posOffset>
                </wp:positionV>
                <wp:extent cx="1090295" cy="1144270"/>
                <wp:effectExtent l="19050" t="19050" r="14605" b="17780"/>
                <wp:wrapThrough wrapText="bothSides">
                  <wp:wrapPolygon edited="0">
                    <wp:start x="-377" y="-360"/>
                    <wp:lineTo x="-377" y="21576"/>
                    <wp:lineTo x="21512" y="21576"/>
                    <wp:lineTo x="21512" y="-360"/>
                    <wp:lineTo x="-377" y="-360"/>
                  </wp:wrapPolygon>
                </wp:wrapThrough>
                <wp:docPr id="97" name="Picture 9">
                  <a:extLst xmlns:a="http://schemas.openxmlformats.org/drawingml/2006/main">
                    <a:ext uri="{FF2B5EF4-FFF2-40B4-BE49-F238E27FC236}">
                      <a16:creationId xmlns:a16="http://schemas.microsoft.com/office/drawing/2014/main" id="{39A50624-46A8-4598-A1C9-D35B2CE59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9A50624-46A8-4598-A1C9-D35B2CE59E97}"/>
                            </a:ext>
                          </a:extLst>
                        </pic:cNvPr>
                        <pic:cNvPicPr>
                          <a:picLocks noChangeAspect="1"/>
                        </pic:cNvPicPr>
                      </pic:nvPicPr>
                      <pic:blipFill rotWithShape="1">
                        <a:blip r:embed="rId14">
                          <a:extLst>
                            <a:ext uri="{28A0092B-C50C-407E-A947-70E740481C1C}">
                              <a14:useLocalDpi xmlns:a14="http://schemas.microsoft.com/office/drawing/2010/main" val="0"/>
                            </a:ext>
                          </a:extLst>
                        </a:blip>
                        <a:srcRect l="81419" t="65531" r="2469" b="17320"/>
                        <a:stretch/>
                      </pic:blipFill>
                      <pic:spPr bwMode="auto">
                        <a:xfrm>
                          <a:off x="0" y="0"/>
                          <a:ext cx="1090295" cy="1144270"/>
                        </a:xfrm>
                        <a:prstGeom prst="rect">
                          <a:avLst/>
                        </a:prstGeom>
                        <a:noFill/>
                        <a:ln>
                          <a:solidFill>
                            <a:srgbClr val="FFC000"/>
                          </a:solidFill>
                        </a:ln>
                      </pic:spPr>
                    </pic:pic>
                  </a:graphicData>
                </a:graphic>
                <wp14:sizeRelH relativeFrom="margin">
                  <wp14:pctWidth>0</wp14:pctWidth>
                </wp14:sizeRelH>
                <wp14:sizeRelV relativeFrom="margin">
                  <wp14:pctHeight>0</wp14:pctHeight>
                </wp14:sizeRelV>
              </wp:anchor>
            </w:drawing>
          </w:r>
          <w:r w:rsidR="00A41569" w:rsidRPr="00334BF0">
            <w:rPr>
              <w:b/>
              <w:noProof/>
            </w:rPr>
            <w:drawing>
              <wp:anchor distT="0" distB="0" distL="114300" distR="114300" simplePos="0" relativeHeight="251716608" behindDoc="0" locked="0" layoutInCell="1" allowOverlap="1" wp14:anchorId="758498D8" wp14:editId="60223A87">
                <wp:simplePos x="0" y="0"/>
                <wp:positionH relativeFrom="column">
                  <wp:posOffset>2662555</wp:posOffset>
                </wp:positionH>
                <wp:positionV relativeFrom="paragraph">
                  <wp:posOffset>3158490</wp:posOffset>
                </wp:positionV>
                <wp:extent cx="1132205" cy="1179195"/>
                <wp:effectExtent l="19050" t="19050" r="10795" b="20955"/>
                <wp:wrapThrough wrapText="bothSides">
                  <wp:wrapPolygon edited="0">
                    <wp:start x="-363" y="-349"/>
                    <wp:lineTo x="-363" y="21635"/>
                    <wp:lineTo x="21443" y="21635"/>
                    <wp:lineTo x="21443" y="-349"/>
                    <wp:lineTo x="-363" y="-349"/>
                  </wp:wrapPolygon>
                </wp:wrapThrough>
                <wp:docPr id="82" name="Picture 3">
                  <a:extLst xmlns:a="http://schemas.openxmlformats.org/drawingml/2006/main">
                    <a:ext uri="{FF2B5EF4-FFF2-40B4-BE49-F238E27FC236}">
                      <a16:creationId xmlns:a16="http://schemas.microsoft.com/office/drawing/2014/main" id="{E8B7C9F6-501E-4E13-9211-FF51DEB21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8B7C9F6-501E-4E13-9211-FF51DEB2129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7597" t="15497" r="18868" b="18329"/>
                        <a:stretch/>
                      </pic:blipFill>
                      <pic:spPr>
                        <a:xfrm>
                          <a:off x="0" y="0"/>
                          <a:ext cx="1132205" cy="1179195"/>
                        </a:xfrm>
                        <a:prstGeom prst="rect">
                          <a:avLst/>
                        </a:prstGeom>
                        <a:ln>
                          <a:solidFill>
                            <a:srgbClr val="FF0000"/>
                          </a:solidFill>
                        </a:ln>
                      </pic:spPr>
                    </pic:pic>
                  </a:graphicData>
                </a:graphic>
              </wp:anchor>
            </w:drawing>
          </w:r>
          <w:r w:rsidR="00A41569" w:rsidRPr="00334BF0">
            <w:rPr>
              <w:b/>
              <w:noProof/>
            </w:rPr>
            <w:drawing>
              <wp:anchor distT="0" distB="0" distL="114300" distR="114300" simplePos="0" relativeHeight="251717632" behindDoc="0" locked="0" layoutInCell="1" allowOverlap="1" wp14:anchorId="015C8D9A" wp14:editId="1C2C3951">
                <wp:simplePos x="0" y="0"/>
                <wp:positionH relativeFrom="column">
                  <wp:posOffset>4835525</wp:posOffset>
                </wp:positionH>
                <wp:positionV relativeFrom="paragraph">
                  <wp:posOffset>3669030</wp:posOffset>
                </wp:positionV>
                <wp:extent cx="1132205" cy="1179195"/>
                <wp:effectExtent l="19050" t="19050" r="10795" b="20955"/>
                <wp:wrapThrough wrapText="bothSides">
                  <wp:wrapPolygon edited="0">
                    <wp:start x="-363" y="-349"/>
                    <wp:lineTo x="-363" y="21635"/>
                    <wp:lineTo x="21443" y="21635"/>
                    <wp:lineTo x="21443" y="-349"/>
                    <wp:lineTo x="-363" y="-349"/>
                  </wp:wrapPolygon>
                </wp:wrapThrough>
                <wp:docPr id="84" name="Picture 4">
                  <a:extLst xmlns:a="http://schemas.openxmlformats.org/drawingml/2006/main">
                    <a:ext uri="{FF2B5EF4-FFF2-40B4-BE49-F238E27FC236}">
                      <a16:creationId xmlns:a16="http://schemas.microsoft.com/office/drawing/2014/main" id="{60E053DA-0DBA-4662-84F3-4E0B5187B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E053DA-0DBA-4662-84F3-4E0B5187B428}"/>
                            </a:ext>
                          </a:extLst>
                        </pic:cNvPr>
                        <pic:cNvPicPr>
                          <a:picLocks noChangeAspect="1"/>
                        </pic:cNvPicPr>
                      </pic:nvPicPr>
                      <pic:blipFill rotWithShape="1">
                        <a:blip r:embed="rId16">
                          <a:extLst>
                            <a:ext uri="{28A0092B-C50C-407E-A947-70E740481C1C}">
                              <a14:useLocalDpi xmlns:a14="http://schemas.microsoft.com/office/drawing/2010/main" val="0"/>
                            </a:ext>
                          </a:extLst>
                        </a:blip>
                        <a:srcRect l="21237" t="15496" r="15227" b="18329"/>
                        <a:stretch/>
                      </pic:blipFill>
                      <pic:spPr>
                        <a:xfrm>
                          <a:off x="0" y="0"/>
                          <a:ext cx="1132205" cy="1179195"/>
                        </a:xfrm>
                        <a:prstGeom prst="rect">
                          <a:avLst/>
                        </a:prstGeom>
                        <a:ln>
                          <a:solidFill>
                            <a:srgbClr val="FFC000"/>
                          </a:solidFill>
                        </a:ln>
                      </pic:spPr>
                    </pic:pic>
                  </a:graphicData>
                </a:graphic>
              </wp:anchor>
            </w:drawing>
          </w:r>
          <w:r w:rsidR="00D52BBF">
            <w:rPr>
              <w:b/>
            </w:rPr>
            <w:br w:type="page"/>
          </w:r>
        </w:p>
      </w:sdtContent>
    </w:sdt>
    <w:bookmarkStart w:id="1" w:name="_Toc31114356" w:displacedByCustomXml="next"/>
    <w:bookmarkStart w:id="2" w:name="_Toc31892378" w:displacedByCustomXml="next"/>
    <w:sdt>
      <w:sdtPr>
        <w:rPr>
          <w:rFonts w:asciiTheme="minorHAnsi" w:eastAsiaTheme="minorHAnsi" w:hAnsiTheme="minorHAnsi" w:cstheme="minorBidi"/>
          <w:color w:val="auto"/>
          <w:sz w:val="22"/>
          <w:szCs w:val="22"/>
          <w:lang w:val="nl-NL"/>
        </w:rPr>
        <w:id w:val="-675341482"/>
        <w:docPartObj>
          <w:docPartGallery w:val="Table of Contents"/>
          <w:docPartUnique/>
        </w:docPartObj>
      </w:sdtPr>
      <w:sdtEndPr>
        <w:rPr>
          <w:b/>
          <w:bCs/>
          <w:noProof/>
        </w:rPr>
      </w:sdtEndPr>
      <w:sdtContent>
        <w:p w:rsidR="00ED05BD" w:rsidRDefault="00500207" w:rsidP="00FC7A2B">
          <w:pPr>
            <w:pStyle w:val="TOCHeading"/>
            <w:spacing w:line="240" w:lineRule="auto"/>
            <w:outlineLvl w:val="0"/>
            <w:rPr>
              <w:noProof/>
            </w:rPr>
          </w:pPr>
          <w:r w:rsidRPr="00A32FE8">
            <w:rPr>
              <w:b/>
              <w:color w:val="auto"/>
              <w:sz w:val="38"/>
              <w:szCs w:val="38"/>
            </w:rPr>
            <w:t>Table of Contents</w:t>
          </w:r>
          <w:bookmarkEnd w:id="2"/>
          <w:bookmarkEnd w:id="1"/>
          <w:r>
            <w:fldChar w:fldCharType="begin"/>
          </w:r>
          <w:r>
            <w:instrText xml:space="preserve"> TOC \o "1-3" \h \z \u </w:instrText>
          </w:r>
          <w:r>
            <w:fldChar w:fldCharType="separate"/>
          </w:r>
        </w:p>
        <w:p w:rsidR="00ED05BD" w:rsidRDefault="00767BE6">
          <w:pPr>
            <w:pStyle w:val="TOC1"/>
            <w:tabs>
              <w:tab w:val="right" w:leader="dot" w:pos="9736"/>
            </w:tabs>
            <w:rPr>
              <w:rFonts w:cstheme="minorBidi"/>
              <w:noProof/>
              <w:sz w:val="22"/>
            </w:rPr>
          </w:pPr>
          <w:hyperlink w:anchor="_Toc31892378" w:history="1">
            <w:r w:rsidR="00ED05BD" w:rsidRPr="00EB7F7A">
              <w:rPr>
                <w:rStyle w:val="Hyperlink"/>
                <w:b/>
                <w:noProof/>
              </w:rPr>
              <w:t>Table of Contents</w:t>
            </w:r>
            <w:r w:rsidR="00ED05BD">
              <w:rPr>
                <w:noProof/>
                <w:webHidden/>
              </w:rPr>
              <w:tab/>
            </w:r>
            <w:r w:rsidR="00ED05BD">
              <w:rPr>
                <w:noProof/>
                <w:webHidden/>
              </w:rPr>
              <w:fldChar w:fldCharType="begin"/>
            </w:r>
            <w:r w:rsidR="00ED05BD">
              <w:rPr>
                <w:noProof/>
                <w:webHidden/>
              </w:rPr>
              <w:instrText xml:space="preserve"> PAGEREF _Toc31892378 \h </w:instrText>
            </w:r>
            <w:r w:rsidR="00ED05BD">
              <w:rPr>
                <w:noProof/>
                <w:webHidden/>
              </w:rPr>
            </w:r>
            <w:r w:rsidR="00ED05BD">
              <w:rPr>
                <w:noProof/>
                <w:webHidden/>
              </w:rPr>
              <w:fldChar w:fldCharType="separate"/>
            </w:r>
            <w:r w:rsidR="00ED05BD">
              <w:rPr>
                <w:noProof/>
                <w:webHidden/>
              </w:rPr>
              <w:t>1</w:t>
            </w:r>
            <w:r w:rsidR="00ED05BD">
              <w:rPr>
                <w:noProof/>
                <w:webHidden/>
              </w:rPr>
              <w:fldChar w:fldCharType="end"/>
            </w:r>
          </w:hyperlink>
        </w:p>
        <w:p w:rsidR="00ED05BD" w:rsidRDefault="00767BE6">
          <w:pPr>
            <w:pStyle w:val="TOC1"/>
            <w:tabs>
              <w:tab w:val="left" w:pos="440"/>
              <w:tab w:val="right" w:leader="dot" w:pos="9736"/>
            </w:tabs>
            <w:rPr>
              <w:rFonts w:cstheme="minorBidi"/>
              <w:noProof/>
              <w:sz w:val="22"/>
            </w:rPr>
          </w:pPr>
          <w:hyperlink w:anchor="_Toc31892379" w:history="1">
            <w:r w:rsidR="00ED05BD" w:rsidRPr="00EB7F7A">
              <w:rPr>
                <w:rStyle w:val="Hyperlink"/>
                <w:b/>
                <w:bCs/>
                <w:noProof/>
              </w:rPr>
              <w:t>1.</w:t>
            </w:r>
            <w:r w:rsidR="00ED05BD">
              <w:rPr>
                <w:rFonts w:cstheme="minorBidi"/>
                <w:noProof/>
                <w:sz w:val="22"/>
              </w:rPr>
              <w:tab/>
            </w:r>
            <w:r w:rsidR="00ED05BD" w:rsidRPr="00EB7F7A">
              <w:rPr>
                <w:rStyle w:val="Hyperlink"/>
                <w:b/>
                <w:noProof/>
              </w:rPr>
              <w:t>Introduction</w:t>
            </w:r>
            <w:r w:rsidR="00ED05BD">
              <w:rPr>
                <w:noProof/>
                <w:webHidden/>
              </w:rPr>
              <w:tab/>
            </w:r>
            <w:r w:rsidR="00ED05BD">
              <w:rPr>
                <w:noProof/>
                <w:webHidden/>
              </w:rPr>
              <w:fldChar w:fldCharType="begin"/>
            </w:r>
            <w:r w:rsidR="00ED05BD">
              <w:rPr>
                <w:noProof/>
                <w:webHidden/>
              </w:rPr>
              <w:instrText xml:space="preserve"> PAGEREF _Toc31892379 \h </w:instrText>
            </w:r>
            <w:r w:rsidR="00ED05BD">
              <w:rPr>
                <w:noProof/>
                <w:webHidden/>
              </w:rPr>
            </w:r>
            <w:r w:rsidR="00ED05BD">
              <w:rPr>
                <w:noProof/>
                <w:webHidden/>
              </w:rPr>
              <w:fldChar w:fldCharType="separate"/>
            </w:r>
            <w:r w:rsidR="00ED05BD">
              <w:rPr>
                <w:noProof/>
                <w:webHidden/>
              </w:rPr>
              <w:t>3</w:t>
            </w:r>
            <w:r w:rsidR="00ED05BD">
              <w:rPr>
                <w:noProof/>
                <w:webHidden/>
              </w:rPr>
              <w:fldChar w:fldCharType="end"/>
            </w:r>
          </w:hyperlink>
        </w:p>
        <w:p w:rsidR="00ED05BD" w:rsidRDefault="00767BE6">
          <w:pPr>
            <w:pStyle w:val="TOC1"/>
            <w:tabs>
              <w:tab w:val="left" w:pos="440"/>
              <w:tab w:val="right" w:leader="dot" w:pos="9736"/>
            </w:tabs>
            <w:rPr>
              <w:rFonts w:cstheme="minorBidi"/>
              <w:noProof/>
              <w:sz w:val="22"/>
            </w:rPr>
          </w:pPr>
          <w:hyperlink w:anchor="_Toc31892380" w:history="1">
            <w:r w:rsidR="00ED05BD" w:rsidRPr="00EB7F7A">
              <w:rPr>
                <w:rStyle w:val="Hyperlink"/>
                <w:b/>
                <w:bCs/>
                <w:noProof/>
              </w:rPr>
              <w:t>2.</w:t>
            </w:r>
            <w:r w:rsidR="00ED05BD">
              <w:rPr>
                <w:rFonts w:cstheme="minorBidi"/>
                <w:noProof/>
                <w:sz w:val="22"/>
              </w:rPr>
              <w:tab/>
            </w:r>
            <w:r w:rsidR="00ED05BD" w:rsidRPr="00EB7F7A">
              <w:rPr>
                <w:rStyle w:val="Hyperlink"/>
                <w:b/>
                <w:noProof/>
              </w:rPr>
              <w:t>Theory and Background</w:t>
            </w:r>
            <w:r w:rsidR="00ED05BD">
              <w:rPr>
                <w:noProof/>
                <w:webHidden/>
              </w:rPr>
              <w:tab/>
            </w:r>
            <w:r w:rsidR="00ED05BD">
              <w:rPr>
                <w:noProof/>
                <w:webHidden/>
              </w:rPr>
              <w:fldChar w:fldCharType="begin"/>
            </w:r>
            <w:r w:rsidR="00ED05BD">
              <w:rPr>
                <w:noProof/>
                <w:webHidden/>
              </w:rPr>
              <w:instrText xml:space="preserve"> PAGEREF _Toc31892380 \h </w:instrText>
            </w:r>
            <w:r w:rsidR="00ED05BD">
              <w:rPr>
                <w:noProof/>
                <w:webHidden/>
              </w:rPr>
            </w:r>
            <w:r w:rsidR="00ED05BD">
              <w:rPr>
                <w:noProof/>
                <w:webHidden/>
              </w:rPr>
              <w:fldChar w:fldCharType="separate"/>
            </w:r>
            <w:r w:rsidR="00ED05BD">
              <w:rPr>
                <w:noProof/>
                <w:webHidden/>
              </w:rPr>
              <w:t>5</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381" w:history="1">
            <w:r w:rsidR="00ED05BD" w:rsidRPr="00EB7F7A">
              <w:rPr>
                <w:rStyle w:val="Hyperlink"/>
                <w:b/>
                <w:noProof/>
              </w:rPr>
              <w:t>2.1.</w:t>
            </w:r>
            <w:r w:rsidR="00ED05BD">
              <w:rPr>
                <w:rFonts w:cstheme="minorBidi"/>
                <w:noProof/>
                <w:sz w:val="22"/>
              </w:rPr>
              <w:tab/>
            </w:r>
            <w:r w:rsidR="00ED05BD" w:rsidRPr="00EB7F7A">
              <w:rPr>
                <w:rStyle w:val="Hyperlink"/>
                <w:b/>
                <w:noProof/>
              </w:rPr>
              <w:t>DLVO theory</w:t>
            </w:r>
            <w:r w:rsidR="00ED05BD">
              <w:rPr>
                <w:noProof/>
                <w:webHidden/>
              </w:rPr>
              <w:tab/>
            </w:r>
            <w:r w:rsidR="00ED05BD">
              <w:rPr>
                <w:noProof/>
                <w:webHidden/>
              </w:rPr>
              <w:fldChar w:fldCharType="begin"/>
            </w:r>
            <w:r w:rsidR="00ED05BD">
              <w:rPr>
                <w:noProof/>
                <w:webHidden/>
              </w:rPr>
              <w:instrText xml:space="preserve"> PAGEREF _Toc31892381 \h </w:instrText>
            </w:r>
            <w:r w:rsidR="00ED05BD">
              <w:rPr>
                <w:noProof/>
                <w:webHidden/>
              </w:rPr>
            </w:r>
            <w:r w:rsidR="00ED05BD">
              <w:rPr>
                <w:noProof/>
                <w:webHidden/>
              </w:rPr>
              <w:fldChar w:fldCharType="separate"/>
            </w:r>
            <w:r w:rsidR="00ED05BD">
              <w:rPr>
                <w:noProof/>
                <w:webHidden/>
              </w:rPr>
              <w:t>5</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382" w:history="1">
            <w:r w:rsidR="00ED05BD" w:rsidRPr="00EB7F7A">
              <w:rPr>
                <w:rStyle w:val="Hyperlink"/>
                <w:b/>
                <w:noProof/>
              </w:rPr>
              <w:t>2.1.1.</w:t>
            </w:r>
            <w:r w:rsidR="00ED05BD">
              <w:rPr>
                <w:rFonts w:cstheme="minorBidi"/>
                <w:noProof/>
              </w:rPr>
              <w:tab/>
            </w:r>
            <w:r w:rsidR="00ED05BD" w:rsidRPr="00EB7F7A">
              <w:rPr>
                <w:rStyle w:val="Hyperlink"/>
                <w:b/>
                <w:noProof/>
              </w:rPr>
              <w:t>Symmetric Situation</w:t>
            </w:r>
            <w:r w:rsidR="00ED05BD">
              <w:rPr>
                <w:noProof/>
                <w:webHidden/>
              </w:rPr>
              <w:tab/>
            </w:r>
            <w:r w:rsidR="00ED05BD">
              <w:rPr>
                <w:noProof/>
                <w:webHidden/>
              </w:rPr>
              <w:fldChar w:fldCharType="begin"/>
            </w:r>
            <w:r w:rsidR="00ED05BD">
              <w:rPr>
                <w:noProof/>
                <w:webHidden/>
              </w:rPr>
              <w:instrText xml:space="preserve"> PAGEREF _Toc31892382 \h </w:instrText>
            </w:r>
            <w:r w:rsidR="00ED05BD">
              <w:rPr>
                <w:noProof/>
                <w:webHidden/>
              </w:rPr>
            </w:r>
            <w:r w:rsidR="00ED05BD">
              <w:rPr>
                <w:noProof/>
                <w:webHidden/>
              </w:rPr>
              <w:fldChar w:fldCharType="separate"/>
            </w:r>
            <w:r w:rsidR="00ED05BD">
              <w:rPr>
                <w:noProof/>
                <w:webHidden/>
              </w:rPr>
              <w:t>7</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383" w:history="1">
            <w:r w:rsidR="00ED05BD" w:rsidRPr="00EB7F7A">
              <w:rPr>
                <w:rStyle w:val="Hyperlink"/>
                <w:b/>
                <w:noProof/>
              </w:rPr>
              <w:t>2.1.2.</w:t>
            </w:r>
            <w:r w:rsidR="00ED05BD">
              <w:rPr>
                <w:rFonts w:cstheme="minorBidi"/>
                <w:noProof/>
              </w:rPr>
              <w:tab/>
            </w:r>
            <w:r w:rsidR="00ED05BD" w:rsidRPr="00EB7F7A">
              <w:rPr>
                <w:rStyle w:val="Hyperlink"/>
                <w:b/>
                <w:noProof/>
              </w:rPr>
              <w:t>Asymmetric situation</w:t>
            </w:r>
            <w:r w:rsidR="00ED05BD">
              <w:rPr>
                <w:noProof/>
                <w:webHidden/>
              </w:rPr>
              <w:tab/>
            </w:r>
            <w:r w:rsidR="00ED05BD">
              <w:rPr>
                <w:noProof/>
                <w:webHidden/>
              </w:rPr>
              <w:fldChar w:fldCharType="begin"/>
            </w:r>
            <w:r w:rsidR="00ED05BD">
              <w:rPr>
                <w:noProof/>
                <w:webHidden/>
              </w:rPr>
              <w:instrText xml:space="preserve"> PAGEREF _Toc31892383 \h </w:instrText>
            </w:r>
            <w:r w:rsidR="00ED05BD">
              <w:rPr>
                <w:noProof/>
                <w:webHidden/>
              </w:rPr>
            </w:r>
            <w:r w:rsidR="00ED05BD">
              <w:rPr>
                <w:noProof/>
                <w:webHidden/>
              </w:rPr>
              <w:fldChar w:fldCharType="separate"/>
            </w:r>
            <w:r w:rsidR="00ED05BD">
              <w:rPr>
                <w:noProof/>
                <w:webHidden/>
              </w:rPr>
              <w:t>7</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384" w:history="1">
            <w:r w:rsidR="00ED05BD" w:rsidRPr="00EB7F7A">
              <w:rPr>
                <w:rStyle w:val="Hyperlink"/>
                <w:b/>
                <w:noProof/>
              </w:rPr>
              <w:t>2.2.</w:t>
            </w:r>
            <w:r w:rsidR="00ED05BD">
              <w:rPr>
                <w:rFonts w:cstheme="minorBidi"/>
                <w:noProof/>
                <w:sz w:val="22"/>
              </w:rPr>
              <w:tab/>
            </w:r>
            <w:r w:rsidR="00ED05BD" w:rsidRPr="00EB7F7A">
              <w:rPr>
                <w:rStyle w:val="Hyperlink"/>
                <w:b/>
                <w:noProof/>
              </w:rPr>
              <w:t>Origin of Charges on Colloidal Particles</w:t>
            </w:r>
            <w:r w:rsidR="00ED05BD">
              <w:rPr>
                <w:noProof/>
                <w:webHidden/>
              </w:rPr>
              <w:tab/>
            </w:r>
            <w:r w:rsidR="00ED05BD">
              <w:rPr>
                <w:noProof/>
                <w:webHidden/>
              </w:rPr>
              <w:fldChar w:fldCharType="begin"/>
            </w:r>
            <w:r w:rsidR="00ED05BD">
              <w:rPr>
                <w:noProof/>
                <w:webHidden/>
              </w:rPr>
              <w:instrText xml:space="preserve"> PAGEREF _Toc31892384 \h </w:instrText>
            </w:r>
            <w:r w:rsidR="00ED05BD">
              <w:rPr>
                <w:noProof/>
                <w:webHidden/>
              </w:rPr>
            </w:r>
            <w:r w:rsidR="00ED05BD">
              <w:rPr>
                <w:noProof/>
                <w:webHidden/>
              </w:rPr>
              <w:fldChar w:fldCharType="separate"/>
            </w:r>
            <w:r w:rsidR="00ED05BD">
              <w:rPr>
                <w:noProof/>
                <w:webHidden/>
              </w:rPr>
              <w:t>8</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385" w:history="1">
            <w:r w:rsidR="00ED05BD" w:rsidRPr="00EB7F7A">
              <w:rPr>
                <w:rStyle w:val="Hyperlink"/>
                <w:b/>
                <w:noProof/>
              </w:rPr>
              <w:t>2.2.1.</w:t>
            </w:r>
            <w:r w:rsidR="00ED05BD">
              <w:rPr>
                <w:rFonts w:cstheme="minorBidi"/>
                <w:noProof/>
              </w:rPr>
              <w:tab/>
            </w:r>
            <w:r w:rsidR="00ED05BD" w:rsidRPr="00EB7F7A">
              <w:rPr>
                <w:rStyle w:val="Hyperlink"/>
                <w:b/>
                <w:noProof/>
              </w:rPr>
              <w:t>pH Responsive Charged Groups</w:t>
            </w:r>
            <w:r w:rsidR="00ED05BD">
              <w:rPr>
                <w:noProof/>
                <w:webHidden/>
              </w:rPr>
              <w:tab/>
            </w:r>
            <w:r w:rsidR="00ED05BD">
              <w:rPr>
                <w:noProof/>
                <w:webHidden/>
              </w:rPr>
              <w:fldChar w:fldCharType="begin"/>
            </w:r>
            <w:r w:rsidR="00ED05BD">
              <w:rPr>
                <w:noProof/>
                <w:webHidden/>
              </w:rPr>
              <w:instrText xml:space="preserve"> PAGEREF _Toc31892385 \h </w:instrText>
            </w:r>
            <w:r w:rsidR="00ED05BD">
              <w:rPr>
                <w:noProof/>
                <w:webHidden/>
              </w:rPr>
            </w:r>
            <w:r w:rsidR="00ED05BD">
              <w:rPr>
                <w:noProof/>
                <w:webHidden/>
              </w:rPr>
              <w:fldChar w:fldCharType="separate"/>
            </w:r>
            <w:r w:rsidR="00ED05BD">
              <w:rPr>
                <w:noProof/>
                <w:webHidden/>
              </w:rPr>
              <w:t>8</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386" w:history="1">
            <w:r w:rsidR="00ED05BD" w:rsidRPr="00EB7F7A">
              <w:rPr>
                <w:rStyle w:val="Hyperlink"/>
                <w:b/>
                <w:noProof/>
              </w:rPr>
              <w:t>2.2.2.</w:t>
            </w:r>
            <w:r w:rsidR="00ED05BD">
              <w:rPr>
                <w:rFonts w:cstheme="minorBidi"/>
                <w:noProof/>
              </w:rPr>
              <w:tab/>
            </w:r>
            <w:r w:rsidR="00ED05BD" w:rsidRPr="00EB7F7A">
              <w:rPr>
                <w:rStyle w:val="Hyperlink"/>
                <w:b/>
                <w:noProof/>
              </w:rPr>
              <w:t>pH Unresponsive Charged Groups</w:t>
            </w:r>
            <w:r w:rsidR="00ED05BD">
              <w:rPr>
                <w:noProof/>
                <w:webHidden/>
              </w:rPr>
              <w:tab/>
            </w:r>
            <w:r w:rsidR="00ED05BD">
              <w:rPr>
                <w:noProof/>
                <w:webHidden/>
              </w:rPr>
              <w:fldChar w:fldCharType="begin"/>
            </w:r>
            <w:r w:rsidR="00ED05BD">
              <w:rPr>
                <w:noProof/>
                <w:webHidden/>
              </w:rPr>
              <w:instrText xml:space="preserve"> PAGEREF _Toc31892386 \h </w:instrText>
            </w:r>
            <w:r w:rsidR="00ED05BD">
              <w:rPr>
                <w:noProof/>
                <w:webHidden/>
              </w:rPr>
            </w:r>
            <w:r w:rsidR="00ED05BD">
              <w:rPr>
                <w:noProof/>
                <w:webHidden/>
              </w:rPr>
              <w:fldChar w:fldCharType="separate"/>
            </w:r>
            <w:r w:rsidR="00ED05BD">
              <w:rPr>
                <w:noProof/>
                <w:webHidden/>
              </w:rPr>
              <w:t>9</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387" w:history="1">
            <w:r w:rsidR="00ED05BD" w:rsidRPr="00EB7F7A">
              <w:rPr>
                <w:rStyle w:val="Hyperlink"/>
                <w:b/>
                <w:noProof/>
              </w:rPr>
              <w:t>2.3.</w:t>
            </w:r>
            <w:r w:rsidR="00ED05BD">
              <w:rPr>
                <w:rFonts w:cstheme="minorBidi"/>
                <w:noProof/>
                <w:sz w:val="22"/>
              </w:rPr>
              <w:tab/>
            </w:r>
            <w:r w:rsidR="00ED05BD" w:rsidRPr="00EB7F7A">
              <w:rPr>
                <w:rStyle w:val="Hyperlink"/>
                <w:b/>
                <w:iCs/>
                <w:noProof/>
              </w:rPr>
              <w:t>Measuring the charge of colloidal particles</w:t>
            </w:r>
            <w:r w:rsidR="00ED05BD">
              <w:rPr>
                <w:noProof/>
                <w:webHidden/>
              </w:rPr>
              <w:tab/>
            </w:r>
            <w:r w:rsidR="00ED05BD">
              <w:rPr>
                <w:noProof/>
                <w:webHidden/>
              </w:rPr>
              <w:fldChar w:fldCharType="begin"/>
            </w:r>
            <w:r w:rsidR="00ED05BD">
              <w:rPr>
                <w:noProof/>
                <w:webHidden/>
              </w:rPr>
              <w:instrText xml:space="preserve"> PAGEREF _Toc31892387 \h </w:instrText>
            </w:r>
            <w:r w:rsidR="00ED05BD">
              <w:rPr>
                <w:noProof/>
                <w:webHidden/>
              </w:rPr>
            </w:r>
            <w:r w:rsidR="00ED05BD">
              <w:rPr>
                <w:noProof/>
                <w:webHidden/>
              </w:rPr>
              <w:fldChar w:fldCharType="separate"/>
            </w:r>
            <w:r w:rsidR="00ED05BD">
              <w:rPr>
                <w:noProof/>
                <w:webHidden/>
              </w:rPr>
              <w:t>10</w:t>
            </w:r>
            <w:r w:rsidR="00ED05BD">
              <w:rPr>
                <w:noProof/>
                <w:webHidden/>
              </w:rPr>
              <w:fldChar w:fldCharType="end"/>
            </w:r>
          </w:hyperlink>
        </w:p>
        <w:p w:rsidR="00ED05BD" w:rsidRDefault="00767BE6">
          <w:pPr>
            <w:pStyle w:val="TOC1"/>
            <w:tabs>
              <w:tab w:val="left" w:pos="440"/>
              <w:tab w:val="right" w:leader="dot" w:pos="9736"/>
            </w:tabs>
            <w:rPr>
              <w:rFonts w:cstheme="minorBidi"/>
              <w:noProof/>
              <w:sz w:val="22"/>
            </w:rPr>
          </w:pPr>
          <w:hyperlink w:anchor="_Toc31892388" w:history="1">
            <w:r w:rsidR="00ED05BD" w:rsidRPr="00EB7F7A">
              <w:rPr>
                <w:rStyle w:val="Hyperlink"/>
                <w:b/>
                <w:bCs/>
                <w:noProof/>
              </w:rPr>
              <w:t>3.</w:t>
            </w:r>
            <w:r w:rsidR="00ED05BD">
              <w:rPr>
                <w:rFonts w:cstheme="minorBidi"/>
                <w:noProof/>
                <w:sz w:val="22"/>
              </w:rPr>
              <w:tab/>
            </w:r>
            <w:r w:rsidR="00ED05BD" w:rsidRPr="00EB7F7A">
              <w:rPr>
                <w:rStyle w:val="Hyperlink"/>
                <w:b/>
                <w:iCs/>
                <w:noProof/>
              </w:rPr>
              <w:t>The model system</w:t>
            </w:r>
            <w:r w:rsidR="00ED05BD">
              <w:rPr>
                <w:noProof/>
                <w:webHidden/>
              </w:rPr>
              <w:tab/>
            </w:r>
            <w:r w:rsidR="00ED05BD">
              <w:rPr>
                <w:noProof/>
                <w:webHidden/>
              </w:rPr>
              <w:fldChar w:fldCharType="begin"/>
            </w:r>
            <w:r w:rsidR="00ED05BD">
              <w:rPr>
                <w:noProof/>
                <w:webHidden/>
              </w:rPr>
              <w:instrText xml:space="preserve"> PAGEREF _Toc31892388 \h </w:instrText>
            </w:r>
            <w:r w:rsidR="00ED05BD">
              <w:rPr>
                <w:noProof/>
                <w:webHidden/>
              </w:rPr>
            </w:r>
            <w:r w:rsidR="00ED05BD">
              <w:rPr>
                <w:noProof/>
                <w:webHidden/>
              </w:rPr>
              <w:fldChar w:fldCharType="separate"/>
            </w:r>
            <w:r w:rsidR="00ED05BD">
              <w:rPr>
                <w:noProof/>
                <w:webHidden/>
              </w:rPr>
              <w:t>11</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389" w:history="1">
            <w:r w:rsidR="00ED05BD" w:rsidRPr="00EB7F7A">
              <w:rPr>
                <w:rStyle w:val="Hyperlink"/>
                <w:b/>
                <w:bCs/>
                <w:noProof/>
              </w:rPr>
              <w:t>3.1.</w:t>
            </w:r>
            <w:r w:rsidR="00ED05BD">
              <w:rPr>
                <w:rFonts w:cstheme="minorBidi"/>
                <w:noProof/>
                <w:sz w:val="22"/>
              </w:rPr>
              <w:tab/>
            </w:r>
            <w:r w:rsidR="00ED05BD" w:rsidRPr="00EB7F7A">
              <w:rPr>
                <w:rStyle w:val="Hyperlink"/>
                <w:b/>
                <w:bCs/>
                <w:noProof/>
              </w:rPr>
              <w:t>Sphere-sphere heteroaggregation</w:t>
            </w:r>
            <w:r w:rsidR="00ED05BD">
              <w:rPr>
                <w:noProof/>
                <w:webHidden/>
              </w:rPr>
              <w:tab/>
            </w:r>
            <w:r w:rsidR="00ED05BD">
              <w:rPr>
                <w:noProof/>
                <w:webHidden/>
              </w:rPr>
              <w:fldChar w:fldCharType="begin"/>
            </w:r>
            <w:r w:rsidR="00ED05BD">
              <w:rPr>
                <w:noProof/>
                <w:webHidden/>
              </w:rPr>
              <w:instrText xml:space="preserve"> PAGEREF _Toc31892389 \h </w:instrText>
            </w:r>
            <w:r w:rsidR="00ED05BD">
              <w:rPr>
                <w:noProof/>
                <w:webHidden/>
              </w:rPr>
            </w:r>
            <w:r w:rsidR="00ED05BD">
              <w:rPr>
                <w:noProof/>
                <w:webHidden/>
              </w:rPr>
              <w:fldChar w:fldCharType="separate"/>
            </w:r>
            <w:r w:rsidR="00ED05BD">
              <w:rPr>
                <w:noProof/>
                <w:webHidden/>
              </w:rPr>
              <w:t>11</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390" w:history="1">
            <w:r w:rsidR="00ED05BD" w:rsidRPr="00EB7F7A">
              <w:rPr>
                <w:rStyle w:val="Hyperlink"/>
                <w:b/>
                <w:bCs/>
                <w:noProof/>
              </w:rPr>
              <w:t>3.2.</w:t>
            </w:r>
            <w:r w:rsidR="00ED05BD">
              <w:rPr>
                <w:rFonts w:cstheme="minorBidi"/>
                <w:noProof/>
                <w:sz w:val="22"/>
              </w:rPr>
              <w:tab/>
            </w:r>
            <w:r w:rsidR="00ED05BD" w:rsidRPr="00EB7F7A">
              <w:rPr>
                <w:rStyle w:val="Hyperlink"/>
                <w:b/>
                <w:bCs/>
                <w:noProof/>
              </w:rPr>
              <w:t>Sphere-dumbbell heteroaggregation</w:t>
            </w:r>
            <w:r w:rsidR="00ED05BD">
              <w:rPr>
                <w:noProof/>
                <w:webHidden/>
              </w:rPr>
              <w:tab/>
            </w:r>
            <w:r w:rsidR="00ED05BD">
              <w:rPr>
                <w:noProof/>
                <w:webHidden/>
              </w:rPr>
              <w:fldChar w:fldCharType="begin"/>
            </w:r>
            <w:r w:rsidR="00ED05BD">
              <w:rPr>
                <w:noProof/>
                <w:webHidden/>
              </w:rPr>
              <w:instrText xml:space="preserve"> PAGEREF _Toc31892390 \h </w:instrText>
            </w:r>
            <w:r w:rsidR="00ED05BD">
              <w:rPr>
                <w:noProof/>
                <w:webHidden/>
              </w:rPr>
            </w:r>
            <w:r w:rsidR="00ED05BD">
              <w:rPr>
                <w:noProof/>
                <w:webHidden/>
              </w:rPr>
              <w:fldChar w:fldCharType="separate"/>
            </w:r>
            <w:r w:rsidR="00ED05BD">
              <w:rPr>
                <w:noProof/>
                <w:webHidden/>
              </w:rPr>
              <w:t>13</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391" w:history="1">
            <w:r w:rsidR="00ED05BD" w:rsidRPr="00EB7F7A">
              <w:rPr>
                <w:rStyle w:val="Hyperlink"/>
                <w:b/>
                <w:bCs/>
                <w:noProof/>
              </w:rPr>
              <w:t>3.2.1.</w:t>
            </w:r>
            <w:r w:rsidR="00ED05BD">
              <w:rPr>
                <w:rFonts w:cstheme="minorBidi"/>
                <w:noProof/>
              </w:rPr>
              <w:tab/>
            </w:r>
            <w:r w:rsidR="00ED05BD" w:rsidRPr="00EB7F7A">
              <w:rPr>
                <w:rStyle w:val="Hyperlink"/>
                <w:b/>
                <w:bCs/>
                <w:noProof/>
              </w:rPr>
              <w:t>Density Gradient Centrifugation</w:t>
            </w:r>
            <w:r w:rsidR="00ED05BD">
              <w:rPr>
                <w:noProof/>
                <w:webHidden/>
              </w:rPr>
              <w:tab/>
            </w:r>
            <w:r w:rsidR="00ED05BD">
              <w:rPr>
                <w:noProof/>
                <w:webHidden/>
              </w:rPr>
              <w:fldChar w:fldCharType="begin"/>
            </w:r>
            <w:r w:rsidR="00ED05BD">
              <w:rPr>
                <w:noProof/>
                <w:webHidden/>
              </w:rPr>
              <w:instrText xml:space="preserve"> PAGEREF _Toc31892391 \h </w:instrText>
            </w:r>
            <w:r w:rsidR="00ED05BD">
              <w:rPr>
                <w:noProof/>
                <w:webHidden/>
              </w:rPr>
            </w:r>
            <w:r w:rsidR="00ED05BD">
              <w:rPr>
                <w:noProof/>
                <w:webHidden/>
              </w:rPr>
              <w:fldChar w:fldCharType="separate"/>
            </w:r>
            <w:r w:rsidR="00ED05BD">
              <w:rPr>
                <w:noProof/>
                <w:webHidden/>
              </w:rPr>
              <w:t>14</w:t>
            </w:r>
            <w:r w:rsidR="00ED05BD">
              <w:rPr>
                <w:noProof/>
                <w:webHidden/>
              </w:rPr>
              <w:fldChar w:fldCharType="end"/>
            </w:r>
          </w:hyperlink>
        </w:p>
        <w:p w:rsidR="00ED05BD" w:rsidRDefault="00767BE6">
          <w:pPr>
            <w:pStyle w:val="TOC1"/>
            <w:tabs>
              <w:tab w:val="left" w:pos="440"/>
              <w:tab w:val="right" w:leader="dot" w:pos="9736"/>
            </w:tabs>
            <w:rPr>
              <w:rFonts w:cstheme="minorBidi"/>
              <w:noProof/>
              <w:sz w:val="22"/>
            </w:rPr>
          </w:pPr>
          <w:hyperlink w:anchor="_Toc31892392" w:history="1">
            <w:r w:rsidR="00ED05BD" w:rsidRPr="00EB7F7A">
              <w:rPr>
                <w:rStyle w:val="Hyperlink"/>
                <w:b/>
                <w:bCs/>
                <w:noProof/>
              </w:rPr>
              <w:t>4.</w:t>
            </w:r>
            <w:r w:rsidR="00ED05BD">
              <w:rPr>
                <w:rFonts w:cstheme="minorBidi"/>
                <w:noProof/>
                <w:sz w:val="22"/>
              </w:rPr>
              <w:tab/>
            </w:r>
            <w:r w:rsidR="00ED05BD" w:rsidRPr="00EB7F7A">
              <w:rPr>
                <w:rStyle w:val="Hyperlink"/>
                <w:b/>
                <w:noProof/>
              </w:rPr>
              <w:t>Experimental method</w:t>
            </w:r>
            <w:r w:rsidR="00ED05BD">
              <w:rPr>
                <w:noProof/>
                <w:webHidden/>
              </w:rPr>
              <w:tab/>
            </w:r>
            <w:r w:rsidR="00ED05BD">
              <w:rPr>
                <w:noProof/>
                <w:webHidden/>
              </w:rPr>
              <w:fldChar w:fldCharType="begin"/>
            </w:r>
            <w:r w:rsidR="00ED05BD">
              <w:rPr>
                <w:noProof/>
                <w:webHidden/>
              </w:rPr>
              <w:instrText xml:space="preserve"> PAGEREF _Toc31892392 \h </w:instrText>
            </w:r>
            <w:r w:rsidR="00ED05BD">
              <w:rPr>
                <w:noProof/>
                <w:webHidden/>
              </w:rPr>
            </w:r>
            <w:r w:rsidR="00ED05BD">
              <w:rPr>
                <w:noProof/>
                <w:webHidden/>
              </w:rPr>
              <w:fldChar w:fldCharType="separate"/>
            </w:r>
            <w:r w:rsidR="00ED05BD">
              <w:rPr>
                <w:noProof/>
                <w:webHidden/>
              </w:rPr>
              <w:t>16</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393" w:history="1">
            <w:r w:rsidR="00ED05BD" w:rsidRPr="00EB7F7A">
              <w:rPr>
                <w:rStyle w:val="Hyperlink"/>
                <w:b/>
                <w:noProof/>
              </w:rPr>
              <w:t>4.1.</w:t>
            </w:r>
            <w:r w:rsidR="00ED05BD">
              <w:rPr>
                <w:rFonts w:cstheme="minorBidi"/>
                <w:noProof/>
                <w:sz w:val="22"/>
              </w:rPr>
              <w:tab/>
            </w:r>
            <w:r w:rsidR="00ED05BD" w:rsidRPr="00EB7F7A">
              <w:rPr>
                <w:rStyle w:val="Hyperlink"/>
                <w:b/>
                <w:iCs/>
                <w:noProof/>
              </w:rPr>
              <w:t>List of chemicals</w:t>
            </w:r>
            <w:r w:rsidR="00ED05BD">
              <w:rPr>
                <w:noProof/>
                <w:webHidden/>
              </w:rPr>
              <w:tab/>
            </w:r>
            <w:r w:rsidR="00ED05BD">
              <w:rPr>
                <w:noProof/>
                <w:webHidden/>
              </w:rPr>
              <w:fldChar w:fldCharType="begin"/>
            </w:r>
            <w:r w:rsidR="00ED05BD">
              <w:rPr>
                <w:noProof/>
                <w:webHidden/>
              </w:rPr>
              <w:instrText xml:space="preserve"> PAGEREF _Toc31892393 \h </w:instrText>
            </w:r>
            <w:r w:rsidR="00ED05BD">
              <w:rPr>
                <w:noProof/>
                <w:webHidden/>
              </w:rPr>
            </w:r>
            <w:r w:rsidR="00ED05BD">
              <w:rPr>
                <w:noProof/>
                <w:webHidden/>
              </w:rPr>
              <w:fldChar w:fldCharType="separate"/>
            </w:r>
            <w:r w:rsidR="00ED05BD">
              <w:rPr>
                <w:noProof/>
                <w:webHidden/>
              </w:rPr>
              <w:t>16</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394" w:history="1">
            <w:r w:rsidR="00ED05BD" w:rsidRPr="00EB7F7A">
              <w:rPr>
                <w:rStyle w:val="Hyperlink"/>
                <w:b/>
                <w:noProof/>
              </w:rPr>
              <w:t>4.2.</w:t>
            </w:r>
            <w:r w:rsidR="00ED05BD">
              <w:rPr>
                <w:rFonts w:cstheme="minorBidi"/>
                <w:noProof/>
                <w:sz w:val="22"/>
              </w:rPr>
              <w:tab/>
            </w:r>
            <w:r w:rsidR="00ED05BD" w:rsidRPr="00EB7F7A">
              <w:rPr>
                <w:rStyle w:val="Hyperlink"/>
                <w:b/>
                <w:noProof/>
              </w:rPr>
              <w:t>Synthesis negatively charged polystyrene (nPS)</w:t>
            </w:r>
            <w:r w:rsidR="00ED05BD">
              <w:rPr>
                <w:noProof/>
                <w:webHidden/>
              </w:rPr>
              <w:tab/>
            </w:r>
            <w:r w:rsidR="00ED05BD">
              <w:rPr>
                <w:noProof/>
                <w:webHidden/>
              </w:rPr>
              <w:fldChar w:fldCharType="begin"/>
            </w:r>
            <w:r w:rsidR="00ED05BD">
              <w:rPr>
                <w:noProof/>
                <w:webHidden/>
              </w:rPr>
              <w:instrText xml:space="preserve"> PAGEREF _Toc31892394 \h </w:instrText>
            </w:r>
            <w:r w:rsidR="00ED05BD">
              <w:rPr>
                <w:noProof/>
                <w:webHidden/>
              </w:rPr>
            </w:r>
            <w:r w:rsidR="00ED05BD">
              <w:rPr>
                <w:noProof/>
                <w:webHidden/>
              </w:rPr>
              <w:fldChar w:fldCharType="separate"/>
            </w:r>
            <w:r w:rsidR="00ED05BD">
              <w:rPr>
                <w:noProof/>
                <w:webHidden/>
              </w:rPr>
              <w:t>17</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395" w:history="1">
            <w:r w:rsidR="00ED05BD" w:rsidRPr="00EB7F7A">
              <w:rPr>
                <w:rStyle w:val="Hyperlink"/>
                <w:b/>
                <w:noProof/>
              </w:rPr>
              <w:t>4.3.</w:t>
            </w:r>
            <w:r w:rsidR="00ED05BD">
              <w:rPr>
                <w:rFonts w:cstheme="minorBidi"/>
                <w:noProof/>
                <w:sz w:val="22"/>
              </w:rPr>
              <w:tab/>
            </w:r>
            <w:r w:rsidR="00ED05BD" w:rsidRPr="00EB7F7A">
              <w:rPr>
                <w:rStyle w:val="Hyperlink"/>
                <w:b/>
                <w:noProof/>
              </w:rPr>
              <w:t>Synthesis positively charged polystyrene (pPS)</w:t>
            </w:r>
            <w:r w:rsidR="00ED05BD">
              <w:rPr>
                <w:noProof/>
                <w:webHidden/>
              </w:rPr>
              <w:tab/>
            </w:r>
            <w:r w:rsidR="00ED05BD">
              <w:rPr>
                <w:noProof/>
                <w:webHidden/>
              </w:rPr>
              <w:fldChar w:fldCharType="begin"/>
            </w:r>
            <w:r w:rsidR="00ED05BD">
              <w:rPr>
                <w:noProof/>
                <w:webHidden/>
              </w:rPr>
              <w:instrText xml:space="preserve"> PAGEREF _Toc31892395 \h </w:instrText>
            </w:r>
            <w:r w:rsidR="00ED05BD">
              <w:rPr>
                <w:noProof/>
                <w:webHidden/>
              </w:rPr>
            </w:r>
            <w:r w:rsidR="00ED05BD">
              <w:rPr>
                <w:noProof/>
                <w:webHidden/>
              </w:rPr>
              <w:fldChar w:fldCharType="separate"/>
            </w:r>
            <w:r w:rsidR="00ED05BD">
              <w:rPr>
                <w:noProof/>
                <w:webHidden/>
              </w:rPr>
              <w:t>17</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396" w:history="1">
            <w:r w:rsidR="00ED05BD" w:rsidRPr="00EB7F7A">
              <w:rPr>
                <w:rStyle w:val="Hyperlink"/>
                <w:b/>
                <w:noProof/>
              </w:rPr>
              <w:t>4.4.</w:t>
            </w:r>
            <w:r w:rsidR="00ED05BD">
              <w:rPr>
                <w:rFonts w:cstheme="minorBidi"/>
                <w:noProof/>
                <w:sz w:val="22"/>
              </w:rPr>
              <w:tab/>
            </w:r>
            <w:r w:rsidR="00ED05BD" w:rsidRPr="00EB7F7A">
              <w:rPr>
                <w:rStyle w:val="Hyperlink"/>
                <w:b/>
                <w:noProof/>
              </w:rPr>
              <w:t>Synthesis dumbbell with size ratio of 1.17 (DB1)</w:t>
            </w:r>
            <w:r w:rsidR="00ED05BD">
              <w:rPr>
                <w:noProof/>
                <w:webHidden/>
              </w:rPr>
              <w:tab/>
            </w:r>
            <w:r w:rsidR="00ED05BD">
              <w:rPr>
                <w:noProof/>
                <w:webHidden/>
              </w:rPr>
              <w:fldChar w:fldCharType="begin"/>
            </w:r>
            <w:r w:rsidR="00ED05BD">
              <w:rPr>
                <w:noProof/>
                <w:webHidden/>
              </w:rPr>
              <w:instrText xml:space="preserve"> PAGEREF _Toc31892396 \h </w:instrText>
            </w:r>
            <w:r w:rsidR="00ED05BD">
              <w:rPr>
                <w:noProof/>
                <w:webHidden/>
              </w:rPr>
            </w:r>
            <w:r w:rsidR="00ED05BD">
              <w:rPr>
                <w:noProof/>
                <w:webHidden/>
              </w:rPr>
              <w:fldChar w:fldCharType="separate"/>
            </w:r>
            <w:r w:rsidR="00ED05BD">
              <w:rPr>
                <w:noProof/>
                <w:webHidden/>
              </w:rPr>
              <w:t>17</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397" w:history="1">
            <w:r w:rsidR="00ED05BD" w:rsidRPr="00EB7F7A">
              <w:rPr>
                <w:rStyle w:val="Hyperlink"/>
                <w:b/>
                <w:noProof/>
              </w:rPr>
              <w:t>4.5.</w:t>
            </w:r>
            <w:r w:rsidR="00ED05BD">
              <w:rPr>
                <w:rFonts w:cstheme="minorBidi"/>
                <w:noProof/>
                <w:sz w:val="22"/>
              </w:rPr>
              <w:tab/>
            </w:r>
            <w:r w:rsidR="00ED05BD" w:rsidRPr="00EB7F7A">
              <w:rPr>
                <w:rStyle w:val="Hyperlink"/>
                <w:b/>
                <w:noProof/>
              </w:rPr>
              <w:t>Density Gradient Centrifugation of DB1 with incremented sucrose gradient</w:t>
            </w:r>
            <w:r w:rsidR="00ED05BD">
              <w:rPr>
                <w:noProof/>
                <w:webHidden/>
              </w:rPr>
              <w:tab/>
            </w:r>
            <w:r w:rsidR="00ED05BD">
              <w:rPr>
                <w:noProof/>
                <w:webHidden/>
              </w:rPr>
              <w:fldChar w:fldCharType="begin"/>
            </w:r>
            <w:r w:rsidR="00ED05BD">
              <w:rPr>
                <w:noProof/>
                <w:webHidden/>
              </w:rPr>
              <w:instrText xml:space="preserve"> PAGEREF _Toc31892397 \h </w:instrText>
            </w:r>
            <w:r w:rsidR="00ED05BD">
              <w:rPr>
                <w:noProof/>
                <w:webHidden/>
              </w:rPr>
            </w:r>
            <w:r w:rsidR="00ED05BD">
              <w:rPr>
                <w:noProof/>
                <w:webHidden/>
              </w:rPr>
              <w:fldChar w:fldCharType="separate"/>
            </w:r>
            <w:r w:rsidR="00ED05BD">
              <w:rPr>
                <w:noProof/>
                <w:webHidden/>
              </w:rPr>
              <w:t>18</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398" w:history="1">
            <w:r w:rsidR="00ED05BD" w:rsidRPr="00EB7F7A">
              <w:rPr>
                <w:rStyle w:val="Hyperlink"/>
                <w:b/>
                <w:noProof/>
              </w:rPr>
              <w:t>4.6.</w:t>
            </w:r>
            <w:r w:rsidR="00ED05BD">
              <w:rPr>
                <w:rFonts w:cstheme="minorBidi"/>
                <w:noProof/>
                <w:sz w:val="22"/>
              </w:rPr>
              <w:tab/>
            </w:r>
            <w:r w:rsidR="00ED05BD" w:rsidRPr="00EB7F7A">
              <w:rPr>
                <w:rStyle w:val="Hyperlink"/>
                <w:b/>
                <w:noProof/>
              </w:rPr>
              <w:t>Density Gradient Centrifugation of DB1 with continuous sucrose gradient</w:t>
            </w:r>
            <w:r w:rsidR="00ED05BD">
              <w:rPr>
                <w:noProof/>
                <w:webHidden/>
              </w:rPr>
              <w:tab/>
            </w:r>
            <w:r w:rsidR="00ED05BD">
              <w:rPr>
                <w:noProof/>
                <w:webHidden/>
              </w:rPr>
              <w:fldChar w:fldCharType="begin"/>
            </w:r>
            <w:r w:rsidR="00ED05BD">
              <w:rPr>
                <w:noProof/>
                <w:webHidden/>
              </w:rPr>
              <w:instrText xml:space="preserve"> PAGEREF _Toc31892398 \h </w:instrText>
            </w:r>
            <w:r w:rsidR="00ED05BD">
              <w:rPr>
                <w:noProof/>
                <w:webHidden/>
              </w:rPr>
            </w:r>
            <w:r w:rsidR="00ED05BD">
              <w:rPr>
                <w:noProof/>
                <w:webHidden/>
              </w:rPr>
              <w:fldChar w:fldCharType="separate"/>
            </w:r>
            <w:r w:rsidR="00ED05BD">
              <w:rPr>
                <w:noProof/>
                <w:webHidden/>
              </w:rPr>
              <w:t>18</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399" w:history="1">
            <w:r w:rsidR="00ED05BD" w:rsidRPr="00EB7F7A">
              <w:rPr>
                <w:rStyle w:val="Hyperlink"/>
                <w:b/>
                <w:noProof/>
              </w:rPr>
              <w:t>4.7.</w:t>
            </w:r>
            <w:r w:rsidR="00ED05BD">
              <w:rPr>
                <w:rFonts w:cstheme="minorBidi"/>
                <w:noProof/>
                <w:sz w:val="22"/>
              </w:rPr>
              <w:tab/>
            </w:r>
            <w:r w:rsidR="00ED05BD" w:rsidRPr="00EB7F7A">
              <w:rPr>
                <w:rStyle w:val="Hyperlink"/>
                <w:b/>
                <w:noProof/>
              </w:rPr>
              <w:t>Synthesis dumbbell with size ratio of 2.79 (DB2)</w:t>
            </w:r>
            <w:r w:rsidR="00ED05BD">
              <w:rPr>
                <w:noProof/>
                <w:webHidden/>
              </w:rPr>
              <w:tab/>
            </w:r>
            <w:r w:rsidR="00ED05BD">
              <w:rPr>
                <w:noProof/>
                <w:webHidden/>
              </w:rPr>
              <w:fldChar w:fldCharType="begin"/>
            </w:r>
            <w:r w:rsidR="00ED05BD">
              <w:rPr>
                <w:noProof/>
                <w:webHidden/>
              </w:rPr>
              <w:instrText xml:space="preserve"> PAGEREF _Toc31892399 \h </w:instrText>
            </w:r>
            <w:r w:rsidR="00ED05BD">
              <w:rPr>
                <w:noProof/>
                <w:webHidden/>
              </w:rPr>
            </w:r>
            <w:r w:rsidR="00ED05BD">
              <w:rPr>
                <w:noProof/>
                <w:webHidden/>
              </w:rPr>
              <w:fldChar w:fldCharType="separate"/>
            </w:r>
            <w:r w:rsidR="00ED05BD">
              <w:rPr>
                <w:noProof/>
                <w:webHidden/>
              </w:rPr>
              <w:t>19</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400" w:history="1">
            <w:r w:rsidR="00ED05BD" w:rsidRPr="00EB7F7A">
              <w:rPr>
                <w:rStyle w:val="Hyperlink"/>
                <w:b/>
                <w:noProof/>
              </w:rPr>
              <w:t>4.8.</w:t>
            </w:r>
            <w:r w:rsidR="00ED05BD">
              <w:rPr>
                <w:rFonts w:cstheme="minorBidi"/>
                <w:noProof/>
                <w:sz w:val="22"/>
              </w:rPr>
              <w:tab/>
            </w:r>
            <w:r w:rsidR="00ED05BD" w:rsidRPr="00EB7F7A">
              <w:rPr>
                <w:rStyle w:val="Hyperlink"/>
                <w:b/>
                <w:noProof/>
              </w:rPr>
              <w:t>Density Gradient Centrifugation of DB2 with continuous sucrose gradient</w:t>
            </w:r>
            <w:r w:rsidR="00ED05BD">
              <w:rPr>
                <w:noProof/>
                <w:webHidden/>
              </w:rPr>
              <w:tab/>
            </w:r>
            <w:r w:rsidR="00ED05BD">
              <w:rPr>
                <w:noProof/>
                <w:webHidden/>
              </w:rPr>
              <w:fldChar w:fldCharType="begin"/>
            </w:r>
            <w:r w:rsidR="00ED05BD">
              <w:rPr>
                <w:noProof/>
                <w:webHidden/>
              </w:rPr>
              <w:instrText xml:space="preserve"> PAGEREF _Toc31892400 \h </w:instrText>
            </w:r>
            <w:r w:rsidR="00ED05BD">
              <w:rPr>
                <w:noProof/>
                <w:webHidden/>
              </w:rPr>
            </w:r>
            <w:r w:rsidR="00ED05BD">
              <w:rPr>
                <w:noProof/>
                <w:webHidden/>
              </w:rPr>
              <w:fldChar w:fldCharType="separate"/>
            </w:r>
            <w:r w:rsidR="00ED05BD">
              <w:rPr>
                <w:noProof/>
                <w:webHidden/>
              </w:rPr>
              <w:t>19</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401" w:history="1">
            <w:r w:rsidR="00ED05BD" w:rsidRPr="00EB7F7A">
              <w:rPr>
                <w:rStyle w:val="Hyperlink"/>
                <w:b/>
                <w:iCs/>
                <w:noProof/>
              </w:rPr>
              <w:t>4.9.</w:t>
            </w:r>
            <w:r w:rsidR="00ED05BD">
              <w:rPr>
                <w:rFonts w:cstheme="minorBidi"/>
                <w:noProof/>
                <w:sz w:val="22"/>
              </w:rPr>
              <w:tab/>
            </w:r>
            <w:r w:rsidR="00ED05BD" w:rsidRPr="00EB7F7A">
              <w:rPr>
                <w:rStyle w:val="Hyperlink"/>
                <w:b/>
                <w:iCs/>
                <w:noProof/>
              </w:rPr>
              <w:t>Synthesis APTES-Rhod B fluorophore</w:t>
            </w:r>
            <w:r w:rsidR="00ED05BD">
              <w:rPr>
                <w:noProof/>
                <w:webHidden/>
              </w:rPr>
              <w:tab/>
            </w:r>
            <w:r w:rsidR="00ED05BD">
              <w:rPr>
                <w:noProof/>
                <w:webHidden/>
              </w:rPr>
              <w:fldChar w:fldCharType="begin"/>
            </w:r>
            <w:r w:rsidR="00ED05BD">
              <w:rPr>
                <w:noProof/>
                <w:webHidden/>
              </w:rPr>
              <w:instrText xml:space="preserve"> PAGEREF _Toc31892401 \h </w:instrText>
            </w:r>
            <w:r w:rsidR="00ED05BD">
              <w:rPr>
                <w:noProof/>
                <w:webHidden/>
              </w:rPr>
            </w:r>
            <w:r w:rsidR="00ED05BD">
              <w:rPr>
                <w:noProof/>
                <w:webHidden/>
              </w:rPr>
              <w:fldChar w:fldCharType="separate"/>
            </w:r>
            <w:r w:rsidR="00ED05BD">
              <w:rPr>
                <w:noProof/>
                <w:webHidden/>
              </w:rPr>
              <w:t>19</w:t>
            </w:r>
            <w:r w:rsidR="00ED05BD">
              <w:rPr>
                <w:noProof/>
                <w:webHidden/>
              </w:rPr>
              <w:fldChar w:fldCharType="end"/>
            </w:r>
          </w:hyperlink>
        </w:p>
        <w:p w:rsidR="00ED05BD" w:rsidRDefault="00767BE6">
          <w:pPr>
            <w:pStyle w:val="TOC2"/>
            <w:tabs>
              <w:tab w:val="left" w:pos="1100"/>
              <w:tab w:val="right" w:leader="dot" w:pos="9736"/>
            </w:tabs>
            <w:rPr>
              <w:rFonts w:cstheme="minorBidi"/>
              <w:noProof/>
              <w:sz w:val="22"/>
            </w:rPr>
          </w:pPr>
          <w:hyperlink w:anchor="_Toc31892402" w:history="1">
            <w:r w:rsidR="00ED05BD" w:rsidRPr="00EB7F7A">
              <w:rPr>
                <w:rStyle w:val="Hyperlink"/>
                <w:b/>
                <w:iCs/>
                <w:noProof/>
              </w:rPr>
              <w:t>4.10.</w:t>
            </w:r>
            <w:r w:rsidR="00ED05BD">
              <w:rPr>
                <w:rFonts w:cstheme="minorBidi"/>
                <w:noProof/>
                <w:sz w:val="22"/>
              </w:rPr>
              <w:tab/>
            </w:r>
            <w:r w:rsidR="00ED05BD" w:rsidRPr="00EB7F7A">
              <w:rPr>
                <w:rStyle w:val="Hyperlink"/>
                <w:b/>
                <w:iCs/>
                <w:noProof/>
              </w:rPr>
              <w:t>Synthesis TPM particles</w:t>
            </w:r>
            <w:r w:rsidR="00ED05BD">
              <w:rPr>
                <w:noProof/>
                <w:webHidden/>
              </w:rPr>
              <w:tab/>
            </w:r>
            <w:r w:rsidR="00ED05BD">
              <w:rPr>
                <w:noProof/>
                <w:webHidden/>
              </w:rPr>
              <w:fldChar w:fldCharType="begin"/>
            </w:r>
            <w:r w:rsidR="00ED05BD">
              <w:rPr>
                <w:noProof/>
                <w:webHidden/>
              </w:rPr>
              <w:instrText xml:space="preserve"> PAGEREF _Toc31892402 \h </w:instrText>
            </w:r>
            <w:r w:rsidR="00ED05BD">
              <w:rPr>
                <w:noProof/>
                <w:webHidden/>
              </w:rPr>
            </w:r>
            <w:r w:rsidR="00ED05BD">
              <w:rPr>
                <w:noProof/>
                <w:webHidden/>
              </w:rPr>
              <w:fldChar w:fldCharType="separate"/>
            </w:r>
            <w:r w:rsidR="00ED05BD">
              <w:rPr>
                <w:noProof/>
                <w:webHidden/>
              </w:rPr>
              <w:t>19</w:t>
            </w:r>
            <w:r w:rsidR="00ED05BD">
              <w:rPr>
                <w:noProof/>
                <w:webHidden/>
              </w:rPr>
              <w:fldChar w:fldCharType="end"/>
            </w:r>
          </w:hyperlink>
        </w:p>
        <w:p w:rsidR="00ED05BD" w:rsidRDefault="00767BE6">
          <w:pPr>
            <w:pStyle w:val="TOC2"/>
            <w:tabs>
              <w:tab w:val="left" w:pos="1100"/>
              <w:tab w:val="right" w:leader="dot" w:pos="9736"/>
            </w:tabs>
            <w:rPr>
              <w:rFonts w:cstheme="minorBidi"/>
              <w:noProof/>
              <w:sz w:val="22"/>
            </w:rPr>
          </w:pPr>
          <w:hyperlink w:anchor="_Toc31892403" w:history="1">
            <w:r w:rsidR="00ED05BD" w:rsidRPr="00EB7F7A">
              <w:rPr>
                <w:rStyle w:val="Hyperlink"/>
                <w:b/>
                <w:iCs/>
                <w:noProof/>
              </w:rPr>
              <w:t>4.11.</w:t>
            </w:r>
            <w:r w:rsidR="00ED05BD">
              <w:rPr>
                <w:rFonts w:cstheme="minorBidi"/>
                <w:noProof/>
                <w:sz w:val="22"/>
              </w:rPr>
              <w:tab/>
            </w:r>
            <w:r w:rsidR="00ED05BD" w:rsidRPr="00EB7F7A">
              <w:rPr>
                <w:rStyle w:val="Hyperlink"/>
                <w:b/>
                <w:noProof/>
              </w:rPr>
              <w:t>Surface modification of TPM with APTES</w:t>
            </w:r>
            <w:r w:rsidR="00ED05BD">
              <w:rPr>
                <w:noProof/>
                <w:webHidden/>
              </w:rPr>
              <w:tab/>
            </w:r>
            <w:r w:rsidR="00ED05BD">
              <w:rPr>
                <w:noProof/>
                <w:webHidden/>
              </w:rPr>
              <w:fldChar w:fldCharType="begin"/>
            </w:r>
            <w:r w:rsidR="00ED05BD">
              <w:rPr>
                <w:noProof/>
                <w:webHidden/>
              </w:rPr>
              <w:instrText xml:space="preserve"> PAGEREF _Toc31892403 \h </w:instrText>
            </w:r>
            <w:r w:rsidR="00ED05BD">
              <w:rPr>
                <w:noProof/>
                <w:webHidden/>
              </w:rPr>
            </w:r>
            <w:r w:rsidR="00ED05BD">
              <w:rPr>
                <w:noProof/>
                <w:webHidden/>
              </w:rPr>
              <w:fldChar w:fldCharType="separate"/>
            </w:r>
            <w:r w:rsidR="00ED05BD">
              <w:rPr>
                <w:noProof/>
                <w:webHidden/>
              </w:rPr>
              <w:t>19</w:t>
            </w:r>
            <w:r w:rsidR="00ED05BD">
              <w:rPr>
                <w:noProof/>
                <w:webHidden/>
              </w:rPr>
              <w:fldChar w:fldCharType="end"/>
            </w:r>
          </w:hyperlink>
        </w:p>
        <w:p w:rsidR="00ED05BD" w:rsidRDefault="00767BE6">
          <w:pPr>
            <w:pStyle w:val="TOC2"/>
            <w:tabs>
              <w:tab w:val="left" w:pos="1100"/>
              <w:tab w:val="right" w:leader="dot" w:pos="9736"/>
            </w:tabs>
            <w:rPr>
              <w:rFonts w:cstheme="minorBidi"/>
              <w:noProof/>
              <w:sz w:val="22"/>
            </w:rPr>
          </w:pPr>
          <w:hyperlink w:anchor="_Toc31892404" w:history="1">
            <w:r w:rsidR="00ED05BD" w:rsidRPr="00EB7F7A">
              <w:rPr>
                <w:rStyle w:val="Hyperlink"/>
                <w:b/>
                <w:noProof/>
              </w:rPr>
              <w:t>4.12.</w:t>
            </w:r>
            <w:r w:rsidR="00ED05BD">
              <w:rPr>
                <w:rFonts w:cstheme="minorBidi"/>
                <w:noProof/>
                <w:sz w:val="22"/>
              </w:rPr>
              <w:tab/>
            </w:r>
            <w:r w:rsidR="00ED05BD" w:rsidRPr="00EB7F7A">
              <w:rPr>
                <w:rStyle w:val="Hyperlink"/>
                <w:b/>
                <w:noProof/>
              </w:rPr>
              <w:t>Encapsulation experiments</w:t>
            </w:r>
            <w:r w:rsidR="00ED05BD">
              <w:rPr>
                <w:noProof/>
                <w:webHidden/>
              </w:rPr>
              <w:tab/>
            </w:r>
            <w:r w:rsidR="00ED05BD">
              <w:rPr>
                <w:noProof/>
                <w:webHidden/>
              </w:rPr>
              <w:fldChar w:fldCharType="begin"/>
            </w:r>
            <w:r w:rsidR="00ED05BD">
              <w:rPr>
                <w:noProof/>
                <w:webHidden/>
              </w:rPr>
              <w:instrText xml:space="preserve"> PAGEREF _Toc31892404 \h </w:instrText>
            </w:r>
            <w:r w:rsidR="00ED05BD">
              <w:rPr>
                <w:noProof/>
                <w:webHidden/>
              </w:rPr>
            </w:r>
            <w:r w:rsidR="00ED05BD">
              <w:rPr>
                <w:noProof/>
                <w:webHidden/>
              </w:rPr>
              <w:fldChar w:fldCharType="separate"/>
            </w:r>
            <w:r w:rsidR="00ED05BD">
              <w:rPr>
                <w:noProof/>
                <w:webHidden/>
              </w:rPr>
              <w:t>20</w:t>
            </w:r>
            <w:r w:rsidR="00ED05BD">
              <w:rPr>
                <w:noProof/>
                <w:webHidden/>
              </w:rPr>
              <w:fldChar w:fldCharType="end"/>
            </w:r>
          </w:hyperlink>
        </w:p>
        <w:p w:rsidR="00ED05BD" w:rsidRDefault="00767BE6">
          <w:pPr>
            <w:pStyle w:val="TOC2"/>
            <w:tabs>
              <w:tab w:val="left" w:pos="1100"/>
              <w:tab w:val="right" w:leader="dot" w:pos="9736"/>
            </w:tabs>
            <w:rPr>
              <w:rFonts w:cstheme="minorBidi"/>
              <w:noProof/>
              <w:sz w:val="22"/>
            </w:rPr>
          </w:pPr>
          <w:hyperlink w:anchor="_Toc31892405" w:history="1">
            <w:r w:rsidR="00ED05BD" w:rsidRPr="00EB7F7A">
              <w:rPr>
                <w:rStyle w:val="Hyperlink"/>
                <w:rFonts w:eastAsia="Times New Roman"/>
                <w:b/>
                <w:noProof/>
              </w:rPr>
              <w:t>4.13.</w:t>
            </w:r>
            <w:r w:rsidR="00ED05BD">
              <w:rPr>
                <w:rFonts w:cstheme="minorBidi"/>
                <w:noProof/>
                <w:sz w:val="22"/>
              </w:rPr>
              <w:tab/>
            </w:r>
            <w:r w:rsidR="00ED05BD" w:rsidRPr="00EB7F7A">
              <w:rPr>
                <w:rStyle w:val="Hyperlink"/>
                <w:rFonts w:eastAsia="Times New Roman"/>
                <w:b/>
                <w:noProof/>
              </w:rPr>
              <w:t>Characterization</w:t>
            </w:r>
            <w:r w:rsidR="00ED05BD">
              <w:rPr>
                <w:noProof/>
                <w:webHidden/>
              </w:rPr>
              <w:tab/>
            </w:r>
            <w:r w:rsidR="00ED05BD">
              <w:rPr>
                <w:noProof/>
                <w:webHidden/>
              </w:rPr>
              <w:fldChar w:fldCharType="begin"/>
            </w:r>
            <w:r w:rsidR="00ED05BD">
              <w:rPr>
                <w:noProof/>
                <w:webHidden/>
              </w:rPr>
              <w:instrText xml:space="preserve"> PAGEREF _Toc31892405 \h </w:instrText>
            </w:r>
            <w:r w:rsidR="00ED05BD">
              <w:rPr>
                <w:noProof/>
                <w:webHidden/>
              </w:rPr>
            </w:r>
            <w:r w:rsidR="00ED05BD">
              <w:rPr>
                <w:noProof/>
                <w:webHidden/>
              </w:rPr>
              <w:fldChar w:fldCharType="separate"/>
            </w:r>
            <w:r w:rsidR="00ED05BD">
              <w:rPr>
                <w:noProof/>
                <w:webHidden/>
              </w:rPr>
              <w:t>20</w:t>
            </w:r>
            <w:r w:rsidR="00ED05BD">
              <w:rPr>
                <w:noProof/>
                <w:webHidden/>
              </w:rPr>
              <w:fldChar w:fldCharType="end"/>
            </w:r>
          </w:hyperlink>
        </w:p>
        <w:p w:rsidR="00ED05BD" w:rsidRDefault="00767BE6">
          <w:pPr>
            <w:pStyle w:val="TOC1"/>
            <w:tabs>
              <w:tab w:val="left" w:pos="440"/>
              <w:tab w:val="right" w:leader="dot" w:pos="9736"/>
            </w:tabs>
            <w:rPr>
              <w:rFonts w:cstheme="minorBidi"/>
              <w:noProof/>
              <w:sz w:val="22"/>
            </w:rPr>
          </w:pPr>
          <w:hyperlink w:anchor="_Toc31892406" w:history="1">
            <w:r w:rsidR="00ED05BD" w:rsidRPr="00EB7F7A">
              <w:rPr>
                <w:rStyle w:val="Hyperlink"/>
                <w:rFonts w:eastAsia="Times New Roman"/>
                <w:b/>
                <w:bCs/>
                <w:noProof/>
                <w:lang w:val="fr-FR"/>
              </w:rPr>
              <w:t>5.</w:t>
            </w:r>
            <w:r w:rsidR="00ED05BD">
              <w:rPr>
                <w:rFonts w:cstheme="minorBidi"/>
                <w:noProof/>
                <w:sz w:val="22"/>
              </w:rPr>
              <w:tab/>
            </w:r>
            <w:r w:rsidR="00ED05BD" w:rsidRPr="00EB7F7A">
              <w:rPr>
                <w:rStyle w:val="Hyperlink"/>
                <w:rFonts w:eastAsia="Times New Roman"/>
                <w:b/>
                <w:noProof/>
                <w:lang w:val="fr-FR"/>
              </w:rPr>
              <w:t>Results &amp; Discussion</w:t>
            </w:r>
            <w:r w:rsidR="00ED05BD">
              <w:rPr>
                <w:noProof/>
                <w:webHidden/>
              </w:rPr>
              <w:tab/>
            </w:r>
            <w:r w:rsidR="00ED05BD">
              <w:rPr>
                <w:noProof/>
                <w:webHidden/>
              </w:rPr>
              <w:fldChar w:fldCharType="begin"/>
            </w:r>
            <w:r w:rsidR="00ED05BD">
              <w:rPr>
                <w:noProof/>
                <w:webHidden/>
              </w:rPr>
              <w:instrText xml:space="preserve"> PAGEREF _Toc31892406 \h </w:instrText>
            </w:r>
            <w:r w:rsidR="00ED05BD">
              <w:rPr>
                <w:noProof/>
                <w:webHidden/>
              </w:rPr>
            </w:r>
            <w:r w:rsidR="00ED05BD">
              <w:rPr>
                <w:noProof/>
                <w:webHidden/>
              </w:rPr>
              <w:fldChar w:fldCharType="separate"/>
            </w:r>
            <w:r w:rsidR="00ED05BD">
              <w:rPr>
                <w:noProof/>
                <w:webHidden/>
              </w:rPr>
              <w:t>21</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407" w:history="1">
            <w:r w:rsidR="00ED05BD" w:rsidRPr="00EB7F7A">
              <w:rPr>
                <w:rStyle w:val="Hyperlink"/>
                <w:b/>
                <w:noProof/>
                <w:lang w:val="fr-FR"/>
              </w:rPr>
              <w:t>5.1.</w:t>
            </w:r>
            <w:r w:rsidR="00ED05BD">
              <w:rPr>
                <w:rFonts w:cstheme="minorBidi"/>
                <w:noProof/>
                <w:sz w:val="22"/>
              </w:rPr>
              <w:tab/>
            </w:r>
            <w:r w:rsidR="00ED05BD" w:rsidRPr="00EB7F7A">
              <w:rPr>
                <w:rStyle w:val="Hyperlink"/>
                <w:b/>
                <w:noProof/>
                <w:lang w:val="fr-FR"/>
              </w:rPr>
              <w:t>Particle Synthesis</w:t>
            </w:r>
            <w:r w:rsidR="00ED05BD">
              <w:rPr>
                <w:noProof/>
                <w:webHidden/>
              </w:rPr>
              <w:tab/>
            </w:r>
            <w:r w:rsidR="00ED05BD">
              <w:rPr>
                <w:noProof/>
                <w:webHidden/>
              </w:rPr>
              <w:fldChar w:fldCharType="begin"/>
            </w:r>
            <w:r w:rsidR="00ED05BD">
              <w:rPr>
                <w:noProof/>
                <w:webHidden/>
              </w:rPr>
              <w:instrText xml:space="preserve"> PAGEREF _Toc31892407 \h </w:instrText>
            </w:r>
            <w:r w:rsidR="00ED05BD">
              <w:rPr>
                <w:noProof/>
                <w:webHidden/>
              </w:rPr>
            </w:r>
            <w:r w:rsidR="00ED05BD">
              <w:rPr>
                <w:noProof/>
                <w:webHidden/>
              </w:rPr>
              <w:fldChar w:fldCharType="separate"/>
            </w:r>
            <w:r w:rsidR="00ED05BD">
              <w:rPr>
                <w:noProof/>
                <w:webHidden/>
              </w:rPr>
              <w:t>21</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08" w:history="1">
            <w:r w:rsidR="00ED05BD" w:rsidRPr="00EB7F7A">
              <w:rPr>
                <w:rStyle w:val="Hyperlink"/>
                <w:rFonts w:eastAsia="Calibri"/>
                <w:b/>
                <w:noProof/>
                <w:lang w:val="fr-FR"/>
              </w:rPr>
              <w:t>5.1.1.</w:t>
            </w:r>
            <w:r w:rsidR="00ED05BD">
              <w:rPr>
                <w:rFonts w:cstheme="minorBidi"/>
                <w:noProof/>
              </w:rPr>
              <w:tab/>
            </w:r>
            <w:r w:rsidR="00ED05BD" w:rsidRPr="00EB7F7A">
              <w:rPr>
                <w:rStyle w:val="Hyperlink"/>
                <w:rFonts w:eastAsia="Calibri"/>
                <w:b/>
                <w:noProof/>
                <w:lang w:val="fr-FR"/>
              </w:rPr>
              <w:t>pH responsive polystyrene particles (pH-PS)</w:t>
            </w:r>
            <w:r w:rsidR="00ED05BD">
              <w:rPr>
                <w:noProof/>
                <w:webHidden/>
              </w:rPr>
              <w:tab/>
            </w:r>
            <w:r w:rsidR="00ED05BD">
              <w:rPr>
                <w:noProof/>
                <w:webHidden/>
              </w:rPr>
              <w:fldChar w:fldCharType="begin"/>
            </w:r>
            <w:r w:rsidR="00ED05BD">
              <w:rPr>
                <w:noProof/>
                <w:webHidden/>
              </w:rPr>
              <w:instrText xml:space="preserve"> PAGEREF _Toc31892408 \h </w:instrText>
            </w:r>
            <w:r w:rsidR="00ED05BD">
              <w:rPr>
                <w:noProof/>
                <w:webHidden/>
              </w:rPr>
            </w:r>
            <w:r w:rsidR="00ED05BD">
              <w:rPr>
                <w:noProof/>
                <w:webHidden/>
              </w:rPr>
              <w:fldChar w:fldCharType="separate"/>
            </w:r>
            <w:r w:rsidR="00ED05BD">
              <w:rPr>
                <w:noProof/>
                <w:webHidden/>
              </w:rPr>
              <w:t>21</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09" w:history="1">
            <w:r w:rsidR="00ED05BD" w:rsidRPr="00EB7F7A">
              <w:rPr>
                <w:rStyle w:val="Hyperlink"/>
                <w:rFonts w:eastAsia="Calibri"/>
                <w:b/>
                <w:noProof/>
              </w:rPr>
              <w:t>5.1.2.</w:t>
            </w:r>
            <w:r w:rsidR="00ED05BD">
              <w:rPr>
                <w:rFonts w:cstheme="minorBidi"/>
                <w:noProof/>
              </w:rPr>
              <w:tab/>
            </w:r>
            <w:r w:rsidR="00ED05BD" w:rsidRPr="00EB7F7A">
              <w:rPr>
                <w:rStyle w:val="Hyperlink"/>
                <w:rFonts w:eastAsia="Calibri"/>
                <w:b/>
                <w:noProof/>
              </w:rPr>
              <w:t>Permanently negatively charged polystyrene particles (nPS) and permanently positively charged polystyrene particles (pPS)</w:t>
            </w:r>
            <w:r w:rsidR="00ED05BD">
              <w:rPr>
                <w:noProof/>
                <w:webHidden/>
              </w:rPr>
              <w:tab/>
            </w:r>
            <w:r w:rsidR="00ED05BD">
              <w:rPr>
                <w:noProof/>
                <w:webHidden/>
              </w:rPr>
              <w:fldChar w:fldCharType="begin"/>
            </w:r>
            <w:r w:rsidR="00ED05BD">
              <w:rPr>
                <w:noProof/>
                <w:webHidden/>
              </w:rPr>
              <w:instrText xml:space="preserve"> PAGEREF _Toc31892409 \h </w:instrText>
            </w:r>
            <w:r w:rsidR="00ED05BD">
              <w:rPr>
                <w:noProof/>
                <w:webHidden/>
              </w:rPr>
            </w:r>
            <w:r w:rsidR="00ED05BD">
              <w:rPr>
                <w:noProof/>
                <w:webHidden/>
              </w:rPr>
              <w:fldChar w:fldCharType="separate"/>
            </w:r>
            <w:r w:rsidR="00ED05BD">
              <w:rPr>
                <w:noProof/>
                <w:webHidden/>
              </w:rPr>
              <w:t>21</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10" w:history="1">
            <w:r w:rsidR="00ED05BD" w:rsidRPr="00EB7F7A">
              <w:rPr>
                <w:rStyle w:val="Hyperlink"/>
                <w:rFonts w:eastAsia="Calibri"/>
                <w:b/>
                <w:noProof/>
              </w:rPr>
              <w:t>5.1.3.</w:t>
            </w:r>
            <w:r w:rsidR="00ED05BD">
              <w:rPr>
                <w:rFonts w:cstheme="minorBidi"/>
                <w:noProof/>
              </w:rPr>
              <w:tab/>
            </w:r>
            <w:r w:rsidR="00ED05BD" w:rsidRPr="00EB7F7A">
              <w:rPr>
                <w:rStyle w:val="Hyperlink"/>
                <w:rFonts w:eastAsia="Calibri"/>
                <w:b/>
                <w:noProof/>
              </w:rPr>
              <w:t>Synthesis of the biphasic TPM-PS zwitterionic dumbbells</w:t>
            </w:r>
            <w:r w:rsidR="00ED05BD">
              <w:rPr>
                <w:noProof/>
                <w:webHidden/>
              </w:rPr>
              <w:tab/>
            </w:r>
            <w:r w:rsidR="00ED05BD">
              <w:rPr>
                <w:noProof/>
                <w:webHidden/>
              </w:rPr>
              <w:fldChar w:fldCharType="begin"/>
            </w:r>
            <w:r w:rsidR="00ED05BD">
              <w:rPr>
                <w:noProof/>
                <w:webHidden/>
              </w:rPr>
              <w:instrText xml:space="preserve"> PAGEREF _Toc31892410 \h </w:instrText>
            </w:r>
            <w:r w:rsidR="00ED05BD">
              <w:rPr>
                <w:noProof/>
                <w:webHidden/>
              </w:rPr>
            </w:r>
            <w:r w:rsidR="00ED05BD">
              <w:rPr>
                <w:noProof/>
                <w:webHidden/>
              </w:rPr>
              <w:fldChar w:fldCharType="separate"/>
            </w:r>
            <w:r w:rsidR="00ED05BD">
              <w:rPr>
                <w:noProof/>
                <w:webHidden/>
              </w:rPr>
              <w:t>23</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11" w:history="1">
            <w:r w:rsidR="00ED05BD" w:rsidRPr="00EB7F7A">
              <w:rPr>
                <w:rStyle w:val="Hyperlink"/>
                <w:rFonts w:eastAsia="Calibri"/>
                <w:b/>
                <w:noProof/>
              </w:rPr>
              <w:t>5.1.4.</w:t>
            </w:r>
            <w:r w:rsidR="00ED05BD">
              <w:rPr>
                <w:rFonts w:cstheme="minorBidi"/>
                <w:noProof/>
              </w:rPr>
              <w:tab/>
            </w:r>
            <w:r w:rsidR="00ED05BD" w:rsidRPr="00EB7F7A">
              <w:rPr>
                <w:rStyle w:val="Hyperlink"/>
                <w:rFonts w:eastAsia="Calibri"/>
                <w:b/>
                <w:noProof/>
              </w:rPr>
              <w:t>Density Gradient Centrifugation of unmodified dumbbell dispersion</w:t>
            </w:r>
            <w:r w:rsidR="00ED05BD">
              <w:rPr>
                <w:noProof/>
                <w:webHidden/>
              </w:rPr>
              <w:tab/>
            </w:r>
            <w:r w:rsidR="00ED05BD">
              <w:rPr>
                <w:noProof/>
                <w:webHidden/>
              </w:rPr>
              <w:fldChar w:fldCharType="begin"/>
            </w:r>
            <w:r w:rsidR="00ED05BD">
              <w:rPr>
                <w:noProof/>
                <w:webHidden/>
              </w:rPr>
              <w:instrText xml:space="preserve"> PAGEREF _Toc31892411 \h </w:instrText>
            </w:r>
            <w:r w:rsidR="00ED05BD">
              <w:rPr>
                <w:noProof/>
                <w:webHidden/>
              </w:rPr>
            </w:r>
            <w:r w:rsidR="00ED05BD">
              <w:rPr>
                <w:noProof/>
                <w:webHidden/>
              </w:rPr>
              <w:fldChar w:fldCharType="separate"/>
            </w:r>
            <w:r w:rsidR="00ED05BD">
              <w:rPr>
                <w:noProof/>
                <w:webHidden/>
              </w:rPr>
              <w:t>27</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12" w:history="1">
            <w:r w:rsidR="00ED05BD" w:rsidRPr="00EB7F7A">
              <w:rPr>
                <w:rStyle w:val="Hyperlink"/>
                <w:rFonts w:eastAsia="Calibri"/>
                <w:b/>
                <w:noProof/>
              </w:rPr>
              <w:t>5.1.5.</w:t>
            </w:r>
            <w:r w:rsidR="00ED05BD">
              <w:rPr>
                <w:rFonts w:cstheme="minorBidi"/>
                <w:noProof/>
              </w:rPr>
              <w:tab/>
            </w:r>
            <w:r w:rsidR="00ED05BD" w:rsidRPr="00EB7F7A">
              <w:rPr>
                <w:rStyle w:val="Hyperlink"/>
                <w:rFonts w:eastAsia="Calibri"/>
                <w:b/>
                <w:noProof/>
              </w:rPr>
              <w:t>Density Gradient Centrifugation of DB-1</w:t>
            </w:r>
            <w:r w:rsidR="00ED05BD">
              <w:rPr>
                <w:noProof/>
                <w:webHidden/>
              </w:rPr>
              <w:tab/>
            </w:r>
            <w:r w:rsidR="00ED05BD">
              <w:rPr>
                <w:noProof/>
                <w:webHidden/>
              </w:rPr>
              <w:fldChar w:fldCharType="begin"/>
            </w:r>
            <w:r w:rsidR="00ED05BD">
              <w:rPr>
                <w:noProof/>
                <w:webHidden/>
              </w:rPr>
              <w:instrText xml:space="preserve"> PAGEREF _Toc31892412 \h </w:instrText>
            </w:r>
            <w:r w:rsidR="00ED05BD">
              <w:rPr>
                <w:noProof/>
                <w:webHidden/>
              </w:rPr>
            </w:r>
            <w:r w:rsidR="00ED05BD">
              <w:rPr>
                <w:noProof/>
                <w:webHidden/>
              </w:rPr>
              <w:fldChar w:fldCharType="separate"/>
            </w:r>
            <w:r w:rsidR="00ED05BD">
              <w:rPr>
                <w:noProof/>
                <w:webHidden/>
              </w:rPr>
              <w:t>27</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13" w:history="1">
            <w:r w:rsidR="00ED05BD" w:rsidRPr="00EB7F7A">
              <w:rPr>
                <w:rStyle w:val="Hyperlink"/>
                <w:rFonts w:eastAsia="Calibri"/>
                <w:b/>
                <w:noProof/>
              </w:rPr>
              <w:t>5.1.6.</w:t>
            </w:r>
            <w:r w:rsidR="00ED05BD">
              <w:rPr>
                <w:rFonts w:cstheme="minorBidi"/>
                <w:noProof/>
              </w:rPr>
              <w:tab/>
            </w:r>
            <w:r w:rsidR="00ED05BD" w:rsidRPr="00EB7F7A">
              <w:rPr>
                <w:rStyle w:val="Hyperlink"/>
                <w:rFonts w:eastAsia="Calibri"/>
                <w:b/>
                <w:noProof/>
              </w:rPr>
              <w:t>Density Gradient Centrifugation of DB-2</w:t>
            </w:r>
            <w:r w:rsidR="00ED05BD">
              <w:rPr>
                <w:noProof/>
                <w:webHidden/>
              </w:rPr>
              <w:tab/>
            </w:r>
            <w:r w:rsidR="00ED05BD">
              <w:rPr>
                <w:noProof/>
                <w:webHidden/>
              </w:rPr>
              <w:fldChar w:fldCharType="begin"/>
            </w:r>
            <w:r w:rsidR="00ED05BD">
              <w:rPr>
                <w:noProof/>
                <w:webHidden/>
              </w:rPr>
              <w:instrText xml:space="preserve"> PAGEREF _Toc31892413 \h </w:instrText>
            </w:r>
            <w:r w:rsidR="00ED05BD">
              <w:rPr>
                <w:noProof/>
                <w:webHidden/>
              </w:rPr>
            </w:r>
            <w:r w:rsidR="00ED05BD">
              <w:rPr>
                <w:noProof/>
                <w:webHidden/>
              </w:rPr>
              <w:fldChar w:fldCharType="separate"/>
            </w:r>
            <w:r w:rsidR="00ED05BD">
              <w:rPr>
                <w:noProof/>
                <w:webHidden/>
              </w:rPr>
              <w:t>29</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14" w:history="1">
            <w:r w:rsidR="00ED05BD" w:rsidRPr="00EB7F7A">
              <w:rPr>
                <w:rStyle w:val="Hyperlink"/>
                <w:rFonts w:eastAsia="Calibri"/>
                <w:b/>
                <w:noProof/>
              </w:rPr>
              <w:t>5.1.7.</w:t>
            </w:r>
            <w:r w:rsidR="00ED05BD">
              <w:rPr>
                <w:rFonts w:cstheme="minorBidi"/>
                <w:noProof/>
              </w:rPr>
              <w:tab/>
            </w:r>
            <w:r w:rsidR="00ED05BD" w:rsidRPr="00EB7F7A">
              <w:rPr>
                <w:rStyle w:val="Hyperlink"/>
                <w:rFonts w:eastAsia="Calibri"/>
                <w:b/>
                <w:noProof/>
              </w:rPr>
              <w:t>Analysis of the biphasic TPM-PS zwitterionic dumbbells</w:t>
            </w:r>
            <w:r w:rsidR="00ED05BD">
              <w:rPr>
                <w:noProof/>
                <w:webHidden/>
              </w:rPr>
              <w:tab/>
            </w:r>
            <w:r w:rsidR="00ED05BD">
              <w:rPr>
                <w:noProof/>
                <w:webHidden/>
              </w:rPr>
              <w:fldChar w:fldCharType="begin"/>
            </w:r>
            <w:r w:rsidR="00ED05BD">
              <w:rPr>
                <w:noProof/>
                <w:webHidden/>
              </w:rPr>
              <w:instrText xml:space="preserve"> PAGEREF _Toc31892414 \h </w:instrText>
            </w:r>
            <w:r w:rsidR="00ED05BD">
              <w:rPr>
                <w:noProof/>
                <w:webHidden/>
              </w:rPr>
            </w:r>
            <w:r w:rsidR="00ED05BD">
              <w:rPr>
                <w:noProof/>
                <w:webHidden/>
              </w:rPr>
              <w:fldChar w:fldCharType="separate"/>
            </w:r>
            <w:r w:rsidR="00ED05BD">
              <w:rPr>
                <w:noProof/>
                <w:webHidden/>
              </w:rPr>
              <w:t>29</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415" w:history="1">
            <w:r w:rsidR="00ED05BD" w:rsidRPr="00EB7F7A">
              <w:rPr>
                <w:rStyle w:val="Hyperlink"/>
                <w:b/>
                <w:noProof/>
              </w:rPr>
              <w:t>5.2.</w:t>
            </w:r>
            <w:r w:rsidR="00ED05BD">
              <w:rPr>
                <w:rFonts w:cstheme="minorBidi"/>
                <w:noProof/>
                <w:sz w:val="22"/>
              </w:rPr>
              <w:tab/>
            </w:r>
            <w:r w:rsidR="00ED05BD" w:rsidRPr="00EB7F7A">
              <w:rPr>
                <w:rStyle w:val="Hyperlink"/>
                <w:b/>
                <w:noProof/>
              </w:rPr>
              <w:t>Determination pH responsiveness</w:t>
            </w:r>
            <w:r w:rsidR="00ED05BD">
              <w:rPr>
                <w:noProof/>
                <w:webHidden/>
              </w:rPr>
              <w:tab/>
            </w:r>
            <w:r w:rsidR="00ED05BD">
              <w:rPr>
                <w:noProof/>
                <w:webHidden/>
              </w:rPr>
              <w:fldChar w:fldCharType="begin"/>
            </w:r>
            <w:r w:rsidR="00ED05BD">
              <w:rPr>
                <w:noProof/>
                <w:webHidden/>
              </w:rPr>
              <w:instrText xml:space="preserve"> PAGEREF _Toc31892415 \h </w:instrText>
            </w:r>
            <w:r w:rsidR="00ED05BD">
              <w:rPr>
                <w:noProof/>
                <w:webHidden/>
              </w:rPr>
            </w:r>
            <w:r w:rsidR="00ED05BD">
              <w:rPr>
                <w:noProof/>
                <w:webHidden/>
              </w:rPr>
              <w:fldChar w:fldCharType="separate"/>
            </w:r>
            <w:r w:rsidR="00ED05BD">
              <w:rPr>
                <w:noProof/>
                <w:webHidden/>
              </w:rPr>
              <w:t>30</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16" w:history="1">
            <w:r w:rsidR="00ED05BD" w:rsidRPr="00EB7F7A">
              <w:rPr>
                <w:rStyle w:val="Hyperlink"/>
                <w:b/>
                <w:iCs/>
                <w:noProof/>
              </w:rPr>
              <w:t>5.2.1.</w:t>
            </w:r>
            <w:r w:rsidR="00ED05BD">
              <w:rPr>
                <w:rFonts w:cstheme="minorBidi"/>
                <w:noProof/>
              </w:rPr>
              <w:tab/>
            </w:r>
            <w:r w:rsidR="00ED05BD" w:rsidRPr="00EB7F7A">
              <w:rPr>
                <w:rStyle w:val="Hyperlink"/>
                <w:b/>
                <w:iCs/>
                <w:noProof/>
              </w:rPr>
              <w:t>Titration of pH-PS</w:t>
            </w:r>
            <w:r w:rsidR="00ED05BD">
              <w:rPr>
                <w:noProof/>
                <w:webHidden/>
              </w:rPr>
              <w:tab/>
            </w:r>
            <w:r w:rsidR="00ED05BD">
              <w:rPr>
                <w:noProof/>
                <w:webHidden/>
              </w:rPr>
              <w:fldChar w:fldCharType="begin"/>
            </w:r>
            <w:r w:rsidR="00ED05BD">
              <w:rPr>
                <w:noProof/>
                <w:webHidden/>
              </w:rPr>
              <w:instrText xml:space="preserve"> PAGEREF _Toc31892416 \h </w:instrText>
            </w:r>
            <w:r w:rsidR="00ED05BD">
              <w:rPr>
                <w:noProof/>
                <w:webHidden/>
              </w:rPr>
            </w:r>
            <w:r w:rsidR="00ED05BD">
              <w:rPr>
                <w:noProof/>
                <w:webHidden/>
              </w:rPr>
              <w:fldChar w:fldCharType="separate"/>
            </w:r>
            <w:r w:rsidR="00ED05BD">
              <w:rPr>
                <w:noProof/>
                <w:webHidden/>
              </w:rPr>
              <w:t>30</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17" w:history="1">
            <w:r w:rsidR="00ED05BD" w:rsidRPr="00EB7F7A">
              <w:rPr>
                <w:rStyle w:val="Hyperlink"/>
                <w:b/>
                <w:iCs/>
                <w:noProof/>
              </w:rPr>
              <w:t>5.2.2.</w:t>
            </w:r>
            <w:r w:rsidR="00ED05BD">
              <w:rPr>
                <w:rFonts w:cstheme="minorBidi"/>
                <w:noProof/>
              </w:rPr>
              <w:tab/>
            </w:r>
            <w:r w:rsidR="00ED05BD" w:rsidRPr="00EB7F7A">
              <w:rPr>
                <w:rStyle w:val="Hyperlink"/>
                <w:b/>
                <w:iCs/>
                <w:noProof/>
              </w:rPr>
              <w:t>Titrations of nPS and pPS</w:t>
            </w:r>
            <w:r w:rsidR="00ED05BD">
              <w:rPr>
                <w:noProof/>
                <w:webHidden/>
              </w:rPr>
              <w:tab/>
            </w:r>
            <w:r w:rsidR="00ED05BD">
              <w:rPr>
                <w:noProof/>
                <w:webHidden/>
              </w:rPr>
              <w:fldChar w:fldCharType="begin"/>
            </w:r>
            <w:r w:rsidR="00ED05BD">
              <w:rPr>
                <w:noProof/>
                <w:webHidden/>
              </w:rPr>
              <w:instrText xml:space="preserve"> PAGEREF _Toc31892417 \h </w:instrText>
            </w:r>
            <w:r w:rsidR="00ED05BD">
              <w:rPr>
                <w:noProof/>
                <w:webHidden/>
              </w:rPr>
            </w:r>
            <w:r w:rsidR="00ED05BD">
              <w:rPr>
                <w:noProof/>
                <w:webHidden/>
              </w:rPr>
              <w:fldChar w:fldCharType="separate"/>
            </w:r>
            <w:r w:rsidR="00ED05BD">
              <w:rPr>
                <w:noProof/>
                <w:webHidden/>
              </w:rPr>
              <w:t>33</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18" w:history="1">
            <w:r w:rsidR="00ED05BD" w:rsidRPr="00EB7F7A">
              <w:rPr>
                <w:rStyle w:val="Hyperlink"/>
                <w:b/>
                <w:iCs/>
                <w:noProof/>
              </w:rPr>
              <w:t>5.2.3.</w:t>
            </w:r>
            <w:r w:rsidR="00ED05BD">
              <w:rPr>
                <w:rFonts w:cstheme="minorBidi"/>
                <w:noProof/>
              </w:rPr>
              <w:tab/>
            </w:r>
            <w:r w:rsidR="00ED05BD" w:rsidRPr="00EB7F7A">
              <w:rPr>
                <w:rStyle w:val="Hyperlink"/>
                <w:b/>
                <w:iCs/>
                <w:noProof/>
              </w:rPr>
              <w:t>Titration of (APTES) TPM-1</w:t>
            </w:r>
            <w:r w:rsidR="00ED05BD">
              <w:rPr>
                <w:noProof/>
                <w:webHidden/>
              </w:rPr>
              <w:tab/>
            </w:r>
            <w:r w:rsidR="00ED05BD">
              <w:rPr>
                <w:noProof/>
                <w:webHidden/>
              </w:rPr>
              <w:fldChar w:fldCharType="begin"/>
            </w:r>
            <w:r w:rsidR="00ED05BD">
              <w:rPr>
                <w:noProof/>
                <w:webHidden/>
              </w:rPr>
              <w:instrText xml:space="preserve"> PAGEREF _Toc31892418 \h </w:instrText>
            </w:r>
            <w:r w:rsidR="00ED05BD">
              <w:rPr>
                <w:noProof/>
                <w:webHidden/>
              </w:rPr>
            </w:r>
            <w:r w:rsidR="00ED05BD">
              <w:rPr>
                <w:noProof/>
                <w:webHidden/>
              </w:rPr>
              <w:fldChar w:fldCharType="separate"/>
            </w:r>
            <w:r w:rsidR="00ED05BD">
              <w:rPr>
                <w:noProof/>
                <w:webHidden/>
              </w:rPr>
              <w:t>35</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419" w:history="1">
            <w:r w:rsidR="00ED05BD" w:rsidRPr="00EB7F7A">
              <w:rPr>
                <w:rStyle w:val="Hyperlink"/>
                <w:b/>
                <w:iCs/>
                <w:noProof/>
              </w:rPr>
              <w:t>5.3.</w:t>
            </w:r>
            <w:r w:rsidR="00ED05BD">
              <w:rPr>
                <w:rFonts w:cstheme="minorBidi"/>
                <w:noProof/>
                <w:sz w:val="22"/>
              </w:rPr>
              <w:tab/>
            </w:r>
            <w:r w:rsidR="00ED05BD" w:rsidRPr="00EB7F7A">
              <w:rPr>
                <w:rStyle w:val="Hyperlink"/>
                <w:b/>
                <w:iCs/>
                <w:noProof/>
              </w:rPr>
              <w:t>Encapsulation experiments</w:t>
            </w:r>
            <w:r w:rsidR="00ED05BD">
              <w:rPr>
                <w:noProof/>
                <w:webHidden/>
              </w:rPr>
              <w:tab/>
            </w:r>
            <w:r w:rsidR="00ED05BD">
              <w:rPr>
                <w:noProof/>
                <w:webHidden/>
              </w:rPr>
              <w:fldChar w:fldCharType="begin"/>
            </w:r>
            <w:r w:rsidR="00ED05BD">
              <w:rPr>
                <w:noProof/>
                <w:webHidden/>
              </w:rPr>
              <w:instrText xml:space="preserve"> PAGEREF _Toc31892419 \h </w:instrText>
            </w:r>
            <w:r w:rsidR="00ED05BD">
              <w:rPr>
                <w:noProof/>
                <w:webHidden/>
              </w:rPr>
            </w:r>
            <w:r w:rsidR="00ED05BD">
              <w:rPr>
                <w:noProof/>
                <w:webHidden/>
              </w:rPr>
              <w:fldChar w:fldCharType="separate"/>
            </w:r>
            <w:r w:rsidR="00ED05BD">
              <w:rPr>
                <w:noProof/>
                <w:webHidden/>
              </w:rPr>
              <w:t>37</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20" w:history="1">
            <w:r w:rsidR="00ED05BD" w:rsidRPr="00EB7F7A">
              <w:rPr>
                <w:rStyle w:val="Hyperlink"/>
                <w:b/>
                <w:iCs/>
                <w:noProof/>
              </w:rPr>
              <w:t>5.3.1.</w:t>
            </w:r>
            <w:r w:rsidR="00ED05BD">
              <w:rPr>
                <w:rFonts w:cstheme="minorBidi"/>
                <w:noProof/>
              </w:rPr>
              <w:tab/>
            </w:r>
            <w:r w:rsidR="00ED05BD" w:rsidRPr="00EB7F7A">
              <w:rPr>
                <w:rStyle w:val="Hyperlink"/>
                <w:b/>
                <w:noProof/>
              </w:rPr>
              <w:t>Encapsulation of pH-PS with nPS</w:t>
            </w:r>
            <w:r w:rsidR="00ED05BD">
              <w:rPr>
                <w:noProof/>
                <w:webHidden/>
              </w:rPr>
              <w:tab/>
            </w:r>
            <w:r w:rsidR="00ED05BD">
              <w:rPr>
                <w:noProof/>
                <w:webHidden/>
              </w:rPr>
              <w:fldChar w:fldCharType="begin"/>
            </w:r>
            <w:r w:rsidR="00ED05BD">
              <w:rPr>
                <w:noProof/>
                <w:webHidden/>
              </w:rPr>
              <w:instrText xml:space="preserve"> PAGEREF _Toc31892420 \h </w:instrText>
            </w:r>
            <w:r w:rsidR="00ED05BD">
              <w:rPr>
                <w:noProof/>
                <w:webHidden/>
              </w:rPr>
            </w:r>
            <w:r w:rsidR="00ED05BD">
              <w:rPr>
                <w:noProof/>
                <w:webHidden/>
              </w:rPr>
              <w:fldChar w:fldCharType="separate"/>
            </w:r>
            <w:r w:rsidR="00ED05BD">
              <w:rPr>
                <w:noProof/>
                <w:webHidden/>
              </w:rPr>
              <w:t>38</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21" w:history="1">
            <w:r w:rsidR="00ED05BD" w:rsidRPr="00EB7F7A">
              <w:rPr>
                <w:rStyle w:val="Hyperlink"/>
                <w:b/>
                <w:iCs/>
                <w:noProof/>
              </w:rPr>
              <w:t>5.3.2.</w:t>
            </w:r>
            <w:r w:rsidR="00ED05BD">
              <w:rPr>
                <w:rFonts w:cstheme="minorBidi"/>
                <w:noProof/>
              </w:rPr>
              <w:tab/>
            </w:r>
            <w:r w:rsidR="00ED05BD" w:rsidRPr="00EB7F7A">
              <w:rPr>
                <w:rStyle w:val="Hyperlink"/>
                <w:b/>
                <w:iCs/>
                <w:noProof/>
              </w:rPr>
              <w:t>Encapsulation of pH-PS with pPS</w:t>
            </w:r>
            <w:r w:rsidR="00ED05BD">
              <w:rPr>
                <w:noProof/>
                <w:webHidden/>
              </w:rPr>
              <w:tab/>
            </w:r>
            <w:r w:rsidR="00ED05BD">
              <w:rPr>
                <w:noProof/>
                <w:webHidden/>
              </w:rPr>
              <w:fldChar w:fldCharType="begin"/>
            </w:r>
            <w:r w:rsidR="00ED05BD">
              <w:rPr>
                <w:noProof/>
                <w:webHidden/>
              </w:rPr>
              <w:instrText xml:space="preserve"> PAGEREF _Toc31892421 \h </w:instrText>
            </w:r>
            <w:r w:rsidR="00ED05BD">
              <w:rPr>
                <w:noProof/>
                <w:webHidden/>
              </w:rPr>
            </w:r>
            <w:r w:rsidR="00ED05BD">
              <w:rPr>
                <w:noProof/>
                <w:webHidden/>
              </w:rPr>
              <w:fldChar w:fldCharType="separate"/>
            </w:r>
            <w:r w:rsidR="00ED05BD">
              <w:rPr>
                <w:noProof/>
                <w:webHidden/>
              </w:rPr>
              <w:t>39</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22" w:history="1">
            <w:r w:rsidR="00ED05BD" w:rsidRPr="00EB7F7A">
              <w:rPr>
                <w:rStyle w:val="Hyperlink"/>
                <w:b/>
                <w:iCs/>
                <w:noProof/>
              </w:rPr>
              <w:t>5.3.3.</w:t>
            </w:r>
            <w:r w:rsidR="00ED05BD">
              <w:rPr>
                <w:rFonts w:cstheme="minorBidi"/>
                <w:noProof/>
              </w:rPr>
              <w:tab/>
            </w:r>
            <w:r w:rsidR="00ED05BD" w:rsidRPr="00EB7F7A">
              <w:rPr>
                <w:rStyle w:val="Hyperlink"/>
                <w:b/>
                <w:iCs/>
                <w:noProof/>
              </w:rPr>
              <w:t>Interpretation encapsulation experiments</w:t>
            </w:r>
            <w:r w:rsidR="00ED05BD">
              <w:rPr>
                <w:noProof/>
                <w:webHidden/>
              </w:rPr>
              <w:tab/>
            </w:r>
            <w:r w:rsidR="00ED05BD">
              <w:rPr>
                <w:noProof/>
                <w:webHidden/>
              </w:rPr>
              <w:fldChar w:fldCharType="begin"/>
            </w:r>
            <w:r w:rsidR="00ED05BD">
              <w:rPr>
                <w:noProof/>
                <w:webHidden/>
              </w:rPr>
              <w:instrText xml:space="preserve"> PAGEREF _Toc31892422 \h </w:instrText>
            </w:r>
            <w:r w:rsidR="00ED05BD">
              <w:rPr>
                <w:noProof/>
                <w:webHidden/>
              </w:rPr>
            </w:r>
            <w:r w:rsidR="00ED05BD">
              <w:rPr>
                <w:noProof/>
                <w:webHidden/>
              </w:rPr>
              <w:fldChar w:fldCharType="separate"/>
            </w:r>
            <w:r w:rsidR="00ED05BD">
              <w:rPr>
                <w:noProof/>
                <w:webHidden/>
              </w:rPr>
              <w:t>40</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23" w:history="1">
            <w:r w:rsidR="00ED05BD" w:rsidRPr="00EB7F7A">
              <w:rPr>
                <w:rStyle w:val="Hyperlink"/>
                <w:rFonts w:cstheme="minorHAnsi"/>
                <w:b/>
                <w:iCs/>
                <w:noProof/>
              </w:rPr>
              <w:t>5.3.4.</w:t>
            </w:r>
            <w:r w:rsidR="00ED05BD">
              <w:rPr>
                <w:rFonts w:cstheme="minorBidi"/>
                <w:noProof/>
              </w:rPr>
              <w:tab/>
            </w:r>
            <w:r w:rsidR="00ED05BD" w:rsidRPr="00EB7F7A">
              <w:rPr>
                <w:rStyle w:val="Hyperlink"/>
                <w:rFonts w:cstheme="minorHAnsi"/>
                <w:b/>
                <w:iCs/>
                <w:noProof/>
              </w:rPr>
              <w:t>Concluding remarks</w:t>
            </w:r>
            <w:r w:rsidR="00ED05BD">
              <w:rPr>
                <w:noProof/>
                <w:webHidden/>
              </w:rPr>
              <w:tab/>
            </w:r>
            <w:r w:rsidR="00ED05BD">
              <w:rPr>
                <w:noProof/>
                <w:webHidden/>
              </w:rPr>
              <w:fldChar w:fldCharType="begin"/>
            </w:r>
            <w:r w:rsidR="00ED05BD">
              <w:rPr>
                <w:noProof/>
                <w:webHidden/>
              </w:rPr>
              <w:instrText xml:space="preserve"> PAGEREF _Toc31892423 \h </w:instrText>
            </w:r>
            <w:r w:rsidR="00ED05BD">
              <w:rPr>
                <w:noProof/>
                <w:webHidden/>
              </w:rPr>
            </w:r>
            <w:r w:rsidR="00ED05BD">
              <w:rPr>
                <w:noProof/>
                <w:webHidden/>
              </w:rPr>
              <w:fldChar w:fldCharType="separate"/>
            </w:r>
            <w:r w:rsidR="00ED05BD">
              <w:rPr>
                <w:noProof/>
                <w:webHidden/>
              </w:rPr>
              <w:t>48</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24" w:history="1">
            <w:r w:rsidR="00ED05BD" w:rsidRPr="00EB7F7A">
              <w:rPr>
                <w:rStyle w:val="Hyperlink"/>
                <w:b/>
                <w:iCs/>
                <w:noProof/>
              </w:rPr>
              <w:t>5.3.5.</w:t>
            </w:r>
            <w:r w:rsidR="00ED05BD">
              <w:rPr>
                <w:rFonts w:cstheme="minorBidi"/>
                <w:noProof/>
              </w:rPr>
              <w:tab/>
            </w:r>
            <w:r w:rsidR="00ED05BD" w:rsidRPr="00EB7F7A">
              <w:rPr>
                <w:rStyle w:val="Hyperlink"/>
                <w:b/>
                <w:iCs/>
                <w:noProof/>
              </w:rPr>
              <w:t>Presence of discrete patches of charges on pH-PS</w:t>
            </w:r>
            <w:r w:rsidR="00ED05BD">
              <w:rPr>
                <w:noProof/>
                <w:webHidden/>
              </w:rPr>
              <w:tab/>
            </w:r>
            <w:r w:rsidR="00ED05BD">
              <w:rPr>
                <w:noProof/>
                <w:webHidden/>
              </w:rPr>
              <w:fldChar w:fldCharType="begin"/>
            </w:r>
            <w:r w:rsidR="00ED05BD">
              <w:rPr>
                <w:noProof/>
                <w:webHidden/>
              </w:rPr>
              <w:instrText xml:space="preserve"> PAGEREF _Toc31892424 \h </w:instrText>
            </w:r>
            <w:r w:rsidR="00ED05BD">
              <w:rPr>
                <w:noProof/>
                <w:webHidden/>
              </w:rPr>
            </w:r>
            <w:r w:rsidR="00ED05BD">
              <w:rPr>
                <w:noProof/>
                <w:webHidden/>
              </w:rPr>
              <w:fldChar w:fldCharType="separate"/>
            </w:r>
            <w:r w:rsidR="00ED05BD">
              <w:rPr>
                <w:noProof/>
                <w:webHidden/>
              </w:rPr>
              <w:t>48</w:t>
            </w:r>
            <w:r w:rsidR="00ED05BD">
              <w:rPr>
                <w:noProof/>
                <w:webHidden/>
              </w:rPr>
              <w:fldChar w:fldCharType="end"/>
            </w:r>
          </w:hyperlink>
        </w:p>
        <w:p w:rsidR="00ED05BD" w:rsidRDefault="00767BE6">
          <w:pPr>
            <w:pStyle w:val="TOC2"/>
            <w:tabs>
              <w:tab w:val="left" w:pos="880"/>
              <w:tab w:val="right" w:leader="dot" w:pos="9736"/>
            </w:tabs>
            <w:rPr>
              <w:rFonts w:cstheme="minorBidi"/>
              <w:noProof/>
              <w:sz w:val="22"/>
            </w:rPr>
          </w:pPr>
          <w:hyperlink w:anchor="_Toc31892425" w:history="1">
            <w:r w:rsidR="00ED05BD" w:rsidRPr="00EB7F7A">
              <w:rPr>
                <w:rStyle w:val="Hyperlink"/>
                <w:b/>
                <w:iCs/>
                <w:noProof/>
              </w:rPr>
              <w:t>5.4.</w:t>
            </w:r>
            <w:r w:rsidR="00ED05BD">
              <w:rPr>
                <w:rFonts w:cstheme="minorBidi"/>
                <w:noProof/>
                <w:sz w:val="22"/>
              </w:rPr>
              <w:tab/>
            </w:r>
            <w:r w:rsidR="00ED05BD" w:rsidRPr="00EB7F7A">
              <w:rPr>
                <w:rStyle w:val="Hyperlink"/>
                <w:b/>
                <w:iCs/>
                <w:noProof/>
              </w:rPr>
              <w:t>Self-assembly and heteroaggregation of zwitterionic dumbbells</w:t>
            </w:r>
            <w:r w:rsidR="00ED05BD">
              <w:rPr>
                <w:noProof/>
                <w:webHidden/>
              </w:rPr>
              <w:tab/>
            </w:r>
            <w:r w:rsidR="00ED05BD">
              <w:rPr>
                <w:noProof/>
                <w:webHidden/>
              </w:rPr>
              <w:fldChar w:fldCharType="begin"/>
            </w:r>
            <w:r w:rsidR="00ED05BD">
              <w:rPr>
                <w:noProof/>
                <w:webHidden/>
              </w:rPr>
              <w:instrText xml:space="preserve"> PAGEREF _Toc31892425 \h </w:instrText>
            </w:r>
            <w:r w:rsidR="00ED05BD">
              <w:rPr>
                <w:noProof/>
                <w:webHidden/>
              </w:rPr>
            </w:r>
            <w:r w:rsidR="00ED05BD">
              <w:rPr>
                <w:noProof/>
                <w:webHidden/>
              </w:rPr>
              <w:fldChar w:fldCharType="separate"/>
            </w:r>
            <w:r w:rsidR="00ED05BD">
              <w:rPr>
                <w:noProof/>
                <w:webHidden/>
              </w:rPr>
              <w:t>51</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26" w:history="1">
            <w:r w:rsidR="00ED05BD" w:rsidRPr="00EB7F7A">
              <w:rPr>
                <w:rStyle w:val="Hyperlink"/>
                <w:b/>
                <w:iCs/>
                <w:noProof/>
              </w:rPr>
              <w:t>5.4.1.</w:t>
            </w:r>
            <w:r w:rsidR="00ED05BD">
              <w:rPr>
                <w:rFonts w:cstheme="minorBidi"/>
                <w:noProof/>
              </w:rPr>
              <w:tab/>
            </w:r>
            <w:r w:rsidR="00ED05BD" w:rsidRPr="00EB7F7A">
              <w:rPr>
                <w:rStyle w:val="Hyperlink"/>
                <w:b/>
                <w:iCs/>
                <w:noProof/>
              </w:rPr>
              <w:t>Behavior of dumbbells during APTES modification</w:t>
            </w:r>
            <w:r w:rsidR="00ED05BD">
              <w:rPr>
                <w:noProof/>
                <w:webHidden/>
              </w:rPr>
              <w:tab/>
            </w:r>
            <w:r w:rsidR="00ED05BD">
              <w:rPr>
                <w:noProof/>
                <w:webHidden/>
              </w:rPr>
              <w:fldChar w:fldCharType="begin"/>
            </w:r>
            <w:r w:rsidR="00ED05BD">
              <w:rPr>
                <w:noProof/>
                <w:webHidden/>
              </w:rPr>
              <w:instrText xml:space="preserve"> PAGEREF _Toc31892426 \h </w:instrText>
            </w:r>
            <w:r w:rsidR="00ED05BD">
              <w:rPr>
                <w:noProof/>
                <w:webHidden/>
              </w:rPr>
            </w:r>
            <w:r w:rsidR="00ED05BD">
              <w:rPr>
                <w:noProof/>
                <w:webHidden/>
              </w:rPr>
              <w:fldChar w:fldCharType="separate"/>
            </w:r>
            <w:r w:rsidR="00ED05BD">
              <w:rPr>
                <w:noProof/>
                <w:webHidden/>
              </w:rPr>
              <w:t>51</w:t>
            </w:r>
            <w:r w:rsidR="00ED05BD">
              <w:rPr>
                <w:noProof/>
                <w:webHidden/>
              </w:rPr>
              <w:fldChar w:fldCharType="end"/>
            </w:r>
          </w:hyperlink>
        </w:p>
        <w:p w:rsidR="00ED05BD" w:rsidRDefault="00767BE6">
          <w:pPr>
            <w:pStyle w:val="TOC3"/>
            <w:tabs>
              <w:tab w:val="left" w:pos="1320"/>
              <w:tab w:val="right" w:leader="dot" w:pos="9736"/>
            </w:tabs>
            <w:rPr>
              <w:rFonts w:cstheme="minorBidi"/>
              <w:noProof/>
            </w:rPr>
          </w:pPr>
          <w:hyperlink w:anchor="_Toc31892427" w:history="1">
            <w:r w:rsidR="00ED05BD" w:rsidRPr="00EB7F7A">
              <w:rPr>
                <w:rStyle w:val="Hyperlink"/>
                <w:b/>
                <w:iCs/>
                <w:noProof/>
              </w:rPr>
              <w:t>5.4.2.</w:t>
            </w:r>
            <w:r w:rsidR="00ED05BD">
              <w:rPr>
                <w:rFonts w:cstheme="minorBidi"/>
                <w:noProof/>
              </w:rPr>
              <w:tab/>
            </w:r>
            <w:r w:rsidR="00ED05BD" w:rsidRPr="00EB7F7A">
              <w:rPr>
                <w:rStyle w:val="Hyperlink"/>
                <w:b/>
                <w:iCs/>
                <w:noProof/>
              </w:rPr>
              <w:t>Potential encapsulation experiments with zwitterionic dumbbells</w:t>
            </w:r>
            <w:r w:rsidR="00ED05BD">
              <w:rPr>
                <w:noProof/>
                <w:webHidden/>
              </w:rPr>
              <w:tab/>
            </w:r>
            <w:r w:rsidR="00ED05BD">
              <w:rPr>
                <w:noProof/>
                <w:webHidden/>
              </w:rPr>
              <w:fldChar w:fldCharType="begin"/>
            </w:r>
            <w:r w:rsidR="00ED05BD">
              <w:rPr>
                <w:noProof/>
                <w:webHidden/>
              </w:rPr>
              <w:instrText xml:space="preserve"> PAGEREF _Toc31892427 \h </w:instrText>
            </w:r>
            <w:r w:rsidR="00ED05BD">
              <w:rPr>
                <w:noProof/>
                <w:webHidden/>
              </w:rPr>
            </w:r>
            <w:r w:rsidR="00ED05BD">
              <w:rPr>
                <w:noProof/>
                <w:webHidden/>
              </w:rPr>
              <w:fldChar w:fldCharType="separate"/>
            </w:r>
            <w:r w:rsidR="00ED05BD">
              <w:rPr>
                <w:noProof/>
                <w:webHidden/>
              </w:rPr>
              <w:t>55</w:t>
            </w:r>
            <w:r w:rsidR="00ED05BD">
              <w:rPr>
                <w:noProof/>
                <w:webHidden/>
              </w:rPr>
              <w:fldChar w:fldCharType="end"/>
            </w:r>
          </w:hyperlink>
        </w:p>
        <w:p w:rsidR="00ED05BD" w:rsidRDefault="00767BE6">
          <w:pPr>
            <w:pStyle w:val="TOC1"/>
            <w:tabs>
              <w:tab w:val="left" w:pos="440"/>
              <w:tab w:val="right" w:leader="dot" w:pos="9736"/>
            </w:tabs>
            <w:rPr>
              <w:rFonts w:cstheme="minorBidi"/>
              <w:noProof/>
              <w:sz w:val="22"/>
            </w:rPr>
          </w:pPr>
          <w:hyperlink w:anchor="_Toc31892428" w:history="1">
            <w:r w:rsidR="00ED05BD" w:rsidRPr="00EB7F7A">
              <w:rPr>
                <w:rStyle w:val="Hyperlink"/>
                <w:b/>
                <w:bCs/>
                <w:iCs/>
                <w:noProof/>
              </w:rPr>
              <w:t>6.</w:t>
            </w:r>
            <w:r w:rsidR="00ED05BD">
              <w:rPr>
                <w:rFonts w:cstheme="minorBidi"/>
                <w:noProof/>
                <w:sz w:val="22"/>
              </w:rPr>
              <w:tab/>
            </w:r>
            <w:r w:rsidR="00ED05BD" w:rsidRPr="00EB7F7A">
              <w:rPr>
                <w:rStyle w:val="Hyperlink"/>
                <w:b/>
                <w:iCs/>
                <w:noProof/>
              </w:rPr>
              <w:t>Conclusion &amp; Outlook</w:t>
            </w:r>
            <w:r w:rsidR="00ED05BD">
              <w:rPr>
                <w:noProof/>
                <w:webHidden/>
              </w:rPr>
              <w:tab/>
            </w:r>
            <w:r w:rsidR="00ED05BD">
              <w:rPr>
                <w:noProof/>
                <w:webHidden/>
              </w:rPr>
              <w:fldChar w:fldCharType="begin"/>
            </w:r>
            <w:r w:rsidR="00ED05BD">
              <w:rPr>
                <w:noProof/>
                <w:webHidden/>
              </w:rPr>
              <w:instrText xml:space="preserve"> PAGEREF _Toc31892428 \h </w:instrText>
            </w:r>
            <w:r w:rsidR="00ED05BD">
              <w:rPr>
                <w:noProof/>
                <w:webHidden/>
              </w:rPr>
            </w:r>
            <w:r w:rsidR="00ED05BD">
              <w:rPr>
                <w:noProof/>
                <w:webHidden/>
              </w:rPr>
              <w:fldChar w:fldCharType="separate"/>
            </w:r>
            <w:r w:rsidR="00ED05BD">
              <w:rPr>
                <w:noProof/>
                <w:webHidden/>
              </w:rPr>
              <w:t>56</w:t>
            </w:r>
            <w:r w:rsidR="00ED05BD">
              <w:rPr>
                <w:noProof/>
                <w:webHidden/>
              </w:rPr>
              <w:fldChar w:fldCharType="end"/>
            </w:r>
          </w:hyperlink>
        </w:p>
        <w:p w:rsidR="00ED05BD" w:rsidRDefault="00767BE6">
          <w:pPr>
            <w:pStyle w:val="TOC1"/>
            <w:tabs>
              <w:tab w:val="left" w:pos="440"/>
              <w:tab w:val="right" w:leader="dot" w:pos="9736"/>
            </w:tabs>
            <w:rPr>
              <w:rFonts w:cstheme="minorBidi"/>
              <w:noProof/>
              <w:sz w:val="22"/>
            </w:rPr>
          </w:pPr>
          <w:hyperlink w:anchor="_Toc31892429" w:history="1">
            <w:r w:rsidR="00ED05BD" w:rsidRPr="00EB7F7A">
              <w:rPr>
                <w:rStyle w:val="Hyperlink"/>
                <w:b/>
                <w:bCs/>
                <w:iCs/>
                <w:noProof/>
              </w:rPr>
              <w:t>7.</w:t>
            </w:r>
            <w:r w:rsidR="00ED05BD">
              <w:rPr>
                <w:rFonts w:cstheme="minorBidi"/>
                <w:noProof/>
                <w:sz w:val="22"/>
              </w:rPr>
              <w:tab/>
            </w:r>
            <w:r w:rsidR="00ED05BD" w:rsidRPr="00EB7F7A">
              <w:rPr>
                <w:rStyle w:val="Hyperlink"/>
                <w:b/>
                <w:bCs/>
                <w:iCs/>
                <w:noProof/>
              </w:rPr>
              <w:t>Acknowledgements</w:t>
            </w:r>
            <w:r w:rsidR="00ED05BD">
              <w:rPr>
                <w:noProof/>
                <w:webHidden/>
              </w:rPr>
              <w:tab/>
            </w:r>
            <w:r w:rsidR="00ED05BD">
              <w:rPr>
                <w:noProof/>
                <w:webHidden/>
              </w:rPr>
              <w:fldChar w:fldCharType="begin"/>
            </w:r>
            <w:r w:rsidR="00ED05BD">
              <w:rPr>
                <w:noProof/>
                <w:webHidden/>
              </w:rPr>
              <w:instrText xml:space="preserve"> PAGEREF _Toc31892429 \h </w:instrText>
            </w:r>
            <w:r w:rsidR="00ED05BD">
              <w:rPr>
                <w:noProof/>
                <w:webHidden/>
              </w:rPr>
            </w:r>
            <w:r w:rsidR="00ED05BD">
              <w:rPr>
                <w:noProof/>
                <w:webHidden/>
              </w:rPr>
              <w:fldChar w:fldCharType="separate"/>
            </w:r>
            <w:r w:rsidR="00ED05BD">
              <w:rPr>
                <w:noProof/>
                <w:webHidden/>
              </w:rPr>
              <w:t>57</w:t>
            </w:r>
            <w:r w:rsidR="00ED05BD">
              <w:rPr>
                <w:noProof/>
                <w:webHidden/>
              </w:rPr>
              <w:fldChar w:fldCharType="end"/>
            </w:r>
          </w:hyperlink>
        </w:p>
        <w:p w:rsidR="00ED05BD" w:rsidRDefault="00767BE6">
          <w:pPr>
            <w:pStyle w:val="TOC1"/>
            <w:tabs>
              <w:tab w:val="left" w:pos="440"/>
              <w:tab w:val="right" w:leader="dot" w:pos="9736"/>
            </w:tabs>
            <w:rPr>
              <w:rFonts w:cstheme="minorBidi"/>
              <w:noProof/>
              <w:sz w:val="22"/>
            </w:rPr>
          </w:pPr>
          <w:hyperlink w:anchor="_Toc31892430" w:history="1">
            <w:r w:rsidR="00ED05BD" w:rsidRPr="00EB7F7A">
              <w:rPr>
                <w:rStyle w:val="Hyperlink"/>
                <w:b/>
                <w:bCs/>
                <w:iCs/>
                <w:noProof/>
              </w:rPr>
              <w:t>8.</w:t>
            </w:r>
            <w:r w:rsidR="00ED05BD">
              <w:rPr>
                <w:rFonts w:cstheme="minorBidi"/>
                <w:noProof/>
                <w:sz w:val="22"/>
              </w:rPr>
              <w:tab/>
            </w:r>
            <w:r w:rsidR="00ED05BD" w:rsidRPr="00EB7F7A">
              <w:rPr>
                <w:rStyle w:val="Hyperlink"/>
                <w:b/>
                <w:bCs/>
                <w:iCs/>
                <w:noProof/>
              </w:rPr>
              <w:t>Appendix</w:t>
            </w:r>
            <w:r w:rsidR="00ED05BD">
              <w:rPr>
                <w:noProof/>
                <w:webHidden/>
              </w:rPr>
              <w:tab/>
            </w:r>
            <w:r w:rsidR="00ED05BD">
              <w:rPr>
                <w:noProof/>
                <w:webHidden/>
              </w:rPr>
              <w:fldChar w:fldCharType="begin"/>
            </w:r>
            <w:r w:rsidR="00ED05BD">
              <w:rPr>
                <w:noProof/>
                <w:webHidden/>
              </w:rPr>
              <w:instrText xml:space="preserve"> PAGEREF _Toc31892430 \h </w:instrText>
            </w:r>
            <w:r w:rsidR="00ED05BD">
              <w:rPr>
                <w:noProof/>
                <w:webHidden/>
              </w:rPr>
            </w:r>
            <w:r w:rsidR="00ED05BD">
              <w:rPr>
                <w:noProof/>
                <w:webHidden/>
              </w:rPr>
              <w:fldChar w:fldCharType="separate"/>
            </w:r>
            <w:r w:rsidR="00ED05BD">
              <w:rPr>
                <w:noProof/>
                <w:webHidden/>
              </w:rPr>
              <w:t>58</w:t>
            </w:r>
            <w:r w:rsidR="00ED05BD">
              <w:rPr>
                <w:noProof/>
                <w:webHidden/>
              </w:rPr>
              <w:fldChar w:fldCharType="end"/>
            </w:r>
          </w:hyperlink>
        </w:p>
        <w:p w:rsidR="00ED05BD" w:rsidRDefault="00767BE6">
          <w:pPr>
            <w:pStyle w:val="TOC2"/>
            <w:tabs>
              <w:tab w:val="right" w:leader="dot" w:pos="9736"/>
            </w:tabs>
            <w:rPr>
              <w:rFonts w:cstheme="minorBidi"/>
              <w:noProof/>
              <w:sz w:val="22"/>
            </w:rPr>
          </w:pPr>
          <w:hyperlink w:anchor="_Toc31892431" w:history="1">
            <w:r w:rsidR="00ED05BD" w:rsidRPr="00EB7F7A">
              <w:rPr>
                <w:rStyle w:val="Hyperlink"/>
                <w:b/>
                <w:bCs/>
                <w:noProof/>
              </w:rPr>
              <w:t>A1</w:t>
            </w:r>
            <w:r w:rsidR="00ED05BD">
              <w:rPr>
                <w:noProof/>
                <w:webHidden/>
              </w:rPr>
              <w:tab/>
            </w:r>
            <w:r w:rsidR="00ED05BD">
              <w:rPr>
                <w:noProof/>
                <w:webHidden/>
              </w:rPr>
              <w:fldChar w:fldCharType="begin"/>
            </w:r>
            <w:r w:rsidR="00ED05BD">
              <w:rPr>
                <w:noProof/>
                <w:webHidden/>
              </w:rPr>
              <w:instrText xml:space="preserve"> PAGEREF _Toc31892431 \h </w:instrText>
            </w:r>
            <w:r w:rsidR="00ED05BD">
              <w:rPr>
                <w:noProof/>
                <w:webHidden/>
              </w:rPr>
            </w:r>
            <w:r w:rsidR="00ED05BD">
              <w:rPr>
                <w:noProof/>
                <w:webHidden/>
              </w:rPr>
              <w:fldChar w:fldCharType="separate"/>
            </w:r>
            <w:r w:rsidR="00ED05BD">
              <w:rPr>
                <w:noProof/>
                <w:webHidden/>
              </w:rPr>
              <w:t>58</w:t>
            </w:r>
            <w:r w:rsidR="00ED05BD">
              <w:rPr>
                <w:noProof/>
                <w:webHidden/>
              </w:rPr>
              <w:fldChar w:fldCharType="end"/>
            </w:r>
          </w:hyperlink>
        </w:p>
        <w:p w:rsidR="00ED05BD" w:rsidRDefault="00767BE6">
          <w:pPr>
            <w:pStyle w:val="TOC1"/>
            <w:tabs>
              <w:tab w:val="left" w:pos="440"/>
              <w:tab w:val="right" w:leader="dot" w:pos="9736"/>
            </w:tabs>
            <w:rPr>
              <w:rFonts w:cstheme="minorBidi"/>
              <w:noProof/>
              <w:sz w:val="22"/>
            </w:rPr>
          </w:pPr>
          <w:hyperlink w:anchor="_Toc31892432" w:history="1">
            <w:r w:rsidR="00ED05BD" w:rsidRPr="00EB7F7A">
              <w:rPr>
                <w:rStyle w:val="Hyperlink"/>
                <w:b/>
                <w:bCs/>
                <w:iCs/>
                <w:noProof/>
              </w:rPr>
              <w:t>9.</w:t>
            </w:r>
            <w:r w:rsidR="00ED05BD">
              <w:rPr>
                <w:rFonts w:cstheme="minorBidi"/>
                <w:noProof/>
                <w:sz w:val="22"/>
              </w:rPr>
              <w:tab/>
            </w:r>
            <w:r w:rsidR="00ED05BD" w:rsidRPr="00EB7F7A">
              <w:rPr>
                <w:rStyle w:val="Hyperlink"/>
                <w:b/>
                <w:iCs/>
                <w:noProof/>
              </w:rPr>
              <w:t>Bibliography</w:t>
            </w:r>
            <w:r w:rsidR="00ED05BD">
              <w:rPr>
                <w:noProof/>
                <w:webHidden/>
              </w:rPr>
              <w:tab/>
            </w:r>
            <w:r w:rsidR="00ED05BD">
              <w:rPr>
                <w:noProof/>
                <w:webHidden/>
              </w:rPr>
              <w:fldChar w:fldCharType="begin"/>
            </w:r>
            <w:r w:rsidR="00ED05BD">
              <w:rPr>
                <w:noProof/>
                <w:webHidden/>
              </w:rPr>
              <w:instrText xml:space="preserve"> PAGEREF _Toc31892432 \h </w:instrText>
            </w:r>
            <w:r w:rsidR="00ED05BD">
              <w:rPr>
                <w:noProof/>
                <w:webHidden/>
              </w:rPr>
            </w:r>
            <w:r w:rsidR="00ED05BD">
              <w:rPr>
                <w:noProof/>
                <w:webHidden/>
              </w:rPr>
              <w:fldChar w:fldCharType="separate"/>
            </w:r>
            <w:r w:rsidR="00ED05BD">
              <w:rPr>
                <w:noProof/>
                <w:webHidden/>
              </w:rPr>
              <w:t>59</w:t>
            </w:r>
            <w:r w:rsidR="00ED05BD">
              <w:rPr>
                <w:noProof/>
                <w:webHidden/>
              </w:rPr>
              <w:fldChar w:fldCharType="end"/>
            </w:r>
          </w:hyperlink>
        </w:p>
        <w:p w:rsidR="00500207" w:rsidRDefault="00500207" w:rsidP="00FC7A2B">
          <w:pPr>
            <w:spacing w:line="240" w:lineRule="auto"/>
          </w:pPr>
          <w:r>
            <w:rPr>
              <w:b/>
              <w:bCs/>
              <w:noProof/>
            </w:rPr>
            <w:fldChar w:fldCharType="end"/>
          </w:r>
        </w:p>
      </w:sdtContent>
    </w:sdt>
    <w:p w:rsidR="00D07486" w:rsidRDefault="00D07486" w:rsidP="00FC7A2B">
      <w:pPr>
        <w:spacing w:line="240" w:lineRule="auto"/>
        <w:rPr>
          <w:lang w:val="en-US"/>
        </w:rPr>
      </w:pPr>
    </w:p>
    <w:p w:rsidR="00BC69AE" w:rsidRDefault="00BC69AE" w:rsidP="00FC7A2B">
      <w:pPr>
        <w:spacing w:line="240" w:lineRule="auto"/>
        <w:rPr>
          <w:lang w:val="en-US"/>
        </w:rPr>
      </w:pPr>
    </w:p>
    <w:p w:rsidR="00A350C8" w:rsidRDefault="00A350C8" w:rsidP="00FC7A2B">
      <w:pPr>
        <w:spacing w:line="240" w:lineRule="auto"/>
        <w:rPr>
          <w:lang w:val="en-US"/>
        </w:rPr>
      </w:pPr>
    </w:p>
    <w:p w:rsidR="00A350C8" w:rsidRDefault="00A350C8" w:rsidP="00FC7A2B">
      <w:pPr>
        <w:spacing w:line="240" w:lineRule="auto"/>
        <w:rPr>
          <w:lang w:val="en-US"/>
        </w:rPr>
      </w:pPr>
    </w:p>
    <w:p w:rsidR="00A350C8" w:rsidRDefault="00A350C8" w:rsidP="00FC7A2B">
      <w:pPr>
        <w:spacing w:line="240" w:lineRule="auto"/>
        <w:rPr>
          <w:lang w:val="en-US"/>
        </w:rPr>
      </w:pPr>
    </w:p>
    <w:p w:rsidR="00033EC4" w:rsidRDefault="00033EC4" w:rsidP="00FC7A2B">
      <w:pPr>
        <w:spacing w:line="240" w:lineRule="auto"/>
        <w:rPr>
          <w:lang w:val="en-US"/>
        </w:rPr>
      </w:pPr>
    </w:p>
    <w:p w:rsidR="00E74C8E" w:rsidRPr="00E434E9" w:rsidRDefault="00E74C8E" w:rsidP="00FC7A2B">
      <w:pPr>
        <w:pStyle w:val="Heading1"/>
        <w:numPr>
          <w:ilvl w:val="0"/>
          <w:numId w:val="2"/>
        </w:numPr>
        <w:spacing w:line="240" w:lineRule="auto"/>
        <w:rPr>
          <w:b/>
          <w:color w:val="auto"/>
          <w:lang w:val="en-US"/>
        </w:rPr>
      </w:pPr>
      <w:bookmarkStart w:id="3" w:name="_Toc29640059"/>
      <w:bookmarkStart w:id="4" w:name="_Toc31892379"/>
      <w:r w:rsidRPr="00E434E9">
        <w:rPr>
          <w:b/>
          <w:color w:val="auto"/>
          <w:lang w:val="en-US"/>
        </w:rPr>
        <w:lastRenderedPageBreak/>
        <w:t>Introduction</w:t>
      </w:r>
      <w:bookmarkEnd w:id="3"/>
      <w:bookmarkEnd w:id="4"/>
    </w:p>
    <w:p w:rsidR="00E74C8E" w:rsidRDefault="00E74C8E" w:rsidP="00FC7A2B">
      <w:pPr>
        <w:spacing w:line="240" w:lineRule="auto"/>
        <w:rPr>
          <w:lang w:val="en-US"/>
        </w:rPr>
      </w:pPr>
      <w:r>
        <w:rPr>
          <w:lang w:val="en-US"/>
        </w:rPr>
        <w:t>Colloidal self-assembly can be used as a model for a wide variety of systems that readily occur in nature. Examples of biological self-assembly are viral self-assembly</w:t>
      </w:r>
      <w:r>
        <w:rPr>
          <w:lang w:val="en-US"/>
        </w:rPr>
        <w:fldChar w:fldCharType="begin" w:fldLock="1"/>
      </w:r>
      <w:r w:rsidR="00CF6EE4">
        <w:rPr>
          <w:lang w:val="en-US"/>
        </w:rPr>
        <w:instrText>ADDIN CSL_CITATION { "citationItems" : [ { "id" : "ITEM-1", "itemData" : { "DOI" : "10.1021/acs.accounts.5b00350", "ISSN" : "15204898", "abstract" : "ConspectusViruses are unique among living organisms insofar as they can be reconstituted \u201cfrom scratch\u201d, that is, synthesized from purified components. In the simplest cases, their \u201cparts list\u201d numbers only two: a single molecule of nucleic acid and many (but a very special number, i.e., multiples of 60) copies of a single protein. Indeed, the smallest viral genomes include essentially only two genes, on the order of a thousand times fewer than the next-simplest organisms like bacteria and yeast. For these reasons, it is possible and even fruitful to take a reductionist approach to viruses and to understand how they work in terms of fundamental physical principles.In this Account, we discuss our recent physical chemistry approach to studying the self-assembly of a particular spherical virus (cowpea chlorotic mottle virus) whose reconstitution from RNA and capsid protein has long served as a model for virus assembly. While previous studies have clarified the roles of certain physical (electrostatic, hydrop...", "author" : [ { "dropping-particle" : "", "family" : "Garmann", "given" : "Rees F.", "non-dropping-particle" : "", "parse-names" : false, "suffix" : "" }, { "dropping-particle" : "", "family" : "Comas-Garcia", "given" : "Mauricio", "non-dropping-particle" : "", "parse-names" : false, "suffix" : "" }, { "dropping-particle" : "", "family" : "Knobler", "given" : "Charles M.", "non-dropping-particle" : "", "parse-names" : false, "suffix" : "" }, { "dropping-particle" : "", "family" : "Gelbart", "given" : "William M.", "non-dropping-particle" : "", "parse-names" : false, "suffix" : "" } ], "container-title" : "Accounts of Chemical Research", "id" : "ITEM-1", "issue" : "1", "issued" : { "date-parts" : [ [ "2016" ] ] }, "page" : "48-55", "title" : "Physical Principles in the Self-Assembly of a Simple Spherical Virus", "type" : "article-journal", "volume" : "49" }, "uris" : [ "http://www.mendeley.com/documents/?uuid=ce604380-af93-42d1-8b3c-a9442eaa4321" ] } ], "mendeley" : { "formattedCitation" : "&lt;sup&gt;1&lt;/sup&gt;", "plainTextFormattedCitation" : "1", "previouslyFormattedCitation" : "&lt;sup&gt;1&lt;/sup&gt;" }, "properties" : { "noteIndex" : 0 }, "schema" : "https://github.com/citation-style-language/schema/raw/master/csl-citation.json" }</w:instrText>
      </w:r>
      <w:r>
        <w:rPr>
          <w:lang w:val="en-US"/>
        </w:rPr>
        <w:fldChar w:fldCharType="separate"/>
      </w:r>
      <w:r>
        <w:rPr>
          <w:noProof/>
          <w:vertAlign w:val="superscript"/>
          <w:lang w:val="en-US"/>
        </w:rPr>
        <w:t>1</w:t>
      </w:r>
      <w:r>
        <w:rPr>
          <w:lang w:val="en-US"/>
        </w:rPr>
        <w:fldChar w:fldCharType="end"/>
      </w:r>
      <w:r>
        <w:rPr>
          <w:lang w:val="en-US"/>
        </w:rPr>
        <w:t xml:space="preserve">, liposome formation from </w:t>
      </w:r>
      <w:r w:rsidRPr="005F77FF">
        <w:rPr>
          <w:lang w:val="en-US"/>
        </w:rPr>
        <w:t>phospholipids</w:t>
      </w:r>
      <w:r w:rsidRPr="005F77FF">
        <w:rPr>
          <w:lang w:val="en-US"/>
        </w:rPr>
        <w:fldChar w:fldCharType="begin" w:fldLock="1"/>
      </w:r>
      <w:r w:rsidR="00CF6EE4" w:rsidRPr="005F77FF">
        <w:rPr>
          <w:lang w:val="en-US"/>
        </w:rPr>
        <w:instrText>ADDIN CSL_CITATION { "citationItems" : [ { "id" : "ITEM-1", "itemData" : { "DOI" : "10.1016/j.chemphyslip.2013.10.011", "ISSN" : "18732941", "abstract" : "Liposomes are bilayer vesicles which have found use, among other applications, as drug delivery vehicles. Conventional techniques for liposome preparation and size reduction remain popular as these are simple to implement and do not require sophisticated equipment. However, issues related to scale-up for industrial production and scale-down for point-of-care applications have motivated improvements to conventional processes and have also led to the development of novel routes to liposome formation. In this article, these modified and new methods for liposome preparation have been reviewed and classified with the objective of updating the reader to recent developments in liposome production technology. \u00a9 2013 Elsevier Ireland Ltd. All rights reserved.", "author" : [ { "dropping-particle" : "", "family" : "Patil", "given" : "Yogita P.", "non-dropping-particle" : "", "parse-names" : false, "suffix" : "" }, { "dropping-particle" : "", "family" : "Jadhav", "given" : "Sameer", "non-dropping-particle" : "", "parse-names" : false, "suffix" : "" } ], "container-title" : "Chemistry and Physics of Lipids", "id" : "ITEM-1", "issued" : { "date-parts" : [ [ "2014" ] ] }, "page" : "8-18", "publisher" : "Elsevier Ireland Ltd", "title" : "Novel methods for liposome preparation", "type" : "article-journal", "volume" : "177" }, "uris" : [ "http://www.mendeley.com/documents/?uuid=edae712c-1c85-4a65-a36f-a585a1baab2a" ] } ], "mendeley" : { "formattedCitation" : "&lt;sup&gt;2&lt;/sup&gt;", "plainTextFormattedCitation" : "2", "previouslyFormattedCitation" : "&lt;sup&gt;2&lt;/sup&gt;" }, "properties" : { "noteIndex" : 0 }, "schema" : "https://github.com/citation-style-language/schema/raw/master/csl-citation.json" }</w:instrText>
      </w:r>
      <w:r w:rsidRPr="005F77FF">
        <w:rPr>
          <w:lang w:val="en-US"/>
        </w:rPr>
        <w:fldChar w:fldCharType="separate"/>
      </w:r>
      <w:r w:rsidRPr="005F77FF">
        <w:rPr>
          <w:noProof/>
          <w:vertAlign w:val="superscript"/>
          <w:lang w:val="en-US"/>
        </w:rPr>
        <w:t>2</w:t>
      </w:r>
      <w:r w:rsidRPr="005F77FF">
        <w:rPr>
          <w:lang w:val="en-US"/>
        </w:rPr>
        <w:fldChar w:fldCharType="end"/>
      </w:r>
      <w:r w:rsidRPr="005F77FF">
        <w:rPr>
          <w:lang w:val="en-US"/>
        </w:rPr>
        <w:t xml:space="preserve">, polypeptide folding into different complex </w:t>
      </w:r>
      <w:r w:rsidR="00A26AB1">
        <w:rPr>
          <w:lang w:val="en-US"/>
        </w:rPr>
        <w:t xml:space="preserve">protein </w:t>
      </w:r>
      <w:r w:rsidRPr="005F77FF">
        <w:rPr>
          <w:lang w:val="en-US"/>
        </w:rPr>
        <w:t>structures</w:t>
      </w:r>
      <w:r w:rsidRPr="005F77FF">
        <w:rPr>
          <w:lang w:val="en-US"/>
        </w:rPr>
        <w:fldChar w:fldCharType="begin" w:fldLock="1"/>
      </w:r>
      <w:r w:rsidR="00CF6EE4" w:rsidRPr="005F77FF">
        <w:rPr>
          <w:lang w:val="en-US"/>
        </w:rPr>
        <w:instrText>ADDIN CSL_CITATION { "citationItems" : [ { "id" : "ITEM-1", "itemData" : { "DOI" : "10.1039/c7ob01092c", "ISSN" : "14770520", "abstract" : "Molecular self-assembly is a multi-disciplinary field of research, with potential chemical and biological applications. One of the main driving forces of self-assembly is molecular amphiphilicity, which can drive formation of complex and stable nanostructures. Self-assembling peptide and peptide conjugates have attracted great attention due to their biocompatibility, biodegradability and biofunctionality. Understanding assembly enables the better design of peptide amphiphiles which may form useful and functional nanostructures. This review covers self-assembly of amphiphilic peptides and peptide mimetic materials, as well as their potential applications.", "author" : [ { "dropping-particle" : "", "family" : "Edwards-Gayle", "given" : "Charlotte J.C.", "non-dropping-particle" : "", "parse-names" : false, "suffix" : "" }, { "dropping-particle" : "", "family" : "Hamley", "given" : "Ian W.", "non-dropping-particle" : "", "parse-names" : false, "suffix" : "" } ], "container-title" : "Organic and Biomolecular Chemistry", "id" : "ITEM-1", "issue" : "28", "issued" : { "date-parts" : [ [ "2017" ] ] }, "page" : "5867-5876", "publisher" : "Royal Society of Chemistry", "title" : "Self-assembly of bioactive peptides, peptide conjugates, and peptide mimetic materials", "type" : "article-journal", "volume" : "15" }, "uris" : [ "http://www.mendeley.com/documents/?uuid=8f8077de-76ac-4ba3-9cf8-fa19b3308d57" ] } ], "mendeley" : { "formattedCitation" : "&lt;sup&gt;3&lt;/sup&gt;", "plainTextFormattedCitation" : "3", "previouslyFormattedCitation" : "&lt;sup&gt;3&lt;/sup&gt;" }, "properties" : { "noteIndex" : 0 }, "schema" : "https://github.com/citation-style-language/schema/raw/master/csl-citation.json" }</w:instrText>
      </w:r>
      <w:r w:rsidRPr="005F77FF">
        <w:rPr>
          <w:lang w:val="en-US"/>
        </w:rPr>
        <w:fldChar w:fldCharType="separate"/>
      </w:r>
      <w:r w:rsidRPr="005F77FF">
        <w:rPr>
          <w:noProof/>
          <w:vertAlign w:val="superscript"/>
          <w:lang w:val="en-US"/>
        </w:rPr>
        <w:t>3</w:t>
      </w:r>
      <w:r w:rsidRPr="005F77FF">
        <w:rPr>
          <w:lang w:val="en-US"/>
        </w:rPr>
        <w:fldChar w:fldCharType="end"/>
      </w:r>
      <w:r w:rsidRPr="005F77FF">
        <w:rPr>
          <w:lang w:val="en-US"/>
        </w:rPr>
        <w:t xml:space="preserve"> and the folding of DNA molecules</w:t>
      </w:r>
      <w:r w:rsidRPr="005F77FF">
        <w:rPr>
          <w:lang w:val="en-US"/>
        </w:rPr>
        <w:fldChar w:fldCharType="begin" w:fldLock="1"/>
      </w:r>
      <w:r w:rsidR="00CF6EE4" w:rsidRPr="005F77FF">
        <w:rPr>
          <w:lang w:val="en-US"/>
        </w:rPr>
        <w:instrText>ADDIN CSL_CITATION { "citationItems" : [ { "id" : "ITEM-1", "itemData" : { "DOI" : "10.1016/j.jmb.2007.05.048", "ISSN" : "00222836", "abstract" : "How eukaryotic genomes encode the folding of DNA into nucleosomes and how this intrinsic organization of chromatin guides biological function are questions of wide interest. The physical basis of nucleosome positioning lies in the sequence-dependent propensity of DNA to adopt the tightly bent configuration imposed by the binding of the histone proteins. Traditionally, only DNA bending and twisting deformations are considered, while the effects of the lateral displacements of adjacent base pairs are neglected. We demonstrate, however, that these displacements have a much more important structural role than ever imagined. Specifically, the lateral Slide deformations observed at sites of local anisotropic bending of DNA define its superhelical trajectory in chromatin. Furthermore, the computed cost of deforming DNA on the nucleosome is sequence-specific: in optimally positioned sequences the most easily deformed base-pair steps (CA:TG and TA) occur at sites of large positive Slide and negative Roll (where the DNA bends into the minor groove). These conclusions rest upon a treatment of DNA that goes beyond the conventional ribbon model, incorporating all essential degrees of freedom of \"real\" duplexes in the estimation of DNA deformation energies. Indeed, only after lateral Slide displacements are considered are we able to account for the sequence-specific folding of DNA found in nucleosome structures. The close correspondence between the predicted and observed nucleosome locations demonstrates the potential advantage of our \"structural\" approach in the computer mapping of nucleosome positioning. \u00a9 2007 Elsevier Ltd. All rights reserved.", "author" : [ { "dropping-particle" : "", "family" : "Tolstorukov", "given" : "Michael Y.", "non-dropping-particle" : "", "parse-names" : false, "suffix" : "" }, { "dropping-particle" : "V.", "family" : "Colasanti", "given" : "Andrew", "non-dropping-particle" : "", "parse-names" : false, "suffix" : "" }, { "dropping-particle" : "", "family" : "McCandlish", "given" : "David M.", "non-dropping-particle" : "", "parse-names" : false, "suffix" : "" }, { "dropping-particle" : "", "family" : "Olson", "given" : "Wilma K.", "non-dropping-particle" : "", "parse-names" : false, "suffix" : "" }, { "dropping-particle" : "", "family" : "Zhurkin", "given" : "Victor B.", "non-dropping-particle" : "", "parse-names" : false, "suffix" : "" } ], "container-title" : "Journal of Molecular Biology", "id" : "ITEM-1", "issue" : "3", "issued" : { "date-parts" : [ [ "2007" ] ] }, "page" : "725-738", "title" : "A Novel Roll-and-Slide Mechanism of DNA Folding in Chromatin: Implications for Nucleosome Positioning", "type" : "article-journal", "volume" : "371" }, "uris" : [ "http://www.mendeley.com/documents/?uuid=ad10cda0-0b7c-4ca6-ac5c-7cef8032d918" ] } ], "mendeley" : { "formattedCitation" : "&lt;sup&gt;4&lt;/sup&gt;", "plainTextFormattedCitation" : "4", "previouslyFormattedCitation" : "&lt;sup&gt;4&lt;/sup&gt;" }, "properties" : { "noteIndex" : 0 }, "schema" : "https://github.com/citation-style-language/schema/raw/master/csl-citation.json" }</w:instrText>
      </w:r>
      <w:r w:rsidRPr="005F77FF">
        <w:rPr>
          <w:lang w:val="en-US"/>
        </w:rPr>
        <w:fldChar w:fldCharType="separate"/>
      </w:r>
      <w:r w:rsidRPr="005F77FF">
        <w:rPr>
          <w:noProof/>
          <w:vertAlign w:val="superscript"/>
          <w:lang w:val="en-US"/>
        </w:rPr>
        <w:t>4</w:t>
      </w:r>
      <w:r w:rsidRPr="005F77FF">
        <w:rPr>
          <w:lang w:val="en-US"/>
        </w:rPr>
        <w:fldChar w:fldCharType="end"/>
      </w:r>
      <w:r w:rsidRPr="005F77FF">
        <w:rPr>
          <w:lang w:val="en-US"/>
        </w:rPr>
        <w:t>. A balance of selective interactions between the individual components is the main drive of the assembly into these biological macrostructures. Primarily, these interactions are of a non-covalent nature</w:t>
      </w:r>
      <w:r w:rsidR="00CB6AB9" w:rsidRPr="005F77FF">
        <w:rPr>
          <w:lang w:val="en-US"/>
        </w:rPr>
        <w:t xml:space="preserve">. This means that, individually, these are </w:t>
      </w:r>
      <w:r w:rsidR="005F77FF" w:rsidRPr="005F77FF">
        <w:rPr>
          <w:lang w:val="en-US"/>
        </w:rPr>
        <w:t>relatively</w:t>
      </w:r>
      <w:r w:rsidR="00CB6AB9" w:rsidRPr="005F77FF">
        <w:rPr>
          <w:lang w:val="en-US"/>
        </w:rPr>
        <w:t xml:space="preserve"> weak</w:t>
      </w:r>
      <w:r w:rsidR="005F77FF" w:rsidRPr="005F77FF">
        <w:rPr>
          <w:lang w:val="en-US"/>
        </w:rPr>
        <w:t xml:space="preserve"> compared to </w:t>
      </w:r>
      <w:r w:rsidR="00A26AB1">
        <w:rPr>
          <w:lang w:val="en-US"/>
        </w:rPr>
        <w:t xml:space="preserve">their </w:t>
      </w:r>
      <w:r w:rsidR="005F77FF" w:rsidRPr="005F77FF">
        <w:rPr>
          <w:lang w:val="en-US"/>
        </w:rPr>
        <w:t xml:space="preserve">covalent </w:t>
      </w:r>
      <w:r w:rsidR="00A26AB1">
        <w:rPr>
          <w:lang w:val="en-US"/>
        </w:rPr>
        <w:t>counterpart</w:t>
      </w:r>
      <w:r w:rsidR="005F77FF" w:rsidRPr="005F77FF">
        <w:rPr>
          <w:lang w:val="en-US"/>
        </w:rPr>
        <w:fldChar w:fldCharType="begin" w:fldLock="1"/>
      </w:r>
      <w:r w:rsidR="00BA64A2">
        <w:rPr>
          <w:lang w:val="en-US"/>
        </w:rPr>
        <w:instrText>ADDIN CSL_CITATION { "citationItems" : [ { "id" : "ITEM-1", "itemData" : { "author" : [ { "dropping-particle" : "", "family" : "Huheey", "given" : "James E", "non-dropping-particle" : "", "parse-names" : false, "suffix" : "" }, { "dropping-particle" : "", "family" : "Keiter", "given" : "Ellen A", "non-dropping-particle" : "", "parse-names" : false, "suffix" : "" }, { "dropping-particle" : "", "family" : "Keiter", "given" : "Richard L", "non-dropping-particle" : "", "parse-names" : false, "suffix" : "" } ], "edition" : "4th", "id" : "ITEM-1", "issued" : { "date-parts" : [ [ "1993" ] ] }, "publisher" : "HarperCollins College Publishers", "publisher-place" : "New York", "title" : "Inorganic Chemistry: Principles of Structure and Reactivity", "type" : "book" }, "uris" : [ "http://www.mendeley.com/documents/?uuid=9e618a5e-e313-4b4a-b7b4-5163a0cf826b" ] }, { "id" : "ITEM-2", "itemData" : { "author" : [ { "dropping-particle" : "", "family" : "Lodish", "given" : "Harvey", "non-dropping-particle" : "", "parse-names" : false, "suffix" : "" }, { "dropping-particle" : "", "family" : "Berk", "given" : "Arnold", "non-dropping-particle" : "", "parse-names" : false, "suffix" : "" }, { "dropping-particle" : "", "family" : "Zipursky", "given" : "Lawrence S", "non-dropping-particle" : "", "parse-names" : false, "suffix" : "" }, { "dropping-particle" : "", "family" : "Matsudaira", "given" : "Paul", "non-dropping-particle" : "", "parse-names" : false, "suffix" : "" }, { "dropping-particle" : "", "family" : "Baltimore", "given" : "David", "non-dropping-particle" : "", "parse-names" : false, "suffix" : "" }, { "dropping-particle" : "", "family" : "Darnell", "given" : "James", "non-dropping-particle" : "", "parse-names" : false, "suffix" : "" } ], "chapter-number" : "2.2", "container-title" : "Molecular Cell Biology", "edition" : "4th", "id" : "ITEM-2", "issued" : { "date-parts" : [ [ "2000" ] ] }, "publisher" : "W. H. Freeman", "publisher-place" : "New York", "title" : "Noncovalent Bonds", "type" : "chapter" }, "uris" : [ "http://www.mendeley.com/documents/?uuid=449ce8e2-cd12-45c1-83db-a7f4e3d1c14b" ] } ], "mendeley" : { "formattedCitation" : "&lt;sup&gt;5,6&lt;/sup&gt;", "plainTextFormattedCitation" : "5,6", "previouslyFormattedCitation" : "&lt;sup&gt;5,6&lt;/sup&gt;" }, "properties" : { "noteIndex" : 0 }, "schema" : "https://github.com/citation-style-language/schema/raw/master/csl-citation.json" }</w:instrText>
      </w:r>
      <w:r w:rsidR="005F77FF" w:rsidRPr="005F77FF">
        <w:rPr>
          <w:lang w:val="en-US"/>
        </w:rPr>
        <w:fldChar w:fldCharType="separate"/>
      </w:r>
      <w:r w:rsidR="005F77FF" w:rsidRPr="005F77FF">
        <w:rPr>
          <w:noProof/>
          <w:vertAlign w:val="superscript"/>
          <w:lang w:val="en-US"/>
        </w:rPr>
        <w:t>5,6</w:t>
      </w:r>
      <w:r w:rsidR="005F77FF" w:rsidRPr="005F77FF">
        <w:rPr>
          <w:lang w:val="en-US"/>
        </w:rPr>
        <w:fldChar w:fldCharType="end"/>
      </w:r>
      <w:r w:rsidRPr="005F77FF">
        <w:rPr>
          <w:lang w:val="en-US"/>
        </w:rPr>
        <w:t xml:space="preserve">. However, stable structures can be formed when these interactions are collectively present over the different individual components. </w:t>
      </w:r>
    </w:p>
    <w:p w:rsidR="00E74C8E" w:rsidRDefault="00E74C8E" w:rsidP="00FC7A2B">
      <w:pPr>
        <w:spacing w:line="240" w:lineRule="auto"/>
        <w:rPr>
          <w:lang w:val="en-US"/>
        </w:rPr>
      </w:pPr>
      <w:r>
        <w:rPr>
          <w:lang w:val="en-US"/>
        </w:rPr>
        <w:t>According to the definitions of Whitesides and Grzybowski, self-assembly can occur in a ‘static’ or ‘dynamic’ manner</w:t>
      </w:r>
      <w:r>
        <w:rPr>
          <w:lang w:val="en-US"/>
        </w:rPr>
        <w:fldChar w:fldCharType="begin" w:fldLock="1"/>
      </w:r>
      <w:r w:rsidR="00BA64A2">
        <w:rPr>
          <w:lang w:val="en-US"/>
        </w:rPr>
        <w:instrText>ADDIN CSL_CITATION { "citationItems" : [ { "id" : "ITEM-1", "itemData" : { "DOI" : "10.1073/pnas.082065899", "ISSN" : "00278424", "abstract" : "Self-assembly is a process in which components, either separate or linked, spontaneously form ordered aggregates. Self-assembly can occur with components having sizes from the molecular to the macroscopic, provided that appropriate conditions are met. Although much of the work in self-assembly has focused on molecular components, many of the most interesting applications of self-assembling processes can be found at larger sizes (nanometers to micrometers). These larger systems also offer a level of control over the characteristics of the components and over the interactions among them that makes fundamental investigations especially tractable.", "author" : [ { "dropping-particle" : "", "family" : "Whitesides", "given" : "George M.", "non-dropping-particle" : "", "parse-names" : false, "suffix" : "" }, { "dropping-particle" : "", "family" : "Boncheva", "given" : "Mila", "non-dropping-particle" : "", "parse-names" : false, "suffix" : "" } ], "container-title" : "Proceedings of the National Academy of Sciences of the United States of America", "id" : "ITEM-1", "issue" : "8", "issued" : { "date-parts" : [ [ "2002" ] ] }, "page" : "4769-4774", "title" : "Beyond molecules: Self-assembly of mesoscopic and macroscopic components", "type" : "article-journal", "volume" : "99" }, "uris" : [ "http://www.mendeley.com/documents/?uuid=8d90457b-10f3-4ee5-89ab-ab6772c718b3" ] }, { "id" : "ITEM-2", "itemData" : { "DOI" : "10.1039/b819321p", "ISSN" : "1744683X", "abstract" : "Self-assembly (SA) is the process in which a system's components - be it molecules, polymers, colloids, or macroscopic particles - organize into ordered and/or functional structures without human intervention. The main challenge in SA research is the ability to \"program\" the properties of the individual pieces such that they organize into a desired structure. Although a general strategy for doing so is still elusive, heuristic rules can be formulated that guide design of SA under various conditions and thermodynamic constraints. This Review examines SA in both the equilibrium and non-equilibrium/dynamic systems and discusses different SA modalities: energy driven, entropy-driven, templated, and field-directed. Non-equilibrium SA is discussed as a route to reconfigurable (\"adaptive\") materials, and its connection to biological systems is emphasized. \u00a9 2009 The Royal Society of Chemistry.", "author" : [ { "dropping-particle" : "", "family" : "Grzybowski", "given" : "Bartosz A.", "non-dropping-particle" : "", "parse-names" : false, "suffix" : "" }, { "dropping-particle" : "", "family" : "Wilmer", "given" : "Christopher E.", "non-dropping-particle" : "", "parse-names" : false, "suffix" : "" }, { "dropping-particle" : "", "family" : "Kim", "given" : "Jiwon", "non-dropping-particle" : "", "parse-names" : false, "suffix" : "" }, { "dropping-particle" : "", "family" : "Browne", "given" : "Kevin P.", "non-dropping-particle" : "", "parse-names" : false, "suffix" : "" }, { "dropping-particle" : "", "family" : "Bishop", "given" : "Kyle J.M.", "non-dropping-particle" : "", "parse-names" : false, "suffix" : "" } ], "container-title" : "Soft Matter", "id" : "ITEM-2", "issue" : "6", "issued" : { "date-parts" : [ [ "2009" ] ] }, "page" : "1110-1128", "title" : "Self-assembly: From crystals to cells", "type" : "article-journal", "volume" : "5" }, "uris" : [ "http://www.mendeley.com/documents/?uuid=a8b07075-3b8b-4250-9899-0e92418c4d31" ] } ], "mendeley" : { "formattedCitation" : "&lt;sup&gt;7,8&lt;/sup&gt;", "plainTextFormattedCitation" : "7,8", "previouslyFormattedCitation" : "&lt;sup&gt;7,8&lt;/sup&gt;" }, "properties" : { "noteIndex" : 0 }, "schema" : "https://github.com/citation-style-language/schema/raw/master/csl-citation.json" }</w:instrText>
      </w:r>
      <w:r>
        <w:rPr>
          <w:lang w:val="en-US"/>
        </w:rPr>
        <w:fldChar w:fldCharType="separate"/>
      </w:r>
      <w:r w:rsidR="005F77FF" w:rsidRPr="005F77FF">
        <w:rPr>
          <w:noProof/>
          <w:vertAlign w:val="superscript"/>
          <w:lang w:val="en-US"/>
        </w:rPr>
        <w:t>7,8</w:t>
      </w:r>
      <w:r>
        <w:rPr>
          <w:lang w:val="en-US"/>
        </w:rPr>
        <w:fldChar w:fldCharType="end"/>
      </w:r>
      <w:r>
        <w:rPr>
          <w:lang w:val="en-US"/>
        </w:rPr>
        <w:t>. The static self-assembly results in the formation of a non-evolving equilibrium structure, without further energy exchange with the environment. The formation of colloidal crystals is a clear example of a statically self-assembled structure</w:t>
      </w:r>
      <w:r>
        <w:rPr>
          <w:lang w:val="en-US"/>
        </w:rPr>
        <w:fldChar w:fldCharType="begin" w:fldLock="1"/>
      </w:r>
      <w:r w:rsidR="00BA64A2">
        <w:rPr>
          <w:lang w:val="en-US"/>
        </w:rPr>
        <w:instrText>ADDIN CSL_CITATION { "citationItems" : [ { "id" : "ITEM-1", "itemData" : { "DOI" : "10.1016/s1359-0294(97)80053-2", "ISBN" : "1359029400", "ISSN" : "13590294", "abstract" : "At sufficiently strong interparticle interaction, colloidal particles may form ordered crystalline arrays much in analogy to atomic systems. Well characterized model colloidal suspensions have therefore become valuable model systems for the study of the kinetics of crystal nucleation, growth and ripening. Significant progress has been made in this area throughout the past few years. Precise control of interaction parameters and new instrumental developments have allowed for quantitative determination of nucleation rate densities and growth velocities in monodisperse `hard' and `soft sphere' systems. Results confirm classical theories of nucleation and growth adapted to colloidal systems. The current emphasis of research is on modifications to the ideal scenario leading to a deeper qualitative understanding of underlying microscopic mechanisms.", "author" : [ { "dropping-particle" : "", "family" : "Palberg", "given" : "Thomas", "non-dropping-particle" : "", "parse-names" : false, "suffix" : "" } ], "container-title" : "Current Opinion in Colloid &amp; Interface Science", "id" : "ITEM-1", "issue" : "6", "issued" : { "date-parts" : [ [ "1997" ] ] }, "page" : "607-614", "publisher" : "Current Chemistry Ltd.", "title" : "Colloidal crystallization dynamics", "type" : "article-journal", "volume" : "2" }, "uris" : [ "http://www.mendeley.com/documents/?uuid=c233fe79-ff00-4468-b505-2ee03ec12d72" ] } ], "mendeley" : { "formattedCitation" : "&lt;sup&gt;9&lt;/sup&gt;", "plainTextFormattedCitation" : "9", "previouslyFormattedCitation" : "&lt;sup&gt;9&lt;/sup&gt;" }, "properties" : { "noteIndex" : 0 }, "schema" : "https://github.com/citation-style-language/schema/raw/master/csl-citation.json" }</w:instrText>
      </w:r>
      <w:r>
        <w:rPr>
          <w:lang w:val="en-US"/>
        </w:rPr>
        <w:fldChar w:fldCharType="separate"/>
      </w:r>
      <w:r w:rsidR="005F77FF" w:rsidRPr="005F77FF">
        <w:rPr>
          <w:noProof/>
          <w:vertAlign w:val="superscript"/>
          <w:lang w:val="en-US"/>
        </w:rPr>
        <w:t>9</w:t>
      </w:r>
      <w:r>
        <w:rPr>
          <w:lang w:val="en-US"/>
        </w:rPr>
        <w:fldChar w:fldCharType="end"/>
      </w:r>
      <w:r>
        <w:rPr>
          <w:lang w:val="en-US"/>
        </w:rPr>
        <w:t>. Dynamic self-assembly is the opposite, where an ordered structure is maintained far from equilibrium conditions by addition of an external force which dissipates its energy into the system</w:t>
      </w:r>
      <w:r>
        <w:rPr>
          <w:lang w:val="en-US"/>
        </w:rPr>
        <w:fldChar w:fldCharType="begin" w:fldLock="1"/>
      </w:r>
      <w:r w:rsidR="00BA64A2">
        <w:rPr>
          <w:lang w:val="en-US"/>
        </w:rPr>
        <w:instrText>ADDIN CSL_CITATION { "citationItems" : [ { "id" : "ITEM-1", "itemData" : { "DOI" : "10.1039/c7cs00089h", "ISSN" : "14604744", "abstract" : "Although dynamic self-assembly, DySA, is a relatively new area of research, the past decade has brought numerous demonstrations of how various types of components-on scales from (macro)molecular to macroscopic-can be arranged into ordered structures thriving in non-equilibrium, steady states. At the same time, none of these dynamic assemblies has so far proven practically relevant, prompting questions about the field's prospects and ultimate objectives. The main thesis of this Review is that formation of dynamic assemblies cannot be an end in itself-instead, we should think more ambitiously of using such assemblies as control elements (reconfigurable catalysts, nanomachines, etc.) of larger, networked systems directing sequences of chemical reactions or assembly tasks. Such networked systems would be inspired by biology but intended to operate in environments and conditions incompatible with living matter (e.g., in organic solvents, elevated temperatures, etc.). To realize this vision, we need to start considering not only the interactions mediating dynamic self-assembly of individual components, but also how components of different types could coexist and communicate within larger, multicomponent ensembles. Along these lines, the review starts with the discussion of the conceptual foundations of self-assembly in equilibrium and non-equilibrium regimes. It discusses key examples of interactions and phenomena that can provide the basis for various DySA modalities (e.g., those driven by light, magnetic fields, flows, etc.). It then focuses on the recent examples where organization of components in steady states is coupled to other processes taking place in the system (catalysis, formation of dynamic supramolecular materials, control of chirality, etc.). With these examples of functional DySA, we then look forward and consider conditions that must be fulfilled to allow components of multiple types to coexist, function, and communicate with one another within the networked DySA systems of the future. As the closing examples show, such systems are already appearing heralding new opportunities-and, to be sure, new challenges-for DySA research.", "author" : [ { "dropping-particle" : "", "family" : "Grzybowski", "given" : "Bartosz A.", "non-dropping-particle" : "", "parse-names" : false, "suffix" : "" }, { "dropping-particle" : "", "family" : "Fitzner", "given" : "Krzysztof", "non-dropping-particle" : "", "parse-names" : false, "suffix" : "" }, { "dropping-particle" : "", "family" : "Paczesny", "given" : "Jan", "non-dropping-particle" : "", "parse-names" : false, "suffix" : "" }, { "dropping-particle" : "", "family" : "Granick", "given" : "Steve", "non-dropping-particle" : "", "parse-names" : false, "suffix" : "" } ], "container-title" : "Chemical Society Reviews", "id" : "ITEM-1", "issue" : "18", "issued" : { "date-parts" : [ [ "2017" ] ] }, "page" : "5647-5678", "publisher" : "Royal Society of Chemistry", "title" : "From dynamic self-assembly to networked chemical systems", "type" : "article-journal", "volume" : "46" }, "uris" : [ "http://www.mendeley.com/documents/?uuid=a9440df1-452d-4b3e-b3dd-ff2c980fa926" ] } ], "mendeley" : { "formattedCitation" : "&lt;sup&gt;10&lt;/sup&gt;", "plainTextFormattedCitation" : "10", "previouslyFormattedCitation" : "&lt;sup&gt;10&lt;/sup&gt;" }, "properties" : { "noteIndex" : 0 }, "schema" : "https://github.com/citation-style-language/schema/raw/master/csl-citation.json" }</w:instrText>
      </w:r>
      <w:r>
        <w:rPr>
          <w:lang w:val="en-US"/>
        </w:rPr>
        <w:fldChar w:fldCharType="separate"/>
      </w:r>
      <w:r w:rsidR="005F77FF" w:rsidRPr="005F77FF">
        <w:rPr>
          <w:noProof/>
          <w:vertAlign w:val="superscript"/>
          <w:lang w:val="en-US"/>
        </w:rPr>
        <w:t>10</w:t>
      </w:r>
      <w:r>
        <w:rPr>
          <w:lang w:val="en-US"/>
        </w:rPr>
        <w:fldChar w:fldCharType="end"/>
      </w:r>
      <w:r>
        <w:rPr>
          <w:lang w:val="en-US"/>
        </w:rPr>
        <w:t xml:space="preserve">. As these </w:t>
      </w:r>
      <w:r w:rsidR="00A26AB1">
        <w:rPr>
          <w:lang w:val="en-US"/>
        </w:rPr>
        <w:t xml:space="preserve">dynamic </w:t>
      </w:r>
      <w:r>
        <w:rPr>
          <w:lang w:val="en-US"/>
        </w:rPr>
        <w:t>processes are out of equilibrium, it has proven very difficult to acquire control over the</w:t>
      </w:r>
      <w:r w:rsidR="00A26AB1">
        <w:rPr>
          <w:lang w:val="en-US"/>
        </w:rPr>
        <w:t>ir</w:t>
      </w:r>
      <w:r>
        <w:rPr>
          <w:lang w:val="en-US"/>
        </w:rPr>
        <w:t xml:space="preserve"> self-assembly process. Thus, static self-assembly is a more robust process that can be investigated in a more controllable manner.</w:t>
      </w:r>
    </w:p>
    <w:p w:rsidR="00E74C8E" w:rsidRDefault="00E74C8E" w:rsidP="00FC7A2B">
      <w:pPr>
        <w:spacing w:line="240" w:lineRule="auto"/>
        <w:rPr>
          <w:lang w:val="en-US"/>
        </w:rPr>
      </w:pPr>
      <w:r>
        <w:rPr>
          <w:lang w:val="en-US"/>
        </w:rPr>
        <w:t>The most important and reoccurring non-covalent interactions that govern self-assembly processes are hydrophobic interactions, Van der Waals forces and electrostatic interactions, such as Coulombic forces and hydrogen bonding. Tuning these interactions between the individual components results in the formation or dissemblance of different macrostructures. Knowing where these interactions arise from, allows for manipulation of the system to design macrostructures from self-assembling components</w:t>
      </w:r>
    </w:p>
    <w:p w:rsidR="00E74C8E" w:rsidRDefault="00E74C8E" w:rsidP="00FC7A2B">
      <w:pPr>
        <w:spacing w:line="240" w:lineRule="auto"/>
        <w:rPr>
          <w:lang w:val="en-US"/>
        </w:rPr>
      </w:pPr>
      <w:r>
        <w:rPr>
          <w:lang w:val="en-US"/>
        </w:rPr>
        <w:t>To build a system that models these biological self-assembly processes</w:t>
      </w:r>
      <w:r w:rsidR="00A26AB1">
        <w:rPr>
          <w:lang w:val="en-US"/>
        </w:rPr>
        <w:t xml:space="preserve">, </w:t>
      </w:r>
      <w:r>
        <w:rPr>
          <w:lang w:val="en-US"/>
        </w:rPr>
        <w:t>robust and simple building blocks that best resemble the natural environment</w:t>
      </w:r>
      <w:r w:rsidR="00A26AB1">
        <w:rPr>
          <w:lang w:val="en-US"/>
        </w:rPr>
        <w:t xml:space="preserve"> are required</w:t>
      </w:r>
      <w:r>
        <w:rPr>
          <w:lang w:val="en-US"/>
        </w:rPr>
        <w:t>. The best contender for these building blocks are colloidal particles, which can be tuned in size, morphology and charge in different manners</w:t>
      </w:r>
      <w:r>
        <w:rPr>
          <w:lang w:val="en-US"/>
        </w:rPr>
        <w:fldChar w:fldCharType="begin" w:fldLock="1"/>
      </w:r>
      <w:r w:rsidR="00BA64A2">
        <w:rPr>
          <w:lang w:val="en-US"/>
        </w:rPr>
        <w:instrText>ADDIN CSL_CITATION { "citationItems" : [ { "id" : "ITEM-1", "itemData" : { "DOI" : "10.1039/c7sm01825h", "ISSN" : "17446848", "abstract" : "Individual colloids often carry a charge as a result of the dissociation (or adsorption) of weakly-ionized surface groups. The magnitude depends on the precise chemical environment surrounding a particle, which in a concentrated dispersion is a function of the colloid packing fraction \u03b7. Theoretical studies have suggested that the effective charge Zeff in regulated systems could, in general, decrease with increasing \u03b7. We test this hypothesis for nonpolar dispersions by determining Zeff(\u03b7) over a wide range of packing fractions (10-5 \u2264 \u03b7 \u2264 0.3) using a combination of small-angle X-ray scattering and electrophoretic mobility measurements. All dispersions remain entirely in the fluid phase regime. We find a complex dependence of the particle charge as a function of the packing fraction, with Zeff initially decreasing at low concentrations before finally increasing at high \u03b7. We attribute the non-monotonic density dependence to a crossover from concentration-independent screening at low \u03b7, to a high packing fraction regime in which counterions outnumber salt ions and electrostatic screening becomes \u03b7-dependent. The efficiency of charge stabilization at high concentrations may explain the unusually high stability of concentrated nanoparticle dispersions which has been reported.", "author" : [ { "dropping-particle" : "", "family" : "Hallett", "given" : "James E.", "non-dropping-particle" : "", "parse-names" : false, "suffix" : "" }, { "dropping-particle" : "", "family" : "Gillespie", "given" : "David A.J.", "non-dropping-particle" : "", "parse-names" : false, "suffix" : "" }, { "dropping-particle" : "", "family" : "Richardson", "given" : "Robert M.", "non-dropping-particle" : "", "parse-names" : false, "suffix" : "" }, { "dropping-particle" : "", "family" : "Bartlett", "given" : "Paul", "non-dropping-particle" : "", "parse-names" : false, "suffix" : "" } ], "container-title" : "Soft Matter", "id" : "ITEM-1", "issue" : "3", "issued" : { "date-parts" : [ [ "2018" ] ] }, "page" : "331-343", "publisher" : "Royal Society of Chemistry", "title" : "Charge regulation of nonpolar colloids", "type" : "article-journal", "volume" : "14" }, "uris" : [ "http://www.mendeley.com/documents/?uuid=8cc8b59f-56f9-4f75-8da7-8a3a4990a23a" ] }, { "id" : "ITEM-2", "itemData" : { "DOI" : "10.1038/ncomms2694", "ISSN" : "20411723", "abstract" : "The creation of a new material often starts from the design of its constituent building blocks at a smaller scale. From macromolecules to colloidal architectures, to granular systems, the interactions between basic units of matter can dictate the macroscopic behaviour of the resulting engineered material and even regulate its genesis. Information can be imparted to the building units by altering their physical and chemical properties. In particular, the shape of building blocks has a fundamental role at the colloidal scale, as it can govern the self-organization of particles into hierarchical structures and ultimately into the desired material. Herein we report a simple and general approach to generate an entire zoo of new anisotropic colloids. Our method is based on a controlled deformation of multiphase colloidal particles that can be selectively liquified, polymerized, dissolved and functionalized in bulk. We further demonstrate control over the particle functionalization and coating by realizing patchy and Janus colloids. \u00a9 2013 Macmillan Publishers Limited. All rights reserved.", "author" : [ { "dropping-particle" : "", "family" : "Sacanna", "given" : "Stefano", "non-dropping-particle" : "", "parse-names" : false, "suffix" : "" }, { "dropping-particle" : "", "family" : "Korpics", "given" : "Mark", "non-dropping-particle" : "", "parse-names" : false, "suffix" : "" }, { "dropping-particle" : "", "family" : "Rodriguez", "given" : "Kelvin", "non-dropping-particle" : "", "parse-names" : false, "suffix" : "" }, { "dropping-particle" : "", "family" : "Col\u00f3n-Mel\u00e9ndez", "given" : "Laura", "non-dropping-particle" : "", "parse-names" : false, "suffix" : "" }, { "dropping-particle" : "", "family" : "Kim", "given" : "Seung Hyun", "non-dropping-particle" : "", "parse-names" : false, "suffix" : "" }, { "dropping-particle" : "", "family" : "Pine", "given" : "David J.", "non-dropping-particle" : "", "parse-names" : false, "suffix" : "" }, { "dropping-particle" : "", "family" : "Yi", "given" : "Gi Ra", "non-dropping-particle" : "", "parse-names" : false, "suffix" : "" } ], "container-title" : "Nature Communications", "id" : "ITEM-2", "issued" : { "date-parts" : [ [ "2013" ] ] }, "page" : "2-7", "title" : "Shaping colloids for self-assembly", "type" : "article-journal", "volume" : "4" }, "uris" : [ "http://www.mendeley.com/documents/?uuid=a831627c-b179-4d54-8931-b4b9e65fa549" ] }, { "id" : "ITEM-3", "itemData" : { "DOI" : "10.1002/chem.201705960", "ISSN" : "15213765", "abstract" : "Self-assembly of colloidal particles is an important and challenging way to generate novel colloidal superstructures for new materials. Recent progress on syntheses of anisotropic colloids highlights opportunities for such self-assembly, particularly in defining new non-cubic superstructures. Both non-templated and templated synthesis play an important role in preparing anisotropic colloidal particles. In this article, we briefly summarize recent progress in anisotropic colloids by non-templated and conventional templated synthesis, and introduce a conceptual strategy of \u201cpatchy templated synthesis\u201d that differs from the conventional approach. We illustrate this strategy with recent examples emanating from colloidal rings, and discuss the future opportunities with this strategy for the synthesis of other anisotropic colloids.", "author" : [ { "dropping-particle" : "", "family" : "Liu", "given" : "Bing", "non-dropping-particle" : "", "parse-names" : false, "suffix" : "" }, { "dropping-particle" : "", "family" : "Wu", "given" : "Yuanyuan", "non-dropping-particle" : "", "parse-names" : false, "suffix" : "" }, { "dropping-particle" : "", "family" : "Zhao", "given" : "Shuping", "non-dropping-particle" : "", "parse-names" : false, "suffix" : "" } ], "container-title" : "Chemistry - A European Journal", "id" : "ITEM-3", "issue" : "42", "issued" : { "date-parts" : [ [ "2018" ] ] }, "page" : "10562-10570", "title" : "Anisotropic Colloids: From Non-Templated to Patchy Templated Synthesis", "type" : "article-journal", "volume" : "24" }, "uris" : [ "http://www.mendeley.com/documents/?uuid=b742b340-0b99-4c15-9f82-4c80cb8e29b3" ] } ], "mendeley" : { "formattedCitation" : "&lt;sup&gt;11\u201313&lt;/sup&gt;", "plainTextFormattedCitation" : "11\u201313", "previouslyFormattedCitation" : "&lt;sup&gt;11\u201313&lt;/sup&gt;" }, "properties" : { "noteIndex" : 0 }, "schema" : "https://github.com/citation-style-language/schema/raw/master/csl-citation.json" }</w:instrText>
      </w:r>
      <w:r>
        <w:rPr>
          <w:lang w:val="en-US"/>
        </w:rPr>
        <w:fldChar w:fldCharType="separate"/>
      </w:r>
      <w:r w:rsidR="005F77FF" w:rsidRPr="005F77FF">
        <w:rPr>
          <w:noProof/>
          <w:vertAlign w:val="superscript"/>
          <w:lang w:val="en-US"/>
        </w:rPr>
        <w:t>11–13</w:t>
      </w:r>
      <w:r>
        <w:rPr>
          <w:lang w:val="en-US"/>
        </w:rPr>
        <w:fldChar w:fldCharType="end"/>
      </w:r>
      <w:r>
        <w:rPr>
          <w:lang w:val="en-US"/>
        </w:rPr>
        <w:t>. The wide variety in colloidal compositions that are available in literature provides ample ways to shape our desired system. Heteroaggregation as synthetic strategy is a valuable candidate to produce complex colloidal macrostructures. It is defined as a mixed dispersion wherein particles can differ in size, charge and morphology</w:t>
      </w:r>
      <w:r>
        <w:rPr>
          <w:lang w:val="en-US"/>
        </w:rPr>
        <w:fldChar w:fldCharType="begin" w:fldLock="1"/>
      </w:r>
      <w:r w:rsidR="00BA64A2">
        <w:rPr>
          <w:lang w:val="en-US"/>
        </w:rPr>
        <w:instrText>ADDIN CSL_CITATION { "citationItems" : [ { "id" : "ITEM-1", "itemData" : { "DOI" : "10.1016/0001-8686(95)00276-V", "ISSN" : "00018686", "abstract" : "The theory of heteroaggregation is an important concept for the understanding of many natural and industrial processes. It relates to any process where particles differ. It is based on an expansion of the DLVO theory, and now involves highly mathematical computation. Heteroaggregation has been continually developed to extend the use of a formula to encapsulate all particle type variations. McCormack et al. [29] have reported such an equation, and it is necessary for these complex equations to be related to experimental conditions. Many of the early forms of the theory of heteroaggregation were based on the use of assumptions such as constant surface potential, constant surface charge conditions and that surfaces are smooth. This is now known to cause anomalies in the theoretical predictions when compared to the experimental situation, as the situation of a discrete surface charge is more applicable for colloidal particles due to the heterogeneous nature of the surface [41]. Furthermore, particle surfaces are rarely smooth. Another problem highlighted is that the theoretical predictions are influenced by particle size, and yet when assessed experimentally no such dependence was recognised [58]. This inconsistency is attributed to the inability of the DLVO theory to consider the dynamics of particle-particle interactions. This review has focused on aqueous systems, although work has been reported in non-aqueous environments, for example toluene, in which the heteroflocculation of non-aqueous silica dispersions were investigated by Skuse et al. [85]. In this example, adsorption was controlled by strong Lewis acid-base interactions. Deflocculation was achieved by the addition of strong acid or base, which is in contrast to aqueous systems where high concentrations of electrolytes are used to induce desorption. This review also defines both Brownian and shear coagulation mechanisms, although most of the theories stated relate to Brownian coagulation. Shear coagulation introduces new mathematical equations and system parameters. Wang [2] and Adler [73] have reported in-depth studies in this field. Heteroaggregation in colloidal particles is therefore, an important concept for both a fundamental and for an applied understanding in colloidal science which, from a theoretical point of view, is still in its infancy when considering the sophistication and accuracy of the models developed to describe experimentally observed behaviour. A challenge, therefore, exists\u2026", "author" : [ { "dropping-particle" : "", "family" : "Islam", "given" : "A. M.", "non-dropping-particle" : "", "parse-names" : false, "suffix" : "" }, { "dropping-particle" : "", "family" : "Chowdhry", "given" : "B. Z.", "non-dropping-particle" : "", "parse-names" : false, "suffix" : "" }, { "dropping-particle" : "", "family" : "Snowden", "given" : "M. J.", "non-dropping-particle" : "", "parse-names" : false, "suffix" : "" } ], "container-title" : "Advances in Colloid and Interface Science", "id" : "ITEM-1", "issue" : "2-3", "issued" : { "date-parts" : [ [ "1995" ] ] }, "page" : "109-136", "title" : "Heteroaggregation in colloidal dispersions", "type" : "article-journal", "volume" : "62" }, "uris" : [ "http://www.mendeley.com/documents/?uuid=b8522082-f23a-4341-9646-c0df9dd1fcc0" ] } ], "mendeley" : { "formattedCitation" : "&lt;sup&gt;14&lt;/sup&gt;", "plainTextFormattedCitation" : "14", "previouslyFormattedCitation" : "&lt;sup&gt;14&lt;/sup&gt;" }, "properties" : { "noteIndex" : 0 }, "schema" : "https://github.com/citation-style-language/schema/raw/master/csl-citation.json" }</w:instrText>
      </w:r>
      <w:r>
        <w:rPr>
          <w:lang w:val="en-US"/>
        </w:rPr>
        <w:fldChar w:fldCharType="separate"/>
      </w:r>
      <w:r w:rsidR="005F77FF" w:rsidRPr="005F77FF">
        <w:rPr>
          <w:noProof/>
          <w:vertAlign w:val="superscript"/>
          <w:lang w:val="en-US"/>
        </w:rPr>
        <w:t>14</w:t>
      </w:r>
      <w:r>
        <w:rPr>
          <w:lang w:val="en-US"/>
        </w:rPr>
        <w:fldChar w:fldCharType="end"/>
      </w:r>
      <w:r>
        <w:rPr>
          <w:lang w:val="en-US"/>
        </w:rPr>
        <w:t xml:space="preserve">. </w:t>
      </w:r>
    </w:p>
    <w:p w:rsidR="00596AA8" w:rsidRDefault="00E74C8E" w:rsidP="00FC7A2B">
      <w:pPr>
        <w:spacing w:line="240" w:lineRule="auto"/>
        <w:rPr>
          <w:lang w:val="en-US"/>
        </w:rPr>
      </w:pPr>
      <w:r>
        <w:rPr>
          <w:lang w:val="en-US"/>
        </w:rPr>
        <w:t>The system of interest that we aim to mimic using a colloidal model is viral encapsulation. A simple virus consists of a net negatively charged RNA/DNA core, encapsulated by a net positively charged protein capsid</w:t>
      </w:r>
      <w:r>
        <w:rPr>
          <w:lang w:val="en-US"/>
        </w:rPr>
        <w:fldChar w:fldCharType="begin" w:fldLock="1"/>
      </w:r>
      <w:r w:rsidR="00CF6EE4">
        <w:rPr>
          <w:lang w:val="en-US"/>
        </w:rPr>
        <w:instrText>ADDIN CSL_CITATION { "citationItems" : [ { "id" : "ITEM-1", "itemData" : { "DOI" : "10.1021/acs.accounts.5b00350", "ISSN" : "15204898", "abstract" : "ConspectusViruses are unique among living organisms insofar as they can be reconstituted \u201cfrom scratch\u201d, that is, synthesized from purified components. In the simplest cases, their \u201cparts list\u201d numbers only two: a single molecule of nucleic acid and many (but a very special number, i.e., multiples of 60) copies of a single protein. Indeed, the smallest viral genomes include essentially only two genes, on the order of a thousand times fewer than the next-simplest organisms like bacteria and yeast. For these reasons, it is possible and even fruitful to take a reductionist approach to viruses and to understand how they work in terms of fundamental physical principles.In this Account, we discuss our recent physical chemistry approach to studying the self-assembly of a particular spherical virus (cowpea chlorotic mottle virus) whose reconstitution from RNA and capsid protein has long served as a model for virus assembly. While previous studies have clarified the roles of certain physical (electrostatic, hydrop...", "author" : [ { "dropping-particle" : "", "family" : "Garmann", "given" : "Rees F.", "non-dropping-particle" : "", "parse-names" : false, "suffix" : "" }, { "dropping-particle" : "", "family" : "Comas-Garcia", "given" : "Mauricio", "non-dropping-particle" : "", "parse-names" : false, "suffix" : "" }, { "dropping-particle" : "", "family" : "Knobler", "given" : "Charles M.", "non-dropping-particle" : "", "parse-names" : false, "suffix" : "" }, { "dropping-particle" : "", "family" : "Gelbart", "given" : "William M.", "non-dropping-particle" : "", "parse-names" : false, "suffix" : "" } ], "container-title" : "Accounts of Chemical Research", "id" : "ITEM-1", "issue" : "1", "issued" : { "date-parts" : [ [ "2016" ] ] }, "page" : "48-55", "title" : "Physical Principles in the Self-Assembly of a Simple Spherical Virus", "type" : "article-journal", "volume" : "49" }, "uris" : [ "http://www.mendeley.com/documents/?uuid=ce604380-af93-42d1-8b3c-a9442eaa4321" ] } ], "mendeley" : { "formattedCitation" : "&lt;sup&gt;1&lt;/sup&gt;", "plainTextFormattedCitation" : "1", "previouslyFormattedCitation" : "&lt;sup&gt;1&lt;/sup&gt;" }, "properties" : { "noteIndex" : 0 }, "schema" : "https://github.com/citation-style-language/schema/raw/master/csl-citation.json" }</w:instrText>
      </w:r>
      <w:r>
        <w:rPr>
          <w:lang w:val="en-US"/>
        </w:rPr>
        <w:fldChar w:fldCharType="separate"/>
      </w:r>
      <w:r>
        <w:rPr>
          <w:noProof/>
          <w:vertAlign w:val="superscript"/>
          <w:lang w:val="en-US"/>
        </w:rPr>
        <w:t>1</w:t>
      </w:r>
      <w:r>
        <w:rPr>
          <w:lang w:val="en-US"/>
        </w:rPr>
        <w:fldChar w:fldCharType="end"/>
      </w:r>
      <w:r>
        <w:rPr>
          <w:lang w:val="en-US"/>
        </w:rPr>
        <w:t>. The encapsulation process is physically driven by entropic effects</w:t>
      </w:r>
      <w:r>
        <w:rPr>
          <w:lang w:val="en-US"/>
        </w:rPr>
        <w:fldChar w:fldCharType="begin" w:fldLock="1"/>
      </w:r>
      <w:r w:rsidR="00BA64A2">
        <w:rPr>
          <w:lang w:val="en-US"/>
        </w:rPr>
        <w:instrText>ADDIN CSL_CITATION { "citationItems" : [ { "id" : "ITEM-1", "itemData" : { "DOI" : "10.1088/1367-2630/15/3/035028", "ISSN" : "13672630", "abstract" : "Morphologic diversity is observed across all families of viruses. However, these supra-molecular assemblies are produced most of the time in a spontaneous way through complex molecular self-assembly scenarios. The modeling of these phenomena remains a challenging problem within the emerging field of physical virology. We present in this work a theoretical analysis aiming at highlighting the particular role of configuration entropy in the control of viral particle size distribution. Specializing this model to retroviruses such as HIV-1, we predict a new mechanism of entropic control of both RNA uptake into the viral particle and of the particle's size distribution. Evidence of this peculiar behavior has recently been reported experimentally. \u00a9 IOP Publishing and Deutsche Physikalische Gesellschaft.", "author" : [ { "dropping-particle" : "", "family" : "Castelnovo", "given" : "M.", "non-dropping-particle" : "", "parse-names" : false, "suffix" : "" }, { "dropping-particle" : "", "family" : "Muriaux", "given" : "D.", "non-dropping-particle" : "", "parse-names" : false, "suffix" : "" }, { "dropping-particle" : "", "family" : "Faivre-Moskalenko", "given" : "C.", "non-dropping-particle" : "", "parse-names" : false, "suffix" : "" } ], "container-title" : "New Journal of Physics", "id" : "ITEM-1", "issued" : { "date-parts" : [ [ "2013" ] ] }, "title" : "Entropic control of particle sizes during viral self-assembly", "type" : "article-journal", "volume" : "15" }, "uris" : [ "http://www.mendeley.com/documents/?uuid=00d2f53a-e0ec-42d0-a780-37e62fb3b8e1" ] } ], "mendeley" : { "formattedCitation" : "&lt;sup&gt;15&lt;/sup&gt;", "plainTextFormattedCitation" : "15", "previouslyFormattedCitation" : "&lt;sup&gt;15&lt;/sup&gt;" }, "properties" : { "noteIndex" : 0 }, "schema" : "https://github.com/citation-style-language/schema/raw/master/csl-citation.json" }</w:instrText>
      </w:r>
      <w:r>
        <w:rPr>
          <w:lang w:val="en-US"/>
        </w:rPr>
        <w:fldChar w:fldCharType="separate"/>
      </w:r>
      <w:r w:rsidR="005F77FF" w:rsidRPr="005F77FF">
        <w:rPr>
          <w:noProof/>
          <w:vertAlign w:val="superscript"/>
          <w:lang w:val="en-US"/>
        </w:rPr>
        <w:t>15</w:t>
      </w:r>
      <w:r>
        <w:rPr>
          <w:lang w:val="en-US"/>
        </w:rPr>
        <w:fldChar w:fldCharType="end"/>
      </w:r>
      <w:r>
        <w:rPr>
          <w:lang w:val="en-US"/>
        </w:rPr>
        <w:t>, which arise from the afore mentioned non-covalent interactions</w:t>
      </w:r>
      <w:r>
        <w:rPr>
          <w:lang w:val="en-US"/>
        </w:rPr>
        <w:fldChar w:fldCharType="begin" w:fldLock="1"/>
      </w:r>
      <w:r w:rsidR="00BA64A2">
        <w:rPr>
          <w:lang w:val="en-US"/>
        </w:rPr>
        <w:instrText>ADDIN CSL_CITATION { "citationItems" : [ { "id" : "ITEM-1", "itemData" : { "DOI" : "10.1021/acs.biochem.6b00705", "ISSN" : "15204995", "abstract" : "Complex double-stranded DNA viruses utilize a terminase enzyme to package their genomes into a preassembled procapsid shell. DNA packaging triggers a major conformational change in the proteins assembled into the shell and most often subsequent addition of a decoration protein that is required to stabilize the structure. In bacteriophage \u03bb, DNA packaging drives a procapsid expansion transition to afford a larger but fragile shell. The gpD decoration protein adds to the expanded shell as trimeric spikes at each of the 140 three-fold axes. The spikes provide mechanical strength to the shell such that it can withstand the tremendous internal forces generated by the packaged DNA in addition to environmental insults. Hydrophobic, electrostatic, and aromatic-proline noncovalent interactions have been proposed to mediate gpD trimer spike assembly at the expanded shell surface. Here, we directly examine each of these interactions and demonstrate that hydrophobic interactions play the dominant role. In the course of this study, we unexpectedly found that Trp308 in the \u03bb major capsid protein (gpE) plays a critical role in shell assembly. The gpE-W308A mutation affords a soluble, natively folded protein that does not further assemble into a procapsid shell, despite the fact that it retains binding interactions with the scaffolding protein, the shell assembly chaparone protein. The data support a model in which the \u03bb procapsid shell assembles via cooperative interaction of monomeric capsid proteins, as observed in the herpesviruses and phages such as P22. The significance of the results with respect to capsid assembly, maturation, and stability is discussed.", "author" : [ { "dropping-particle" : "", "family" : "Lambert", "given" : "Shannon", "non-dropping-particle" : "", "parse-names" : false, "suffix" : "" }, { "dropping-particle" : "", "family" : "Yang", "given" : "Qin", "non-dropping-particle" : "", "parse-names" : false, "suffix" : "" }, { "dropping-particle" : "", "family" : "Angeles", "given" : "Rolando", "non-dropping-particle" : "De", "parse-names" : false, "suffix" : "" }, { "dropping-particle" : "", "family" : "Chang", "given" : "Jenny R.", "non-dropping-particle" : "", "parse-names" : false, "suffix" : "" }, { "dropping-particle" : "", "family" : "Ortega", "given" : "Marcos", "non-dropping-particle" : "", "parse-names" : false, "suffix" : "" }, { "dropping-particle" : "", "family" : "Davis", "given" : "Christal", "non-dropping-particle" : "", "parse-names" : false, "suffix" : "" }, { "dropping-particle" : "", "family" : "Catalano", "given" : "Carlos Enrique", "non-dropping-particle" : "", "parse-names" : false, "suffix" : "" } ], "container-title" : "Biochemistry", "id" : "ITEM-1", "issue" : "5", "issued" : { "date-parts" : [ [ "2017" ] ] }, "page" : "767-778", "title" : "Molecular Dissection of the Forces Responsible for Viral Capsid Assembly and Stabilization by Decoration Proteins", "type" : "article-journal", "volume" : "56" }, "uris" : [ "http://www.mendeley.com/documents/?uuid=f2d9defc-fcc3-499b-a3b2-760938c600a6" ] } ], "mendeley" : { "formattedCitation" : "&lt;sup&gt;16&lt;/sup&gt;", "plainTextFormattedCitation" : "16", "previouslyFormattedCitation" : "&lt;sup&gt;16&lt;/sup&gt;" }, "properties" : { "noteIndex" : 0 }, "schema" : "https://github.com/citation-style-language/schema/raw/master/csl-citation.json" }</w:instrText>
      </w:r>
      <w:r>
        <w:rPr>
          <w:lang w:val="en-US"/>
        </w:rPr>
        <w:fldChar w:fldCharType="separate"/>
      </w:r>
      <w:r w:rsidR="005F77FF" w:rsidRPr="005F77FF">
        <w:rPr>
          <w:noProof/>
          <w:vertAlign w:val="superscript"/>
          <w:lang w:val="en-US"/>
        </w:rPr>
        <w:t>16</w:t>
      </w:r>
      <w:r>
        <w:rPr>
          <w:lang w:val="en-US"/>
        </w:rPr>
        <w:fldChar w:fldCharType="end"/>
      </w:r>
      <w:r>
        <w:rPr>
          <w:lang w:val="en-US"/>
        </w:rPr>
        <w:t xml:space="preserve"> and is often fully reversible. The reversibility of the encapsulation primarily arises from pH-sensitive groups on both components, </w:t>
      </w:r>
      <w:r w:rsidR="00A26AB1">
        <w:rPr>
          <w:lang w:val="en-US"/>
        </w:rPr>
        <w:t>as these are</w:t>
      </w:r>
      <w:r>
        <w:rPr>
          <w:lang w:val="en-US"/>
        </w:rPr>
        <w:t xml:space="preserve"> acid and basic chemical functionalities</w:t>
      </w:r>
      <w:r>
        <w:rPr>
          <w:lang w:val="en-US"/>
        </w:rPr>
        <w:fldChar w:fldCharType="begin" w:fldLock="1"/>
      </w:r>
      <w:r w:rsidR="00BA64A2">
        <w:rPr>
          <w:lang w:val="en-US"/>
        </w:rPr>
        <w:instrText>ADDIN CSL_CITATION { "citationItems" : [ { "id" : "ITEM-1", "itemData" : { "DOI" : "10.1016/j.jmb.2013.10.017", "ISSN" : "00222836", "abstract" : "The strength of attraction between capsid proteins (CPs) of cowpea chlorotic mottle virus (CCMV) is controlled by the solution pH. Additionally, the strength of attraction between CP and the single-stranded RNA viral genome is controlled by ionic strength. By exploiting these properties, we are able to control and monitor the in vitro co-assembly of CCMV CP and single-stranded RNA as a function of the strength of CP-CP and CP-RNA attractions. Using the techniques of velocity sedimentation and electron microscopy, we find that the successful assembly of nuclease-resistant virus-like particles (VLPs) depends delicately on the strength of CP-CP attraction relative to CP-RNA attraction. If the attractions are too weak, the capsid cannot form; if they are too strong, the assembly suffers from kinetic traps. Separating the process into two steps - by first turning on CP-RNA attraction and then turning on CP-CP attraction - allows for the assembly of well-formed VLPs under a wide range of attraction strengths. These observations establish a protocol for the efficient in vitro assembly of CCMV VLPs and suggest potential strategies that the virus may employ in vivo.", "author" : [ { "dropping-particle" : "", "family" : "Garmann", "given" : "Rees F.", "non-dropping-particle" : "", "parse-names" : false, "suffix" : "" }, { "dropping-particle" : "", "family" : "Comas-Garcia", "given" : "Mauricio", "non-dropping-particle" : "", "parse-names" : false, "suffix" : "" }, { "dropping-particle" : "", "family" : "Gopal", "given" : "Ajaykumar", "non-dropping-particle" : "", "parse-names" : false, "suffix" : "" }, { "dropping-particle" : "", "family" : "Knobler", "given" : "Charles M.", "non-dropping-particle" : "", "parse-names" : false, "suffix" : "" }, { "dropping-particle" : "", "family" : "Gelbart", "given" : "William M.", "non-dropping-particle" : "", "parse-names" : false, "suffix" : "" } ], "container-title" : "Journal of Molecular Biology", "id" : "ITEM-1", "issue" : "5", "issued" : { "date-parts" : [ [ "2014" ] ] }, "page" : "1050-1060", "publisher" : "Elsevier B.V.", "title" : "The assembly pathway of an icosahedral single-stranded RNA virus depends on the strength of inter-subunit attractions", "type" : "article-journal", "volume" : "426" }, "uris" : [ "http://www.mendeley.com/documents/?uuid=72efccf3-4db8-4d2a-8265-2b0a40727194" ] }, { "id" : "ITEM-2", "itemData" : { "DOI" : "10.1006/viro.2000.0619", "ISSN" : "00426822", "abstract" : "Capsids of spherical viruses share a common architecture: An icosahedral arrangement of identical proteins. We suggest that there may be a limited number of common assembly mechanisms for such viruses. Previous assembly mechanisms were proposed on the basis of virion structure but were not rigorously tested. Here we apply a rigorous analysis of assembly to cowpea chlorotic mottle virus (CCMV), a typical, small, positive-strand RNA virus. The atomic resolution structure of CCMV revealed an interleaving of subunits around the quasi-sixfold vertices, which suggested that capsid assembly was initiated by a hexamer of dimers (Speir et al., 1995, Structure 3, 63-78). However, we find that the capsid protein readily forms pentamers of dimers in solution, based on polymerization kinetics observed by light scattering. Capsid assembly is nucleated by a pentamer, determined from analysis of the extent of assembly by size-exclusion chromatography. Subsequent assembly likely proceeds by the cooperative addition of dimers, leading to the T = 3 icosahedral capsid. At high protein concentrations, the concentration-dependent nucleation reaction causes an overabundance of five-dimer nuclei that can be identified by classical light scattering. In turn these associate to form incomplete capsids and pseudo-T = 2 capsids, assembled by oligomerization of 12 pentamers of dimers. The experimentally derived assembly mechanisms of T = 3 and pseudo-T = 2 CCMV capsids are directly relevant to interpreting the structure and assembly of other T = 3 viruses such as Norwalk virus and pseudo-T = 2 viruses such as the vp3 core of blue tongue virus. (C) 2000 Academic Press.", "author" : [ { "dropping-particle" : "", "family" : "Zlotnick", "given" : "Adam", "non-dropping-particle" : "", "parse-names" : false, "suffix" : "" }, { "dropping-particle" : "", "family" : "Aldrich", "given" : "Ryan", "non-dropping-particle" : "", "parse-names" : false, "suffix" : "" }, { "dropping-particle" : "", "family" : "Johnson", "given" : "Jennifer M.", "non-dropping-particle" : "", "parse-names" : false, "suffix" : "" }, { "dropping-particle" : "", "family" : "Ceres", "given" : "Pablo", "non-dropping-particle" : "", "parse-names" : false, "suffix" : "" }, { "dropping-particle" : "", "family" : "Young", "given" : "Mark J.", "non-dropping-particle" : "", "parse-names" : false, "suffix" : "" } ], "container-title" : "Virology", "id" : "ITEM-2", "issue" : "2", "issued" : { "date-parts" : [ [ "2000" ] ] }, "page" : "450-456", "title" : "Mechanism of capsid assembly for an icosahedral plant virus", "type" : "article-journal", "volume" : "277" }, "uris" : [ "http://www.mendeley.com/documents/?uuid=e4922143-f627-4745-8fc8-7d6a61939a78" ] } ], "mendeley" : { "formattedCitation" : "&lt;sup&gt;17,18&lt;/sup&gt;", "plainTextFormattedCitation" : "17,18", "previouslyFormattedCitation" : "&lt;sup&gt;17,18&lt;/sup&gt;" }, "properties" : { "noteIndex" : 0 }, "schema" : "https://github.com/citation-style-language/schema/raw/master/csl-citation.json" }</w:instrText>
      </w:r>
      <w:r>
        <w:rPr>
          <w:lang w:val="en-US"/>
        </w:rPr>
        <w:fldChar w:fldCharType="separate"/>
      </w:r>
      <w:r w:rsidR="005F77FF" w:rsidRPr="005F77FF">
        <w:rPr>
          <w:noProof/>
          <w:vertAlign w:val="superscript"/>
          <w:lang w:val="en-US"/>
        </w:rPr>
        <w:t>17,18</w:t>
      </w:r>
      <w:r>
        <w:rPr>
          <w:lang w:val="en-US"/>
        </w:rPr>
        <w:fldChar w:fldCharType="end"/>
      </w:r>
      <w:r>
        <w:rPr>
          <w:lang w:val="en-US"/>
        </w:rPr>
        <w:t>. These can change their charge depending on the local pH of the system, which in turn alters the inter-particle interactions.</w:t>
      </w:r>
      <w:r w:rsidR="00A26AB1">
        <w:rPr>
          <w:lang w:val="en-US"/>
        </w:rPr>
        <w:t xml:space="preserve"> </w:t>
      </w:r>
      <w:r w:rsidR="00DE131C">
        <w:rPr>
          <w:lang w:val="en-US"/>
        </w:rPr>
        <w:t>The self-assembly into virus particles goes through different dynamic structures, for which only a few experimental investigations have been performed</w:t>
      </w:r>
      <w:r w:rsidR="00DE131C">
        <w:rPr>
          <w:lang w:val="en-US"/>
        </w:rPr>
        <w:fldChar w:fldCharType="begin" w:fldLock="1"/>
      </w:r>
      <w:r w:rsidR="00FB6101">
        <w:rPr>
          <w:lang w:val="en-US"/>
        </w:rPr>
        <w:instrText>ADDIN CSL_CITATION { "citationItems" : [ { "id" : "ITEM-1", "itemData" : { "DOI" : "10.1038/s41467-018-05426-8", "ISBN" : "4146701805", "ISSN" : "20411723", "abstract" : "The survival of viruses partly relies on their ability to self-assemble inside host cells. Although coarse-grained simulations have identified different pathways leading to assembled virions from their components, experimental evidence is severely lacking. Here, we use time-resolved small-angle X-ray scattering to uncover the nonequilibrium self-assembly dynamics of icosahedral viral capsids packaging their full RNA genome. We reveal the formation of amorphous complexes via an en masse pathway and their relaxation into virions via a synchronous pathway. The binding energy of capsid subunits on the genome is moderate (~7kBT0, with kB the Boltzmann constant and T0 = 298 K, the room temperature), while the energy barrier separating the complexes and the virions is high (~ 20kBT0). A synthetic polyelectrolyte can lower this barrier so that filled capsids are formed in conditions where virions cannot build up. We propose a representation of the dynamics on a free energy landscape.", "author" : [ { "dropping-particle" : "", "family" : "Chevreuil", "given" : "Maelenn", "non-dropping-particle" : "", "parse-names" : false, "suffix" : "" }, { "dropping-particle" : "", "family" : "Law-Hine", "given" : "Didier", "non-dropping-particle" : "", "parse-names" : false, "suffix" : "" }, { "dropping-particle" : "", "family" : "Chen", "given" : "Jingzhi", "non-dropping-particle" : "", "parse-names" : false, "suffix" : "" }, { "dropping-particle" : "", "family" : "Bressanelli", "given" : "St\u00e9phane", "non-dropping-particle" : "", "parse-names" : false, "suffix" : "" }, { "dropping-particle" : "", "family" : "Combet", "given" : "Sophie", "non-dropping-particle" : "", "parse-names" : false, "suffix" : "" }, { "dropping-particle" : "", "family" : "Constantin", "given" : "Doru", "non-dropping-particle" : "", "parse-names" : false, "suffix" : "" }, { "dropping-particle" : "", "family" : "Degrouard", "given" : "J\u00e9ril", "non-dropping-particle" : "", "parse-names" : false, "suffix" : "" }, { "dropping-particle" : "", "family" : "M\u00f6ller", "given" : "Johannes", "non-dropping-particle" : "", "parse-names" : false, "suffix" : "" }, { "dropping-particle" : "", "family" : "Zeghal", "given" : "Mehdi", "non-dropping-particle" : "", "parse-names" : false, "suffix" : "" }, { "dropping-particle" : "", "family" : "Tresset", "given" : "Guillaume", "non-dropping-particle" : "", "parse-names" : false, "suffix" : "" } ], "container-title" : "Nature Communications", "id" : "ITEM-1", "issue" : "1", "issued" : { "date-parts" : [ [ "2018" ] ] }, "page" : "1-9", "publisher" : "Springer US", "title" : "Nonequilibrium self-assembly dynamics of icosahedral viral capsids packaging genome or polyelectrolyte", "type" : "article-journal", "volume" : "9" }, "uris" : [ "http://www.mendeley.com/documents/?uuid=03490d9d-8cb5-479a-a07c-c80241bb2542" ] } ], "mendeley" : { "formattedCitation" : "&lt;sup&gt;19&lt;/sup&gt;", "plainTextFormattedCitation" : "19", "previouslyFormattedCitation" : "&lt;sup&gt;19&lt;/sup&gt;" }, "properties" : { "noteIndex" : 0 }, "schema" : "https://github.com/citation-style-language/schema/raw/master/csl-citation.json" }</w:instrText>
      </w:r>
      <w:r w:rsidR="00DE131C">
        <w:rPr>
          <w:lang w:val="en-US"/>
        </w:rPr>
        <w:fldChar w:fldCharType="separate"/>
      </w:r>
      <w:r w:rsidR="00DE131C" w:rsidRPr="00DE131C">
        <w:rPr>
          <w:noProof/>
          <w:vertAlign w:val="superscript"/>
          <w:lang w:val="en-US"/>
        </w:rPr>
        <w:t>19</w:t>
      </w:r>
      <w:r w:rsidR="00DE131C">
        <w:rPr>
          <w:lang w:val="en-US"/>
        </w:rPr>
        <w:fldChar w:fldCharType="end"/>
      </w:r>
      <w:r w:rsidR="00DE131C">
        <w:rPr>
          <w:lang w:val="en-US"/>
        </w:rPr>
        <w:t xml:space="preserve">. Due to the non-equilibrium nature of this process, it is has proven difficult to uncover these dynamic structures. Modelling this system using a static colloidal process thus provides more control over the different parameters. </w:t>
      </w:r>
    </w:p>
    <w:p w:rsidR="00FC7A2B" w:rsidRDefault="00E74C8E" w:rsidP="00FC7A2B">
      <w:pPr>
        <w:spacing w:line="240" w:lineRule="auto"/>
        <w:rPr>
          <w:lang w:val="en-US"/>
        </w:rPr>
      </w:pPr>
      <w:r>
        <w:rPr>
          <w:lang w:val="en-US"/>
        </w:rPr>
        <w:t xml:space="preserve">Additionally, simulations have shown that anisotropic patchy particles, can </w:t>
      </w:r>
      <w:r w:rsidR="00A26AB1">
        <w:rPr>
          <w:lang w:val="en-US"/>
        </w:rPr>
        <w:t xml:space="preserve">reversibly </w:t>
      </w:r>
      <w:r>
        <w:rPr>
          <w:lang w:val="en-US"/>
        </w:rPr>
        <w:t>self-assemble into structures that resemble empty virus capsids</w:t>
      </w:r>
      <w:r>
        <w:fldChar w:fldCharType="begin" w:fldLock="1"/>
      </w:r>
      <w:r w:rsidR="00FB6101">
        <w:rPr>
          <w:lang w:val="en-US"/>
        </w:rPr>
        <w:instrText>ADDIN CSL_CITATION { "citationItems" : [ { "id" : "ITEM-1", "itemData" : { "DOI" : "10.1063/1.2759922", "ISSN" : "00219606", "abstract" : "We systematically study the design of simple patchy sphere models that reversibly self-assemble into monodisperse icosahedral clusters. We find that the optimal patch width is a compromise between structural specificity (the patches must be narrow enough to energetically select the desired clusters) and kinetic accessibility (they must be sufficiently wide to avoid kinetic traps). Similarly, for good yields the temperature must be low enough for the clusters to be thermodynamically stable, but the clusters must also have enough thermal energy to allow incorrectly formed bonds to be broken. Ordered clusters can form through a number of different dynamic pathways, including direct nucleation and indirect pathways involving large disordered intermediates. The latter pathway is related to a reentrant liquid-to-gas transition that occurs for intermediate patch widths upon lowering the temperature. We also find that the assembly process is robust to inaccurate patch placement up to a certain threshold and that it is possible to replace the five discrete patches with a single ring patch with no significant loss in yield. \u00a9 2007 American Institute of Physics.", "author" : [ { "dropping-particle" : "", "family" : "Wilber", "given" : "Alex W.", "non-dropping-particle" : "", "parse-names" : false, "suffix" : "" }, { "dropping-particle" : "", "family" : "Doye", "given" : "Jonathan P.K.", "non-dropping-particle" : "", "parse-names" : false, "suffix" : "" }, { "dropping-particle" : "", "family" : "Louis", "given" : "Ard A.", "non-dropping-particle" : "", "parse-names" : false, "suffix" : "" }, { "dropping-particle" : "", "family" : "Noya", "given" : "Eva G.", "non-dropping-particle" : "", "parse-names" : false, "suffix" : "" }, { "dropping-particle" : "", "family" : "Miller", "given" : "Mark A.", "non-dropping-particle" : "", "parse-names" : false, "suffix" : "" }, { "dropping-particle" : "", "family" : "Wong", "given" : "Pauline", "non-dropping-particle" : "", "parse-names" : false, "suffix" : "" } ], "container-title" : "Journal of Chemical Physics", "id" : "ITEM-1", "issue" : "8", "issued" : { "date-parts" : [ [ "2007" ] ] }, "title" : "Reversible self-assembly of patchy particles into monodisperse icosahedral clusters", "type" : "article-journal", "volume" : "127" }, "uris" : [ "http://www.mendeley.com/documents/?uuid=52f3f06a-2db7-419e-866d-533e800ee9fa" ] } ], "mendeley" : { "formattedCitation" : "&lt;sup&gt;20&lt;/sup&gt;", "plainTextFormattedCitation" : "20", "previouslyFormattedCitation" : "&lt;sup&gt;20&lt;/sup&gt;" }, "properties" : { "noteIndex" : 0 }, "schema" : "https://github.com/citation-style-language/schema/raw/master/csl-citation.json" }</w:instrText>
      </w:r>
      <w:r>
        <w:fldChar w:fldCharType="separate"/>
      </w:r>
      <w:r w:rsidR="00DE131C" w:rsidRPr="00DE131C">
        <w:rPr>
          <w:noProof/>
          <w:vertAlign w:val="superscript"/>
          <w:lang w:val="en-US"/>
        </w:rPr>
        <w:t>20</w:t>
      </w:r>
      <w:r>
        <w:fldChar w:fldCharType="end"/>
      </w:r>
      <w:r>
        <w:rPr>
          <w:lang w:val="en-US"/>
        </w:rPr>
        <w:t>. Also, these anisotropic patchy particles can be used to encapsulate a core particle</w:t>
      </w:r>
      <w:r w:rsidR="008D44E1">
        <w:rPr>
          <w:lang w:val="en-US"/>
        </w:rPr>
        <w:t xml:space="preserve">. This </w:t>
      </w:r>
      <w:r>
        <w:rPr>
          <w:lang w:val="en-US"/>
        </w:rPr>
        <w:t>simulate</w:t>
      </w:r>
      <w:r w:rsidR="008D44E1">
        <w:rPr>
          <w:lang w:val="en-US"/>
        </w:rPr>
        <w:t>s</w:t>
      </w:r>
      <w:r>
        <w:rPr>
          <w:lang w:val="en-US"/>
        </w:rPr>
        <w:t xml:space="preserve"> the encapsulation of a virus capsid around a spherical substrate</w:t>
      </w:r>
      <w:r>
        <w:rPr>
          <w:lang w:val="en-US"/>
        </w:rPr>
        <w:fldChar w:fldCharType="begin" w:fldLock="1"/>
      </w:r>
      <w:r w:rsidR="00FB6101">
        <w:rPr>
          <w:lang w:val="en-US"/>
        </w:rPr>
        <w:instrText>ADDIN CSL_CITATION { "citationItems" : [ { "id" : "ITEM-1", "itemData" : { "DOI" : "10.1039/c6cp04704a", "ISSN" : "14639076", "abstract" : "We study by Monte Carlo simulation the coating process of colloidal dimers onto spherical nanoparticles. To this end we investigate a simplified mixture of hard spheres (the guest particles) and hard dimers formed by two tangent spheres of different sizes (the encapsulating agents) in an implicit-solvent representation; in our scheme, the range of effective interactions between the smaller particle in a dimer and a guest sphere depends on their relative size. By tuning the size and concentration of guests, under overall dilute conditions a rich phase behavior emerges: for small sizes and/or low concentrations, the preferred arrangement is compact aggregates (capsules) of variable sizes, where one or few guest particles are coated with dimers; for larger sizes and moderate guest concentrations, other scenarios are realized, including equilibrium separation between a guest-rich and a guest-poor phase. Our results serve as a framework for a more systematic investigation of self-assembled structures of functionalized dimers capable of encapsulating target particles, like for instance bioactive substances in a colloidal dispersion.", "author" : [ { "dropping-particle" : "", "family" : "Muna\u00f2", "given" : "Gianmarco", "non-dropping-particle" : "", "parse-names" : false, "suffix" : "" }, { "dropping-particle" : "", "family" : "Costa", "given" : "Dino", "non-dropping-particle" : "", "parse-names" : false, "suffix" : "" }, { "dropping-particle" : "", "family" : "Prestipino", "given" : "Santi", "non-dropping-particle" : "", "parse-names" : false, "suffix" : "" }, { "dropping-particle" : "", "family" : "Caccamo", "given" : "Carlo", "non-dropping-particle" : "", "parse-names" : false, "suffix" : "" } ], "container-title" : "Physical Chemistry Chemical Physics", "id" : "ITEM-1", "issue" : "36", "issued" : { "date-parts" : [ [ "2016" ] ] }, "page" : "24922-24930", "title" : "Encapsulation of spherical nanoparticles by colloidal dimers", "type" : "article-journal", "volume" : "18" }, "uris" : [ "http://www.mendeley.com/documents/?uuid=1c22bba5-baab-49cf-a88d-7280e562cee8" ] } ], "mendeley" : { "formattedCitation" : "&lt;sup&gt;21&lt;/sup&gt;", "plainTextFormattedCitation" : "21", "previouslyFormattedCitation" : "&lt;sup&gt;21&lt;/sup&gt;"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21</w:t>
      </w:r>
      <w:r>
        <w:rPr>
          <w:lang w:val="en-US"/>
        </w:rPr>
        <w:fldChar w:fldCharType="end"/>
      </w:r>
      <w:r>
        <w:rPr>
          <w:lang w:val="en-US"/>
        </w:rPr>
        <w:t>. In both pH-responsive and anisotropic patchy systems, a directing force, either charge or morphology, introduces specific interactions between the heteroaggregating particles.</w:t>
      </w:r>
    </w:p>
    <w:p w:rsidR="008D44E1" w:rsidRDefault="00E74C8E" w:rsidP="00FC7A2B">
      <w:pPr>
        <w:spacing w:line="240" w:lineRule="auto"/>
        <w:rPr>
          <w:lang w:val="fr-FR"/>
        </w:rPr>
      </w:pPr>
      <w:r>
        <w:rPr>
          <w:lang w:val="en-US"/>
        </w:rPr>
        <w:t xml:space="preserve">pH-responsive self-assembly systems reported in literature commonly use heteroaggregation as a synthetic strategy to build the desired macrostructures. </w:t>
      </w:r>
      <w:r>
        <w:rPr>
          <w:lang w:val="fr-FR"/>
        </w:rPr>
        <w:t>Hui et al.</w:t>
      </w:r>
      <w:r>
        <w:rPr>
          <w:lang w:val="en-US"/>
        </w:rPr>
        <w:fldChar w:fldCharType="begin" w:fldLock="1"/>
      </w:r>
      <w:r w:rsidR="00FB6101">
        <w:rPr>
          <w:lang w:val="fr-FR"/>
        </w:rPr>
        <w:instrText>ADDIN CSL_CITATION { "citationItems" : [ { "id" : "ITEM-1", "itemData" : { "DOI" : "10.1016/j.jcis.2008.05.035", "ISSN" : "00219797", "abstract" : "This work involves an investigation of pH-triggered heteroaggregation and gelation within mixed dispersions of polystyrene (PS) and pigment particles. The PS particles were stabilised by a carboxylated alkyl ethoxylate surfactant which is pH-responsive. The pigment used was \u03b2-copper phthalocyanine. The pigment particles contained a co-surfactant system consisting of the carboxylated alkyl ethoxylate and a non-ionic surfactant. The latter was a \u03b2-naphthol ethoxylate. The PS and pigment particles were characterised using SEM, TEM, photon correlation spectroscopy and electrophoretic mobility measurements. The PS dispersions exhibited pH-triggered aggregation when the pH was decreased to below a critical value (pHcrit), which was 1.9. Concentrated PS dispersions formed stable particle gels at pH values less than or equal to pHcrit. Dilute pigment dispersions were found to have a pHcrit of 3.45. However, concentrated pigment dispersions did not form gels when the pH was decreased to below pHcrit. A phase diagram for the mixed dispersions was constructed which showed a gel phase existed at pH values between 2.0 and 3.0, which corresponds to a pH region higher than pHcrit for the PS particles. This implicates PS-pigment inter-particle bonds in the gel structure. The heteroaggregate gels were investigated using dynamic rheological measurements and it was apparent that the highest elastic modulus values were obtained in the pH range of approximately 2 to 3. SEM images provided evidence of heteroaggregates with diameters of a few micrometers. These primary heteroaggregates are suggested to be the network forming unit for the gels formed in mixed dispersions. The data from the study are used to propose a conceptual model for the structure of the heteroaggregate gels. \u00a9 2008 Elsevier Inc. All rights reserved.", "author" : [ { "dropping-particle" : "", "family" : "Hui", "given" : "Dave", "non-dropping-particle" : "", "parse-names" : false, "suffix" : "" }, { "dropping-particle" : "", "family" : "Nawaz", "given" : "Mohammed", "non-dropping-particle" : "", "parse-names" : false, "suffix" : "" }, { "dropping-particle" : "", "family" : "Morris", "given" : "Daniel P.", "non-dropping-particle" : "", "parse-names" : false, "suffix" : "" }, { "dropping-particle" : "", "family" : "Edwards", "given" : "Martin R.", "non-dropping-particle" : "", "parse-names" : false, "suffix" : "" }, { "dropping-particle" : "", "family" : "Saunders", "given" : "Brian R.", "non-dropping-particle" : "", "parse-names" : false, "suffix" : "" } ], "container-title" : "Journal of Colloid and Interface Science", "id" : "ITEM-1", "issue" : "1-2", "issued" : { "date-parts" : [ [ "2008" ] ] }, "page" : "110-117", "title" : "Study of pH-triggered heteroaggregation and gel formation within mixed dispersions", "type" : "article-journal", "volume" : "324" }, "uris" : [ "http://www.mendeley.com/documents/?uuid=066be9b7-5d23-4472-948d-267e932f9593" ] } ], "mendeley" : { "formattedCitation" : "&lt;sup&gt;22&lt;/sup&gt;", "plainTextFormattedCitation" : "22", "previouslyFormattedCitation" : "&lt;sup&gt;22&lt;/sup&gt;" }, "properties" : { "noteIndex" : 0 }, "schema" : "https://github.com/citation-style-language/schema/raw/master/csl-citation.json" }</w:instrText>
      </w:r>
      <w:r>
        <w:rPr>
          <w:lang w:val="en-US"/>
        </w:rPr>
        <w:fldChar w:fldCharType="separate"/>
      </w:r>
      <w:r w:rsidR="00DE131C" w:rsidRPr="00DE131C">
        <w:rPr>
          <w:noProof/>
          <w:vertAlign w:val="superscript"/>
          <w:lang w:val="fr-FR"/>
        </w:rPr>
        <w:t>22</w:t>
      </w:r>
      <w:r>
        <w:rPr>
          <w:lang w:val="en-US"/>
        </w:rPr>
        <w:fldChar w:fldCharType="end"/>
      </w:r>
      <w:r>
        <w:rPr>
          <w:lang w:val="fr-FR"/>
        </w:rPr>
        <w:t xml:space="preserve"> used a mixed dispersion of carboxylated polystyrene particles and sterically stabilized carboxylated pigment particles to form different kinds of macrostructures. </w:t>
      </w:r>
    </w:p>
    <w:p w:rsidR="00E74C8E" w:rsidRDefault="00E74C8E" w:rsidP="00FC7A2B">
      <w:pPr>
        <w:spacing w:line="240" w:lineRule="auto"/>
        <w:rPr>
          <w:lang w:val="en-US"/>
        </w:rPr>
      </w:pPr>
      <w:r>
        <w:rPr>
          <w:lang w:val="en-US"/>
        </w:rPr>
        <w:lastRenderedPageBreak/>
        <w:t xml:space="preserve">They showed that depending on </w:t>
      </w:r>
      <w:r w:rsidR="008D44E1">
        <w:rPr>
          <w:lang w:val="en-US"/>
        </w:rPr>
        <w:t xml:space="preserve">the </w:t>
      </w:r>
      <w:r>
        <w:rPr>
          <w:lang w:val="en-US"/>
        </w:rPr>
        <w:t xml:space="preserve">pH </w:t>
      </w:r>
      <w:r w:rsidR="008D44E1">
        <w:rPr>
          <w:lang w:val="en-US"/>
        </w:rPr>
        <w:t xml:space="preserve">of the dispersion </w:t>
      </w:r>
      <w:r>
        <w:rPr>
          <w:lang w:val="en-US"/>
        </w:rPr>
        <w:t xml:space="preserve">and volume fraction of the particles, the system </w:t>
      </w:r>
      <w:r w:rsidR="002B2948">
        <w:rPr>
          <w:lang w:val="en-US"/>
        </w:rPr>
        <w:t xml:space="preserve">either </w:t>
      </w:r>
      <w:r>
        <w:rPr>
          <w:lang w:val="en-US"/>
        </w:rPr>
        <w:t>forms a liquid or a gel-like material. Snoswell et al.</w:t>
      </w:r>
      <w:r>
        <w:rPr>
          <w:lang w:val="en-US"/>
        </w:rPr>
        <w:fldChar w:fldCharType="begin" w:fldLock="1"/>
      </w:r>
      <w:r w:rsidR="00FB6101">
        <w:rPr>
          <w:lang w:val="en-US"/>
        </w:rPr>
        <w:instrText>ADDIN CSL_CITATION { "citationItems" : [ { "id" : "ITEM-1", "itemData" : { "DOI" : "10.1002/adma.200601824", "ISSN" : "09359648", "author" : [ { "dropping-particle" : "", "family" : "Snoswell", "given" : "David R.E.", "non-dropping-particle" : "", "parse-names" : false, "suffix" : "" }, { "dropping-particle" : "", "family" : "Brill", "given" : "Robert K.", "non-dropping-particle" : "", "parse-names" : false, "suffix" : "" }, { "dropping-particle" : "", "family" : "Vincent", "given" : "Brian", "non-dropping-particle" : "", "parse-names" : false, "suffix" : "" } ], "container-title" : "Advanced Materials", "id" : "ITEM-1", "issue" : "11", "issued" : { "date-parts" : [ [ "2007" ] ] }, "page" : "1523-1527", "title" : "pH-responsive microrods produced by electric-field-induced aggregation of colloidal particles", "type" : "article-journal", "volume" : "19" }, "uris" : [ "http://www.mendeley.com/documents/?uuid=da93192e-6032-403b-b281-4f61b128c451" ] } ], "mendeley" : { "formattedCitation" : "&lt;sup&gt;23&lt;/sup&gt;", "plainTextFormattedCitation" : "23", "previouslyFormattedCitation" : "&lt;sup&gt;23&lt;/sup&gt;"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23</w:t>
      </w:r>
      <w:r>
        <w:rPr>
          <w:lang w:val="en-US"/>
        </w:rPr>
        <w:fldChar w:fldCharType="end"/>
      </w:r>
      <w:r>
        <w:rPr>
          <w:lang w:val="en-US"/>
        </w:rPr>
        <w:t xml:space="preserve"> used a combination of large negatively charged polystyrene particles and pH-responsive positively charged microgels to form a pH-responsive string. In these strings, microgels are used as bridges between the large polystyrene particles. Microgels are soft particles, meaning that they can</w:t>
      </w:r>
      <w:r w:rsidR="002B2948">
        <w:rPr>
          <w:lang w:val="en-US"/>
        </w:rPr>
        <w:t xml:space="preserve"> either</w:t>
      </w:r>
      <w:r>
        <w:rPr>
          <w:lang w:val="en-US"/>
        </w:rPr>
        <w:t xml:space="preserve"> swell or shrink</w:t>
      </w:r>
      <w:r w:rsidR="002B2948">
        <w:rPr>
          <w:lang w:val="en-US"/>
        </w:rPr>
        <w:t>,</w:t>
      </w:r>
      <w:r>
        <w:rPr>
          <w:lang w:val="en-US"/>
        </w:rPr>
        <w:t xml:space="preserve"> depending</w:t>
      </w:r>
      <w:r w:rsidR="002B2948">
        <w:rPr>
          <w:lang w:val="en-US"/>
        </w:rPr>
        <w:t xml:space="preserve">, for example, </w:t>
      </w:r>
      <w:r>
        <w:rPr>
          <w:lang w:val="en-US"/>
        </w:rPr>
        <w:t>on the charge density present over the particle. At low pH, or high positive charge density, the microgels increase in size, meaning that the string size can be tuned by changing the pH. These two reports use similar quantities of both particles to make heteroaggregates, leading to network-like structures. To model encapsulation, a smaller particle should be present in a large excess, to completely cover the surface of the larger particle. Zanini et al.</w:t>
      </w:r>
      <w:r>
        <w:rPr>
          <w:lang w:val="en-US"/>
        </w:rPr>
        <w:fldChar w:fldCharType="begin" w:fldLock="1"/>
      </w:r>
      <w:r w:rsidR="00FB6101">
        <w:rPr>
          <w:lang w:val="en-US"/>
        </w:rPr>
        <w:instrText>ADDIN CSL_CITATION { "citationItems" : [ { "id" : "ITEM-1", "itemData" : { "DOI" : "10.1016/j.colsurfa.2017.05.084", "ISSN" : "18734359", "abstract" : "Colloidal particles are normally considered to be topographically smooth and chemically uniform (down to the nanoscale). Nevertheless, surface heterogeneities do exist and have a strong impact on the particles\u2019 behaviour, especially at interfaces. Surface properties for instance define the wetting of colloids, a process not only of fundamental interest, but also highly relevant for applications, e.g. in the Pickering stabilization of emulsions and foams. In particular, the effect of surface roughness has recently gained increasing interest due to the potential of rough particles to stabilize emulsions and foams more effectively, as well as from a more fundamental point of view in relation to the generation of capillary forces useful for particle assembly. In this work, we present a synthetic pathway for the fabrication of all-silica model rough particles with tuneable and controlled surface roughness and surface chemistry over a broad size range. Additionally, the fabrication of raspberry-like particles with soft asperities is proposed. These experiments have the aim to provide clear, robust and straightforward approaches to realise model systems for the investigation of particle surface roughness-related issues in soft matter.", "author" : [ { "dropping-particle" : "", "family" : "Zanini", "given" : "Michele", "non-dropping-particle" : "", "parse-names" : false, "suffix" : "" }, { "dropping-particle" : "", "family" : "Hsu", "given" : "Chiao Peng", "non-dropping-particle" : "", "parse-names" : false, "suffix" : "" }, { "dropping-particle" : "", "family" : "Magrini", "given" : "Tommaso", "non-dropping-particle" : "", "parse-names" : false, "suffix" : "" }, { "dropping-particle" : "", "family" : "Marini", "given" : "Emanuele", "non-dropping-particle" : "", "parse-names" : false, "suffix" : "" }, { "dropping-particle" : "", "family" : "Isa", "given" : "Lucio", "non-dropping-particle" : "", "parse-names" : false, "suffix" : "" } ], "container-title" : "Colloids and Surfaces A: Physicochemical and Engineering Aspects", "id" : "ITEM-1", "issue" : "May", "issued" : { "date-parts" : [ [ "2017" ] ] }, "page" : "116-124", "publisher" : "Elsevier", "title" : "Fabrication of rough colloids by heteroaggregation", "type" : "article-journal", "volume" : "532" }, "uris" : [ "http://www.mendeley.com/documents/?uuid=d78f8518-12c0-40d7-8e67-2e7acab2f708" ] } ], "mendeley" : { "formattedCitation" : "&lt;sup&gt;24&lt;/sup&gt;", "plainTextFormattedCitation" : "24", "previouslyFormattedCitation" : "&lt;sup&gt;24&lt;/sup&gt;"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24</w:t>
      </w:r>
      <w:r>
        <w:rPr>
          <w:lang w:val="en-US"/>
        </w:rPr>
        <w:fldChar w:fldCharType="end"/>
      </w:r>
      <w:r>
        <w:rPr>
          <w:lang w:val="en-US"/>
        </w:rPr>
        <w:t xml:space="preserve"> showed that raspberry like particles with soft asperities could be synthesized with different surface roughness depending on pH. This system uses hydrophobic interactions as the main force of attraction, as a large polystyrene sphere is encapsulated by smaller soft pH-responsive microgels. The size of the microgel changes depending on pH, resulting in different sizes of the asperities on the polystyrene surface at different pH values. In their work, the encapsulation of the polystyrene particle could not be reversed, only the surface roughness could be tuned. </w:t>
      </w:r>
    </w:p>
    <w:p w:rsidR="00D07486" w:rsidRDefault="00E74C8E" w:rsidP="00FC7A2B">
      <w:pPr>
        <w:spacing w:line="240" w:lineRule="auto"/>
        <w:rPr>
          <w:lang w:val="en-US"/>
        </w:rPr>
      </w:pPr>
      <w:r>
        <w:rPr>
          <w:lang w:val="en-US"/>
        </w:rPr>
        <w:t>Guo et al.</w:t>
      </w:r>
      <w:r>
        <w:rPr>
          <w:lang w:val="en-US"/>
        </w:rPr>
        <w:fldChar w:fldCharType="begin" w:fldLock="1"/>
      </w:r>
      <w:r w:rsidR="00FB6101">
        <w:rPr>
          <w:lang w:val="en-US"/>
        </w:rPr>
        <w:instrText>ADDIN CSL_CITATION { "citationItems" : [ { "id" : "ITEM-1", "itemData" : { "DOI" : "10.1021/acs.langmuir.7b00845", "ISSN" : "15205827", "PMID" : "28419800", "abstract" : "We report the first example of reversible encapsulation of micron-sized particles by oppositely charged submicron smaller colloids. The reversibility of this encapsulation process is regulated by pH-responsive poly(acrylic acid) (PAA) present in solution. The competitive adsorption between the small colloids and the poly(acrylic acid) on the surface of the large colloids plays a key role in the encapsulation behavior of the system. pH offers an experimental knob to tune the electrostatic interactions between the two oppositely charged particle species via regulation of the charge density of the poly(acrylic acid). This results in an increased surface coverage of the large colloids by the smaller colloids when decreasing pH. Furthermore, the poly(acrylic acid) also acts as a steric barrier limiting the strength of the attractive forces between the oppositely charged particle species, thereby enabling detachment of the smaller colloids. Finally, based on the pH tunability of the encapsulation behavior and the ability of the small colloids to detach, reversible encapsulation is achieved by cycling pH in the presence of the PAA polyelectrolytes. The role of polyelectrolytes revealed in this work provides a new and facile strategy to control heteroaggregation behavior between oppositely charged colloids, paving the way to prepare sophisticated hierarchical assemblies.", "author" : [ { "dropping-particle" : "", "family" : "Guo", "given" : "Yong", "non-dropping-particle" : "", "parse-names" : false, "suffix" : "" }, { "dropping-particle" : "", "family" : "Ravensteijn", "given" : "Bas G.P.", "non-dropping-particle" : "Van", "parse-names" : false, "suffix" : "" }, { "dropping-particle" : "", "family" : "Evers", "given" : "Chris H.J.", "non-dropping-particle" : "", "parse-names" : false, "suffix" : "" }, { "dropping-particle" : "", "family" : "Kegel", "given" : "Willem K.", "non-dropping-particle" : "", "parse-names" : false, "suffix" : "" } ], "container-title" : "Langmuir", "id" : "ITEM-1", "issue" : "18", "issued" : { "date-parts" : [ [ "2017" ] ] }, "page" : "4551-4558", "title" : "pH Reversible Encapsulation of Oppositely Charged Colloids Mediated by Polyelectrolytes", "type" : "article-journal", "volume" : "33" }, "uris" : [ "http://www.mendeley.com/documents/?uuid=d9105bab-9100-4274-8259-b63a4501d278" ] } ], "mendeley" : { "formattedCitation" : "&lt;sup&gt;25&lt;/sup&gt;", "plainTextFormattedCitation" : "25", "previouslyFormattedCitation" : "&lt;sup&gt;25&lt;/sup&gt;"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25</w:t>
      </w:r>
      <w:r>
        <w:rPr>
          <w:lang w:val="en-US"/>
        </w:rPr>
        <w:fldChar w:fldCharType="end"/>
      </w:r>
      <w:r>
        <w:rPr>
          <w:lang w:val="en-US"/>
        </w:rPr>
        <w:t xml:space="preserve"> reported the first example of pH-reversible encapsulation of oppositely charged colloids, mediated by polyelectrolytes. In this work, two of the three components can change the magnitude of their charge by changing the pH, the polyelectrolyte and the smaller particles. This polyelectrolyte mediates the </w:t>
      </w:r>
      <w:r w:rsidR="00AD6F1D">
        <w:rPr>
          <w:lang w:val="en-US"/>
        </w:rPr>
        <w:t>adsorption</w:t>
      </w:r>
      <w:r>
        <w:rPr>
          <w:lang w:val="en-US"/>
        </w:rPr>
        <w:t xml:space="preserve"> of carboxylic acid functionalized small polystyrene particles (D = 450 nm) to a permanently positively charged larger polystyrene particle (D = 5 </w:t>
      </w:r>
      <w:r>
        <w:rPr>
          <w:rFonts w:cstheme="minorHAnsi"/>
          <w:lang w:val="en-US"/>
        </w:rPr>
        <w:t>µ</w:t>
      </w:r>
      <w:r>
        <w:rPr>
          <w:lang w:val="en-US"/>
        </w:rPr>
        <w:t xml:space="preserve">m). At low pH, clusters are formed, while at higher pH, these clusters disassemble, displaying the pH driven reversibility of the system. This pH-cycle could be repeated three times, after which the whole dispersion aggregates because of the resulting high ionic strength. </w:t>
      </w:r>
    </w:p>
    <w:p w:rsidR="00E74C8E" w:rsidRDefault="00E74C8E" w:rsidP="00FC7A2B">
      <w:pPr>
        <w:spacing w:line="240" w:lineRule="auto"/>
        <w:rPr>
          <w:lang w:val="en-US"/>
        </w:rPr>
      </w:pPr>
      <w:r>
        <w:rPr>
          <w:lang w:val="en-US"/>
        </w:rPr>
        <w:t xml:space="preserve">Besides pH-driven self-assembly, also, the anisotropic nature of particles can be used to offer directionality in the self-assembly process. Experimental investigations on anisotropic patchy particles resulted in promising systems for the modelling of self-assembly and encapsulation processes. </w:t>
      </w:r>
      <w:r>
        <w:rPr>
          <w:lang w:val="de-DE"/>
        </w:rPr>
        <w:t>Kraft et al.</w:t>
      </w:r>
      <w:r>
        <w:rPr>
          <w:lang w:val="en-US"/>
        </w:rPr>
        <w:fldChar w:fldCharType="begin" w:fldLock="1"/>
      </w:r>
      <w:r w:rsidR="00FB6101">
        <w:rPr>
          <w:lang w:val="de-DE"/>
        </w:rPr>
        <w:instrText>ADDIN CSL_CITATION { "citationItems" : [ { "id" : "ITEM-1", "itemData" : { "DOI" : "10.1073/pnas.1116820109", "ISSN" : "00278424", "abstract" : "Colloidal particles with site-specific directional interactions, so called \"patchy particles\", are promising candidates for bottomup assembly routes towards complex structures with rationally designed properties. Here we present an experimental realization of patchy colloidal particles based on material independent depletion interaction and surface roughness. Curved, smooth patches on rough colloids are shown to be exclusively attractive due to their different overlap volumes. We discuss in detail the case of colloids with one patch that serves as a model for molecular surfactants both with respect to their geometry and their interactions. These one-patch particles assemble into clusters that resemble surfactant micelles with the smooth and attractive sides of the colloids located at the interior. We term these clusters \"colloidal micelles\". Direct Monte Carlo simulations starting from a homogeneous state give rise to cluster size distributions that are in good agreement with those found in experiments. Important differences with surfactant micelles originate from the colloidal character of our model system and are investigated by simulations and addressed theoretically. Our new \"patchy\" model system opens up the possibility for self-assembly studies into finite-sized superstructures as well as crystals with as of yet inaccessible structures.", "author" : [ { "dropping-particle" : "", "family" : "Kraft", "given" : "Daniela J.", "non-dropping-particle" : "", "parse-names" : false, "suffix" : "" }, { "dropping-particle" : "", "family" : "Ni", "given" : "Ran", "non-dropping-particle" : "", "parse-names" : false, "suffix" : "" }, { "dropping-particle" : "", "family" : "Smallenburg", "given" : "Frank", "non-dropping-particle" : "", "parse-names" : false, "suffix" : "" }, { "dropping-particle" : "", "family" : "Hermes", "given" : "Michiel", "non-dropping-particle" : "", "parse-names" : false, "suffix" : "" }, { "dropping-particle" : "", "family" : "Yoon", "given" : "Kisun", "non-dropping-particle" : "", "parse-names" : false, "suffix" : "" }, { "dropping-particle" : "", "family" : "Weitz", "given" : "David A.", "non-dropping-particle" : "", "parse-names" : false, "suffix" : "" }, { "dropping-particle" : "", "family" : "Blaaderen", "given" : "Alfons", "non-dropping-particle" : "Van", "parse-names" : false, "suffix" : "" }, { "dropping-particle" : "", "family" : "Groenewold", "given" : "Jan", "non-dropping-particle" : "", "parse-names" : false, "suffix" : "" }, { "dropping-particle" : "", "family" : "Dijkstra", "given" : "Marjolein", "non-dropping-particle" : "", "parse-names" : false, "suffix" : "" }, { "dropping-particle" : "", "family" : "Kegel", "given" : "Willem K.", "non-dropping-particle" : "", "parse-names" : false, "suffix" : "" } ], "container-title" : "Proceedings of the National Academy of Sciences of the United States of America", "id" : "ITEM-1", "issue" : "27", "issued" : { "date-parts" : [ [ "2012" ] ] }, "page" : "10787-10792", "title" : "Surface roughness directed self-assembly of patchy particles into colloidal micelles", "type" : "article-journal", "volume" : "109" }, "uris" : [ "http://www.mendeley.com/documents/?uuid=b9cd336d-eff5-4bb3-ae6d-c8c4cf9e0633" ] } ], "mendeley" : { "formattedCitation" : "&lt;sup&gt;26&lt;/sup&gt;", "plainTextFormattedCitation" : "26", "previouslyFormattedCitation" : "&lt;sup&gt;26&lt;/sup&gt;" }, "properties" : { "noteIndex" : 0 }, "schema" : "https://github.com/citation-style-language/schema/raw/master/csl-citation.json" }</w:instrText>
      </w:r>
      <w:r>
        <w:rPr>
          <w:lang w:val="en-US"/>
        </w:rPr>
        <w:fldChar w:fldCharType="separate"/>
      </w:r>
      <w:r w:rsidR="00DE131C" w:rsidRPr="00DE131C">
        <w:rPr>
          <w:noProof/>
          <w:vertAlign w:val="superscript"/>
          <w:lang w:val="de-DE"/>
        </w:rPr>
        <w:t>26</w:t>
      </w:r>
      <w:r>
        <w:rPr>
          <w:lang w:val="en-US"/>
        </w:rPr>
        <w:fldChar w:fldCharType="end"/>
      </w:r>
      <w:r>
        <w:rPr>
          <w:lang w:val="de-DE"/>
        </w:rPr>
        <w:t xml:space="preserve"> used a system consisting of a depletant and dumbbells, of which one lobe is smooth (attractive) and the other patchy (repulsive). </w:t>
      </w:r>
      <w:r>
        <w:rPr>
          <w:lang w:val="en-US"/>
        </w:rPr>
        <w:t xml:space="preserve">This way, they observed the formation of what they called ‘colloidal micelles’, of which the size distribution was in good agreement with Monte Carlo simulations. The anisotropic nature of the dumbbell and the specific interaction between the different lobes offer the selective directionality in the interactions for this colloidal self-assembly system. </w:t>
      </w:r>
    </w:p>
    <w:p w:rsidR="00BC69AE" w:rsidRDefault="00E74C8E" w:rsidP="00FC7A2B">
      <w:pPr>
        <w:spacing w:line="240" w:lineRule="auto"/>
        <w:rPr>
          <w:lang w:val="en-US"/>
        </w:rPr>
      </w:pPr>
      <w:r>
        <w:rPr>
          <w:lang w:val="en-US"/>
        </w:rPr>
        <w:t>To build further on this work, Wolters et al.</w:t>
      </w:r>
      <w:r>
        <w:rPr>
          <w:lang w:val="en-US"/>
        </w:rPr>
        <w:fldChar w:fldCharType="begin" w:fldLock="1"/>
      </w:r>
      <w:r w:rsidR="00FB6101">
        <w:rPr>
          <w:lang w:val="en-US"/>
        </w:rPr>
        <w:instrText>ADDIN CSL_CITATION { "citationItems" : [ { "id" : "ITEM-1", "itemData" : { "DOI" : "10.1021/acs.langmuir.7b00014", "ISBN" : "1520-5827 (Electronic)\r0743-7463 (Linking)", "ISSN" : "15205827", "PMID" : "28272895", "abstract" : "In this paper, we demonstrate the stabilization of polystyrene microspheres by encapsulating them with dumbbell-shaped colloids with a sticky and a nonsticky lobe. Upon adding a depletant, an effective short ranged attraction is induced between the microspheres and the smaller, smooth lobes of the dumbbells, making those specifically sticky, whereas the interaction with the larger lobes of the dumbbells is considerably less attractive due to their rough surface, which reduces the overlap volume and leaves them nonsticky. The encapsulation of the microspheres by these rough-smooth patchy dumbbells is investigated using a combination of experiments and computer simulations, both resulting in partial coverage of the template particles. For larger microspheres, the depletion attraction is stronger, resulting in a larger fraction of dumbbells that are attached with both lobes to the surface of microspheres. We thus find a template curvature dependent orientation of the dumbbells. In the Monte Carlo simulations, the introduction of such a small, curvature dependent attraction between the rough lobes of the dumbbells resulted in an increased coverage. However, kinetic constraints imposed by the dumbbell geometry seem to prevent optimal packing of the dumbbells on the template particles under all investigated conditions in experiments and simulations. Despite the incomplete coverage, the encapsulation by dumbbell particles does prevent aggregation of the microspheres, thus acting as a colloid-sized steric stabilizer.", "author" : [ { "dropping-particle" : "", "family" : "Wolters", "given" : "Joost R.", "non-dropping-particle" : "", "parse-names" : false, "suffix" : "" }, { "dropping-particle" : "", "family" : "Verweij", "given" : "Joanne E.", "non-dropping-particle" : "", "parse-names" : false, "suffix" : "" }, { "dropping-particle" : "", "family" : "Avvisati", "given" : "Guido", "non-dropping-particle" : "", "parse-names" : false, "suffix" : "" }, { "dropping-particle" : "", "family" : "Dijkstra", "given" : "Marjolein", "non-dropping-particle" : "", "parse-names" : false, "suffix" : "" }, { "dropping-particle" : "", "family" : "Kegel", "given" : "Willem K.", "non-dropping-particle" : "", "parse-names" : false, "suffix" : "" } ], "container-title" : "Langmuir", "id" : "ITEM-1", "issue" : "13", "issued" : { "date-parts" : [ [ "2017" ] ] }, "page" : "3270-3280", "title" : "Depletion-Induced Encapsulation by Dumbbell-Shaped Patchy Colloids Stabilize Microspheres against Aggregation", "type" : "article-journal", "volume" : "33" }, "uris" : [ "http://www.mendeley.com/documents/?uuid=e457da4b-c8a5-47ef-9f3c-c81ade40547f" ] } ], "mendeley" : { "formattedCitation" : "&lt;sup&gt;27&lt;/sup&gt;", "plainTextFormattedCitation" : "27", "previouslyFormattedCitation" : "&lt;sup&gt;27&lt;/sup&gt;"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27</w:t>
      </w:r>
      <w:r>
        <w:rPr>
          <w:lang w:val="en-US"/>
        </w:rPr>
        <w:fldChar w:fldCharType="end"/>
      </w:r>
      <w:r>
        <w:rPr>
          <w:lang w:val="en-US"/>
        </w:rPr>
        <w:t xml:space="preserve"> introduced a smooth spherical template to the system. In this work, the authors compared the packing of the afore mentioned partially patchy dumbbells around a relatively small or large microsphere with increasing depletant concentration. </w:t>
      </w:r>
      <w:r w:rsidR="00CB6AB9">
        <w:rPr>
          <w:lang w:val="en-US"/>
        </w:rPr>
        <w:t>The interaction between the particles was tuned by changing the depletant concentration, resulting in different kinds of packings</w:t>
      </w:r>
      <w:r w:rsidR="002B2948">
        <w:rPr>
          <w:lang w:val="en-US"/>
        </w:rPr>
        <w:t>.</w:t>
      </w:r>
      <w:r>
        <w:rPr>
          <w:lang w:val="en-US"/>
        </w:rPr>
        <w:t xml:space="preserve"> Despite a</w:t>
      </w:r>
      <w:r w:rsidR="002B2948">
        <w:rPr>
          <w:lang w:val="en-US"/>
        </w:rPr>
        <w:t>n</w:t>
      </w:r>
      <w:r>
        <w:rPr>
          <w:lang w:val="en-US"/>
        </w:rPr>
        <w:t xml:space="preserve"> incomplete coverage of the spherical template, it was still stabilized against aggregation, forming discrete heteroaggregate structures.</w:t>
      </w:r>
    </w:p>
    <w:p w:rsidR="002E3CA4" w:rsidRDefault="00E74C8E" w:rsidP="00FC7A2B">
      <w:pPr>
        <w:spacing w:line="240" w:lineRule="auto"/>
        <w:rPr>
          <w:lang w:val="en-US"/>
        </w:rPr>
      </w:pPr>
      <w:r>
        <w:rPr>
          <w:lang w:val="en-US"/>
        </w:rPr>
        <w:t xml:space="preserve">Forming a system by combining pH-responsiveness and anisotropicity in colloidal particles is hypothesized to result in a </w:t>
      </w:r>
      <w:r w:rsidR="002B2948">
        <w:rPr>
          <w:lang w:val="en-US"/>
        </w:rPr>
        <w:t xml:space="preserve">static </w:t>
      </w:r>
      <w:r>
        <w:rPr>
          <w:lang w:val="en-US"/>
        </w:rPr>
        <w:t xml:space="preserve">system with specific directional interactions, which are tunable by pH. We herein present a system where a large pH-responsive core particle, being able to invert its charge depending on pH, is encapsulated by smaller (pH-responsive) zwitterionic dumbbells. Control experiments were performed by encapsulating the pH-responsive core particle with either permanently negatively or positively charged polystyrene microspheres, to see whether the pH-induced charge interactions are significant enough for heteroaggregate clusters to form. This resulted in the formation of clusters where smaller particles have seemingly </w:t>
      </w:r>
      <w:r w:rsidR="00D92D38">
        <w:rPr>
          <w:lang w:val="en-US"/>
        </w:rPr>
        <w:t>adsorb</w:t>
      </w:r>
      <w:r>
        <w:rPr>
          <w:lang w:val="en-US"/>
        </w:rPr>
        <w:t>ed on specific parts of the core particle. We speculate that this is result of discrete patches</w:t>
      </w:r>
      <w:r w:rsidR="002B2948">
        <w:rPr>
          <w:lang w:val="en-US"/>
        </w:rPr>
        <w:t xml:space="preserve"> </w:t>
      </w:r>
      <w:r>
        <w:rPr>
          <w:lang w:val="en-US"/>
        </w:rPr>
        <w:t xml:space="preserve">of charged groups on the pH-responsive core particle. Additionally, the heteroaggregation successfully showed to be reversible by clustering and de-clustering in one pH cycle. </w:t>
      </w:r>
    </w:p>
    <w:p w:rsidR="0066495C" w:rsidRPr="00E434E9" w:rsidRDefault="00E74C8E" w:rsidP="00FC7A2B">
      <w:pPr>
        <w:pStyle w:val="Heading1"/>
        <w:numPr>
          <w:ilvl w:val="0"/>
          <w:numId w:val="2"/>
        </w:numPr>
        <w:spacing w:line="240" w:lineRule="auto"/>
        <w:rPr>
          <w:b/>
          <w:color w:val="auto"/>
          <w:lang w:val="en-US"/>
        </w:rPr>
      </w:pPr>
      <w:bookmarkStart w:id="5" w:name="_Toc29640060"/>
      <w:bookmarkStart w:id="6" w:name="_Toc31892380"/>
      <w:r w:rsidRPr="00E434E9">
        <w:rPr>
          <w:b/>
          <w:color w:val="auto"/>
          <w:lang w:val="en-US"/>
        </w:rPr>
        <w:lastRenderedPageBreak/>
        <w:t>Theory and Background</w:t>
      </w:r>
      <w:bookmarkEnd w:id="5"/>
      <w:bookmarkEnd w:id="6"/>
    </w:p>
    <w:p w:rsidR="00E74C8E" w:rsidRPr="0012395A" w:rsidRDefault="00E74C8E" w:rsidP="00FC7A2B">
      <w:pPr>
        <w:pStyle w:val="Heading2"/>
        <w:numPr>
          <w:ilvl w:val="1"/>
          <w:numId w:val="2"/>
        </w:numPr>
        <w:spacing w:line="240" w:lineRule="auto"/>
        <w:rPr>
          <w:b/>
          <w:color w:val="auto"/>
          <w:lang w:val="en-US"/>
        </w:rPr>
      </w:pPr>
      <w:bookmarkStart w:id="7" w:name="_Toc29640061"/>
      <w:bookmarkStart w:id="8" w:name="_Toc31892381"/>
      <w:r w:rsidRPr="0012395A">
        <w:rPr>
          <w:b/>
          <w:color w:val="auto"/>
        </w:rPr>
        <w:t>DLVO theory</w:t>
      </w:r>
      <w:bookmarkEnd w:id="7"/>
      <w:bookmarkEnd w:id="8"/>
    </w:p>
    <w:p w:rsidR="00E74C8E" w:rsidRDefault="00E74C8E" w:rsidP="00FC7A2B">
      <w:pPr>
        <w:spacing w:line="240" w:lineRule="auto"/>
        <w:rPr>
          <w:lang w:val="en-US"/>
        </w:rPr>
      </w:pPr>
      <w:r>
        <w:rPr>
          <w:lang w:val="en-US"/>
        </w:rPr>
        <w:t>The theory on the stability of colloidal suspensions was developed by Dejaguin, Landau, Verwey and Overbeek, hence the name DLVO theory</w:t>
      </w:r>
      <w:r>
        <w:rPr>
          <w:lang w:val="en-US"/>
        </w:rPr>
        <w:fldChar w:fldCharType="begin" w:fldLock="1"/>
      </w:r>
      <w:r w:rsidR="00FB6101">
        <w:rPr>
          <w:lang w:val="en-US"/>
        </w:rPr>
        <w:instrText>ADDIN CSL_CITATION { "citationItems" : [ { "id" : "ITEM-1", "itemData" : { "author" : [ { "dropping-particle" : "", "family" : "Derjaguin", "given" : "B.", "non-dropping-particle" : "", "parse-names" : false, "suffix" : "" } ], "container-title" : "Acta Phys. Chim.", "id" : "ITEM-1", "issued" : { "date-parts" : [ [ "1939" ] ] }, "page" : "333-346", "title" : "A theory of interaction of particle in presence of electric double-layers and the stability of lyophobe colloids and disperse systems.", "type" : "article-journal", "volume" : "10" }, "uris" : [ "http://www.mendeley.com/documents/?uuid=efd30cc8-99fa-4e63-9607-440f7b3d36b2" ] }, { "id" : "ITEM-2", "itemData" : { "author" : [ { "dropping-particle" : "", "family" : "Derjaguin", "given" : "B.", "non-dropping-particle" : "", "parse-names" : false, "suffix" : "" }, { "dropping-particle" : "", "family" : "Landau", "given" : "L. D.", "non-dropping-particle" : "", "parse-names" : false, "suffix" : "" } ], "container-title" : "Acta Phys. Chim.", "id" : "ITEM-2", "issued" : { "date-parts" : [ [ "1941" ] ] }, "page" : "633-662", "title" : "Theory of the stability of strongly charged lyophobic sols and of the adhesion of strongly charged particles in solution of electrolytes.", "type" : "article-journal", "volume" : "14" }, "uris" : [ "http://www.mendeley.com/documents/?uuid=9c5dfa81-68ba-4b62-9f6e-328b79325431" ] }, { "id" : "ITEM-3", "itemData" : { "author" : [ { "dropping-particle" : "", "family" : "Verwey", "given" : "E. J. W.", "non-dropping-particle" : "", "parse-names" : false, "suffix" : "" }, { "dropping-particle" : "", "family" : "Overbeek", "given" : "J. T. G.", "non-dropping-particle" : "", "parse-names" : false, "suffix" : "" } ], "container-title" : "Elsevier", "id" : "ITEM-3", "issued" : { "date-parts" : [ [ "1948" ] ] }, "title" : "Theory of Stability of Lyophobic Colloids", "type" : "article-journal" }, "uris" : [ "http://www.mendeley.com/documents/?uuid=579e9347-afa5-4363-95ec-04d4e058c460" ] } ], "mendeley" : { "formattedCitation" : "&lt;sup&gt;28\u201330&lt;/sup&gt;", "plainTextFormattedCitation" : "28\u201330", "previouslyFormattedCitation" : "&lt;sup&gt;28\u201330&lt;/sup&gt;"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28–30</w:t>
      </w:r>
      <w:r>
        <w:rPr>
          <w:lang w:val="en-US"/>
        </w:rPr>
        <w:fldChar w:fldCharType="end"/>
      </w:r>
      <w:r>
        <w:rPr>
          <w:lang w:val="en-US"/>
        </w:rPr>
        <w:t>. This theory was developed to rationalize the forces acting between interfaces. Initially, this theory focused on the interaction between two identical interfaces, which is referred to</w:t>
      </w:r>
      <w:r w:rsidR="007E6F56">
        <w:rPr>
          <w:lang w:val="en-US"/>
        </w:rPr>
        <w:t xml:space="preserve"> as</w:t>
      </w:r>
      <w:r>
        <w:rPr>
          <w:lang w:val="en-US"/>
        </w:rPr>
        <w:t xml:space="preserve"> a symmetric system. For colloidal particles, this refers to aggregation between two identical particles, also called homoaggregation. Later, this concept was extended to also include an interaction between two non-identical interfaces, referred to as an asymmetric system. </w:t>
      </w:r>
      <w:r w:rsidR="003A7D17">
        <w:rPr>
          <w:lang w:val="en-US"/>
        </w:rPr>
        <w:t>Aggregation</w:t>
      </w:r>
      <w:r>
        <w:rPr>
          <w:lang w:val="en-US"/>
        </w:rPr>
        <w:t xml:space="preserve"> of different sizes of colloidal particles</w:t>
      </w:r>
      <w:r w:rsidR="003A7D17">
        <w:rPr>
          <w:lang w:val="en-US"/>
        </w:rPr>
        <w:t xml:space="preserve"> is referred</w:t>
      </w:r>
      <w:r>
        <w:rPr>
          <w:lang w:val="en-US"/>
        </w:rPr>
        <w:t xml:space="preserve"> to</w:t>
      </w:r>
      <w:r w:rsidR="003A7D17">
        <w:rPr>
          <w:lang w:val="en-US"/>
        </w:rPr>
        <w:t xml:space="preserve"> as</w:t>
      </w:r>
      <w:r>
        <w:rPr>
          <w:lang w:val="en-US"/>
        </w:rPr>
        <w:t xml:space="preserve"> heteroaggregation. A schematic overview of these two systems is shown in </w:t>
      </w:r>
      <w:r w:rsidR="005A3A5A">
        <w:rPr>
          <w:lang w:val="en-US"/>
        </w:rPr>
        <w:t>Figure 1</w:t>
      </w:r>
      <w:r>
        <w:rPr>
          <w:lang w:val="en-US"/>
        </w:rPr>
        <w:t xml:space="preserve">. </w:t>
      </w:r>
    </w:p>
    <w:p w:rsidR="000F4FAE" w:rsidRDefault="000F4FAE" w:rsidP="00FC7A2B">
      <w:pPr>
        <w:keepNext/>
        <w:spacing w:line="240" w:lineRule="auto"/>
        <w:jc w:val="center"/>
      </w:pPr>
      <w:r>
        <w:rPr>
          <w:noProof/>
        </w:rPr>
        <w:drawing>
          <wp:inline distT="0" distB="0" distL="0" distR="0" wp14:anchorId="4F705393" wp14:editId="234300AD">
            <wp:extent cx="3359785" cy="2022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4799" r="9929"/>
                    <a:stretch>
                      <a:fillRect/>
                    </a:stretch>
                  </pic:blipFill>
                  <pic:spPr bwMode="auto">
                    <a:xfrm>
                      <a:off x="0" y="0"/>
                      <a:ext cx="3359785" cy="2022475"/>
                    </a:xfrm>
                    <a:prstGeom prst="rect">
                      <a:avLst/>
                    </a:prstGeom>
                    <a:noFill/>
                  </pic:spPr>
                </pic:pic>
              </a:graphicData>
            </a:graphic>
          </wp:inline>
        </w:drawing>
      </w:r>
    </w:p>
    <w:p w:rsidR="00E74C8E" w:rsidRPr="000F4FAE" w:rsidRDefault="000F4FAE" w:rsidP="00FC7A2B">
      <w:pPr>
        <w:pStyle w:val="Caption"/>
        <w:jc w:val="center"/>
        <w:rPr>
          <w:color w:val="auto"/>
          <w:sz w:val="22"/>
          <w:szCs w:val="22"/>
          <w:lang w:val="en-US"/>
        </w:rPr>
      </w:pPr>
      <w:r w:rsidRPr="000F4FAE">
        <w:rPr>
          <w:color w:val="auto"/>
          <w:sz w:val="22"/>
          <w:szCs w:val="22"/>
          <w:lang w:val="en-US"/>
        </w:rPr>
        <w:t xml:space="preserve">Figure </w:t>
      </w:r>
      <w:r w:rsidRPr="000F4FAE">
        <w:rPr>
          <w:color w:val="auto"/>
          <w:sz w:val="22"/>
          <w:szCs w:val="22"/>
        </w:rPr>
        <w:fldChar w:fldCharType="begin"/>
      </w:r>
      <w:r w:rsidRPr="000F4FAE">
        <w:rPr>
          <w:color w:val="auto"/>
          <w:sz w:val="22"/>
          <w:szCs w:val="22"/>
          <w:lang w:val="en-US"/>
        </w:rPr>
        <w:instrText xml:space="preserve"> SEQ Figure \* ARABIC </w:instrText>
      </w:r>
      <w:r w:rsidRPr="000F4FAE">
        <w:rPr>
          <w:color w:val="auto"/>
          <w:sz w:val="22"/>
          <w:szCs w:val="22"/>
        </w:rPr>
        <w:fldChar w:fldCharType="separate"/>
      </w:r>
      <w:r w:rsidR="00C52506">
        <w:rPr>
          <w:noProof/>
          <w:color w:val="auto"/>
          <w:sz w:val="22"/>
          <w:szCs w:val="22"/>
          <w:lang w:val="en-US"/>
        </w:rPr>
        <w:t>1</w:t>
      </w:r>
      <w:r w:rsidRPr="000F4FAE">
        <w:rPr>
          <w:color w:val="auto"/>
          <w:sz w:val="22"/>
          <w:szCs w:val="22"/>
        </w:rPr>
        <w:fldChar w:fldCharType="end"/>
      </w:r>
      <w:r w:rsidRPr="000F4FAE">
        <w:rPr>
          <w:color w:val="auto"/>
          <w:sz w:val="22"/>
          <w:szCs w:val="22"/>
          <w:lang w:val="en-US"/>
        </w:rPr>
        <w:t>: Schematic overview of homoaggregation and heteroaggregation</w:t>
      </w:r>
      <w:r>
        <w:rPr>
          <w:color w:val="auto"/>
          <w:sz w:val="22"/>
          <w:szCs w:val="22"/>
          <w:lang w:val="en-US"/>
        </w:rPr>
        <w:fldChar w:fldCharType="begin" w:fldLock="1"/>
      </w:r>
      <w:r w:rsidR="00FB6101">
        <w:rPr>
          <w:color w:val="auto"/>
          <w:sz w:val="22"/>
          <w:szCs w:val="22"/>
          <w:lang w:val="en-US"/>
        </w:rPr>
        <w:instrText>ADDIN CSL_CITATION { "citationItems" : [ { "id" : "ITEM-1", "itemData" : { "URL" : "www.colloid.ch/dlvo", "author" : [ { "dropping-particle" : "", "family" : "Trefalt", "given" : "Gregor", "non-dropping-particle" : "", "parse-names" : false, "suffix" : "" }, { "dropping-particle" : "", "family" : "Borkovec", "given" : "Michal", "non-dropping-particle" : "", "parse-names" : false, "suffix" : "" } ], "id" : "ITEM-1", "issued" : { "date-parts" : [ [ "2014" ] ] }, "page" : "1", "title" : "Overview of DLVO Theory", "type" : "webpage" }, "uris" : [ "http://www.mendeley.com/documents/?uuid=c84ede13-b0b9-4bf4-9b18-bb66924619a8" ] } ], "mendeley" : { "formattedCitation" : "&lt;sup&gt;31&lt;/sup&gt;", "plainTextFormattedCitation" : "31", "previouslyFormattedCitation" : "&lt;sup&gt;31&lt;/sup&gt;" }, "properties" : { "noteIndex" : 0 }, "schema" : "https://github.com/citation-style-language/schema/raw/master/csl-citation.json" }</w:instrText>
      </w:r>
      <w:r>
        <w:rPr>
          <w:color w:val="auto"/>
          <w:sz w:val="22"/>
          <w:szCs w:val="22"/>
          <w:lang w:val="en-US"/>
        </w:rPr>
        <w:fldChar w:fldCharType="separate"/>
      </w:r>
      <w:r w:rsidR="00DE131C" w:rsidRPr="00DE131C">
        <w:rPr>
          <w:i w:val="0"/>
          <w:noProof/>
          <w:color w:val="auto"/>
          <w:sz w:val="22"/>
          <w:szCs w:val="22"/>
          <w:vertAlign w:val="superscript"/>
          <w:lang w:val="en-US"/>
        </w:rPr>
        <w:t>31</w:t>
      </w:r>
      <w:r>
        <w:rPr>
          <w:color w:val="auto"/>
          <w:sz w:val="22"/>
          <w:szCs w:val="22"/>
          <w:lang w:val="en-US"/>
        </w:rPr>
        <w:fldChar w:fldCharType="end"/>
      </w:r>
      <w:r w:rsidRPr="000F4FAE">
        <w:rPr>
          <w:color w:val="auto"/>
          <w:sz w:val="22"/>
          <w:szCs w:val="22"/>
          <w:lang w:val="en-US"/>
        </w:rPr>
        <w:t>.</w:t>
      </w:r>
    </w:p>
    <w:p w:rsidR="00E74C8E" w:rsidRDefault="00E74C8E" w:rsidP="00FC7A2B">
      <w:pPr>
        <w:spacing w:line="240" w:lineRule="auto"/>
        <w:rPr>
          <w:lang w:val="en-US"/>
        </w:rPr>
      </w:pPr>
      <w:r>
        <w:rPr>
          <w:lang w:val="en-US"/>
        </w:rPr>
        <w:t>The theory assumes that two main interactions are present between the particles. One of these are the Van der Waals forces, whic</w:t>
      </w:r>
      <w:r w:rsidR="003A7D17">
        <w:rPr>
          <w:lang w:val="en-US"/>
        </w:rPr>
        <w:t xml:space="preserve">h always </w:t>
      </w:r>
      <w:r>
        <w:rPr>
          <w:lang w:val="en-US"/>
        </w:rPr>
        <w:t>exists between molecules</w:t>
      </w:r>
      <w:r>
        <w:rPr>
          <w:lang w:val="en-US"/>
        </w:rPr>
        <w:fldChar w:fldCharType="begin" w:fldLock="1"/>
      </w:r>
      <w:r w:rsidR="00FB6101">
        <w:rPr>
          <w:lang w:val="en-US"/>
        </w:rPr>
        <w:instrText>ADDIN CSL_CITATION { "citationItems" : [ { "id" : "ITEM-1", "itemData" : { "author" : [ { "dropping-particle" : "", "family" : "London", "given" : "F", "non-dropping-particle" : "", "parse-names" : false, "suffix" : "" } ], "container-title" : "Trans. Fara. Soc.", "id" : "ITEM-1", "issue" : "8", "issued" : { "date-parts" : [ [ "1936" ] ] }, "page" : "8-26", "title" : "T h e general theory o f molecular forces.", "type" : "article-journal", "volume" : "8" }, "uris" : [ "http://www.mendeley.com/documents/?uuid=31c2eebe-0d49-4316-bb36-21853c059aad" ] } ], "mendeley" : { "formattedCitation" : "&lt;sup&gt;32&lt;/sup&gt;", "plainTextFormattedCitation" : "32", "previouslyFormattedCitation" : "&lt;sup&gt;32&lt;/sup&gt;"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32</w:t>
      </w:r>
      <w:r>
        <w:rPr>
          <w:lang w:val="en-US"/>
        </w:rPr>
        <w:fldChar w:fldCharType="end"/>
      </w:r>
      <w:r>
        <w:rPr>
          <w:lang w:val="en-US"/>
        </w:rPr>
        <w:t>, but also between spherical particles</w:t>
      </w:r>
      <w:r>
        <w:rPr>
          <w:lang w:val="en-US"/>
        </w:rPr>
        <w:fldChar w:fldCharType="begin" w:fldLock="1"/>
      </w:r>
      <w:r w:rsidR="00FB6101">
        <w:rPr>
          <w:lang w:val="en-US"/>
        </w:rPr>
        <w:instrText>ADDIN CSL_CITATION { "citationItems" : [ { "id" : "ITEM-1", "itemData" : { "DOI" : "10.1016/S0031-8914(37)80203-7", "ISSN" : "00318914", "abstract" : "Frequently we experience the existance of adhesive forces between small particles. It seems natural to ascribe this adhesion for a large part to London-v.d. Waals forces. To obtain general information concerning their order of magnitude the London-v. d. Waals interaction between two spherical particles is computed as a function of the diameters and the distance separating them. A table is calculated which enables numerical application of the formulae derived. Besides approximations are added, which may be used when the distance between the particles is small. In a separate section it is investigated how the results must be modified, when both particles are immersed in a liquid. Here we are led to the important conclusion that even in that case London-v. d. Waals forces generally cause an attraction. \u00a9 1937.", "author" : [ { "dropping-particle" : "", "family" : "Hamaker", "given" : "H. C.", "non-dropping-particle" : "", "parse-names" : false, "suffix" : "" } ], "container-title" : "Physica", "id" : "ITEM-1", "issue" : "10", "issued" : { "date-parts" : [ [ "1937" ] ] }, "page" : "1058-1072", "title" : "The London-van der Waals attraction between spherical particles", "type" : "article-journal", "volume" : "4" }, "uris" : [ "http://www.mendeley.com/documents/?uuid=3e57a3d0-c4b8-4d87-a6fe-6ea8db65bbfa" ] } ], "mendeley" : { "formattedCitation" : "&lt;sup&gt;33&lt;/sup&gt;", "plainTextFormattedCitation" : "33", "previouslyFormattedCitation" : "&lt;sup&gt;33&lt;/sup&gt;"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33</w:t>
      </w:r>
      <w:r>
        <w:rPr>
          <w:lang w:val="en-US"/>
        </w:rPr>
        <w:fldChar w:fldCharType="end"/>
      </w:r>
      <w:r>
        <w:rPr>
          <w:lang w:val="en-US"/>
        </w:rPr>
        <w:t xml:space="preserve">. These forces are formed from interactions of the rotating or fluctuating dipoles of atoms and molecules. These interactions can be simply modeled, according to equation </w:t>
      </w:r>
      <w:r w:rsidR="00772F61">
        <w:rPr>
          <w:lang w:val="en-US"/>
        </w:rPr>
        <w:t>(</w:t>
      </w:r>
      <w:r>
        <w:rPr>
          <w:lang w:val="en-US"/>
        </w:rPr>
        <w:t>1</w:t>
      </w:r>
      <w:r w:rsidR="00772F61">
        <w:rPr>
          <w:lang w:val="en-US"/>
        </w:rPr>
        <w:t>)</w:t>
      </w:r>
      <w:r>
        <w:rPr>
          <w:lang w:val="en-US"/>
        </w:rPr>
        <w:t>.</w:t>
      </w:r>
    </w:p>
    <w:p w:rsidR="00E74C8E" w:rsidRPr="00DF2300" w:rsidRDefault="00767BE6" w:rsidP="00FC7A2B">
      <w:pPr>
        <w:spacing w:line="240" w:lineRule="auto"/>
        <w:jc w:val="center"/>
        <w:rPr>
          <w:rFonts w:eastAsiaTheme="minorEastAsia"/>
          <w:sz w:val="28"/>
          <w:szCs w:val="28"/>
          <w:lang w:val="en-US"/>
        </w:rPr>
      </w:pPr>
      <m:oMathPara>
        <m:oMath>
          <m:eqArr>
            <m:eqArrPr>
              <m:maxDist m:val="1"/>
              <m:ctrlPr>
                <w:rPr>
                  <w:rFonts w:ascii="Cambria Math"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vdW</m:t>
                  </m:r>
                </m:sub>
              </m:sSub>
              <m:d>
                <m:dPr>
                  <m:ctrlPr>
                    <w:rPr>
                      <w:rFonts w:ascii="Cambria Math" w:hAnsi="Cambria Math"/>
                      <w:i/>
                      <w:lang w:val="en-US"/>
                    </w:rPr>
                  </m:ctrlPr>
                </m:dPr>
                <m:e>
                  <m:r>
                    <w:rPr>
                      <w:rFonts w:ascii="Cambria Math" w:hAnsi="Cambria Math"/>
                      <w:lang w:val="en-US"/>
                    </w:rPr>
                    <m:t>h</m:t>
                  </m:r>
                </m:e>
              </m:d>
              <m:r>
                <w:rPr>
                  <w:rFonts w:ascii="Cambria Math" w:hAnsi="Cambria Math"/>
                  <w:lang w:val="en-US"/>
                </w:rPr>
                <m:t>=-</m:t>
              </m:r>
              <m:f>
                <m:fPr>
                  <m:ctrlPr>
                    <w:rPr>
                      <w:rFonts w:ascii="Cambria Math" w:hAnsi="Cambria Math"/>
                      <w:i/>
                      <w:lang w:val="en-US"/>
                    </w:rPr>
                  </m:ctrlPr>
                </m:fPr>
                <m:num>
                  <m:r>
                    <w:rPr>
                      <w:rFonts w:ascii="Cambria Math" w:hAnsi="Cambria Math"/>
                      <w:lang w:val="en-US"/>
                    </w:rPr>
                    <m:t>H</m:t>
                  </m:r>
                </m:num>
                <m:den>
                  <m:r>
                    <w:rPr>
                      <w:rFonts w:ascii="Cambria Math" w:hAnsi="Cambria Math"/>
                      <w:lang w:val="en-US"/>
                    </w:rPr>
                    <m:t>12π</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2</m:t>
                      </m:r>
                    </m:sup>
                  </m:sSup>
                </m:den>
              </m:f>
              <m:r>
                <w:rPr>
                  <w:rFonts w:ascii="Cambria Math" w:eastAsiaTheme="minorEastAsia" w:hAnsi="Cambria Math"/>
                  <w:lang w:val="en-US"/>
                </w:rPr>
                <m:t>#</m:t>
              </m:r>
              <m:d>
                <m:dPr>
                  <m:ctrlPr>
                    <w:rPr>
                      <w:rFonts w:ascii="Cambria Math" w:hAnsi="Cambria Math"/>
                      <w:i/>
                      <w:lang w:val="en-US"/>
                    </w:rPr>
                  </m:ctrlPr>
                </m:dPr>
                <m:e>
                  <m:r>
                    <w:rPr>
                      <w:rFonts w:ascii="Cambria Math" w:hAnsi="Cambria Math"/>
                      <w:lang w:val="en-US"/>
                    </w:rPr>
                    <m:t>1</m:t>
                  </m:r>
                </m:e>
              </m:d>
              <m:ctrlPr>
                <w:rPr>
                  <w:rFonts w:ascii="Cambria Math" w:eastAsiaTheme="minorEastAsia" w:hAnsi="Cambria Math"/>
                  <w:i/>
                  <w:lang w:val="en-US"/>
                </w:rPr>
              </m:ctrlPr>
            </m:e>
          </m:eqArr>
        </m:oMath>
      </m:oMathPara>
    </w:p>
    <w:p w:rsidR="00E74C8E" w:rsidRDefault="00E74C8E" w:rsidP="00FC7A2B">
      <w:pPr>
        <w:spacing w:line="240" w:lineRule="auto"/>
        <w:rPr>
          <w:lang w:val="en-US"/>
        </w:rPr>
      </w:pPr>
      <w:r>
        <w:rPr>
          <w:lang w:val="en-US"/>
        </w:rPr>
        <w:t xml:space="preserve">Here, </w:t>
      </w:r>
      <w:r>
        <w:rPr>
          <w:i/>
          <w:lang w:val="en-US"/>
        </w:rPr>
        <w:t>H</w:t>
      </w:r>
      <w:r>
        <w:rPr>
          <w:lang w:val="en-US"/>
        </w:rPr>
        <w:t xml:space="preserve"> is the Hamaker constant, which defines the strength of the Van der Waals interaction, and </w:t>
      </w:r>
      <w:r>
        <w:rPr>
          <w:i/>
          <w:lang w:val="en-US"/>
        </w:rPr>
        <w:t>h</w:t>
      </w:r>
      <w:r>
        <w:rPr>
          <w:lang w:val="en-US"/>
        </w:rPr>
        <w:t xml:space="preserve"> is the separation distance between the two bodies. Typically, the value of </w:t>
      </w:r>
      <w:r>
        <w:rPr>
          <w:i/>
          <w:lang w:val="en-US"/>
        </w:rPr>
        <w:t>H</w:t>
      </w:r>
      <w:r>
        <w:rPr>
          <w:lang w:val="en-US"/>
        </w:rPr>
        <w:t xml:space="preserve"> is positive, resulting in an always attractive Van der Waals interaction. </w:t>
      </w:r>
      <w:r w:rsidRPr="001416B3">
        <w:rPr>
          <w:lang w:val="en-US"/>
        </w:rPr>
        <w:t>This equation holds for small inter-particle distances. However, at large distances, the interaction decays</w:t>
      </w:r>
      <w:r w:rsidR="005E01EE" w:rsidRPr="001416B3">
        <w:rPr>
          <w:lang w:val="en-US"/>
        </w:rPr>
        <w:t xml:space="preserve"> more quickly</w:t>
      </w:r>
      <w:r w:rsidRPr="001416B3">
        <w:rPr>
          <w:lang w:val="en-US"/>
        </w:rPr>
        <w:t xml:space="preserve"> due to retardation effects. </w:t>
      </w:r>
    </w:p>
    <w:p w:rsidR="005A3A5A" w:rsidRDefault="00E74C8E" w:rsidP="00FC7A2B">
      <w:pPr>
        <w:spacing w:line="240" w:lineRule="auto"/>
        <w:rPr>
          <w:lang w:val="en-US"/>
        </w:rPr>
      </w:pPr>
      <w:r>
        <w:rPr>
          <w:lang w:val="en-US"/>
        </w:rPr>
        <w:t>The second force that acts on the particles are the electrical forces from the charged groups that are present on a particle surface. These charged surface groups are neutralized by their respective counterions that are present in the dispersion. Consequently, these counterions condensate on the surface because of their Coulombic charge interaction, forming an electrical double layer</w:t>
      </w:r>
      <w:r>
        <w:rPr>
          <w:lang w:val="en-US"/>
        </w:rPr>
        <w:fldChar w:fldCharType="begin" w:fldLock="1"/>
      </w:r>
      <w:r w:rsidR="00FB6101">
        <w:rPr>
          <w:lang w:val="en-US"/>
        </w:rPr>
        <w:instrText>ADDIN CSL_CITATION { "citationItems" : [ { "id" : "ITEM-1", "itemData" : { "author" : [ { "dropping-particle" : "", "family" : "Lyklema", "given" : "J.", "non-dropping-particle" : "", "parse-names" : false, "suffix" : "" } ], "edition" : "Volume 2", "id" : "ITEM-1", "issued" : { "date-parts" : [ [ "1995" ] ] }, "number-of-pages" : "3", "title" : "Fundamentals of Interface and Colloid Science", "type" : "book" }, "uris" : [ "http://www.mendeley.com/documents/?uuid=7c909d93-93fa-497f-bdd9-2bb1bb92d075" ] } ], "mendeley" : { "formattedCitation" : "&lt;sup&gt;34&lt;/sup&gt;", "plainTextFormattedCitation" : "34", "previouslyFormattedCitation" : "&lt;sup&gt;34&lt;/sup&gt;"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34</w:t>
      </w:r>
      <w:r>
        <w:rPr>
          <w:lang w:val="en-US"/>
        </w:rPr>
        <w:fldChar w:fldCharType="end"/>
      </w:r>
      <w:r>
        <w:rPr>
          <w:lang w:val="en-US"/>
        </w:rPr>
        <w:t>. The first layer of counterions around the particle is termed the Stern layer, after which the diffuse layer is formed. This diffuse layer consists of solvent molecules and free ions</w:t>
      </w:r>
      <w:r w:rsidR="003A7D17">
        <w:rPr>
          <w:lang w:val="en-US"/>
        </w:rPr>
        <w:t>. Of the</w:t>
      </w:r>
      <w:r w:rsidR="00863680">
        <w:rPr>
          <w:lang w:val="en-US"/>
        </w:rPr>
        <w:t>se</w:t>
      </w:r>
      <w:r w:rsidR="003A7D17">
        <w:rPr>
          <w:lang w:val="en-US"/>
        </w:rPr>
        <w:t xml:space="preserve"> free ions,</w:t>
      </w:r>
      <w:r>
        <w:rPr>
          <w:lang w:val="en-US"/>
        </w:rPr>
        <w:t xml:space="preserve"> a larger concentration of counterions</w:t>
      </w:r>
      <w:r w:rsidR="003A7D17">
        <w:rPr>
          <w:lang w:val="en-US"/>
        </w:rPr>
        <w:t xml:space="preserve"> is present</w:t>
      </w:r>
      <w:r>
        <w:rPr>
          <w:lang w:val="en-US"/>
        </w:rPr>
        <w:t xml:space="preserve">. </w:t>
      </w:r>
    </w:p>
    <w:p w:rsidR="00BC69AE" w:rsidRDefault="00E74C8E" w:rsidP="00FC7A2B">
      <w:pPr>
        <w:spacing w:line="240" w:lineRule="auto"/>
        <w:rPr>
          <w:lang w:val="en-US"/>
        </w:rPr>
      </w:pPr>
      <w:r>
        <w:rPr>
          <w:lang w:val="en-US"/>
        </w:rPr>
        <w:t>Here, all ions still experience and interaction with the negatively charged surface of the spherical particle. The slipping plane is then the border between solvent molecules that do</w:t>
      </w:r>
      <w:r w:rsidR="00863680">
        <w:rPr>
          <w:lang w:val="en-US"/>
        </w:rPr>
        <w:t>,</w:t>
      </w:r>
      <w:r>
        <w:rPr>
          <w:lang w:val="en-US"/>
        </w:rPr>
        <w:t xml:space="preserve"> and do not feel the charge on the particle. The maximum value of the surface potential can be found at the surface of the particle. At </w:t>
      </w:r>
      <w:r w:rsidR="005A3A5A">
        <w:rPr>
          <w:lang w:val="en-US"/>
        </w:rPr>
        <w:t>large enough</w:t>
      </w:r>
      <w:r>
        <w:rPr>
          <w:lang w:val="en-US"/>
        </w:rPr>
        <w:t xml:space="preserve"> distances, this surface potential decreases and eventually becomes zero</w:t>
      </w:r>
      <w:r w:rsidR="005A3A5A">
        <w:rPr>
          <w:lang w:val="en-US"/>
        </w:rPr>
        <w:t>.</w:t>
      </w:r>
    </w:p>
    <w:p w:rsidR="00863680" w:rsidRDefault="00863680" w:rsidP="00FC7A2B">
      <w:pPr>
        <w:spacing w:line="240" w:lineRule="auto"/>
        <w:rPr>
          <w:lang w:val="en-US"/>
        </w:rPr>
      </w:pPr>
    </w:p>
    <w:p w:rsidR="00E74C8E" w:rsidRDefault="00E74C8E" w:rsidP="00FC7A2B">
      <w:pPr>
        <w:spacing w:line="240" w:lineRule="auto"/>
        <w:rPr>
          <w:lang w:val="en-US"/>
        </w:rPr>
      </w:pPr>
      <w:r>
        <w:rPr>
          <w:lang w:val="en-US"/>
        </w:rPr>
        <w:lastRenderedPageBreak/>
        <w:t>Determining the surface potential can only be done by approximation, as only the zeta potential, i.e. the potential at the slipping plane, can be measured</w:t>
      </w:r>
      <w:r w:rsidR="00863680">
        <w:rPr>
          <w:lang w:val="en-US"/>
        </w:rPr>
        <w:t xml:space="preserve"> in a facile experimental manner</w:t>
      </w:r>
      <w:r>
        <w:rPr>
          <w:lang w:val="en-US"/>
        </w:rPr>
        <w:t xml:space="preserve">. How the zeta potential is measured will </w:t>
      </w:r>
      <w:r w:rsidR="00863680">
        <w:rPr>
          <w:lang w:val="en-US"/>
        </w:rPr>
        <w:t>be</w:t>
      </w:r>
      <w:r>
        <w:rPr>
          <w:lang w:val="en-US"/>
        </w:rPr>
        <w:t xml:space="preserve"> discussed</w:t>
      </w:r>
      <w:r w:rsidR="00863680">
        <w:rPr>
          <w:lang w:val="en-US"/>
        </w:rPr>
        <w:t xml:space="preserve"> later</w:t>
      </w:r>
      <w:r>
        <w:rPr>
          <w:lang w:val="en-US"/>
        </w:rPr>
        <w:t xml:space="preserve"> in further detail. An overview of the composition of the electrical double layer is shown in </w:t>
      </w:r>
      <w:r w:rsidR="00FD41D8" w:rsidRPr="00FD41D8">
        <w:rPr>
          <w:lang w:val="en-US"/>
        </w:rPr>
        <w:fldChar w:fldCharType="begin"/>
      </w:r>
      <w:r w:rsidR="00FD41D8" w:rsidRPr="00FD41D8">
        <w:rPr>
          <w:lang w:val="en-US"/>
        </w:rPr>
        <w:instrText xml:space="preserve"> REF _Ref29912486 \h </w:instrText>
      </w:r>
      <w:r w:rsidR="00FD41D8">
        <w:rPr>
          <w:lang w:val="en-US"/>
        </w:rPr>
        <w:instrText xml:space="preserve"> \* MERGEFORMAT </w:instrText>
      </w:r>
      <w:r w:rsidR="00FD41D8" w:rsidRPr="00FD41D8">
        <w:rPr>
          <w:lang w:val="en-US"/>
        </w:rPr>
      </w:r>
      <w:r w:rsidR="00FD41D8" w:rsidRPr="00FD41D8">
        <w:rPr>
          <w:lang w:val="en-US"/>
        </w:rPr>
        <w:fldChar w:fldCharType="separate"/>
      </w:r>
      <w:r w:rsidR="00C52506" w:rsidRPr="00C52506">
        <w:rPr>
          <w:lang w:val="en-US"/>
        </w:rPr>
        <w:t xml:space="preserve">Figure </w:t>
      </w:r>
      <w:r w:rsidR="00C52506" w:rsidRPr="00C52506">
        <w:rPr>
          <w:noProof/>
          <w:lang w:val="en-US"/>
        </w:rPr>
        <w:t>2</w:t>
      </w:r>
      <w:r w:rsidR="00FD41D8" w:rsidRPr="00FD41D8">
        <w:rPr>
          <w:lang w:val="en-US"/>
        </w:rPr>
        <w:fldChar w:fldCharType="end"/>
      </w:r>
      <w:r w:rsidR="005A3A5A">
        <w:rPr>
          <w:lang w:val="en-US"/>
        </w:rPr>
        <w:t>A</w:t>
      </w:r>
      <w:r>
        <w:rPr>
          <w:lang w:val="en-US"/>
        </w:rPr>
        <w:t xml:space="preserve">. </w:t>
      </w:r>
    </w:p>
    <w:p w:rsidR="006B30D1" w:rsidRPr="006B30D1" w:rsidRDefault="005A3A5A" w:rsidP="00BC69AE">
      <w:pPr>
        <w:spacing w:line="240" w:lineRule="auto"/>
        <w:jc w:val="center"/>
        <w:rPr>
          <w:sz w:val="20"/>
          <w:szCs w:val="20"/>
        </w:rPr>
      </w:pPr>
      <w:r>
        <w:rPr>
          <w:noProof/>
          <w:sz w:val="20"/>
          <w:szCs w:val="20"/>
        </w:rPr>
        <w:drawing>
          <wp:inline distT="0" distB="0" distL="0" distR="0">
            <wp:extent cx="5756990" cy="264414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LVO pictures.jpg"/>
                    <pic:cNvPicPr/>
                  </pic:nvPicPr>
                  <pic:blipFill>
                    <a:blip r:embed="rId18">
                      <a:extLst>
                        <a:ext uri="{28A0092B-C50C-407E-A947-70E740481C1C}">
                          <a14:useLocalDpi xmlns:a14="http://schemas.microsoft.com/office/drawing/2010/main" val="0"/>
                        </a:ext>
                      </a:extLst>
                    </a:blip>
                    <a:stretch>
                      <a:fillRect/>
                    </a:stretch>
                  </pic:blipFill>
                  <pic:spPr>
                    <a:xfrm>
                      <a:off x="0" y="0"/>
                      <a:ext cx="5756990" cy="2644140"/>
                    </a:xfrm>
                    <a:prstGeom prst="rect">
                      <a:avLst/>
                    </a:prstGeom>
                  </pic:spPr>
                </pic:pic>
              </a:graphicData>
            </a:graphic>
          </wp:inline>
        </w:drawing>
      </w:r>
    </w:p>
    <w:p w:rsidR="00E74C8E" w:rsidRPr="005A3A5A" w:rsidRDefault="00C82962" w:rsidP="00FC7A2B">
      <w:pPr>
        <w:pStyle w:val="Caption"/>
        <w:jc w:val="center"/>
        <w:rPr>
          <w:color w:val="auto"/>
          <w:lang w:val="en-US"/>
        </w:rPr>
      </w:pPr>
      <w:bookmarkStart w:id="9" w:name="_Ref29912486"/>
      <w:r>
        <w:rPr>
          <w:color w:val="auto"/>
          <w:sz w:val="20"/>
          <w:szCs w:val="20"/>
          <w:lang w:val="en-US"/>
        </w:rPr>
        <w:t>Figure</w:t>
      </w:r>
      <w:r w:rsidR="006B30D1" w:rsidRPr="006B30D1">
        <w:rPr>
          <w:color w:val="auto"/>
          <w:sz w:val="20"/>
          <w:szCs w:val="20"/>
          <w:lang w:val="en-US"/>
        </w:rPr>
        <w:t xml:space="preserve"> </w:t>
      </w:r>
      <w:r w:rsidR="006B30D1" w:rsidRPr="006B30D1">
        <w:rPr>
          <w:color w:val="auto"/>
          <w:sz w:val="20"/>
          <w:szCs w:val="20"/>
        </w:rPr>
        <w:fldChar w:fldCharType="begin"/>
      </w:r>
      <w:r w:rsidR="006B30D1" w:rsidRPr="006B30D1">
        <w:rPr>
          <w:color w:val="auto"/>
          <w:sz w:val="20"/>
          <w:szCs w:val="20"/>
          <w:lang w:val="en-US"/>
        </w:rPr>
        <w:instrText xml:space="preserve"> SEQ Figure \* ARABIC </w:instrText>
      </w:r>
      <w:r w:rsidR="006B30D1" w:rsidRPr="006B30D1">
        <w:rPr>
          <w:color w:val="auto"/>
          <w:sz w:val="20"/>
          <w:szCs w:val="20"/>
        </w:rPr>
        <w:fldChar w:fldCharType="separate"/>
      </w:r>
      <w:r w:rsidR="00C52506">
        <w:rPr>
          <w:noProof/>
          <w:color w:val="auto"/>
          <w:sz w:val="20"/>
          <w:szCs w:val="20"/>
          <w:lang w:val="en-US"/>
        </w:rPr>
        <w:t>2</w:t>
      </w:r>
      <w:r w:rsidR="006B30D1" w:rsidRPr="006B30D1">
        <w:rPr>
          <w:color w:val="auto"/>
          <w:sz w:val="20"/>
          <w:szCs w:val="20"/>
        </w:rPr>
        <w:fldChar w:fldCharType="end"/>
      </w:r>
      <w:bookmarkEnd w:id="9"/>
      <w:r w:rsidR="006B30D1" w:rsidRPr="006B30D1">
        <w:rPr>
          <w:color w:val="auto"/>
          <w:sz w:val="20"/>
          <w:szCs w:val="20"/>
          <w:lang w:val="en-US"/>
        </w:rPr>
        <w:t xml:space="preserve">: </w:t>
      </w:r>
      <w:r w:rsidR="005A3A5A">
        <w:rPr>
          <w:b/>
          <w:bCs/>
          <w:color w:val="auto"/>
          <w:sz w:val="20"/>
          <w:szCs w:val="20"/>
          <w:lang w:val="en-US"/>
        </w:rPr>
        <w:t xml:space="preserve">A: </w:t>
      </w:r>
      <w:r w:rsidR="006B30D1" w:rsidRPr="006B30D1">
        <w:rPr>
          <w:color w:val="auto"/>
          <w:sz w:val="20"/>
          <w:szCs w:val="20"/>
          <w:lang w:val="en-US"/>
        </w:rPr>
        <w:t>Composition of the electrical double layer around a negatively charged spherical particle</w:t>
      </w:r>
      <w:r w:rsidR="006B30D1" w:rsidRPr="006B30D1">
        <w:rPr>
          <w:color w:val="auto"/>
          <w:sz w:val="20"/>
          <w:szCs w:val="20"/>
          <w:lang w:val="en-US"/>
        </w:rPr>
        <w:fldChar w:fldCharType="begin" w:fldLock="1"/>
      </w:r>
      <w:r w:rsidR="00FB6101">
        <w:rPr>
          <w:color w:val="auto"/>
          <w:sz w:val="20"/>
          <w:szCs w:val="20"/>
          <w:lang w:val="en-US"/>
        </w:rPr>
        <w:instrText>ADDIN CSL_CITATION { "citationItems" : [ { "id" : "ITEM-1", "itemData" : { "author" : [ { "dropping-particle" : "", "family" : "Park", "given" : "S", "non-dropping-particle" : "", "parse-names" : false, "suffix" : "" }, { "dropping-particle" : "", "family" : "Seo", "given" : "M", "non-dropping-particle" : "", "parse-names" : false, "suffix" : "" } ], "id" : "ITEM-1", "issued" : { "date-parts" : [ [ "2011" ] ] }, "title" : "Interface Science and Composites", "type" : "book" }, "uris" : [ "http://www.mendeley.com/documents/?uuid=d0bcc9e6-e7f5-43c8-b235-f4b104bfdad8" ] } ], "mendeley" : { "formattedCitation" : "&lt;sup&gt;35&lt;/sup&gt;", "plainTextFormattedCitation" : "35", "previouslyFormattedCitation" : "&lt;sup&gt;35&lt;/sup&gt;" }, "properties" : { "noteIndex" : 0 }, "schema" : "https://github.com/citation-style-language/schema/raw/master/csl-citation.json" }</w:instrText>
      </w:r>
      <w:r w:rsidR="006B30D1" w:rsidRPr="006B30D1">
        <w:rPr>
          <w:color w:val="auto"/>
          <w:sz w:val="20"/>
          <w:szCs w:val="20"/>
          <w:lang w:val="en-US"/>
        </w:rPr>
        <w:fldChar w:fldCharType="separate"/>
      </w:r>
      <w:r w:rsidR="00DE131C" w:rsidRPr="00DE131C">
        <w:rPr>
          <w:i w:val="0"/>
          <w:noProof/>
          <w:color w:val="auto"/>
          <w:sz w:val="20"/>
          <w:szCs w:val="20"/>
          <w:vertAlign w:val="superscript"/>
          <w:lang w:val="en-US"/>
        </w:rPr>
        <w:t>35</w:t>
      </w:r>
      <w:r w:rsidR="006B30D1" w:rsidRPr="006B30D1">
        <w:rPr>
          <w:color w:val="auto"/>
          <w:sz w:val="20"/>
          <w:szCs w:val="20"/>
          <w:lang w:val="en-US"/>
        </w:rPr>
        <w:fldChar w:fldCharType="end"/>
      </w:r>
      <w:r w:rsidR="00E52082">
        <w:rPr>
          <w:color w:val="auto"/>
          <w:sz w:val="20"/>
          <w:szCs w:val="20"/>
          <w:lang w:val="en-US"/>
        </w:rPr>
        <w:t>,</w:t>
      </w:r>
      <w:r w:rsidR="005A3A5A">
        <w:rPr>
          <w:color w:val="auto"/>
          <w:sz w:val="20"/>
          <w:szCs w:val="20"/>
          <w:lang w:val="en-US"/>
        </w:rPr>
        <w:t xml:space="preserve"> </w:t>
      </w:r>
      <w:r w:rsidR="005A3A5A">
        <w:rPr>
          <w:b/>
          <w:bCs/>
          <w:color w:val="auto"/>
          <w:sz w:val="20"/>
          <w:szCs w:val="20"/>
          <w:lang w:val="en-US"/>
        </w:rPr>
        <w:t>B</w:t>
      </w:r>
      <w:r w:rsidR="005A3A5A">
        <w:rPr>
          <w:color w:val="auto"/>
          <w:sz w:val="20"/>
          <w:szCs w:val="20"/>
          <w:lang w:val="en-US"/>
        </w:rPr>
        <w:t xml:space="preserve">: </w:t>
      </w:r>
      <w:r w:rsidR="005A3A5A" w:rsidRPr="00CA0452">
        <w:rPr>
          <w:color w:val="auto"/>
          <w:sz w:val="20"/>
          <w:szCs w:val="20"/>
          <w:lang w:val="en-US"/>
        </w:rPr>
        <w:t>Scheme showing the free energy profile between two charged particles, according to DLVO theory</w:t>
      </w:r>
      <w:r w:rsidR="00E52082">
        <w:rPr>
          <w:color w:val="auto"/>
          <w:sz w:val="20"/>
          <w:szCs w:val="20"/>
          <w:lang w:val="en-US"/>
        </w:rPr>
        <w:fldChar w:fldCharType="begin" w:fldLock="1"/>
      </w:r>
      <w:r w:rsidR="00FB6101">
        <w:rPr>
          <w:color w:val="auto"/>
          <w:sz w:val="20"/>
          <w:szCs w:val="20"/>
          <w:lang w:val="en-US"/>
        </w:rPr>
        <w:instrText>ADDIN CSL_CITATION { "citationItems" : [ { "id" : "ITEM-1", "itemData" : { "DOI" : "10.1016/B978-0-08-100693-1.00011-4", "ISBN" : "9780081006962", "abstract" : "The yield stress of cement suspensions depends on the balance between attractive and repulsive interparticle forces on the one hand and shear forces on the other hand. The effect of superplasticizers on yield stress comes from introducing a repulsive interparticle force that reduces the overall attractive force between cement particles, and consequently the yield stress.Early-generation superplasticizers were believed to disperse by inducing electrostatic repulsion, but because of their high ionic strength, cement suspensions can hardly be stabilized by electrostatic repulsion. The data presented here suggest that it is rather steric repulsion that must be considered at full surface coverage.Polycarboxylate ether or PCE superplasticizers are broadly accepted to act through steric hindrance. Here we describe the role of the molecular structure in the dispersive effect under conditions of full and incomplete surface coverage.", "author" : [ { "dropping-particle" : "", "family" : "Gelardi", "given" : "G.", "non-dropping-particle" : "", "parse-names" : false, "suffix" : "" }, { "dropping-particle" : "", "family" : "Flatt", "given" : "Robert J.", "non-dropping-particle" : "", "parse-names" : false, "suffix" : "" } ], "container-title" : "Science and Technology of Concrete Admixtures", "id" : "ITEM-1", "issued" : { "date-parts" : [ [ "2016" ] ] }, "page" : "257-278", "title" : "Working mechanisms of water reducers and superplasticizers", "type" : "chapter" }, "uris" : [ "http://www.mendeley.com/documents/?uuid=57e791a1-2697-486d-bd28-9779fd6790ba" ] } ], "mendeley" : { "formattedCitation" : "&lt;sup&gt;36&lt;/sup&gt;", "plainTextFormattedCitation" : "36", "previouslyFormattedCitation" : "&lt;sup&gt;36&lt;/sup&gt;" }, "properties" : { "noteIndex" : 0 }, "schema" : "https://github.com/citation-style-language/schema/raw/master/csl-citation.json" }</w:instrText>
      </w:r>
      <w:r w:rsidR="00E52082">
        <w:rPr>
          <w:color w:val="auto"/>
          <w:sz w:val="20"/>
          <w:szCs w:val="20"/>
          <w:lang w:val="en-US"/>
        </w:rPr>
        <w:fldChar w:fldCharType="separate"/>
      </w:r>
      <w:r w:rsidR="00DE131C" w:rsidRPr="00DE131C">
        <w:rPr>
          <w:i w:val="0"/>
          <w:noProof/>
          <w:color w:val="auto"/>
          <w:sz w:val="20"/>
          <w:szCs w:val="20"/>
          <w:vertAlign w:val="superscript"/>
          <w:lang w:val="en-US"/>
        </w:rPr>
        <w:t>36</w:t>
      </w:r>
      <w:r w:rsidR="00E52082">
        <w:rPr>
          <w:color w:val="auto"/>
          <w:sz w:val="20"/>
          <w:szCs w:val="20"/>
          <w:lang w:val="en-US"/>
        </w:rPr>
        <w:fldChar w:fldCharType="end"/>
      </w:r>
      <w:r w:rsidR="00E52082">
        <w:rPr>
          <w:color w:val="auto"/>
          <w:sz w:val="20"/>
          <w:szCs w:val="20"/>
          <w:lang w:val="en-US"/>
        </w:rPr>
        <w:t>.</w:t>
      </w:r>
    </w:p>
    <w:p w:rsidR="00E74C8E" w:rsidRDefault="00E74C8E" w:rsidP="00FC7A2B">
      <w:pPr>
        <w:spacing w:line="240" w:lineRule="auto"/>
        <w:rPr>
          <w:lang w:val="en-US"/>
        </w:rPr>
      </w:pPr>
      <w:r>
        <w:rPr>
          <w:lang w:val="en-US"/>
        </w:rPr>
        <w:t xml:space="preserve">At low surface charge densities of the particles, the interaction free energy of the electrical double layer can be approximated using the Debye-Hückel approximation (2). </w:t>
      </w:r>
    </w:p>
    <w:p w:rsidR="00E74C8E" w:rsidRPr="00DF2300" w:rsidRDefault="00767BE6" w:rsidP="00FC7A2B">
      <w:pPr>
        <w:spacing w:line="240" w:lineRule="auto"/>
        <w:jc w:val="center"/>
        <w:rPr>
          <w:rFonts w:eastAsiaTheme="minorEastAsia"/>
          <w:sz w:val="28"/>
          <w:szCs w:val="28"/>
          <w:lang w:val="en-US"/>
        </w:rPr>
      </w:pPr>
      <m:oMathPara>
        <m:oMath>
          <m:eqArr>
            <m:eqArrPr>
              <m:maxDist m:val="1"/>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h</m:t>
                  </m:r>
                </m:e>
              </m:d>
              <m:r>
                <w:rPr>
                  <w:rFonts w:ascii="Cambria Math" w:hAnsi="Cambria Math"/>
                  <w:lang w:val="en-US"/>
                </w:rPr>
                <m:t>=</m:t>
              </m:r>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m:t>
                      </m:r>
                    </m:sub>
                  </m:sSub>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m:t>
                      </m:r>
                    </m:sub>
                  </m:sSub>
                </m:num>
                <m:den>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0</m:t>
                      </m:r>
                    </m:sub>
                  </m:sSub>
                  <m:r>
                    <w:rPr>
                      <w:rFonts w:ascii="Cambria Math" w:hAnsi="Cambria Math"/>
                      <w:lang w:val="en-US"/>
                    </w:rPr>
                    <m:t>ϵκ</m:t>
                  </m:r>
                </m:den>
              </m:f>
              <m:sSup>
                <m:sSupPr>
                  <m:ctrlPr>
                    <w:rPr>
                      <w:rFonts w:ascii="Cambria Math" w:hAnsi="Cambria Math"/>
                      <w:i/>
                      <w:lang w:val="en-US"/>
                    </w:rPr>
                  </m:ctrlPr>
                </m:sSupPr>
                <m:e>
                  <m:r>
                    <w:rPr>
                      <w:rFonts w:ascii="Cambria Math" w:hAnsi="Cambria Math"/>
                    </w:rPr>
                    <m:t>e</m:t>
                  </m:r>
                </m:e>
                <m:sup>
                  <m:r>
                    <w:rPr>
                      <w:rFonts w:ascii="Cambria Math" w:hAnsi="Cambria Math"/>
                      <w:lang w:val="en-US"/>
                    </w:rPr>
                    <m:t>-</m:t>
                  </m:r>
                  <m:r>
                    <w:rPr>
                      <w:rFonts w:ascii="Cambria Math" w:hAnsi="Cambria Math"/>
                    </w:rPr>
                    <m:t>κ</m:t>
                  </m:r>
                  <m:r>
                    <w:rPr>
                      <w:rFonts w:ascii="Cambria Math" w:hAnsi="Cambria Math"/>
                      <w:lang w:val="en-US"/>
                    </w:rPr>
                    <m:t>h</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2</m:t>
                  </m:r>
                </m:e>
              </m:d>
            </m:e>
          </m:eqArr>
        </m:oMath>
      </m:oMathPara>
    </w:p>
    <w:p w:rsidR="005A3A5A" w:rsidRDefault="00E74C8E" w:rsidP="00FC7A2B">
      <w:pPr>
        <w:spacing w:line="240" w:lineRule="auto"/>
        <w:rPr>
          <w:lang w:val="en-US"/>
        </w:rPr>
      </w:pPr>
      <w:r>
        <w:rPr>
          <w:rFonts w:eastAsiaTheme="minorEastAsia"/>
          <w:lang w:val="en-US"/>
        </w:rPr>
        <w:t xml:space="preserve">Here, </w:t>
      </w:r>
      <w:r>
        <w:rPr>
          <w:rFonts w:eastAsiaTheme="minorEastAsia" w:cstheme="minorHAnsi"/>
          <w:i/>
          <w:lang w:val="en-US"/>
        </w:rPr>
        <w:t>σ</w:t>
      </w:r>
      <w:r>
        <w:rPr>
          <w:rFonts w:eastAsiaTheme="minorEastAsia"/>
          <w:i/>
          <w:vertAlign w:val="subscript"/>
          <w:lang w:val="en-US"/>
        </w:rPr>
        <w:t>+</w:t>
      </w:r>
      <w:r>
        <w:rPr>
          <w:rFonts w:eastAsiaTheme="minorEastAsia"/>
          <w:lang w:val="en-US"/>
        </w:rPr>
        <w:t xml:space="preserve"> and </w:t>
      </w:r>
      <w:r>
        <w:rPr>
          <w:rFonts w:eastAsiaTheme="minorEastAsia" w:cstheme="minorHAnsi"/>
          <w:i/>
          <w:lang w:val="en-US"/>
        </w:rPr>
        <w:t>σ</w:t>
      </w:r>
      <w:r>
        <w:rPr>
          <w:rFonts w:eastAsiaTheme="minorEastAsia" w:cstheme="minorHAnsi"/>
          <w:i/>
          <w:vertAlign w:val="subscript"/>
          <w:lang w:val="en-US"/>
        </w:rPr>
        <w:t>-</w:t>
      </w:r>
      <w:r>
        <w:rPr>
          <w:rFonts w:eastAsiaTheme="minorEastAsia" w:cstheme="minorHAnsi"/>
          <w:lang w:val="en-US"/>
        </w:rPr>
        <w:t xml:space="preserve"> are the surface charge densities per unit area of the positively and negatively charged surface, respectively, </w:t>
      </w:r>
      <w:r>
        <w:rPr>
          <w:rFonts w:eastAsiaTheme="minorEastAsia" w:cstheme="minorHAnsi"/>
          <w:i/>
          <w:lang w:val="en-US"/>
        </w:rPr>
        <w:t>ε</w:t>
      </w:r>
      <w:r>
        <w:rPr>
          <w:rFonts w:eastAsiaTheme="minorEastAsia" w:cstheme="minorHAnsi"/>
          <w:i/>
          <w:vertAlign w:val="subscript"/>
          <w:lang w:val="en-US"/>
        </w:rPr>
        <w:t>0</w:t>
      </w:r>
      <w:r>
        <w:rPr>
          <w:rFonts w:eastAsiaTheme="minorEastAsia" w:cstheme="minorHAnsi"/>
          <w:lang w:val="en-US"/>
        </w:rPr>
        <w:t xml:space="preserve"> is the permittivity of vacuum, </w:t>
      </w:r>
      <w:r>
        <w:rPr>
          <w:rFonts w:eastAsiaTheme="minorEastAsia" w:cstheme="minorHAnsi"/>
          <w:i/>
          <w:lang w:val="en-US"/>
        </w:rPr>
        <w:t>ε</w:t>
      </w:r>
      <w:r>
        <w:rPr>
          <w:rFonts w:eastAsiaTheme="minorEastAsia" w:cstheme="minorHAnsi"/>
          <w:lang w:val="en-US"/>
        </w:rPr>
        <w:t xml:space="preserve"> is the dielectric constant of water and </w:t>
      </w:r>
      <w:r>
        <w:rPr>
          <w:rFonts w:eastAsiaTheme="minorEastAsia" w:cstheme="minorHAnsi"/>
          <w:i/>
          <w:lang w:val="en-US"/>
        </w:rPr>
        <w:t>κ</w:t>
      </w:r>
      <w:r>
        <w:rPr>
          <w:rFonts w:eastAsiaTheme="minorEastAsia" w:cstheme="minorHAnsi"/>
          <w:lang w:val="en-US"/>
        </w:rPr>
        <w:t xml:space="preserve"> the inverse Debye length. </w:t>
      </w:r>
      <w:r w:rsidR="005A3A5A">
        <w:rPr>
          <w:lang w:val="en-US"/>
        </w:rPr>
        <w:t>With the expressions for the Van der Waals free interaction energy and the electrical double layer free interactive energy, a cumulative model can be formed that is the foundation of the DLVO theory (3). A free energy profile of this model is shown in 2B.</w:t>
      </w:r>
    </w:p>
    <w:p w:rsidR="005A3A5A" w:rsidRPr="005A3A5A" w:rsidRDefault="00767BE6" w:rsidP="00FC7A2B">
      <w:pPr>
        <w:spacing w:line="240" w:lineRule="auto"/>
        <w:jc w:val="center"/>
        <w:rPr>
          <w:rFonts w:eastAsiaTheme="minorEastAsia"/>
          <w:lang w:val="en-US"/>
        </w:rPr>
      </w:pPr>
      <m:oMathPara>
        <m:oMath>
          <m:eqArr>
            <m:eqArrPr>
              <m:maxDist m:val="1"/>
              <m:ctrlPr>
                <w:rPr>
                  <w:rFonts w:ascii="Cambria Math" w:hAnsi="Cambria Math"/>
                  <w:i/>
                  <w:lang w:val="en-US"/>
                </w:rPr>
              </m:ctrlPr>
            </m:eqArrPr>
            <m:e>
              <m:r>
                <w:rPr>
                  <w:rFonts w:ascii="Cambria Math" w:hAnsi="Cambria Math"/>
                  <w:lang w:val="en-US"/>
                </w:rPr>
                <m:t>W</m:t>
              </m:r>
              <m:d>
                <m:dPr>
                  <m:ctrlPr>
                    <w:rPr>
                      <w:rFonts w:ascii="Cambria Math" w:hAnsi="Cambria Math"/>
                      <w:i/>
                      <w:lang w:val="en-US"/>
                    </w:rPr>
                  </m:ctrlPr>
                </m:dPr>
                <m:e>
                  <m:r>
                    <w:rPr>
                      <w:rFonts w:ascii="Cambria Math" w:hAnsi="Cambria Math"/>
                      <w:lang w:val="en-US"/>
                    </w:rPr>
                    <m:t>h</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vdW</m:t>
                  </m:r>
                </m:sub>
              </m:sSub>
              <m:d>
                <m:dPr>
                  <m:ctrlPr>
                    <w:rPr>
                      <w:rFonts w:ascii="Cambria Math" w:hAnsi="Cambria Math"/>
                      <w:i/>
                      <w:lang w:val="en-US"/>
                    </w:rPr>
                  </m:ctrlPr>
                </m:dPr>
                <m:e>
                  <m:r>
                    <w:rPr>
                      <w:rFonts w:ascii="Cambria Math" w:hAnsi="Cambria Math"/>
                      <w:lang w:val="en-US"/>
                    </w:rPr>
                    <m:t>h</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h</m:t>
                  </m:r>
                </m:e>
              </m:d>
              <m:r>
                <w:rPr>
                  <w:rFonts w:ascii="Cambria Math" w:hAnsi="Cambria Math"/>
                  <w:lang w:val="en-US"/>
                </w:rPr>
                <m:t>=-</m:t>
              </m:r>
              <m:f>
                <m:fPr>
                  <m:ctrlPr>
                    <w:rPr>
                      <w:rFonts w:ascii="Cambria Math" w:hAnsi="Cambria Math"/>
                      <w:i/>
                      <w:lang w:val="en-US"/>
                    </w:rPr>
                  </m:ctrlPr>
                </m:fPr>
                <m:num>
                  <m:r>
                    <w:rPr>
                      <w:rFonts w:ascii="Cambria Math" w:hAnsi="Cambria Math"/>
                      <w:lang w:val="en-US"/>
                    </w:rPr>
                    <m:t>H</m:t>
                  </m:r>
                </m:num>
                <m:den>
                  <m:r>
                    <w:rPr>
                      <w:rFonts w:ascii="Cambria Math" w:hAnsi="Cambria Math"/>
                      <w:lang w:val="en-US"/>
                    </w:rPr>
                    <m:t>12π</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m:t>
                      </m:r>
                    </m:sub>
                  </m:sSub>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m:t>
                      </m:r>
                    </m:sub>
                  </m:sSub>
                </m:num>
                <m:den>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0</m:t>
                      </m:r>
                    </m:sub>
                  </m:sSub>
                  <m:r>
                    <w:rPr>
                      <w:rFonts w:ascii="Cambria Math" w:hAnsi="Cambria Math"/>
                      <w:lang w:val="en-US"/>
                    </w:rPr>
                    <m:t>ϵκ</m:t>
                  </m:r>
                </m:den>
              </m:f>
              <m:sSup>
                <m:sSupPr>
                  <m:ctrlPr>
                    <w:rPr>
                      <w:rFonts w:ascii="Cambria Math" w:hAnsi="Cambria Math"/>
                      <w:i/>
                      <w:lang w:val="en-US"/>
                    </w:rPr>
                  </m:ctrlPr>
                </m:sSupPr>
                <m:e>
                  <m:r>
                    <w:rPr>
                      <w:rFonts w:ascii="Cambria Math" w:hAnsi="Cambria Math"/>
                    </w:rPr>
                    <m:t>e</m:t>
                  </m:r>
                </m:e>
                <m:sup>
                  <m:r>
                    <w:rPr>
                      <w:rFonts w:ascii="Cambria Math" w:hAnsi="Cambria Math"/>
                      <w:lang w:val="en-US"/>
                    </w:rPr>
                    <m:t>-</m:t>
                  </m:r>
                  <m:r>
                    <w:rPr>
                      <w:rFonts w:ascii="Cambria Math" w:hAnsi="Cambria Math"/>
                    </w:rPr>
                    <m:t>κ</m:t>
                  </m:r>
                  <m:r>
                    <w:rPr>
                      <w:rFonts w:ascii="Cambria Math" w:hAnsi="Cambria Math"/>
                      <w:lang w:val="en-US"/>
                    </w:rPr>
                    <m:t>h</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3</m:t>
                  </m:r>
                </m:e>
              </m:d>
            </m:e>
          </m:eqArr>
        </m:oMath>
      </m:oMathPara>
    </w:p>
    <w:p w:rsidR="00E74C8E" w:rsidRDefault="00E74C8E" w:rsidP="00FC7A2B">
      <w:pPr>
        <w:spacing w:line="240" w:lineRule="auto"/>
        <w:rPr>
          <w:rFonts w:eastAsiaTheme="minorEastAsia" w:cstheme="minorHAnsi"/>
          <w:lang w:val="en-US"/>
        </w:rPr>
      </w:pPr>
      <w:r>
        <w:rPr>
          <w:rFonts w:eastAsiaTheme="minorEastAsia" w:cstheme="minorHAnsi"/>
          <w:lang w:val="en-US"/>
        </w:rPr>
        <w:t xml:space="preserve">The Debye length </w:t>
      </w:r>
      <w:r>
        <w:rPr>
          <w:rFonts w:eastAsiaTheme="minorEastAsia" w:cstheme="minorHAnsi"/>
          <w:i/>
          <w:lang w:val="en-US"/>
        </w:rPr>
        <w:t>κ</w:t>
      </w:r>
      <w:r>
        <w:rPr>
          <w:rFonts w:eastAsiaTheme="minorEastAsia" w:cstheme="minorHAnsi"/>
          <w:i/>
          <w:vertAlign w:val="superscript"/>
          <w:lang w:val="en-US"/>
        </w:rPr>
        <w:t>-1</w:t>
      </w:r>
      <w:r>
        <w:rPr>
          <w:rFonts w:eastAsiaTheme="minorEastAsia" w:cstheme="minorHAnsi"/>
          <w:lang w:val="en-US"/>
        </w:rPr>
        <w:t xml:space="preserve"> is a measure of the thickness of the diffuse electrical double layer in a solution</w:t>
      </w:r>
      <w:r w:rsidR="005A3A5A">
        <w:rPr>
          <w:rFonts w:eastAsiaTheme="minorEastAsia" w:cstheme="minorHAnsi"/>
          <w:lang w:val="en-US"/>
        </w:rPr>
        <w:t xml:space="preserve"> and is defined in equation (4). </w:t>
      </w:r>
    </w:p>
    <w:p w:rsidR="00E74C8E" w:rsidRPr="00A16B44" w:rsidRDefault="00767BE6" w:rsidP="00FC7A2B">
      <w:pPr>
        <w:spacing w:line="240" w:lineRule="auto"/>
        <w:jc w:val="center"/>
        <w:rPr>
          <w:rFonts w:eastAsiaTheme="minorEastAsia" w:cstheme="minorHAnsi"/>
          <w:sz w:val="28"/>
          <w:szCs w:val="28"/>
          <w:lang w:val="en-US"/>
        </w:rPr>
      </w:pPr>
      <m:oMathPara>
        <m:oMath>
          <m:eqArr>
            <m:eqArrPr>
              <m:maxDist m:val="1"/>
              <m:ctrlPr>
                <w:rPr>
                  <w:rFonts w:ascii="Cambria Math" w:eastAsiaTheme="minorEastAsia" w:hAnsi="Cambria Math"/>
                  <w:i/>
                  <w:lang w:val="en-US"/>
                </w:rPr>
              </m:ctrlPr>
            </m:eqArrPr>
            <m:e>
              <m:sSup>
                <m:sSupPr>
                  <m:ctrlPr>
                    <w:rPr>
                      <w:rFonts w:ascii="Cambria Math" w:eastAsiaTheme="minorEastAsia" w:hAnsi="Cambria Math"/>
                      <w:i/>
                      <w:lang w:val="en-US"/>
                    </w:rPr>
                  </m:ctrlPr>
                </m:sSupPr>
                <m:e>
                  <m:r>
                    <w:rPr>
                      <w:rFonts w:ascii="Cambria Math" w:eastAsiaTheme="minorEastAsia" w:hAnsi="Cambria Math"/>
                      <w:lang w:val="en-US"/>
                    </w:rPr>
                    <m:t>κ</m:t>
                  </m:r>
                </m:e>
                <m:sup>
                  <m:r>
                    <w:rPr>
                      <w:rFonts w:ascii="Cambria Math" w:eastAsiaTheme="minorEastAsia" w:hAnsi="Cambria Math"/>
                      <w:lang w:val="en-US"/>
                    </w:rPr>
                    <m:t>-1</m:t>
                  </m:r>
                </m:sup>
              </m:sSup>
              <m:r>
                <w:rPr>
                  <w:rFonts w:ascii="Cambria Math" w:eastAsiaTheme="minorEastAsia" w:hAnsi="Cambria Math"/>
                  <w:lang w:val="en-US"/>
                </w:rPr>
                <m:t>=</m:t>
              </m:r>
              <m:sSup>
                <m:sSupPr>
                  <m:ctrlPr>
                    <w:rPr>
                      <w:rFonts w:ascii="Cambria Math" w:eastAsiaTheme="minorEastAsia" w:hAnsi="Cambria Math"/>
                      <w:i/>
                      <w:lang w:val="en-US"/>
                    </w:rPr>
                  </m:ctrlPr>
                </m:sSupPr>
                <m:e>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B</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ϵ</m:t>
                              </m:r>
                            </m:e>
                            <m:sub>
                              <m:r>
                                <w:rPr>
                                  <w:rFonts w:ascii="Cambria Math" w:eastAsiaTheme="minorEastAsia" w:hAnsi="Cambria Math"/>
                                  <w:lang w:val="en-US"/>
                                </w:rPr>
                                <m:t>0</m:t>
                              </m:r>
                            </m:sub>
                          </m:sSub>
                          <m:r>
                            <w:rPr>
                              <w:rFonts w:ascii="Cambria Math" w:eastAsiaTheme="minorEastAsia" w:hAnsi="Cambria Math"/>
                              <w:lang w:val="en-US"/>
                            </w:rPr>
                            <m:t>ϵ</m:t>
                          </m:r>
                        </m:num>
                        <m:den>
                          <m:r>
                            <w:rPr>
                              <w:rFonts w:ascii="Cambria Math" w:eastAsiaTheme="minorEastAsia" w:hAnsi="Cambria Math"/>
                              <w:lang w:val="en-US"/>
                            </w:rPr>
                            <m:t>2</m:t>
                          </m:r>
                          <m:sSup>
                            <m:sSupPr>
                              <m:ctrlPr>
                                <w:rPr>
                                  <w:rFonts w:ascii="Cambria Math" w:eastAsiaTheme="minorEastAsia" w:hAnsi="Cambria Math"/>
                                  <w:i/>
                                  <w:lang w:val="en-US"/>
                                </w:rPr>
                              </m:ctrlPr>
                            </m:sSupPr>
                            <m:e>
                              <m:r>
                                <w:rPr>
                                  <w:rFonts w:ascii="Cambria Math" w:eastAsiaTheme="minorEastAsia" w:hAnsi="Cambria Math"/>
                                  <w:lang w:val="en-US"/>
                                </w:rPr>
                                <m:t>q</m:t>
                              </m:r>
                            </m:e>
                            <m:sup>
                              <m:r>
                                <w:rPr>
                                  <w:rFonts w:ascii="Cambria Math" w:eastAsiaTheme="minorEastAsia" w:hAnsi="Cambria Math"/>
                                  <w:lang w:val="en-US"/>
                                </w:rPr>
                                <m:t>2</m:t>
                              </m:r>
                            </m:sup>
                          </m:s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A</m:t>
                              </m:r>
                            </m:sub>
                          </m:sSub>
                          <m:r>
                            <w:rPr>
                              <w:rFonts w:ascii="Cambria Math" w:eastAsiaTheme="minorEastAsia" w:hAnsi="Cambria Math"/>
                              <w:lang w:val="en-US"/>
                            </w:rPr>
                            <m:t>I</m:t>
                          </m:r>
                        </m:den>
                      </m:f>
                    </m:e>
                  </m:d>
                </m:e>
                <m:sup>
                  <m:r>
                    <w:rPr>
                      <w:rFonts w:ascii="Cambria Math" w:eastAsiaTheme="minorEastAsia" w:hAnsi="Cambria Math"/>
                      <w:lang w:val="en-US"/>
                    </w:rPr>
                    <m:t>1</m:t>
                  </m:r>
                  <m:r>
                    <m:rPr>
                      <m:lit/>
                    </m:rPr>
                    <w:rPr>
                      <w:rFonts w:ascii="Cambria Math" w:eastAsiaTheme="minorEastAsia" w:hAnsi="Cambria Math"/>
                      <w:lang w:val="en-US"/>
                    </w:rPr>
                    <m:t>/</m:t>
                  </m:r>
                  <m:r>
                    <w:rPr>
                      <w:rFonts w:ascii="Cambria Math" w:eastAsiaTheme="minorEastAsia" w:hAnsi="Cambria Math"/>
                      <w:lang w:val="en-US"/>
                    </w:rPr>
                    <m:t>2</m:t>
                  </m:r>
                </m:sup>
              </m:s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0.3 nm</m:t>
                  </m:r>
                </m:num>
                <m:den>
                  <m:rad>
                    <m:radPr>
                      <m:degHide m:val="1"/>
                      <m:ctrlPr>
                        <w:rPr>
                          <w:rFonts w:ascii="Cambria Math" w:eastAsiaTheme="minorEastAsia" w:hAnsi="Cambria Math"/>
                          <w:i/>
                          <w:lang w:val="en-US"/>
                        </w:rPr>
                      </m:ctrlPr>
                    </m:radPr>
                    <m:deg/>
                    <m:e>
                      <m:r>
                        <w:rPr>
                          <w:rFonts w:ascii="Cambria Math" w:eastAsiaTheme="minorEastAsia" w:hAnsi="Cambria Math"/>
                          <w:lang w:val="en-US"/>
                        </w:rPr>
                        <m:t>I</m:t>
                      </m:r>
                    </m:e>
                  </m:rad>
                </m:den>
              </m:f>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4</m:t>
                  </m:r>
                </m:e>
              </m:d>
            </m:e>
          </m:eqArr>
        </m:oMath>
      </m:oMathPara>
    </w:p>
    <w:p w:rsidR="00E74C8E" w:rsidRDefault="00E74C8E" w:rsidP="00FC7A2B">
      <w:pPr>
        <w:spacing w:line="240" w:lineRule="auto"/>
        <w:rPr>
          <w:rFonts w:eastAsiaTheme="minorEastAsia"/>
          <w:lang w:val="en-US"/>
        </w:rPr>
      </w:pPr>
      <w:r>
        <w:rPr>
          <w:rFonts w:eastAsiaTheme="minorEastAsia"/>
          <w:lang w:val="en-US"/>
        </w:rPr>
        <w:t xml:space="preserve">Here, </w:t>
      </w:r>
      <w:r>
        <w:rPr>
          <w:rFonts w:eastAsiaTheme="minorEastAsia"/>
          <w:i/>
          <w:lang w:val="en-US"/>
        </w:rPr>
        <w:t>q</w:t>
      </w:r>
      <w:r>
        <w:rPr>
          <w:rFonts w:eastAsiaTheme="minorEastAsia"/>
          <w:lang w:val="en-US"/>
        </w:rPr>
        <w:t xml:space="preserve"> is the elementary charge, </w:t>
      </w:r>
      <w:r>
        <w:rPr>
          <w:rFonts w:eastAsiaTheme="minorEastAsia"/>
          <w:i/>
          <w:lang w:val="en-US"/>
        </w:rPr>
        <w:t>N</w:t>
      </w:r>
      <w:r>
        <w:rPr>
          <w:rFonts w:eastAsiaTheme="minorEastAsia"/>
          <w:i/>
          <w:vertAlign w:val="subscript"/>
          <w:lang w:val="en-US"/>
        </w:rPr>
        <w:t>A</w:t>
      </w:r>
      <w:r>
        <w:rPr>
          <w:rFonts w:eastAsiaTheme="minorEastAsia"/>
          <w:lang w:val="en-US"/>
        </w:rPr>
        <w:t xml:space="preserve"> is Avogadro’s number,</w:t>
      </w:r>
      <w:r>
        <w:rPr>
          <w:rFonts w:eastAsiaTheme="minorEastAsia"/>
          <w:i/>
          <w:lang w:val="en-US"/>
        </w:rPr>
        <w:t xml:space="preserve"> I</w:t>
      </w:r>
      <w:r>
        <w:rPr>
          <w:rFonts w:eastAsiaTheme="minorEastAsia"/>
          <w:lang w:val="en-US"/>
        </w:rPr>
        <w:t xml:space="preserve"> is the ionic strength, </w:t>
      </w:r>
      <w:r>
        <w:rPr>
          <w:rFonts w:eastAsiaTheme="minorEastAsia"/>
          <w:i/>
          <w:lang w:val="en-US"/>
        </w:rPr>
        <w:t>k</w:t>
      </w:r>
      <w:r>
        <w:rPr>
          <w:rFonts w:eastAsiaTheme="minorEastAsia"/>
          <w:i/>
          <w:vertAlign w:val="subscript"/>
          <w:lang w:val="en-US"/>
        </w:rPr>
        <w:t>B</w:t>
      </w:r>
      <w:r>
        <w:rPr>
          <w:rFonts w:eastAsiaTheme="minorEastAsia"/>
          <w:lang w:val="en-US"/>
        </w:rPr>
        <w:t xml:space="preserve"> is the Boltzmann constant, and </w:t>
      </w:r>
      <w:r>
        <w:rPr>
          <w:rFonts w:eastAsiaTheme="minorEastAsia"/>
          <w:i/>
          <w:lang w:val="en-US"/>
        </w:rPr>
        <w:t>T</w:t>
      </w:r>
      <w:r>
        <w:rPr>
          <w:rFonts w:eastAsiaTheme="minorEastAsia"/>
          <w:lang w:val="en-US"/>
        </w:rPr>
        <w:t xml:space="preserve"> is the absolute temperature. The second equality is approximately accurate for water at room temperature. The ionic strength </w:t>
      </w:r>
      <w:r>
        <w:rPr>
          <w:rFonts w:eastAsiaTheme="minorEastAsia"/>
          <w:i/>
          <w:lang w:val="en-US"/>
        </w:rPr>
        <w:t>I</w:t>
      </w:r>
      <w:r>
        <w:rPr>
          <w:rFonts w:eastAsiaTheme="minorEastAsia"/>
          <w:lang w:val="en-US"/>
        </w:rPr>
        <w:t xml:space="preserve"> is defined in equation </w:t>
      </w:r>
      <w:r w:rsidR="005A3A5A">
        <w:rPr>
          <w:rFonts w:eastAsiaTheme="minorEastAsia"/>
          <w:lang w:val="en-US"/>
        </w:rPr>
        <w:t>(5)</w:t>
      </w:r>
      <w:r>
        <w:rPr>
          <w:rFonts w:eastAsiaTheme="minorEastAsia"/>
          <w:lang w:val="en-US"/>
        </w:rPr>
        <w:t>.</w:t>
      </w:r>
    </w:p>
    <w:p w:rsidR="00E74C8E" w:rsidRPr="00A16B44" w:rsidRDefault="00767BE6" w:rsidP="00FC7A2B">
      <w:pPr>
        <w:spacing w:line="240" w:lineRule="auto"/>
        <w:jc w:val="center"/>
        <w:rPr>
          <w:rFonts w:eastAsiaTheme="minorEastAsia"/>
          <w:lang w:val="en-US"/>
        </w:rPr>
      </w:pPr>
      <m:oMathPara>
        <m:oMath>
          <m:eqArr>
            <m:eqArrPr>
              <m:maxDist m:val="1"/>
              <m:ctrlPr>
                <w:rPr>
                  <w:rFonts w:ascii="Cambria Math" w:eastAsiaTheme="minorEastAsia" w:hAnsi="Cambria Math"/>
                  <w:i/>
                  <w:lang w:val="en-US"/>
                </w:rPr>
              </m:ctrlPr>
            </m:eqArrPr>
            <m:e>
              <m:r>
                <w:rPr>
                  <w:rFonts w:ascii="Cambria Math" w:eastAsiaTheme="minorEastAsia" w:hAnsi="Cambria Math"/>
                  <w:lang w:val="en-US"/>
                </w:rPr>
                <m:t>I=</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2</m:t>
                  </m:r>
                </m:den>
              </m:f>
              <m:nary>
                <m:naryPr>
                  <m:chr m:val="∑"/>
                  <m:limLoc m:val="undOvr"/>
                  <m:supHide m:val="1"/>
                  <m:ctrlPr>
                    <w:rPr>
                      <w:rFonts w:ascii="Cambria Math" w:eastAsiaTheme="minorEastAsia" w:hAnsi="Cambria Math"/>
                      <w:i/>
                      <w:lang w:val="en-US"/>
                    </w:rPr>
                  </m:ctrlPr>
                </m:naryPr>
                <m:sub>
                  <m:r>
                    <w:rPr>
                      <w:rFonts w:ascii="Cambria Math" w:eastAsiaTheme="minorEastAsia" w:hAnsi="Cambria Math"/>
                      <w:lang w:val="en-US"/>
                    </w:rPr>
                    <m:t>i</m:t>
                  </m:r>
                </m:sub>
                <m:sup/>
                <m:e>
                  <m:sSubSup>
                    <m:sSubSupPr>
                      <m:ctrlPr>
                        <w:rPr>
                          <w:rFonts w:ascii="Cambria Math" w:eastAsiaTheme="minorEastAsia" w:hAnsi="Cambria Math"/>
                          <w:i/>
                          <w:lang w:val="en-US"/>
                        </w:rPr>
                      </m:ctrlPr>
                    </m:sSubSupPr>
                    <m:e>
                      <m:r>
                        <w:rPr>
                          <w:rFonts w:ascii="Cambria Math" w:eastAsiaTheme="minorEastAsia" w:hAnsi="Cambria Math"/>
                          <w:lang w:val="en-US"/>
                        </w:rPr>
                        <m:t>z</m:t>
                      </m:r>
                    </m:e>
                    <m:sub>
                      <m:r>
                        <w:rPr>
                          <w:rFonts w:ascii="Cambria Math" w:eastAsiaTheme="minorEastAsia" w:hAnsi="Cambria Math"/>
                          <w:lang w:val="en-US"/>
                        </w:rPr>
                        <m:t>i</m:t>
                      </m:r>
                    </m:sub>
                    <m:sup>
                      <m:r>
                        <w:rPr>
                          <w:rFonts w:ascii="Cambria Math" w:eastAsiaTheme="minorEastAsia" w:hAnsi="Cambria Math"/>
                          <w:lang w:val="en-US"/>
                        </w:rPr>
                        <m:t>2</m:t>
                      </m:r>
                    </m:sup>
                  </m:sSubSup>
                </m:e>
              </m:nary>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i</m:t>
                  </m:r>
                </m:sub>
              </m:sSub>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5</m:t>
                  </m:r>
                </m:e>
              </m:d>
            </m:e>
          </m:eqArr>
        </m:oMath>
      </m:oMathPara>
    </w:p>
    <w:p w:rsidR="006B30D1" w:rsidRPr="005A3A5A" w:rsidRDefault="00E74C8E" w:rsidP="00FC7A2B">
      <w:pPr>
        <w:spacing w:line="240" w:lineRule="auto"/>
        <w:rPr>
          <w:lang w:val="en-US"/>
        </w:rPr>
      </w:pPr>
      <w:r>
        <w:rPr>
          <w:lang w:val="en-US"/>
        </w:rPr>
        <w:lastRenderedPageBreak/>
        <w:t xml:space="preserve">Here, </w:t>
      </w:r>
      <w:r>
        <w:rPr>
          <w:i/>
          <w:lang w:val="en-US"/>
        </w:rPr>
        <w:t>z</w:t>
      </w:r>
      <w:r>
        <w:rPr>
          <w:i/>
          <w:vertAlign w:val="subscript"/>
          <w:lang w:val="en-US"/>
        </w:rPr>
        <w:t>i</w:t>
      </w:r>
      <w:r>
        <w:rPr>
          <w:lang w:val="en-US"/>
        </w:rPr>
        <w:t xml:space="preserve">  is the valence of the ion of type </w:t>
      </w:r>
      <w:r>
        <w:rPr>
          <w:i/>
          <w:lang w:val="en-US"/>
        </w:rPr>
        <w:t>i</w:t>
      </w:r>
      <w:r>
        <w:rPr>
          <w:lang w:val="en-US"/>
        </w:rPr>
        <w:t xml:space="preserve">, </w:t>
      </w:r>
      <w:r>
        <w:rPr>
          <w:i/>
          <w:lang w:val="en-US"/>
        </w:rPr>
        <w:t>c</w:t>
      </w:r>
      <w:r>
        <w:rPr>
          <w:i/>
          <w:vertAlign w:val="subscript"/>
          <w:lang w:val="en-US"/>
        </w:rPr>
        <w:t>i</w:t>
      </w:r>
      <w:r>
        <w:rPr>
          <w:lang w:val="en-US"/>
        </w:rPr>
        <w:t xml:space="preserve"> is said ion concentration expressed in mol/L, and </w:t>
      </w:r>
      <w:r>
        <w:rPr>
          <w:i/>
          <w:lang w:val="en-US"/>
        </w:rPr>
        <w:t>i</w:t>
      </w:r>
      <w:r>
        <w:rPr>
          <w:lang w:val="en-US"/>
        </w:rPr>
        <w:t xml:space="preserve"> runs over all types of ions in solution. From this, it can be said that the ionic strength is numerically equal to the salt concentration of a solution that only contains monovalent ions. For salt solutions containing multivalent ions, the ionic strength is larger than the ion concentration. </w:t>
      </w:r>
      <w:r>
        <w:rPr>
          <w:rFonts w:eastAsiaTheme="minorEastAsia"/>
          <w:lang w:val="en-US"/>
        </w:rPr>
        <w:t xml:space="preserve">The </w:t>
      </w:r>
      <w:r>
        <w:rPr>
          <w:lang w:val="en-US"/>
        </w:rPr>
        <w:t>Debye-Hückel</w:t>
      </w:r>
      <w:r>
        <w:rPr>
          <w:rFonts w:eastAsiaTheme="minorEastAsia"/>
          <w:lang w:val="en-US"/>
        </w:rPr>
        <w:t xml:space="preserve"> approximation is only valid for relatively small inter-particle distances and low surface charge densities. For higher charge densities, the Poisson-Boltzmann approximation should be applied. Additionally, at very low inter-particle distances, the electrical double layer potentials of the surfaces will overlap. What follows is that a disjoining pressure arises between the two surfaces, caused by an excess of flow of counterions in between them</w:t>
      </w:r>
      <w:r>
        <w:rPr>
          <w:rFonts w:eastAsiaTheme="minorEastAsia"/>
          <w:lang w:val="en-US"/>
        </w:rPr>
        <w:fldChar w:fldCharType="begin" w:fldLock="1"/>
      </w:r>
      <w:r w:rsidR="00FB6101">
        <w:rPr>
          <w:rFonts w:eastAsiaTheme="minorEastAsia"/>
          <w:lang w:val="en-US"/>
        </w:rPr>
        <w:instrText>ADDIN CSL_CITATION { "citationItems" : [ { "id" : "ITEM-1", "itemData" : { "DOI" : "10.1021/la3049482", "ISSN" : "07437463", "abstract" : "Langmuir's disjoining pressure between two flat, charged planes was calculated analytically for strongly overlapping double layers in the limit of zero electric field between the planes. The resulting repulsion has a long-range algebraic decay that stems from the thermodynamic equilibrium between homogeneously distributed interplate ions and ions in the surrounding electrolyte reservoir. Together with the van der Waals attraction, the repulsion forms the zero-field pendant of the exponentially screened DLVO potential, a pendant that is always repulsive at large plate-plate distances. The experimental occurrence of algebraic repulsions can be simply predicted from surface charge density and ionic strength. \u00a9 2013 American Chemical Society.", "author" : [ { "dropping-particle" : "", "family" : "Philipse", "given" : "Albert P.", "non-dropping-particle" : "", "parse-names" : false, "suffix" : "" }, { "dropping-particle" : "", "family" : "Kuipers", "given" : "Bonny W.M.", "non-dropping-particle" : "", "parse-names" : false, "suffix" : "" }, { "dropping-particle" : "", "family" : "Vrij", "given" : "Agienus", "non-dropping-particle" : "", "parse-names" : false, "suffix" : "" } ], "container-title" : "Langmuir", "id" : "ITEM-1", "issue" : "9", "issued" : { "date-parts" : [ [ "2013" ] ] }, "page" : "2859-2870", "title" : "Algebraic repulsions between charged planes with strongly overlapping electrical double layers", "type" : "article-journal", "volume" : "29" }, "uris" : [ "http://www.mendeley.com/documents/?uuid=a6625251-b181-4454-a476-ef89c18d1963" ] }, { "id" : "ITEM-2", "itemData" : { "DOI" : "10.1039/c8sm00662h", "ISSN" : "17446848", "abstract" : "The entropic repulsion between strongly overlapping electrical double-layers from two parallel amphoteric plates is described via the Donnan equilibrium in the limit of zero electric field. The plates feature charge-regulation and the inter-plate solution is in equilibrium with a reservoir of a monovalent electrolyte solution. A finite electric potential and disjoining pressure is found at contact between the plates, due to a complete discharging of the plates. For low potentials, the decay of potential and pressure is fully governed by a characteristic length scale and the contact potential. Additionally, for large separations we find a universal inverse square decay of disjoining pressure, irrespective of the contact potential. The results of the Donnan theory show quantitative agreement with self-consistent field computations that solve the full Poisson equation.", "author" : [ { "dropping-particle" : "", "family" : "Vis", "given" : "Mark", "non-dropping-particle" : "", "parse-names" : false, "suffix" : "" }, { "dropping-particle" : "", "family" : "Tuinier", "given" : "Remco", "non-dropping-particle" : "", "parse-names" : false, "suffix" : "" }, { "dropping-particle" : "", "family" : "Kuipers", "given" : "Bonny W.M.", "non-dropping-particle" : "", "parse-names" : false, "suffix" : "" }, { "dropping-particle" : "", "family" : "Vrij", "given" : "Agienus", "non-dropping-particle" : "", "parse-names" : false, "suffix" : "" }, { "dropping-particle" : "", "family" : "Philipse", "given" : "Albert P.", "non-dropping-particle" : "", "parse-names" : false, "suffix" : "" } ], "container-title" : "Soft Matter", "id" : "ITEM-2", "issue" : "23", "issued" : { "date-parts" : [ [ "2018" ] ] }, "page" : "4702-4710", "publisher" : "Royal Society of Chemistry", "title" : "Interactions between amphoteric surfaces with strongly overlapping double layers", "type" : "article-journal", "volume" : "14" }, "uris" : [ "http://www.mendeley.com/documents/?uuid=922a7c2b-e0e0-47c0-9a9c-0c29833cf64e" ] } ], "mendeley" : { "formattedCitation" : "&lt;sup&gt;37,38&lt;/sup&gt;", "plainTextFormattedCitation" : "37,38", "previouslyFormattedCitation" : "&lt;sup&gt;37,38&lt;/sup&gt;" }, "properties" : { "noteIndex" : 0 }, "schema" : "https://github.com/citation-style-language/schema/raw/master/csl-citation.json" }</w:instrText>
      </w:r>
      <w:r>
        <w:rPr>
          <w:rFonts w:eastAsiaTheme="minorEastAsia"/>
          <w:lang w:val="en-US"/>
        </w:rPr>
        <w:fldChar w:fldCharType="separate"/>
      </w:r>
      <w:r w:rsidR="00DE131C" w:rsidRPr="00DE131C">
        <w:rPr>
          <w:rFonts w:eastAsiaTheme="minorEastAsia"/>
          <w:noProof/>
          <w:vertAlign w:val="superscript"/>
          <w:lang w:val="en-US"/>
        </w:rPr>
        <w:t>37,38</w:t>
      </w:r>
      <w:r>
        <w:rPr>
          <w:rFonts w:eastAsiaTheme="minorEastAsia"/>
          <w:lang w:val="en-US"/>
        </w:rPr>
        <w:fldChar w:fldCharType="end"/>
      </w:r>
      <w:r>
        <w:rPr>
          <w:rFonts w:eastAsiaTheme="minorEastAsia"/>
          <w:lang w:val="en-US"/>
        </w:rPr>
        <w:t>. This introduces an additional force between the two particles. However, for simplicity and applicability to the DLVO theory, we will focus here only on the</w:t>
      </w:r>
      <w:r>
        <w:rPr>
          <w:lang w:val="en-US"/>
        </w:rPr>
        <w:t xml:space="preserve"> Debye-Hückel approximation. </w:t>
      </w:r>
    </w:p>
    <w:p w:rsidR="00443CE0" w:rsidRPr="00124F79" w:rsidRDefault="00E74C8E" w:rsidP="00FC7A2B">
      <w:pPr>
        <w:pStyle w:val="Heading3"/>
        <w:numPr>
          <w:ilvl w:val="2"/>
          <w:numId w:val="2"/>
        </w:numPr>
        <w:spacing w:line="240" w:lineRule="auto"/>
        <w:rPr>
          <w:b/>
          <w:color w:val="auto"/>
          <w:lang w:val="en-US"/>
        </w:rPr>
      </w:pPr>
      <w:bookmarkStart w:id="10" w:name="_Toc29640062"/>
      <w:bookmarkStart w:id="11" w:name="_Toc31892382"/>
      <w:r w:rsidRPr="00124F79">
        <w:rPr>
          <w:b/>
          <w:color w:val="auto"/>
          <w:lang w:val="en-US"/>
        </w:rPr>
        <w:t>Symmetric Situation</w:t>
      </w:r>
      <w:bookmarkEnd w:id="10"/>
      <w:bookmarkEnd w:id="11"/>
    </w:p>
    <w:p w:rsidR="00A16B44" w:rsidRDefault="00E74C8E" w:rsidP="00FC7A2B">
      <w:pPr>
        <w:spacing w:line="240" w:lineRule="auto"/>
        <w:rPr>
          <w:lang w:val="en-US"/>
        </w:rPr>
      </w:pPr>
      <w:r>
        <w:rPr>
          <w:lang w:val="en-US"/>
        </w:rPr>
        <w:t xml:space="preserve">This model assumes that two particles are of the same size and have the same surface charge density, i.e. the symmetric situation. Such a situation occurs in a colloidal suspension where the same are particles are the same, or at least very similar. At large and small distances, the Van der Waals forces dominate, whereas the double layer forces dominate at intermediate distances. When two particles are in direct contact (h = 0), these will fall in a deep attractive </w:t>
      </w:r>
      <w:r w:rsidR="00863680">
        <w:rPr>
          <w:lang w:val="en-US"/>
        </w:rPr>
        <w:t xml:space="preserve">Van der Waals </w:t>
      </w:r>
      <w:r>
        <w:rPr>
          <w:lang w:val="en-US"/>
        </w:rPr>
        <w:t xml:space="preserve">potential well. This well is referred to as the primary minimum, where particles can be described as being irreversibly stuck to one another. Increasing the distance leads to the formation of an energy barrier, after which there is a second shallower minimum, also referred to as the secondary minimum. In certain conditions, the particles are able to escape from the secondary minimum, as the energy required can be in the order of a few kT. </w:t>
      </w:r>
    </w:p>
    <w:p w:rsidR="005A3A5A" w:rsidRDefault="00E74C8E" w:rsidP="00FC7A2B">
      <w:pPr>
        <w:spacing w:line="240" w:lineRule="auto"/>
        <w:rPr>
          <w:lang w:val="en-US"/>
        </w:rPr>
      </w:pPr>
      <w:r>
        <w:rPr>
          <w:lang w:val="en-US"/>
        </w:rPr>
        <w:t xml:space="preserve">Of this energy profile, the Van der Waals forces between two particles remain practically unchanged in different conditions, as the Hamaker constant is only dependent on the material that the particles are made of. The double layer forces, however, can be altered by changing the ionic strength or the surface charge density of the particles. Increasing the ionic strength leads to a lower Debye length </w:t>
      </w:r>
      <w:r>
        <w:rPr>
          <w:rFonts w:cstheme="minorHAnsi"/>
          <w:lang w:val="en-US"/>
        </w:rPr>
        <w:t>κ</w:t>
      </w:r>
      <w:r>
        <w:rPr>
          <w:vertAlign w:val="superscript"/>
          <w:lang w:val="en-US"/>
        </w:rPr>
        <w:t>-1</w:t>
      </w:r>
      <w:r>
        <w:rPr>
          <w:lang w:val="en-US"/>
        </w:rPr>
        <w:t>, which screens the surface charges on a colloidal particle. At high enough ionic strength, this essentially nullifies the double layer force emanating from the particle</w:t>
      </w:r>
      <w:r w:rsidR="00863680">
        <w:rPr>
          <w:lang w:val="en-US"/>
        </w:rPr>
        <w:t>. This results</w:t>
      </w:r>
      <w:r>
        <w:rPr>
          <w:lang w:val="en-US"/>
        </w:rPr>
        <w:t xml:space="preserve"> in a DLVO profile where only the attractive Van der Waals forces are present. </w:t>
      </w:r>
      <w:r w:rsidR="00863680">
        <w:rPr>
          <w:lang w:val="en-US"/>
        </w:rPr>
        <w:t xml:space="preserve">Consequently, </w:t>
      </w:r>
      <w:r>
        <w:rPr>
          <w:lang w:val="en-US"/>
        </w:rPr>
        <w:t>an unstable suspension where are particles have aggregated</w:t>
      </w:r>
      <w:r w:rsidR="00863680">
        <w:rPr>
          <w:lang w:val="en-US"/>
        </w:rPr>
        <w:t xml:space="preserve"> has formed</w:t>
      </w:r>
      <w:r>
        <w:rPr>
          <w:lang w:val="en-US"/>
        </w:rPr>
        <w:t>. Additionally, at very low surface charge densities, the energy barrier between the secondary minimum and the primary minimum vanishes, also resulting in an unstable suspension. These energy profiles can be directly measured using, for example, a Surface Forces Apparatus (SFA) or Atomic Force Microscope (AFM)</w:t>
      </w:r>
      <w:r>
        <w:rPr>
          <w:lang w:val="en-US"/>
        </w:rPr>
        <w:fldChar w:fldCharType="begin" w:fldLock="1"/>
      </w:r>
      <w:r w:rsidR="00FB6101">
        <w:rPr>
          <w:lang w:val="en-US"/>
        </w:rPr>
        <w:instrText>ADDIN CSL_CITATION { "citationItems" : [ { "id" : "ITEM-1", "itemData" : { "author" : [ { "dropping-particle" : "", "family" : "Israelachvili", "given" : "Jacob N.", "non-dropping-particle" : "", "parse-names" : false, "suffix" : "" } ], "edition" : "3rd Editio", "id" : "ITEM-1", "issued" : { "date-parts" : [ [ "2011" ] ] }, "title" : "Intermolecular and Surface Forces", "type" : "book" }, "uris" : [ "http://www.mendeley.com/documents/?uuid=23ca1256-b0e4-4052-aefb-6d5a64121a79" ] } ], "mendeley" : { "formattedCitation" : "&lt;sup&gt;39&lt;/sup&gt;", "plainTextFormattedCitation" : "39", "previouslyFormattedCitation" : "&lt;sup&gt;39&lt;/sup&gt;"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39</w:t>
      </w:r>
      <w:r>
        <w:rPr>
          <w:lang w:val="en-US"/>
        </w:rPr>
        <w:fldChar w:fldCharType="end"/>
      </w:r>
      <w:r>
        <w:rPr>
          <w:lang w:val="en-US"/>
        </w:rPr>
        <w:t xml:space="preserve">. </w:t>
      </w:r>
    </w:p>
    <w:p w:rsidR="00E74C8E" w:rsidRPr="00124F79" w:rsidRDefault="00E74C8E" w:rsidP="00FC7A2B">
      <w:pPr>
        <w:pStyle w:val="Heading3"/>
        <w:numPr>
          <w:ilvl w:val="2"/>
          <w:numId w:val="2"/>
        </w:numPr>
        <w:spacing w:line="240" w:lineRule="auto"/>
        <w:rPr>
          <w:b/>
          <w:color w:val="auto"/>
          <w:lang w:val="en-US"/>
        </w:rPr>
      </w:pPr>
      <w:bookmarkStart w:id="12" w:name="_Toc29640063"/>
      <w:bookmarkStart w:id="13" w:name="_Toc31892383"/>
      <w:r w:rsidRPr="00124F79">
        <w:rPr>
          <w:b/>
          <w:color w:val="auto"/>
          <w:lang w:val="en-US"/>
        </w:rPr>
        <w:t>Asymmetric situation</w:t>
      </w:r>
      <w:bookmarkEnd w:id="12"/>
      <w:bookmarkEnd w:id="13"/>
    </w:p>
    <w:p w:rsidR="00E74C8E" w:rsidRDefault="00E74C8E" w:rsidP="00FC7A2B">
      <w:pPr>
        <w:spacing w:line="240" w:lineRule="auto"/>
        <w:rPr>
          <w:lang w:val="en-US"/>
        </w:rPr>
      </w:pPr>
      <w:r>
        <w:rPr>
          <w:lang w:val="en-US"/>
        </w:rPr>
        <w:t xml:space="preserve">When a suspension consists of two different kinds of particles, with each having the opposite surface charge density, this is referred to as the asymmetric situation. The two main cases here are the oppositely charged case and the charged-neutral case. As can be inferred from the name, the oppositely charged case is where the surface charge density of both particles are </w:t>
      </w:r>
      <w:r w:rsidR="006B30D1">
        <w:rPr>
          <w:lang w:val="en-US"/>
        </w:rPr>
        <w:t>equal, but</w:t>
      </w:r>
      <w:r>
        <w:rPr>
          <w:lang w:val="en-US"/>
        </w:rPr>
        <w:t xml:space="preserve"> inverted. For the charged-neutral case, there is one surface with a surface charge density and one without. Intermediate cases lie in between these two and the symmetric case mentioned above</w:t>
      </w:r>
      <w:r>
        <w:rPr>
          <w:lang w:val="en-US"/>
        </w:rPr>
        <w:fldChar w:fldCharType="begin" w:fldLock="1"/>
      </w:r>
      <w:r w:rsidR="00FB6101">
        <w:rPr>
          <w:lang w:val="en-US"/>
        </w:rPr>
        <w:instrText>ADDIN CSL_CITATION { "citationItems" : [ { "id" : "ITEM-1", "itemData" : { "DOI" : "10.1021/jp503564p", "ISSN" : "15205207", "abstract" : "Force profiles as well as aggregation and deposition rates are studied for asymmetrically charged particles and surfaces in aqueous electrolytes theoretically. Interactions are calculated within the Derjaguin, Landau, Verwey, and Overbeek (DLVO) theory, whereby the electrostatic part is modeled at Poisson-Boltzmann (PB) level. Unequally charged surfaces are examined, from the symmetric system, where both surfaces are equally charged, to fully asymmetric systems, where the surfaces are oppositely charged. Charged-neutral systems, where one surface is charged and the other is neutral, emerge as an essential scenario. In this case, the choice of boundary conditions used for solving the PB equation is crucial, whereby constant charge and constant potential boundary conditions lead to either fully repulsive or fully attractive forces. Consequently, charge regulation has a major influence on particle aggregation and deposition rates too. In the charge-neutral case, substantial shifts in the critical coagulation concentration (CCC) are observed when the regulation properties are changed. In the presence of multivalent ions, these systems behave similarly to the symmetrically charged ones. The CCC decreases with the square of the valence in weakly charged systems, while unrealistically high charge densities are needed to recover the classical Schulze-Hardy limit, which predicts a sixth power dependence on valence. \u00a9 2014 American Chemical Society.", "author" : [ { "dropping-particle" : "", "family" : "Trefalt", "given" : "Gregor", "non-dropping-particle" : "", "parse-names" : false, "suffix" : "" }, { "dropping-particle" : "", "family" : "Ruiz-Cabello", "given" : "F. Javier Montes", "non-dropping-particle" : "", "parse-names" : false, "suffix" : "" }, { "dropping-particle" : "", "family" : "Borkovec", "given" : "Michal", "non-dropping-particle" : "", "parse-names" : false, "suffix" : "" } ], "container-title" : "Journal of Physical Chemistry B", "id" : "ITEM-1", "issue" : "23", "issued" : { "date-parts" : [ [ "2014" ] ] }, "page" : "6346-6355", "title" : "Interaction forces, heteroaggregation, and deposition involving charged colloidal particles", "type" : "article-journal", "volume" : "118" }, "uris" : [ "http://www.mendeley.com/documents/?uuid=8d734279-ee7d-49c2-99bb-7a73771be22a" ] } ], "mendeley" : { "formattedCitation" : "&lt;sup&gt;40&lt;/sup&gt;", "plainTextFormattedCitation" : "40", "previouslyFormattedCitation" : "&lt;sup&gt;40&lt;/sup&gt;"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40</w:t>
      </w:r>
      <w:r>
        <w:rPr>
          <w:lang w:val="en-US"/>
        </w:rPr>
        <w:fldChar w:fldCharType="end"/>
      </w:r>
      <w:r>
        <w:rPr>
          <w:lang w:val="en-US"/>
        </w:rPr>
        <w:t xml:space="preserve">. </w:t>
      </w:r>
    </w:p>
    <w:p w:rsidR="00A350C8" w:rsidRDefault="00E74C8E" w:rsidP="00FC7A2B">
      <w:pPr>
        <w:spacing w:line="240" w:lineRule="auto"/>
        <w:rPr>
          <w:lang w:val="en-US"/>
        </w:rPr>
      </w:pPr>
      <w:r>
        <w:rPr>
          <w:lang w:val="en-US"/>
        </w:rPr>
        <w:t>For the oppositely charged case, the forces are always attractive at low ionic strength. This can be rationalized when considering that the double layer forces are now also attractive, adding to the always attractive Van der Waals forces. As discussed</w:t>
      </w:r>
      <w:r w:rsidR="00D16077">
        <w:rPr>
          <w:lang w:val="en-US"/>
        </w:rPr>
        <w:t xml:space="preserve"> in paragraph 2.1.1</w:t>
      </w:r>
      <w:r>
        <w:rPr>
          <w:lang w:val="en-US"/>
        </w:rPr>
        <w:t>, the double layer forces vanish at high enough ionic strength</w:t>
      </w:r>
      <w:r w:rsidR="00863680">
        <w:rPr>
          <w:lang w:val="en-US"/>
        </w:rPr>
        <w:t>. This results</w:t>
      </w:r>
      <w:r>
        <w:rPr>
          <w:lang w:val="en-US"/>
        </w:rPr>
        <w:t xml:space="preserve"> in a DLVO profile where only Van der Waals forces are present. Thus, at low ionic strength, the double layer force bec</w:t>
      </w:r>
      <w:r w:rsidR="00BC69AE">
        <w:rPr>
          <w:lang w:val="en-US"/>
        </w:rPr>
        <w:t>o</w:t>
      </w:r>
      <w:r>
        <w:rPr>
          <w:lang w:val="en-US"/>
        </w:rPr>
        <w:t>mes longer ranged and more strongly attractive.</w:t>
      </w:r>
    </w:p>
    <w:p w:rsidR="00863680" w:rsidRDefault="00E74C8E" w:rsidP="00FC7A2B">
      <w:pPr>
        <w:spacing w:line="240" w:lineRule="auto"/>
        <w:rPr>
          <w:lang w:val="en-US"/>
        </w:rPr>
      </w:pPr>
      <w:r>
        <w:rPr>
          <w:lang w:val="en-US"/>
        </w:rPr>
        <w:t>For the charged-neutral case, the forces are somewhat more complicated. One would expect that there is no double layer force originating from a particle with a neutral surface. However, an interaction arises when the diffuse layer of the charged particle is compressed</w:t>
      </w:r>
      <w:r w:rsidR="00863680">
        <w:rPr>
          <w:lang w:val="en-US"/>
        </w:rPr>
        <w:t xml:space="preserve"> as</w:t>
      </w:r>
      <w:r>
        <w:rPr>
          <w:lang w:val="en-US"/>
        </w:rPr>
        <w:t xml:space="preserve"> the neutral surface approaches it. To approximate this interaction, the Debye-Hückel model can again be used, which is correct for low surface charge densities. </w:t>
      </w:r>
    </w:p>
    <w:p w:rsidR="00E74C8E" w:rsidRDefault="00E74C8E" w:rsidP="00FC7A2B">
      <w:pPr>
        <w:spacing w:line="240" w:lineRule="auto"/>
        <w:rPr>
          <w:lang w:val="en-US"/>
        </w:rPr>
      </w:pPr>
      <w:r>
        <w:rPr>
          <w:lang w:val="en-US"/>
        </w:rPr>
        <w:lastRenderedPageBreak/>
        <w:t>At larger distances, the interaction free energy between these two surfaces can be described as shown in equation (6)</w:t>
      </w:r>
      <w:r>
        <w:rPr>
          <w:lang w:val="en-US"/>
        </w:rPr>
        <w:fldChar w:fldCharType="begin" w:fldLock="1"/>
      </w:r>
      <w:r w:rsidR="00FB6101">
        <w:rPr>
          <w:lang w:val="en-US"/>
        </w:rPr>
        <w:instrText>ADDIN CSL_CITATION { "citationItems" : [ { "id" : "ITEM-1", "itemData" : { "DOI" : "10.1006/jcis.1993.1464", "ISSN" : "00219797", "abstract" : "The linearized Poisson-Boltzmann theory is used to calculate the electrical double layer interaction free energy between two parallel charged plates for the case in which charge regulation due to the dissociation of surface groups may be modelled by the linearized regulation model that specifies a linear relationship between the surface charge and the surface potential. This charge regulation model is characterized by a constant\u2014termed the regulation capacitance of the surface. Analytic expressions for the force per unit area, the interaction free energy per unit area as well as the interaction free energy between two nonidentical spheres in the Deryaguin limit are given for the general case of nonidentical surfaces. An expression for the interaction free energy, applicable to any geometry, is obtained by thermodynamic arguments. Numerical comparisons for the case of identical amphoteric surfaces show that linearizing the charge regulation boundary conditions produces little error in the resultant interaction free energy. \u00a9 1993 by Academic Press, Inc.", "author" : [ { "dropping-particle" : "", "family" : "Carnie", "given" : "Steven L.", "non-dropping-particle" : "", "parse-names" : false, "suffix" : "" }, { "dropping-particle" : "", "family" : "Chan", "given" : "Derek Y.C.", "non-dropping-particle" : "", "parse-names" : false, "suffix" : "" } ], "container-title" : "Journal of Colloid And Interface Science", "id" : "ITEM-1", "issue" : "1", "issued" : { "date-parts" : [ [ "1993" ] ] }, "page" : "260-264", "title" : "Interaction free energy between plates with charge regulation: A linearized model", "type" : "article", "volume" : "161" }, "uris" : [ "http://www.mendeley.com/documents/?uuid=37767ff2-a2bd-483d-b8db-e5f42dcb3201" ] }, { "id" : "ITEM-2", "itemData" : { "DOI" : "10.1021/jp503564p", "ISSN" : "15205207", "abstract" : "Force profiles as well as aggregation and deposition rates are studied for asymmetrically charged particles and surfaces in aqueous electrolytes theoretically. Interactions are calculated within the Derjaguin, Landau, Verwey, and Overbeek (DLVO) theory, whereby the electrostatic part is modeled at Poisson-Boltzmann (PB) level. Unequally charged surfaces are examined, from the symmetric system, where both surfaces are equally charged, to fully asymmetric systems, where the surfaces are oppositely charged. Charged-neutral systems, where one surface is charged and the other is neutral, emerge as an essential scenario. In this case, the choice of boundary conditions used for solving the PB equation is crucial, whereby constant charge and constant potential boundary conditions lead to either fully repulsive or fully attractive forces. Consequently, charge regulation has a major influence on particle aggregation and deposition rates too. In the charge-neutral case, substantial shifts in the critical coagulation concentration (CCC) are observed when the regulation properties are changed. In the presence of multivalent ions, these systems behave similarly to the symmetrically charged ones. The CCC decreases with the square of the valence in weakly charged systems, while unrealistically high charge densities are needed to recover the classical Schulze-Hardy limit, which predicts a sixth power dependence on valence. \u00a9 2014 American Chemical Society.", "author" : [ { "dropping-particle" : "", "family" : "Trefalt", "given" : "Gregor", "non-dropping-particle" : "", "parse-names" : false, "suffix" : "" }, { "dropping-particle" : "", "family" : "Ruiz-Cabello", "given" : "F. Javier Montes", "non-dropping-particle" : "", "parse-names" : false, "suffix" : "" }, { "dropping-particle" : "", "family" : "Borkovec", "given" : "Michal", "non-dropping-particle" : "", "parse-names" : false, "suffix" : "" } ], "container-title" : "Journal of Physical Chemistry B", "id" : "ITEM-2", "issue" : "23", "issued" : { "date-parts" : [ [ "2014" ] ] }, "page" : "6346-6355", "title" : "Interaction forces, heteroaggregation, and deposition involving charged colloidal particles", "type" : "article-journal", "volume" : "118" }, "uris" : [ "http://www.mendeley.com/documents/?uuid=8d734279-ee7d-49c2-99bb-7a73771be22a" ] } ], "mendeley" : { "formattedCitation" : "&lt;sup&gt;40,41&lt;/sup&gt;", "plainTextFormattedCitation" : "40,41", "previouslyFormattedCitation" : "&lt;sup&gt;40,41&lt;/sup&gt;"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40,41</w:t>
      </w:r>
      <w:r>
        <w:rPr>
          <w:lang w:val="en-US"/>
        </w:rPr>
        <w:fldChar w:fldCharType="end"/>
      </w:r>
      <w:r>
        <w:rPr>
          <w:lang w:val="en-US"/>
        </w:rPr>
        <w:t xml:space="preserve">. </w:t>
      </w:r>
    </w:p>
    <w:p w:rsidR="00E74C8E" w:rsidRPr="00A16B44" w:rsidRDefault="00767BE6" w:rsidP="00FC7A2B">
      <w:pPr>
        <w:spacing w:line="240" w:lineRule="auto"/>
        <w:jc w:val="center"/>
        <w:rPr>
          <w:rFonts w:eastAsiaTheme="minorEastAsia"/>
          <w:sz w:val="28"/>
          <w:szCs w:val="28"/>
          <w:lang w:val="en-US"/>
        </w:rPr>
      </w:pPr>
      <m:oMathPara>
        <m:oMath>
          <m:eqArr>
            <m:eqArrPr>
              <m:maxDist m:val="1"/>
              <m:ctrlPr>
                <w:rPr>
                  <w:rFonts w:ascii="Cambria Math" w:eastAsiaTheme="minorEastAsia" w:hAnsi="Cambria Math"/>
                  <w:i/>
                  <w:lang w:val="en-US"/>
                </w:rPr>
              </m:ctrlPr>
            </m:eqArr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dl</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2</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m:t>
                      </m:r>
                    </m:sub>
                    <m:sup>
                      <m:r>
                        <w:rPr>
                          <w:rFonts w:ascii="Cambria Math" w:hAnsi="Cambria Math"/>
                          <w:lang w:val="en-US"/>
                        </w:rPr>
                        <m:t>2</m:t>
                      </m:r>
                    </m:sup>
                  </m:sSubSup>
                </m:num>
                <m:den>
                  <m:sSub>
                    <m:sSubPr>
                      <m:ctrlPr>
                        <w:rPr>
                          <w:rFonts w:ascii="Cambria Math" w:hAnsi="Cambria Math"/>
                          <w:i/>
                          <w:lang w:val="en-US"/>
                        </w:rPr>
                      </m:ctrlPr>
                    </m:sSubPr>
                    <m:e>
                      <m:r>
                        <w:rPr>
                          <w:rFonts w:ascii="Cambria Math" w:hAnsi="Cambria Math"/>
                          <w:lang w:val="en-US"/>
                        </w:rPr>
                        <m:t>ϵ</m:t>
                      </m:r>
                    </m:e>
                    <m:sub>
                      <m:r>
                        <w:rPr>
                          <w:rFonts w:ascii="Cambria Math" w:hAnsi="Cambria Math"/>
                          <w:lang w:val="en-US"/>
                        </w:rPr>
                        <m:t>0</m:t>
                      </m:r>
                    </m:sub>
                  </m:sSub>
                  <m:r>
                    <w:rPr>
                      <w:rFonts w:ascii="Cambria Math" w:hAnsi="Cambria Math"/>
                      <w:lang w:val="en-US"/>
                    </w:rPr>
                    <m:t>ϵκ</m:t>
                  </m:r>
                </m:den>
              </m:f>
              <m:d>
                <m:dPr>
                  <m:ctrlPr>
                    <w:rPr>
                      <w:rFonts w:ascii="Cambria Math" w:hAnsi="Cambria Math"/>
                      <w:i/>
                      <w:lang w:val="en-US"/>
                    </w:rPr>
                  </m:ctrlPr>
                </m:dPr>
                <m:e>
                  <m:r>
                    <w:rPr>
                      <w:rFonts w:ascii="Cambria Math" w:hAnsi="Cambria Math"/>
                      <w:lang w:val="en-US"/>
                    </w:rPr>
                    <m:t>2</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t>
                      </m:r>
                    </m:sub>
                  </m:sSub>
                  <m:r>
                    <w:rPr>
                      <w:rFonts w:ascii="Cambria Math" w:hAnsi="Cambria Math"/>
                      <w:lang w:val="en-US"/>
                    </w:rPr>
                    <m:t>-1</m:t>
                  </m:r>
                </m:e>
              </m:d>
              <m:sSup>
                <m:sSupPr>
                  <m:ctrlPr>
                    <w:rPr>
                      <w:rFonts w:ascii="Cambria Math" w:hAnsi="Cambria Math"/>
                      <w:i/>
                      <w:lang w:val="en-US"/>
                    </w:rPr>
                  </m:ctrlPr>
                </m:sSupPr>
                <m:e>
                  <m:r>
                    <w:rPr>
                      <w:rFonts w:ascii="Cambria Math" w:hAnsi="Cambria Math"/>
                    </w:rPr>
                    <m:t>e</m:t>
                  </m:r>
                </m:e>
                <m:sup>
                  <m:r>
                    <w:rPr>
                      <w:rFonts w:ascii="Cambria Math" w:hAnsi="Cambria Math"/>
                      <w:lang w:val="en-US"/>
                    </w:rPr>
                    <m:t>-2κh</m:t>
                  </m:r>
                </m:sup>
              </m:sSup>
              <m:r>
                <w:rPr>
                  <w:rFonts w:ascii="Cambria Math"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6</m:t>
                  </m:r>
                </m:e>
              </m:d>
              <m:ctrlPr>
                <w:rPr>
                  <w:rFonts w:ascii="Cambria Math" w:hAnsi="Cambria Math"/>
                  <w:i/>
                  <w:lang w:val="en-US"/>
                </w:rPr>
              </m:ctrlPr>
            </m:e>
          </m:eqArr>
        </m:oMath>
      </m:oMathPara>
    </w:p>
    <w:p w:rsidR="00E74C8E" w:rsidRDefault="00E74C8E" w:rsidP="00FC7A2B">
      <w:pPr>
        <w:spacing w:line="240" w:lineRule="auto"/>
        <w:rPr>
          <w:lang w:val="en-US"/>
        </w:rPr>
      </w:pPr>
      <w:r>
        <w:rPr>
          <w:lang w:val="en-US"/>
        </w:rPr>
        <w:t xml:space="preserve">The new quantity introduced here is the charge regulation parameter </w:t>
      </w:r>
      <w:r>
        <w:rPr>
          <w:i/>
          <w:lang w:val="en-US"/>
        </w:rPr>
        <w:t>p</w:t>
      </w:r>
      <w:r>
        <w:rPr>
          <w:i/>
          <w:vertAlign w:val="subscript"/>
          <w:lang w:val="en-US"/>
        </w:rPr>
        <w:t>-</w:t>
      </w:r>
      <w:r>
        <w:rPr>
          <w:lang w:val="en-US"/>
        </w:rPr>
        <w:t xml:space="preserve">, which characterizes how the surface charge density of the neutral surface changes with decreasing inter-particle distance. When </w:t>
      </w:r>
      <w:r>
        <w:rPr>
          <w:i/>
          <w:lang w:val="en-US"/>
        </w:rPr>
        <w:t>p</w:t>
      </w:r>
      <w:r>
        <w:rPr>
          <w:i/>
          <w:vertAlign w:val="subscript"/>
          <w:lang w:val="en-US"/>
        </w:rPr>
        <w:t>-</w:t>
      </w:r>
      <w:r>
        <w:rPr>
          <w:i/>
          <w:lang w:val="en-US"/>
        </w:rPr>
        <w:t xml:space="preserve"> = 1, </w:t>
      </w:r>
      <w:r>
        <w:rPr>
          <w:lang w:val="en-US"/>
        </w:rPr>
        <w:t xml:space="preserve">it is said that there is a constant charge density between the particles, referring to the constant charge boundary condition. When </w:t>
      </w:r>
      <w:r>
        <w:rPr>
          <w:i/>
          <w:lang w:val="en-US"/>
        </w:rPr>
        <w:t>p</w:t>
      </w:r>
      <w:r>
        <w:rPr>
          <w:i/>
          <w:vertAlign w:val="subscript"/>
          <w:lang w:val="en-US"/>
        </w:rPr>
        <w:t>-</w:t>
      </w:r>
      <w:r>
        <w:rPr>
          <w:i/>
          <w:lang w:val="en-US"/>
        </w:rPr>
        <w:t xml:space="preserve"> = 0, </w:t>
      </w:r>
      <w:r>
        <w:rPr>
          <w:lang w:val="en-US"/>
        </w:rPr>
        <w:t xml:space="preserve">it is said that the surface potential remains constant, referring to the constant potential boundary condition. Often, the charge regulation parameter has a value between these two boundary conditions. </w:t>
      </w:r>
    </w:p>
    <w:p w:rsidR="005A3A5A" w:rsidRDefault="00E74C8E" w:rsidP="00FC7A2B">
      <w:pPr>
        <w:spacing w:line="240" w:lineRule="auto"/>
        <w:rPr>
          <w:lang w:val="en-US"/>
        </w:rPr>
      </w:pPr>
      <w:r>
        <w:rPr>
          <w:lang w:val="en-US"/>
        </w:rPr>
        <w:t xml:space="preserve">For example, when </w:t>
      </w:r>
      <w:r>
        <w:rPr>
          <w:i/>
          <w:lang w:val="en-US"/>
        </w:rPr>
        <w:t>p</w:t>
      </w:r>
      <w:r>
        <w:rPr>
          <w:i/>
          <w:vertAlign w:val="subscript"/>
          <w:lang w:val="en-US"/>
        </w:rPr>
        <w:t>-</w:t>
      </w:r>
      <w:r>
        <w:rPr>
          <w:i/>
          <w:lang w:val="en-US"/>
        </w:rPr>
        <w:t xml:space="preserve"> </w:t>
      </w:r>
      <w:r>
        <w:rPr>
          <w:lang w:val="en-US"/>
        </w:rPr>
        <w:t xml:space="preserve">= ½, there is no double layer force between the two particles. This would be the case for intermediate regulation conditions. The value of this parameter depends on the </w:t>
      </w:r>
      <w:r w:rsidR="006B30D1">
        <w:rPr>
          <w:lang w:val="en-US"/>
        </w:rPr>
        <w:t>extent</w:t>
      </w:r>
      <w:r>
        <w:rPr>
          <w:lang w:val="en-US"/>
        </w:rPr>
        <w:t xml:space="preserve"> to which ions are </w:t>
      </w:r>
      <w:r w:rsidR="00D92D38">
        <w:rPr>
          <w:lang w:val="en-US"/>
        </w:rPr>
        <w:t>adsorb</w:t>
      </w:r>
      <w:r>
        <w:rPr>
          <w:lang w:val="en-US"/>
        </w:rPr>
        <w:t xml:space="preserve">ed to the surface, which varies upon approach of two particles. The result is either a net attraction or repulsion, depending on the value of the charge regulation parameter. So, for the charged-neutral case, this parameter is very important to determine the interaction between the two surfaces. Charge regulation also plays a role between two charged surfaces, however, the effects here are relatively much weaker. </w:t>
      </w:r>
    </w:p>
    <w:p w:rsidR="00E74C8E" w:rsidRPr="0012395A" w:rsidRDefault="00E74C8E" w:rsidP="00FC7A2B">
      <w:pPr>
        <w:pStyle w:val="Heading2"/>
        <w:numPr>
          <w:ilvl w:val="1"/>
          <w:numId w:val="2"/>
        </w:numPr>
        <w:spacing w:line="240" w:lineRule="auto"/>
        <w:rPr>
          <w:b/>
          <w:color w:val="auto"/>
          <w:lang w:val="en-US"/>
        </w:rPr>
      </w:pPr>
      <w:bookmarkStart w:id="14" w:name="_Toc29640064"/>
      <w:bookmarkStart w:id="15" w:name="_Toc31892384"/>
      <w:r w:rsidRPr="0012395A">
        <w:rPr>
          <w:b/>
          <w:color w:val="auto"/>
          <w:lang w:val="en-US"/>
        </w:rPr>
        <w:t>Origin of Charges on Colloidal Particles</w:t>
      </w:r>
      <w:bookmarkEnd w:id="14"/>
      <w:bookmarkEnd w:id="15"/>
    </w:p>
    <w:p w:rsidR="00E74C8E" w:rsidRPr="00443CE0" w:rsidRDefault="002907DF" w:rsidP="00FC7A2B">
      <w:pPr>
        <w:spacing w:line="240" w:lineRule="auto"/>
        <w:rPr>
          <w:lang w:val="en-US"/>
        </w:rPr>
      </w:pPr>
      <w:r>
        <w:rPr>
          <w:lang w:val="en-US"/>
        </w:rPr>
        <w:t xml:space="preserve">Now that it is discussed to what extend charges create the electrical forces, we will now focus on where these charges come from. </w:t>
      </w:r>
      <w:r w:rsidR="00E74C8E">
        <w:rPr>
          <w:lang w:val="en-US"/>
        </w:rPr>
        <w:t xml:space="preserve">Charges on colloidal particles are of great importance, as these stabilize a colloidal suspension. </w:t>
      </w:r>
      <w:r w:rsidR="007E6F56">
        <w:rPr>
          <w:lang w:val="en-US"/>
        </w:rPr>
        <w:t>A zeta potential of</w:t>
      </w:r>
      <w:r w:rsidR="00691B92">
        <w:rPr>
          <w:lang w:val="en-US"/>
        </w:rPr>
        <w:t xml:space="preserve"> a</w:t>
      </w:r>
      <w:r w:rsidR="007E6F56">
        <w:rPr>
          <w:lang w:val="en-US"/>
        </w:rPr>
        <w:t xml:space="preserve"> dispersion with a magnitude of more than 30mV is said to be stable</w:t>
      </w:r>
      <w:r w:rsidR="003876E9">
        <w:rPr>
          <w:lang w:val="en-US"/>
        </w:rPr>
        <w:fldChar w:fldCharType="begin" w:fldLock="1"/>
      </w:r>
      <w:r w:rsidR="00FB6101">
        <w:rPr>
          <w:lang w:val="en-US"/>
        </w:rPr>
        <w:instrText>ADDIN CSL_CITATION { "citationItems" : [ { "id" : "ITEM-1", "itemData" : { "author" : [ { "dropping-particle" : "", "family" : "Hunter", "given" : "J. R.", "non-dropping-particle" : "", "parse-names" : false, "suffix" : "" } ], "edition" : "1st", "editor" : [ { "dropping-particle" : "", "family" : "Ottewil", "given" : "R. H.", "non-dropping-particle" : "", "parse-names" : false, "suffix" : "" }, { "dropping-particle" : "", "family" : "Rowell", "given" : "R. L.", "non-dropping-particle" : "", "parse-names" : false, "suffix" : "" } ], "id" : "ITEM-1", "issued" : { "date-parts" : [ [ "1981" ] ] }, "publisher" : "Academic Press", "publisher-place" : "New York", "title" : "Zeta Potential in Colloid Science", "type" : "book" }, "uris" : [ "http://www.mendeley.com/documents/?uuid=4c334890-965b-422a-b949-79872a11114d" ] }, { "id" : "ITEM-2", "itemData" : { "author" : [ { "dropping-particle" : "", "family" : "Derjaguin", "given" : "B.", "non-dropping-particle" : "", "parse-names" : false, "suffix" : "" } ], "container-title" : "Acta Phys. Chim.", "id" : "ITEM-2", "issued" : { "date-parts" : [ [ "1939" ] ] }, "page" : "333-346", "title" : "A theory of interaction of particle in presence of electric double-layers and the stability of lyophobe colloids and disperse systems.", "type" : "article-journal", "volume" : "10" }, "uris" : [ "http://www.mendeley.com/documents/?uuid=efd30cc8-99fa-4e63-9607-440f7b3d36b2" ] } ], "mendeley" : { "formattedCitation" : "&lt;sup&gt;28,42&lt;/sup&gt;", "plainTextFormattedCitation" : "28,42", "previouslyFormattedCitation" : "&lt;sup&gt;28,42&lt;/sup&gt;" }, "properties" : { "noteIndex" : 0 }, "schema" : "https://github.com/citation-style-language/schema/raw/master/csl-citation.json" }</w:instrText>
      </w:r>
      <w:r w:rsidR="003876E9">
        <w:rPr>
          <w:lang w:val="en-US"/>
        </w:rPr>
        <w:fldChar w:fldCharType="separate"/>
      </w:r>
      <w:r w:rsidR="00DE131C" w:rsidRPr="00DE131C">
        <w:rPr>
          <w:noProof/>
          <w:vertAlign w:val="superscript"/>
          <w:lang w:val="en-US"/>
        </w:rPr>
        <w:t>28,42</w:t>
      </w:r>
      <w:r w:rsidR="003876E9">
        <w:rPr>
          <w:lang w:val="en-US"/>
        </w:rPr>
        <w:fldChar w:fldCharType="end"/>
      </w:r>
      <w:r w:rsidR="007E6F56">
        <w:rPr>
          <w:lang w:val="en-US"/>
        </w:rPr>
        <w:t xml:space="preserve">. </w:t>
      </w:r>
      <w:r w:rsidR="00E74C8E">
        <w:rPr>
          <w:lang w:val="en-US"/>
        </w:rPr>
        <w:t>To narrow the scope of colloidal particles, we will primarily focus on aqueous dispersions with colloidal particles consisting of organic or silica-derived building blocks. Additionally, charges can originate from surfactants or initiators that are used to synthesize certain particles. However,</w:t>
      </w:r>
      <w:r>
        <w:rPr>
          <w:lang w:val="en-US"/>
        </w:rPr>
        <w:t xml:space="preserve"> due to their irrelevance,</w:t>
      </w:r>
      <w:r w:rsidR="00E74C8E">
        <w:rPr>
          <w:lang w:val="en-US"/>
        </w:rPr>
        <w:t xml:space="preserve"> </w:t>
      </w:r>
      <w:r>
        <w:rPr>
          <w:lang w:val="en-US"/>
        </w:rPr>
        <w:t>these will not be</w:t>
      </w:r>
      <w:r w:rsidR="00E74C8E">
        <w:rPr>
          <w:lang w:val="en-US"/>
        </w:rPr>
        <w:t xml:space="preserve"> considered in this work</w:t>
      </w:r>
      <w:r>
        <w:rPr>
          <w:lang w:val="en-US"/>
        </w:rPr>
        <w:t>.</w:t>
      </w:r>
    </w:p>
    <w:p w:rsidR="00124F79" w:rsidRPr="00124F79" w:rsidRDefault="00E74C8E" w:rsidP="00FC7A2B">
      <w:pPr>
        <w:pStyle w:val="Heading3"/>
        <w:numPr>
          <w:ilvl w:val="2"/>
          <w:numId w:val="2"/>
        </w:numPr>
        <w:spacing w:line="240" w:lineRule="auto"/>
        <w:rPr>
          <w:b/>
          <w:color w:val="auto"/>
          <w:lang w:val="en-US"/>
        </w:rPr>
      </w:pPr>
      <w:bookmarkStart w:id="16" w:name="_Toc29640065"/>
      <w:bookmarkStart w:id="17" w:name="_Toc31892385"/>
      <w:r w:rsidRPr="00124F79">
        <w:rPr>
          <w:b/>
          <w:color w:val="auto"/>
          <w:lang w:val="en-US"/>
        </w:rPr>
        <w:t>pH Responsive Charged Groups</w:t>
      </w:r>
      <w:bookmarkEnd w:id="16"/>
      <w:bookmarkEnd w:id="17"/>
    </w:p>
    <w:p w:rsidR="00E74C8E" w:rsidRDefault="00E74C8E" w:rsidP="00FC7A2B">
      <w:pPr>
        <w:spacing w:line="240" w:lineRule="auto"/>
        <w:rPr>
          <w:lang w:val="en-US"/>
        </w:rPr>
      </w:pPr>
      <w:r>
        <w:rPr>
          <w:lang w:val="en-US"/>
        </w:rPr>
        <w:t xml:space="preserve">A colloidal particle can obtain its charge from chemical groups that are present on </w:t>
      </w:r>
      <w:r w:rsidR="002907DF">
        <w:rPr>
          <w:lang w:val="en-US"/>
        </w:rPr>
        <w:t>its</w:t>
      </w:r>
      <w:r>
        <w:rPr>
          <w:lang w:val="en-US"/>
        </w:rPr>
        <w:t xml:space="preserve"> surface. For some chemical functionalities, the charge can be controlled by changing the pH, as these are sensitive to proton </w:t>
      </w:r>
      <w:r w:rsidR="00AD6F1D">
        <w:rPr>
          <w:lang w:val="en-US"/>
        </w:rPr>
        <w:t>adsorption</w:t>
      </w:r>
      <w:r>
        <w:rPr>
          <w:lang w:val="en-US"/>
        </w:rPr>
        <w:t xml:space="preserve"> and desorption. To determine the extent to which a pH-sensitive surface group is charged, the pKa value of that group needs to be evaluated. The definition of the pKA for an acid-base reaction is shown in </w:t>
      </w:r>
      <w:r w:rsidR="003876E9">
        <w:rPr>
          <w:lang w:val="en-US"/>
        </w:rPr>
        <w:t>equation</w:t>
      </w:r>
      <w:r>
        <w:rPr>
          <w:lang w:val="en-US"/>
        </w:rPr>
        <w:t xml:space="preserve"> </w:t>
      </w:r>
      <w:r w:rsidR="005A3A5A">
        <w:rPr>
          <w:lang w:val="en-US"/>
        </w:rPr>
        <w:t>(</w:t>
      </w:r>
      <w:r>
        <w:rPr>
          <w:lang w:val="en-US"/>
        </w:rPr>
        <w:t>7</w:t>
      </w:r>
      <w:r w:rsidR="005A3A5A">
        <w:rPr>
          <w:lang w:val="en-US"/>
        </w:rPr>
        <w:t>)</w:t>
      </w:r>
      <w:r>
        <w:rPr>
          <w:lang w:val="en-US"/>
        </w:rPr>
        <w:t xml:space="preserve">. </w:t>
      </w:r>
    </w:p>
    <w:p w:rsidR="00E74C8E" w:rsidRPr="00A16B44" w:rsidRDefault="00767BE6" w:rsidP="00FC7A2B">
      <w:pPr>
        <w:spacing w:line="240" w:lineRule="auto"/>
        <w:jc w:val="center"/>
        <w:rPr>
          <w:rFonts w:eastAsiaTheme="minorEastAsia"/>
          <w:sz w:val="28"/>
          <w:szCs w:val="28"/>
          <w:lang w:val="en-US"/>
        </w:rPr>
      </w:pPr>
      <m:oMathPara>
        <m:oMath>
          <m:eqArr>
            <m:eqArrPr>
              <m:maxDist m:val="1"/>
              <m:ctrlPr>
                <w:rPr>
                  <w:rFonts w:ascii="Cambria Math" w:eastAsiaTheme="minorEastAsia" w:hAnsi="Cambria Math"/>
                  <w:i/>
                  <w:lang w:val="en-US"/>
                </w:rPr>
              </m:ctrlPr>
            </m:eqArrPr>
            <m:e>
              <m:r>
                <m:rPr>
                  <m:sty m:val="p"/>
                </m:rPr>
                <w:rPr>
                  <w:rFonts w:ascii="Cambria Math" w:hAnsi="Cambria Math"/>
                  <w:lang w:val="en-US"/>
                </w:rPr>
                <m:t>pKa</m:t>
              </m:r>
              <m:r>
                <w:rPr>
                  <w:rFonts w:ascii="Cambria Math" w:hAnsi="Cambria Math"/>
                  <w:lang w:val="en-US"/>
                </w:rPr>
                <m:t>=-</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d>
                    <m:dPr>
                      <m:begChr m:val="["/>
                      <m:endChr m:val="]"/>
                      <m:ctrlPr>
                        <w:rPr>
                          <w:rFonts w:ascii="Cambria Math" w:hAnsi="Cambria Math"/>
                          <w:i/>
                          <w:lang w:val="en-US"/>
                        </w:rPr>
                      </m:ctrlPr>
                    </m:dPr>
                    <m:e>
                      <m:f>
                        <m:fPr>
                          <m:ctrlPr>
                            <w:rPr>
                              <w:rFonts w:ascii="Cambria Math" w:hAnsi="Cambria Math"/>
                              <w:lang w:val="en-US"/>
                            </w:rPr>
                          </m:ctrlPr>
                        </m:fPr>
                        <m:num>
                          <m:d>
                            <m:dPr>
                              <m:begChr m:val="["/>
                              <m:endChr m:val="]"/>
                              <m:ctrlPr>
                                <w:rPr>
                                  <w:rFonts w:ascii="Cambria Math" w:hAnsi="Cambria Math"/>
                                  <w:lang w:val="en-US"/>
                                </w:rPr>
                              </m:ctrlPr>
                            </m:dPr>
                            <m:e>
                              <m:r>
                                <m:rPr>
                                  <m:sty m:val="p"/>
                                </m:rPr>
                                <w:rPr>
                                  <w:rFonts w:ascii="Cambria Math" w:hAnsi="Cambria Math"/>
                                  <w:lang w:val="en-US"/>
                                </w:rPr>
                                <m:t>HA</m:t>
                              </m:r>
                            </m:e>
                          </m:d>
                        </m:num>
                        <m:den>
                          <m:d>
                            <m:dPr>
                              <m:begChr m:val="["/>
                              <m:endChr m:val="]"/>
                              <m:ctrlPr>
                                <w:rPr>
                                  <w:rFonts w:ascii="Cambria Math" w:hAnsi="Cambria Math"/>
                                  <w:lang w:val="en-US"/>
                                </w:rPr>
                              </m:ctrlPr>
                            </m:dPr>
                            <m:e>
                              <m:sSup>
                                <m:sSupPr>
                                  <m:ctrlPr>
                                    <w:rPr>
                                      <w:rFonts w:ascii="Cambria Math" w:hAnsi="Cambria Math"/>
                                      <w:lang w:val="en-US"/>
                                    </w:rPr>
                                  </m:ctrlPr>
                                </m:sSupPr>
                                <m:e>
                                  <m:r>
                                    <m:rPr>
                                      <m:sty m:val="p"/>
                                    </m:rPr>
                                    <w:rPr>
                                      <w:rFonts w:ascii="Cambria Math" w:hAnsi="Cambria Math"/>
                                      <w:lang w:val="en-US"/>
                                    </w:rPr>
                                    <m:t>A</m:t>
                                  </m:r>
                                </m:e>
                                <m:sup>
                                  <m:r>
                                    <m:rPr>
                                      <m:sty m:val="p"/>
                                    </m:rPr>
                                    <w:rPr>
                                      <w:rFonts w:ascii="Cambria Math" w:hAnsi="Cambria Math"/>
                                      <w:lang w:val="en-US"/>
                                    </w:rPr>
                                    <m:t>-</m:t>
                                  </m:r>
                                </m:sup>
                              </m:sSup>
                            </m:e>
                          </m:d>
                          <m:d>
                            <m:dPr>
                              <m:begChr m:val="["/>
                              <m:endChr m:val="]"/>
                              <m:ctrlPr>
                                <w:rPr>
                                  <w:rFonts w:ascii="Cambria Math" w:hAnsi="Cambria Math"/>
                                  <w:lang w:val="en-US"/>
                                </w:rPr>
                              </m:ctrlPr>
                            </m:dPr>
                            <m:e>
                              <m:sSup>
                                <m:sSupPr>
                                  <m:ctrlPr>
                                    <w:rPr>
                                      <w:rFonts w:ascii="Cambria Math" w:hAnsi="Cambria Math"/>
                                      <w:lang w:val="en-US"/>
                                    </w:rPr>
                                  </m:ctrlPr>
                                </m:sSupPr>
                                <m:e>
                                  <m:r>
                                    <m:rPr>
                                      <m:sty m:val="p"/>
                                    </m:rPr>
                                    <w:rPr>
                                      <w:rFonts w:ascii="Cambria Math" w:hAnsi="Cambria Math"/>
                                      <w:lang w:val="en-US"/>
                                    </w:rPr>
                                    <m:t>H</m:t>
                                  </m:r>
                                </m:e>
                                <m:sup>
                                  <m:r>
                                    <m:rPr>
                                      <m:sty m:val="p"/>
                                    </m:rPr>
                                    <w:rPr>
                                      <w:rFonts w:ascii="Cambria Math" w:hAnsi="Cambria Math"/>
                                      <w:lang w:val="en-US"/>
                                    </w:rPr>
                                    <m:t>+</m:t>
                                  </m:r>
                                </m:sup>
                              </m:sSup>
                            </m:e>
                          </m:d>
                        </m:den>
                      </m:f>
                    </m:e>
                  </m:d>
                </m:e>
              </m:func>
              <m:r>
                <w:rPr>
                  <w:rFonts w:ascii="Cambria Math"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7</m:t>
                  </m:r>
                </m:e>
              </m:d>
              <m:ctrlPr>
                <w:rPr>
                  <w:rFonts w:ascii="Cambria Math" w:hAnsi="Cambria Math"/>
                  <w:i/>
                  <w:lang w:val="en-US"/>
                </w:rPr>
              </m:ctrlPr>
            </m:e>
          </m:eqArr>
        </m:oMath>
      </m:oMathPara>
    </w:p>
    <w:p w:rsidR="00E74C8E" w:rsidRDefault="002907DF" w:rsidP="00FC7A2B">
      <w:pPr>
        <w:spacing w:line="240" w:lineRule="auto"/>
        <w:jc w:val="center"/>
        <w:rPr>
          <w:rFonts w:eastAsiaTheme="minorEastAsia"/>
          <w:lang w:val="en-US"/>
        </w:rPr>
      </w:pPr>
      <w:r w:rsidRPr="002907DF">
        <w:rPr>
          <w:rFonts w:eastAsiaTheme="minorEastAsia"/>
          <w:noProof/>
        </w:rPr>
        <mc:AlternateContent>
          <mc:Choice Requires="wpg">
            <w:drawing>
              <wp:anchor distT="0" distB="0" distL="114300" distR="114300" simplePos="0" relativeHeight="251738112" behindDoc="0" locked="0" layoutInCell="1" allowOverlap="1" wp14:anchorId="03D58788" wp14:editId="413A8A3A">
                <wp:simplePos x="0" y="0"/>
                <wp:positionH relativeFrom="column">
                  <wp:posOffset>3276600</wp:posOffset>
                </wp:positionH>
                <wp:positionV relativeFrom="paragraph">
                  <wp:posOffset>68885</wp:posOffset>
                </wp:positionV>
                <wp:extent cx="413443" cy="65774"/>
                <wp:effectExtent l="38100" t="76200" r="5715" b="86995"/>
                <wp:wrapNone/>
                <wp:docPr id="71" name="Group 12"/>
                <wp:cNvGraphicFramePr/>
                <a:graphic xmlns:a="http://schemas.openxmlformats.org/drawingml/2006/main">
                  <a:graphicData uri="http://schemas.microsoft.com/office/word/2010/wordprocessingGroup">
                    <wpg:wgp>
                      <wpg:cNvGrpSpPr/>
                      <wpg:grpSpPr>
                        <a:xfrm>
                          <a:off x="0" y="0"/>
                          <a:ext cx="413443" cy="65774"/>
                          <a:chOff x="0" y="0"/>
                          <a:chExt cx="617221" cy="65774"/>
                        </a:xfrm>
                      </wpg:grpSpPr>
                      <wps:wsp>
                        <wps:cNvPr id="78" name="Straight Arrow Connector 78"/>
                        <wps:cNvCnPr>
                          <a:cxnSpLocks/>
                        </wps:cNvCnPr>
                        <wps:spPr>
                          <a:xfrm>
                            <a:off x="0" y="0"/>
                            <a:ext cx="6172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a:cxnSpLocks/>
                        </wps:cNvCnPr>
                        <wps:spPr>
                          <a:xfrm flipH="1">
                            <a:off x="0" y="65774"/>
                            <a:ext cx="6172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815386" id="Group 12" o:spid="_x0000_s1026" style="position:absolute;margin-left:258pt;margin-top:5.4pt;width:32.55pt;height:5.2pt;z-index:251738112" coordsize="617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">
                <v:shapetype id="_x0000_t32" coordsize="21600,21600" o:spt="32" o:oned="t" path="m,l21600,21600e" filled="f">
                  <v:path arrowok="t" fillok="f" o:connecttype="none"/>
                  <o:lock v:ext="edit" shapetype="t"/>
                </v:shapetype>
                <v:shape id="Straight Arrow Connector 78" o:spid="_x0000_s1027" type="#_x0000_t32" style="position:absolute;width:6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" strokecolor="black [3213]" strokeweight=".5pt">
                  <v:stroke endarrow="block" joinstyle="miter"/>
                  <o:lock v:ext="edit" shapetype="f"/>
                </v:shape>
                <v:shape id="Straight Arrow Connector 79" o:spid="_x0000_s1028" type="#_x0000_t32" style="position:absolute;top:657;width:6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" strokecolor="black [3213]" strokeweight=".5pt">
                  <v:stroke endarrow="block" joinstyle="miter"/>
                  <o:lock v:ext="edit" shapetype="f"/>
                </v:shape>
              </v:group>
            </w:pict>
          </mc:Fallback>
        </mc:AlternateContent>
      </w:r>
      <w:r w:rsidR="00E74C8E">
        <w:rPr>
          <w:rFonts w:eastAsiaTheme="minorEastAsia"/>
          <w:lang w:val="en-US"/>
        </w:rPr>
        <w:t>For the reaction: HA                    H</w:t>
      </w:r>
      <w:r w:rsidR="00E74C8E">
        <w:rPr>
          <w:rFonts w:eastAsiaTheme="minorEastAsia"/>
          <w:vertAlign w:val="superscript"/>
          <w:lang w:val="en-US"/>
        </w:rPr>
        <w:t xml:space="preserve">+ </w:t>
      </w:r>
      <w:r w:rsidR="00E74C8E">
        <w:rPr>
          <w:rFonts w:eastAsiaTheme="minorEastAsia"/>
          <w:lang w:val="en-US"/>
        </w:rPr>
        <w:t>+ A</w:t>
      </w:r>
      <w:r w:rsidR="00E74C8E">
        <w:rPr>
          <w:rFonts w:eastAsiaTheme="minorEastAsia"/>
          <w:vertAlign w:val="superscript"/>
          <w:lang w:val="en-US"/>
        </w:rPr>
        <w:t>-</w:t>
      </w:r>
      <w:r w:rsidR="00E74C8E">
        <w:rPr>
          <w:rFonts w:eastAsiaTheme="minorEastAsia"/>
          <w:lang w:val="en-US"/>
        </w:rPr>
        <w:t xml:space="preserve"> </w:t>
      </w:r>
    </w:p>
    <w:p w:rsidR="00E74C8E" w:rsidRDefault="00E74C8E" w:rsidP="00FC7A2B">
      <w:pPr>
        <w:spacing w:line="240" w:lineRule="auto"/>
        <w:rPr>
          <w:lang w:val="en-US"/>
        </w:rPr>
      </w:pPr>
      <w:r>
        <w:rPr>
          <w:rFonts w:eastAsiaTheme="minorEastAsia"/>
          <w:lang w:val="en-US"/>
        </w:rPr>
        <w:t xml:space="preserve">For example, </w:t>
      </w:r>
      <w:r w:rsidR="002907DF">
        <w:rPr>
          <w:rFonts w:eastAsiaTheme="minorEastAsia"/>
          <w:lang w:val="en-US"/>
        </w:rPr>
        <w:t>if</w:t>
      </w:r>
      <w:r>
        <w:rPr>
          <w:rFonts w:eastAsiaTheme="minorEastAsia"/>
          <w:lang w:val="en-US"/>
        </w:rPr>
        <w:t xml:space="preserve"> a chemical group has a pKa with a value of 2, the deprotonated state dominates 100 times over the protonated state at pH 4. At pH 2, there is an equal amount of both the protonated and deprotonated state present over all molecules. </w:t>
      </w:r>
    </w:p>
    <w:p w:rsidR="00E74C8E" w:rsidRDefault="00E74C8E" w:rsidP="00FC7A2B">
      <w:pPr>
        <w:spacing w:line="240" w:lineRule="auto"/>
        <w:rPr>
          <w:lang w:val="en-US"/>
        </w:rPr>
      </w:pPr>
      <w:r>
        <w:rPr>
          <w:lang w:val="en-US"/>
        </w:rPr>
        <w:t>A common chemical group that obtains a negative charge in neutral and basic conditions is the carboxylic acid</w:t>
      </w:r>
      <w:r>
        <w:rPr>
          <w:lang w:val="en-US"/>
        </w:rPr>
        <w:fldChar w:fldCharType="begin" w:fldLock="1"/>
      </w:r>
      <w:r w:rsidR="00FB6101">
        <w:rPr>
          <w:lang w:val="en-US"/>
        </w:rPr>
        <w:instrText>ADDIN CSL_CITATION { "citationItems" : [ { "id" : "ITEM-1", "itemData" : { "DOI" : "10.1002/macp.200500372", "ISSN" : "10221352", "abstract" : "A series of fluorescent polystyrene latex particles with carboxyl and amino functionalities on their surface were synthesized by the miniemulsion technique. The fluorescent dye N-(2,6-diisopropylphenyl)perylene-3,4- dicarboximide (PMI) was incorporated into the copolymer nanoparticles formulated from styrene and acrylic acid or styrene and aminoethyl methacrylate hydrochloride. The resulting latexes were stable and showed a monodisperse size distribution. The particle size depended on the amount and nature of the functional comonomer and was in the range 100-175 nm. All latexes were characterized by transmission electron microscopy (TEM), dynamic light scattering, UV-Vis spectroscopy and zeta potential measurements. The amount of surface functional groups was determined by electrolyte titration. Furthermore, the functionalized fluorescent particles were utilized as markers for HeLa cells and cell uptake was visualized using fluorescence microscopy. The correlation of the uptake of nanoparticles with the surface charge was determined by FACS measurements. \u00a9 2005 WILEY-VCH Verlag GmbH &amp; Co, KGaA, Weinheim.", "author" : [ { "dropping-particle" : "", "family" : "Holzapfel", "given" : "Verena", "non-dropping-particle" : "", "parse-names" : false, "suffix" : "" }, { "dropping-particle" : "", "family" : "Musyanovych", "given" : "Anna", "non-dropping-particle" : "", "parse-names" : false, "suffix" : "" }, { "dropping-particle" : "", "family" : "Landfester", "given" : "Katharina", "non-dropping-particle" : "", "parse-names" : false, "suffix" : "" }, { "dropping-particle" : "", "family" : "Lorenz", "given" : "Myriam Ricarda", "non-dropping-particle" : "", "parse-names" : false, "suffix" : "" }, { "dropping-particle" : "", "family" : "Mail\u00e4nder", "given" : "Volker", "non-dropping-particle" : "", "parse-names" : false, "suffix" : "" } ], "container-title" : "Macromolecular Chemistry and Physics", "id" : "ITEM-1", "issue" : "24", "issued" : { "date-parts" : [ [ "2005" ] ] }, "page" : "2440-2449", "title" : "Preparation of fluorescent carboxyl and amino functionalized polystyrene particles by miniemulsion polymerization as markers for cells", "type" : "article-journal", "volume" : "206" }, "uris" : [ "http://www.mendeley.com/documents/?uuid=cadc39cf-78c2-48b5-979e-c432bd15aaa5" ] } ], "mendeley" : { "formattedCitation" : "&lt;sup&gt;43&lt;/sup&gt;", "plainTextFormattedCitation" : "43", "previouslyFormattedCitation" : "&lt;sup&gt;43&lt;/sup&gt;"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43</w:t>
      </w:r>
      <w:r>
        <w:rPr>
          <w:lang w:val="en-US"/>
        </w:rPr>
        <w:fldChar w:fldCharType="end"/>
      </w:r>
      <w:r>
        <w:rPr>
          <w:lang w:val="en-US"/>
        </w:rPr>
        <w:t xml:space="preserve">. At these conditions, the carboxylic acid is deprotonated, obtaining a negative charge (scheme </w:t>
      </w:r>
      <w:r w:rsidR="006B30D1">
        <w:rPr>
          <w:lang w:val="en-US"/>
        </w:rPr>
        <w:t>1</w:t>
      </w:r>
      <w:r>
        <w:rPr>
          <w:lang w:val="en-US"/>
        </w:rPr>
        <w:t>).</w:t>
      </w:r>
    </w:p>
    <w:p w:rsidR="006B30D1" w:rsidRPr="006B30D1" w:rsidRDefault="002907DF" w:rsidP="00FC7A2B">
      <w:pPr>
        <w:keepNext/>
        <w:spacing w:line="240" w:lineRule="auto"/>
        <w:jc w:val="center"/>
        <w:rPr>
          <w:lang w:val="en-US"/>
        </w:rPr>
      </w:pPr>
      <w:r w:rsidRPr="002907DF">
        <w:rPr>
          <w:noProof/>
        </w:rPr>
        <mc:AlternateContent>
          <mc:Choice Requires="wpg">
            <w:drawing>
              <wp:anchor distT="0" distB="0" distL="114300" distR="114300" simplePos="0" relativeHeight="251740160" behindDoc="0" locked="0" layoutInCell="1" allowOverlap="1" wp14:anchorId="62DD6597" wp14:editId="295E1F68">
                <wp:simplePos x="0" y="0"/>
                <wp:positionH relativeFrom="column">
                  <wp:posOffset>2779700</wp:posOffset>
                </wp:positionH>
                <wp:positionV relativeFrom="paragraph">
                  <wp:posOffset>68580</wp:posOffset>
                </wp:positionV>
                <wp:extent cx="413443" cy="65774"/>
                <wp:effectExtent l="38100" t="76200" r="5715" b="86995"/>
                <wp:wrapNone/>
                <wp:docPr id="80" name="Group 12"/>
                <wp:cNvGraphicFramePr/>
                <a:graphic xmlns:a="http://schemas.openxmlformats.org/drawingml/2006/main">
                  <a:graphicData uri="http://schemas.microsoft.com/office/word/2010/wordprocessingGroup">
                    <wpg:wgp>
                      <wpg:cNvGrpSpPr/>
                      <wpg:grpSpPr>
                        <a:xfrm>
                          <a:off x="0" y="0"/>
                          <a:ext cx="413443" cy="65774"/>
                          <a:chOff x="0" y="0"/>
                          <a:chExt cx="617221" cy="65774"/>
                        </a:xfrm>
                      </wpg:grpSpPr>
                      <wps:wsp>
                        <wps:cNvPr id="86" name="Straight Arrow Connector 86"/>
                        <wps:cNvCnPr>
                          <a:cxnSpLocks/>
                        </wps:cNvCnPr>
                        <wps:spPr>
                          <a:xfrm>
                            <a:off x="0" y="0"/>
                            <a:ext cx="6172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a:cxnSpLocks/>
                        </wps:cNvCnPr>
                        <wps:spPr>
                          <a:xfrm flipH="1">
                            <a:off x="0" y="65774"/>
                            <a:ext cx="6172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3EE54E" id="Group 12" o:spid="_x0000_s1026" style="position:absolute;margin-left:218.85pt;margin-top:5.4pt;width:32.55pt;height:5.2pt;z-index:251740160" coordsize="617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">
                <v:shape id="Straight Arrow Connector 86" o:spid="_x0000_s1027" type="#_x0000_t32" style="position:absolute;width:6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" strokecolor="black [3213]" strokeweight=".5pt">
                  <v:stroke endarrow="block" joinstyle="miter"/>
                  <o:lock v:ext="edit" shapetype="f"/>
                </v:shape>
                <v:shape id="Straight Arrow Connector 87" o:spid="_x0000_s1028" type="#_x0000_t32" style="position:absolute;top:657;width:6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" strokecolor="black [3213]" strokeweight=".5pt">
                  <v:stroke endarrow="block" joinstyle="miter"/>
                  <o:lock v:ext="edit" shapetype="f"/>
                </v:shape>
              </v:group>
            </w:pict>
          </mc:Fallback>
        </mc:AlternateContent>
      </w:r>
      <w:r w:rsidR="00E74C8E">
        <w:rPr>
          <w:lang w:val="en-US"/>
        </w:rPr>
        <w:t>R-COOH                   R-COO</w:t>
      </w:r>
      <w:r w:rsidR="00E74C8E">
        <w:rPr>
          <w:vertAlign w:val="superscript"/>
          <w:lang w:val="en-US"/>
        </w:rPr>
        <w:t>-</w:t>
      </w:r>
      <w:r w:rsidR="00E74C8E">
        <w:rPr>
          <w:lang w:val="en-US"/>
        </w:rPr>
        <w:t xml:space="preserve"> + H</w:t>
      </w:r>
      <w:r w:rsidR="00E74C8E">
        <w:rPr>
          <w:vertAlign w:val="superscript"/>
          <w:lang w:val="en-US"/>
        </w:rPr>
        <w:t>+</w:t>
      </w:r>
    </w:p>
    <w:p w:rsidR="006B30D1" w:rsidRPr="006B30D1" w:rsidRDefault="006B30D1" w:rsidP="00FC7A2B">
      <w:pPr>
        <w:pStyle w:val="Caption"/>
        <w:jc w:val="center"/>
        <w:rPr>
          <w:color w:val="auto"/>
          <w:sz w:val="20"/>
          <w:szCs w:val="20"/>
          <w:lang w:val="en-US"/>
        </w:rPr>
      </w:pPr>
      <w:r w:rsidRPr="006B30D1">
        <w:rPr>
          <w:color w:val="auto"/>
          <w:sz w:val="20"/>
          <w:szCs w:val="20"/>
          <w:lang w:val="en-US"/>
        </w:rPr>
        <w:t xml:space="preserve">Scheme </w:t>
      </w:r>
      <w:r w:rsidRPr="006B30D1">
        <w:rPr>
          <w:color w:val="auto"/>
          <w:sz w:val="20"/>
          <w:szCs w:val="20"/>
        </w:rPr>
        <w:fldChar w:fldCharType="begin"/>
      </w:r>
      <w:r w:rsidRPr="006B30D1">
        <w:rPr>
          <w:color w:val="auto"/>
          <w:sz w:val="20"/>
          <w:szCs w:val="20"/>
          <w:lang w:val="en-US"/>
        </w:rPr>
        <w:instrText xml:space="preserve"> SEQ Scheme \* ARABIC </w:instrText>
      </w:r>
      <w:r w:rsidRPr="006B30D1">
        <w:rPr>
          <w:color w:val="auto"/>
          <w:sz w:val="20"/>
          <w:szCs w:val="20"/>
        </w:rPr>
        <w:fldChar w:fldCharType="separate"/>
      </w:r>
      <w:r w:rsidR="00C52506">
        <w:rPr>
          <w:noProof/>
          <w:color w:val="auto"/>
          <w:sz w:val="20"/>
          <w:szCs w:val="20"/>
          <w:lang w:val="en-US"/>
        </w:rPr>
        <w:t>1</w:t>
      </w:r>
      <w:r w:rsidRPr="006B30D1">
        <w:rPr>
          <w:color w:val="auto"/>
          <w:sz w:val="20"/>
          <w:szCs w:val="20"/>
        </w:rPr>
        <w:fldChar w:fldCharType="end"/>
      </w:r>
      <w:r w:rsidRPr="006B30D1">
        <w:rPr>
          <w:color w:val="auto"/>
          <w:sz w:val="20"/>
          <w:szCs w:val="20"/>
          <w:lang w:val="en-US"/>
        </w:rPr>
        <w:t>: Deprotonation of carboxylic acid on a colloidal surface.</w:t>
      </w:r>
    </w:p>
    <w:p w:rsidR="002907DF" w:rsidRDefault="002907DF" w:rsidP="00FC7A2B">
      <w:pPr>
        <w:spacing w:line="240" w:lineRule="auto"/>
        <w:rPr>
          <w:lang w:val="en-US"/>
        </w:rPr>
      </w:pPr>
    </w:p>
    <w:p w:rsidR="00001E4D" w:rsidRDefault="00E74C8E" w:rsidP="00FC7A2B">
      <w:pPr>
        <w:spacing w:line="240" w:lineRule="auto"/>
        <w:rPr>
          <w:lang w:val="en-US"/>
        </w:rPr>
      </w:pPr>
      <w:r>
        <w:rPr>
          <w:lang w:val="en-US"/>
        </w:rPr>
        <w:lastRenderedPageBreak/>
        <w:t xml:space="preserve">As discussed above, the extent to which </w:t>
      </w:r>
      <w:r w:rsidR="002907DF">
        <w:rPr>
          <w:lang w:val="en-US"/>
        </w:rPr>
        <w:t>a</w:t>
      </w:r>
      <w:r>
        <w:rPr>
          <w:lang w:val="en-US"/>
        </w:rPr>
        <w:t xml:space="preserve"> carboxylic acid becomes charged depends on its respective pKa value. A common co-monomer that contains this functionality is acrylic acid, which has a pKa value of 4.25</w:t>
      </w:r>
      <w:r>
        <w:rPr>
          <w:lang w:val="en-US"/>
        </w:rPr>
        <w:fldChar w:fldCharType="begin" w:fldLock="1"/>
      </w:r>
      <w:r w:rsidR="00FB6101">
        <w:rPr>
          <w:lang w:val="en-US"/>
        </w:rPr>
        <w:instrText>ADDIN CSL_CITATION { "citationItems" : [ { "id" : "ITEM-1", "itemData" : { "DOI" : "10.6000/1929-5030.2015.04.01.2", "abstract" : "Acrylic, methacrylic and itaconic acids have Br\u00f8nsted acidity given by carboxylic groups, and they are extensively used in polymerization for modification of several soft-mater materials. By this reason it is important to propose better characterization studies and alternatives to obtain more of their physicochemical properties. In this work the pKa values of these acids are obtained by adjusting NMR chemical shifts for hydrogen and carbon nuclei as a function of pH with program HYPNMR, and compared with those obtained by potentiometric and conductometric titrations.", "author" : [ { "dropping-particle" : "", "family" : "Rojas-Hern\u00e1ndez", "given" : "Alberto", "non-dropping-particle" : "", "parse-names" : false, "suffix" : "" }, { "dropping-particle" : "", "family" : "Ibarra-Monta\u00f1o", "given" : "Emma Lilia", "non-dropping-particle" : "", "parse-names" : false, "suffix" : "" }, { "dropping-particle" : "", "family" : "Rodr\u00edguez-Laguna", "given" : "Norma", "non-dropping-particle" : "", "parse-names" : false, "suffix" : "" }, { "dropping-particle" : "", "family" : "An\u00edbal S\u00e1nchez-Hern\u00e1ndez", "given" : "An\u00edbal", "non-dropping-particle" : "", "parse-names" : false, "suffix" : "" } ], "container-title" : "Journal of Applied Solution Chemistry and Modeling", "id" : "ITEM-1", "issue" : "1", "issued" : { "date-parts" : [ [ "2015" ] ] }, "page" : "7-18", "title" : "Determination of pKa Values for Acrylic, Methacrylic and Itaconic Acids by 1H and 13C NMR in Deuterated Water", "type" : "article-journal", "volume" : "4" }, "uris" : [ "http://www.mendeley.com/documents/?uuid=d6250f97-a8da-4cef-9d09-35fda4dee045" ] } ], "mendeley" : { "formattedCitation" : "&lt;sup&gt;44&lt;/sup&gt;", "plainTextFormattedCitation" : "44", "previouslyFormattedCitation" : "&lt;sup&gt;44&lt;/sup&gt;"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44</w:t>
      </w:r>
      <w:r>
        <w:rPr>
          <w:lang w:val="en-US"/>
        </w:rPr>
        <w:fldChar w:fldCharType="end"/>
      </w:r>
      <w:r>
        <w:rPr>
          <w:lang w:val="en-US"/>
        </w:rPr>
        <w:t>. This value does not change much upon polymerization, as the average pKa value of carboxylic acid groups on poly-acrylic acid (PAA) is 4.5</w:t>
      </w:r>
      <w:r>
        <w:rPr>
          <w:lang w:val="en-US"/>
        </w:rPr>
        <w:fldChar w:fldCharType="begin" w:fldLock="1"/>
      </w:r>
      <w:r w:rsidR="00FB6101">
        <w:rPr>
          <w:lang w:val="en-US"/>
        </w:rPr>
        <w:instrText>ADDIN CSL_CITATION { "citationItems" : [ { "id" : "ITEM-1", "itemData" : { "DOI" : "10.1021/ie50549a029", "ISSN" : "0019-7866", "abstract" : "VER the past few years, considerable interest has developed 0 in the use of certain polyelectrolytes as flocculating agents for finely divided solids in aqueous suspension and as aggregating agents for soils, so-called soil conditioners, These compounds, when added in concentrations as low as O.Ol$&amp; of the weight of the solid t o be treated, can under proper conditions agglomerate particles very rapidly and produce stable aggregates (14, 16). The mechanism by which these polymers cause flocculation is not yet clearly defined. Pertinent facts relating to the types of compounds that are effective flocculants and the conditions under which flocculation occurs are as follows: 1. Cationic polyelectrolytes and certain nonionic water soluble gums are effective flocculante for many solid suspensions over wide ranges of p H and electrolyte concentration in solution (15, 18). Anionic polyelectrolytes are effective flocculants for clays which normally carry negative charges in water only when the polymer also contains nonionic polar groups-e.g., hydroxyl or amide-and/or the anion is carboxyl (COO-). Purely poly-carboxylic polymers-e.g., sodium poly(methy1 methacrylate)-or sulfonate polymers-e.g., sodium polystyrene sulfonate-do not flocculate these solids (9,119). Anionic polvelectrolytes such as hydrolyzed polyacrylo-nitrile, hydrolyzed polyacrylamide, and poly (calcium maleate co vinyl acetate) are effective flocculants for clays and soils in neutral or slightly acid solution. In solutions made alkaline with caustic soda, flocculation does not occur. I n solutions made alkaline with lime, flocculation does take place (I S) . With caustic-hydrolyzed polyacrylamide, maximum floc-culation effectiveness is found to occur when the extent of hy-drolysis is about 30% (7) . Despite their poor flocculating ability, purely carboxylic polymers such as sodium poly(methyl methacrylate) adsorb on the surface of clays such as kaolinite in neutral solution. Ad-sorption is increased by addition of electrolyte (PTaC1) t o the solution (1 9) . 2.", "author" : [ { "dropping-particle" : "", "family" : "Michaels", "given" : "A. S.", "non-dropping-particle" : "", "parse-names" : false, "suffix" : "" }, { "dropping-particle" : "", "family" : "Morelos", "given" : "O.", "non-dropping-particle" : "", "parse-names" : false, "suffix" : "" } ], "container-title" : "Industrial &amp; Engineering Chemistry", "id" : "ITEM-1", "issue" : "9", "issued" : { "date-parts" : [ [ "1955" ] ] }, "page" : "1801-1809", "title" : "Polyelectrolyte Adsorption by Kaolinite", "type" : "article-journal", "volume" : "47" }, "uris" : [ "http://www.mendeley.com/documents/?uuid=85fef6fe-47d0-4b89-8d92-003c8926d948" ] } ], "mendeley" : { "formattedCitation" : "&lt;sup&gt;45&lt;/sup&gt;", "plainTextFormattedCitation" : "45", "previouslyFormattedCitation" : "&lt;sup&gt;45&lt;/sup&gt;"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45</w:t>
      </w:r>
      <w:r>
        <w:rPr>
          <w:lang w:val="en-US"/>
        </w:rPr>
        <w:fldChar w:fldCharType="end"/>
      </w:r>
      <w:r>
        <w:rPr>
          <w:lang w:val="en-US"/>
        </w:rPr>
        <w:t>.</w:t>
      </w:r>
    </w:p>
    <w:p w:rsidR="00E74C8E" w:rsidRDefault="00E74C8E" w:rsidP="00FC7A2B">
      <w:pPr>
        <w:spacing w:line="240" w:lineRule="auto"/>
        <w:rPr>
          <w:lang w:val="en-US"/>
        </w:rPr>
      </w:pPr>
      <w:r>
        <w:rPr>
          <w:lang w:val="en-US"/>
        </w:rPr>
        <w:t xml:space="preserve">Another example of an acidic surface group are silanol functionalities that are present on silane surfaces, which are deprotonated at neutral and basic conditions or protonated at strongly acidic conditions (scheme </w:t>
      </w:r>
      <w:r w:rsidR="006B30D1">
        <w:rPr>
          <w:lang w:val="en-US"/>
        </w:rPr>
        <w:t>2</w:t>
      </w:r>
      <w:r>
        <w:rPr>
          <w:lang w:val="en-US"/>
        </w:rPr>
        <w:t>)</w:t>
      </w:r>
      <w:r>
        <w:rPr>
          <w:lang w:val="en-US"/>
        </w:rPr>
        <w:fldChar w:fldCharType="begin" w:fldLock="1"/>
      </w:r>
      <w:r w:rsidR="00FB6101">
        <w:rPr>
          <w:lang w:val="en-US"/>
        </w:rPr>
        <w:instrText>ADDIN CSL_CITATION { "citationItems" : [ { "id" : "ITEM-1", "itemData" : { "DOI" : "10.1002/ange.19800920433", "ISBN" : "047102404X", "ISSN" : "1521-3757", "author" : [ { "dropping-particle" : "", "family" : "Iler", "given" : "R K", "non-dropping-particle" : "", "parse-names" : false, "suffix" : "" } ], "id" : "ITEM-1", "issued" : { "date-parts" : [ [ "1979" ] ] }, "title" : "The chemistry of silica: solubility, polymerization, colloid and surface properties, and biochemistry", "type" : "book" }, "uris" : [ "http://www.mendeley.com/documents/?uuid=7e75b312-f312-40a8-93b4-484d194daf16" ] } ], "mendeley" : { "formattedCitation" : "&lt;sup&gt;46&lt;/sup&gt;", "plainTextFormattedCitation" : "46", "previouslyFormattedCitation" : "&lt;sup&gt;46&lt;/sup&gt;"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46</w:t>
      </w:r>
      <w:r>
        <w:rPr>
          <w:lang w:val="en-US"/>
        </w:rPr>
        <w:fldChar w:fldCharType="end"/>
      </w:r>
      <w:r>
        <w:rPr>
          <w:lang w:val="en-US"/>
        </w:rPr>
        <w:t>.</w:t>
      </w:r>
      <w:r w:rsidR="002907DF" w:rsidRPr="002907DF">
        <w:rPr>
          <w:rFonts w:eastAsiaTheme="minorEastAsia"/>
          <w:lang w:val="en-US"/>
        </w:rPr>
        <w:t xml:space="preserve"> </w:t>
      </w:r>
    </w:p>
    <w:p w:rsidR="006B30D1" w:rsidRPr="00001E4D" w:rsidRDefault="002907DF" w:rsidP="00FC7A2B">
      <w:pPr>
        <w:keepNext/>
        <w:spacing w:line="240" w:lineRule="auto"/>
        <w:jc w:val="center"/>
        <w:rPr>
          <w:lang w:val="en-US"/>
        </w:rPr>
      </w:pPr>
      <w:r w:rsidRPr="002907DF">
        <w:rPr>
          <w:rFonts w:eastAsiaTheme="minorEastAsia"/>
          <w:noProof/>
        </w:rPr>
        <mc:AlternateContent>
          <mc:Choice Requires="wpg">
            <w:drawing>
              <wp:anchor distT="0" distB="0" distL="114300" distR="114300" simplePos="0" relativeHeight="251742208" behindDoc="0" locked="0" layoutInCell="1" allowOverlap="1" wp14:anchorId="4368BBF6" wp14:editId="23FFB797">
                <wp:simplePos x="0" y="0"/>
                <wp:positionH relativeFrom="column">
                  <wp:posOffset>1974545</wp:posOffset>
                </wp:positionH>
                <wp:positionV relativeFrom="paragraph">
                  <wp:posOffset>67945</wp:posOffset>
                </wp:positionV>
                <wp:extent cx="413385" cy="65405"/>
                <wp:effectExtent l="38100" t="76200" r="5715" b="86995"/>
                <wp:wrapNone/>
                <wp:docPr id="88" name="Group 12"/>
                <wp:cNvGraphicFramePr/>
                <a:graphic xmlns:a="http://schemas.openxmlformats.org/drawingml/2006/main">
                  <a:graphicData uri="http://schemas.microsoft.com/office/word/2010/wordprocessingGroup">
                    <wpg:wgp>
                      <wpg:cNvGrpSpPr/>
                      <wpg:grpSpPr>
                        <a:xfrm>
                          <a:off x="0" y="0"/>
                          <a:ext cx="413385" cy="65405"/>
                          <a:chOff x="0" y="0"/>
                          <a:chExt cx="617221" cy="65774"/>
                        </a:xfrm>
                      </wpg:grpSpPr>
                      <wps:wsp>
                        <wps:cNvPr id="96" name="Straight Arrow Connector 96"/>
                        <wps:cNvCnPr>
                          <a:cxnSpLocks/>
                        </wps:cNvCnPr>
                        <wps:spPr>
                          <a:xfrm>
                            <a:off x="0" y="0"/>
                            <a:ext cx="6172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a:cxnSpLocks/>
                        </wps:cNvCnPr>
                        <wps:spPr>
                          <a:xfrm flipH="1">
                            <a:off x="0" y="65774"/>
                            <a:ext cx="6172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D1F6E7" id="Group 12" o:spid="_x0000_s1026" style="position:absolute;margin-left:155.5pt;margin-top:5.35pt;width:32.55pt;height:5.15pt;z-index:251742208" coordsize="617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">
                <v:shape id="Straight Arrow Connector 96" o:spid="_x0000_s1027" type="#_x0000_t32" style="position:absolute;width:6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" strokecolor="black [3213]" strokeweight=".5pt">
                  <v:stroke endarrow="block" joinstyle="miter"/>
                  <o:lock v:ext="edit" shapetype="f"/>
                </v:shape>
                <v:shape id="Straight Arrow Connector 100" o:spid="_x0000_s1028" type="#_x0000_t32" style="position:absolute;top:657;width:6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" strokecolor="black [3213]" strokeweight=".5pt">
                  <v:stroke endarrow="block" joinstyle="miter"/>
                  <o:lock v:ext="edit" shapetype="f"/>
                </v:shape>
              </v:group>
            </w:pict>
          </mc:Fallback>
        </mc:AlternateContent>
      </w:r>
      <w:r w:rsidRPr="002907DF">
        <w:rPr>
          <w:rFonts w:eastAsiaTheme="minorEastAsia"/>
          <w:noProof/>
        </w:rPr>
        <mc:AlternateContent>
          <mc:Choice Requires="wpg">
            <w:drawing>
              <wp:anchor distT="0" distB="0" distL="114300" distR="114300" simplePos="0" relativeHeight="251744256" behindDoc="0" locked="0" layoutInCell="1" allowOverlap="1" wp14:anchorId="4368BBF6" wp14:editId="23FFB797">
                <wp:simplePos x="0" y="0"/>
                <wp:positionH relativeFrom="column">
                  <wp:posOffset>2187245</wp:posOffset>
                </wp:positionH>
                <wp:positionV relativeFrom="paragraph">
                  <wp:posOffset>239242</wp:posOffset>
                </wp:positionV>
                <wp:extent cx="413443" cy="65774"/>
                <wp:effectExtent l="38100" t="76200" r="5715" b="86995"/>
                <wp:wrapNone/>
                <wp:docPr id="102" name="Group 12"/>
                <wp:cNvGraphicFramePr/>
                <a:graphic xmlns:a="http://schemas.openxmlformats.org/drawingml/2006/main">
                  <a:graphicData uri="http://schemas.microsoft.com/office/word/2010/wordprocessingGroup">
                    <wpg:wgp>
                      <wpg:cNvGrpSpPr/>
                      <wpg:grpSpPr>
                        <a:xfrm>
                          <a:off x="0" y="0"/>
                          <a:ext cx="413443" cy="65774"/>
                          <a:chOff x="0" y="0"/>
                          <a:chExt cx="617221" cy="65774"/>
                        </a:xfrm>
                      </wpg:grpSpPr>
                      <wps:wsp>
                        <wps:cNvPr id="103" name="Straight Arrow Connector 103"/>
                        <wps:cNvCnPr>
                          <a:cxnSpLocks/>
                        </wps:cNvCnPr>
                        <wps:spPr>
                          <a:xfrm>
                            <a:off x="0" y="0"/>
                            <a:ext cx="6172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a:cxnSpLocks/>
                        </wps:cNvCnPr>
                        <wps:spPr>
                          <a:xfrm flipH="1">
                            <a:off x="0" y="65774"/>
                            <a:ext cx="6172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507C2F" id="Group 12" o:spid="_x0000_s1026" style="position:absolute;margin-left:172.2pt;margin-top:18.85pt;width:32.55pt;height:5.2pt;z-index:251744256" coordsize="617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">
                <v:shape id="Straight Arrow Connector 103" o:spid="_x0000_s1027" type="#_x0000_t32" style="position:absolute;width:6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" strokecolor="black [3213]" strokeweight=".5pt">
                  <v:stroke endarrow="block" joinstyle="miter"/>
                  <o:lock v:ext="edit" shapetype="f"/>
                </v:shape>
                <v:shape id="Straight Arrow Connector 111" o:spid="_x0000_s1028" type="#_x0000_t32" style="position:absolute;top:657;width:6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" strokecolor="black [3213]" strokeweight=".5pt">
                  <v:stroke endarrow="block" joinstyle="miter"/>
                  <o:lock v:ext="edit" shapetype="f"/>
                </v:shape>
              </v:group>
            </w:pict>
          </mc:Fallback>
        </mc:AlternateContent>
      </w:r>
      <w:r w:rsidR="00E74C8E">
        <w:rPr>
          <w:lang w:val="en-US"/>
        </w:rPr>
        <w:t>R</w:t>
      </w:r>
      <w:r w:rsidR="00E74C8E">
        <w:rPr>
          <w:vertAlign w:val="subscript"/>
          <w:lang w:val="en-US"/>
        </w:rPr>
        <w:t>3</w:t>
      </w:r>
      <w:r w:rsidR="00E74C8E">
        <w:rPr>
          <w:lang w:val="en-US"/>
        </w:rPr>
        <w:t>Si-OH                    R</w:t>
      </w:r>
      <w:r w:rsidR="00E74C8E">
        <w:rPr>
          <w:vertAlign w:val="subscript"/>
          <w:lang w:val="en-US"/>
        </w:rPr>
        <w:t>3</w:t>
      </w:r>
      <w:r w:rsidR="00E74C8E">
        <w:rPr>
          <w:lang w:val="en-US"/>
        </w:rPr>
        <w:t>Si-O</w:t>
      </w:r>
      <w:r w:rsidR="00E74C8E">
        <w:rPr>
          <w:vertAlign w:val="superscript"/>
          <w:lang w:val="en-US"/>
        </w:rPr>
        <w:t>-</w:t>
      </w:r>
      <w:r w:rsidR="00E74C8E">
        <w:rPr>
          <w:lang w:val="en-US"/>
        </w:rPr>
        <w:t xml:space="preserve"> + H</w:t>
      </w:r>
      <w:r w:rsidR="00E74C8E">
        <w:rPr>
          <w:vertAlign w:val="superscript"/>
          <w:lang w:val="en-US"/>
        </w:rPr>
        <w:t>+</w:t>
      </w:r>
      <w:r w:rsidR="00E74C8E">
        <w:rPr>
          <w:lang w:val="en-US"/>
        </w:rPr>
        <w:t xml:space="preserve"> (neutral or basic conditions)</w:t>
      </w:r>
      <w:r w:rsidR="00E74C8E">
        <w:rPr>
          <w:vertAlign w:val="superscript"/>
          <w:lang w:val="en-US"/>
        </w:rPr>
        <w:br/>
      </w:r>
      <w:r w:rsidR="00E74C8E">
        <w:rPr>
          <w:lang w:val="en-US"/>
        </w:rPr>
        <w:t>R</w:t>
      </w:r>
      <w:r w:rsidR="00E74C8E">
        <w:rPr>
          <w:vertAlign w:val="subscript"/>
          <w:lang w:val="en-US"/>
        </w:rPr>
        <w:t>3</w:t>
      </w:r>
      <w:r w:rsidR="00E74C8E">
        <w:rPr>
          <w:lang w:val="en-US"/>
        </w:rPr>
        <w:t>Si-OH + H</w:t>
      </w:r>
      <w:r w:rsidR="00E74C8E">
        <w:rPr>
          <w:vertAlign w:val="superscript"/>
          <w:lang w:val="en-US"/>
        </w:rPr>
        <w:t>+</w:t>
      </w:r>
      <w:r w:rsidR="00E74C8E">
        <w:rPr>
          <w:lang w:val="en-US"/>
        </w:rPr>
        <w:t xml:space="preserve">                   R</w:t>
      </w:r>
      <w:r w:rsidR="00E74C8E">
        <w:rPr>
          <w:vertAlign w:val="subscript"/>
          <w:lang w:val="en-US"/>
        </w:rPr>
        <w:t>3</w:t>
      </w:r>
      <w:r w:rsidR="00E74C8E">
        <w:rPr>
          <w:lang w:val="en-US"/>
        </w:rPr>
        <w:t>Si-OH</w:t>
      </w:r>
      <w:r w:rsidR="00E74C8E">
        <w:rPr>
          <w:vertAlign w:val="subscript"/>
          <w:lang w:val="en-US"/>
        </w:rPr>
        <w:t>2</w:t>
      </w:r>
      <w:r w:rsidR="00E74C8E">
        <w:rPr>
          <w:vertAlign w:val="superscript"/>
          <w:lang w:val="en-US"/>
        </w:rPr>
        <w:t>+</w:t>
      </w:r>
      <w:r w:rsidR="00E74C8E">
        <w:rPr>
          <w:lang w:val="en-US"/>
        </w:rPr>
        <w:t xml:space="preserve"> (strongly acidic conditions) </w:t>
      </w:r>
    </w:p>
    <w:p w:rsidR="00E74C8E" w:rsidRPr="006B30D1" w:rsidRDefault="006B30D1" w:rsidP="00FC7A2B">
      <w:pPr>
        <w:pStyle w:val="Caption"/>
        <w:jc w:val="center"/>
        <w:rPr>
          <w:color w:val="auto"/>
          <w:sz w:val="20"/>
          <w:szCs w:val="20"/>
          <w:lang w:val="en-US"/>
        </w:rPr>
      </w:pPr>
      <w:r w:rsidRPr="006B30D1">
        <w:rPr>
          <w:color w:val="auto"/>
          <w:sz w:val="20"/>
          <w:szCs w:val="20"/>
          <w:lang w:val="en-US"/>
        </w:rPr>
        <w:t xml:space="preserve">Scheme </w:t>
      </w:r>
      <w:r w:rsidRPr="006B30D1">
        <w:rPr>
          <w:color w:val="auto"/>
          <w:sz w:val="20"/>
          <w:szCs w:val="20"/>
        </w:rPr>
        <w:fldChar w:fldCharType="begin"/>
      </w:r>
      <w:r w:rsidRPr="006B30D1">
        <w:rPr>
          <w:color w:val="auto"/>
          <w:sz w:val="20"/>
          <w:szCs w:val="20"/>
          <w:lang w:val="en-US"/>
        </w:rPr>
        <w:instrText xml:space="preserve"> SEQ Scheme \* ARABIC </w:instrText>
      </w:r>
      <w:r w:rsidRPr="006B30D1">
        <w:rPr>
          <w:color w:val="auto"/>
          <w:sz w:val="20"/>
          <w:szCs w:val="20"/>
        </w:rPr>
        <w:fldChar w:fldCharType="separate"/>
      </w:r>
      <w:r w:rsidR="00C52506">
        <w:rPr>
          <w:noProof/>
          <w:color w:val="auto"/>
          <w:sz w:val="20"/>
          <w:szCs w:val="20"/>
          <w:lang w:val="en-US"/>
        </w:rPr>
        <w:t>2</w:t>
      </w:r>
      <w:r w:rsidRPr="006B30D1">
        <w:rPr>
          <w:color w:val="auto"/>
          <w:sz w:val="20"/>
          <w:szCs w:val="20"/>
        </w:rPr>
        <w:fldChar w:fldCharType="end"/>
      </w:r>
      <w:r w:rsidRPr="006B30D1">
        <w:rPr>
          <w:color w:val="auto"/>
          <w:sz w:val="20"/>
          <w:szCs w:val="20"/>
          <w:lang w:val="en-US"/>
        </w:rPr>
        <w:t>: Deprotonation and protonation of silanol groups on a colloidal surface.</w:t>
      </w:r>
    </w:p>
    <w:p w:rsidR="00E74C8E" w:rsidRDefault="00E74C8E" w:rsidP="00FC7A2B">
      <w:pPr>
        <w:spacing w:line="240" w:lineRule="auto"/>
        <w:rPr>
          <w:lang w:val="en-US"/>
        </w:rPr>
      </w:pPr>
      <w:r>
        <w:rPr>
          <w:lang w:val="en-US"/>
        </w:rPr>
        <w:t xml:space="preserve">The pKa value of these silica groups varies widely, </w:t>
      </w:r>
      <w:r w:rsidR="002907DF">
        <w:rPr>
          <w:lang w:val="en-US"/>
        </w:rPr>
        <w:t xml:space="preserve">as they </w:t>
      </w:r>
      <w:r>
        <w:rPr>
          <w:lang w:val="en-US"/>
        </w:rPr>
        <w:t>depend on the orientation of the silanol group and the environment of the silica atom</w:t>
      </w:r>
      <w:r>
        <w:rPr>
          <w:lang w:val="en-US"/>
        </w:rPr>
        <w:fldChar w:fldCharType="begin" w:fldLock="1"/>
      </w:r>
      <w:r w:rsidR="00FB6101">
        <w:rPr>
          <w:lang w:val="en-US"/>
        </w:rPr>
        <w:instrText>ADDIN CSL_CITATION { "citationItems" : [ { "id" : "ITEM-1", "itemData" : { "DOI" : "10.1021/ja906190t", "ISSN" : "00027863", "abstract" : "Understanding the acid-base behavior of silica surfaces is critical for many nanoscience and bionano interface applications. Silanol groups (SiOH) on silica surfaces exhibit two acidity constants-one as acidic as vinegar-but their structural basis remains controversial. The atomic details of the more acidic silanol site govern not just the overall surface charge density at near neutral solution pH but also how ions and biomolecules interact with and bind to silica immersed in water. Using ab initio molecular dynamics simulations and multiple representative crystalline silica surfaces, we determine the deprotonation free energies of silanol groups with different structural motifs. We show that previously proposed motifs related to chemical connectivity or intersilanol hydrogen bonds do not yield high acidity. Instead, a plausible candiate for pKa) 4.5 silanol groups may be found in locally strained or defected regions with sparse silanol coverage. In the process, irreversible ring-opening reactions of strained silica trimer rings in contact with liquid water are observed. \u00a9 2009 American Chemical Society.", "author" : [ { "dropping-particle" : "", "family" : "Leung", "given" : "Kevin", "non-dropping-particle" : "", "parse-names" : false, "suffix" : "" }, { "dropping-particle" : "", "family" : "Nielsen", "given" : "Ida M.B.", "non-dropping-particle" : "", "parse-names" : false, "suffix" : "" }, { "dropping-particle" : "", "family" : "Criscenti", "given" : "Louise J.", "non-dropping-particle" : "", "parse-names" : false, "suffix" : "" } ], "container-title" : "Journal of the American Chemical Society", "id" : "ITEM-1", "issue" : "51", "issued" : { "date-parts" : [ [ "2009" ] ] }, "page" : "18358-18365", "title" : "Elucidating the bimodal acid-base behavior of the water-silica interface from first principles", "type" : "article-journal", "volume" : "131" }, "uris" : [ "http://www.mendeley.com/documents/?uuid=379dccac-28ec-47cf-a09b-3d391fe35597" ] } ], "mendeley" : { "formattedCitation" : "&lt;sup&gt;47&lt;/sup&gt;", "plainTextFormattedCitation" : "47", "previouslyFormattedCitation" : "&lt;sup&gt;47&lt;/sup&gt;"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47</w:t>
      </w:r>
      <w:r>
        <w:rPr>
          <w:lang w:val="en-US"/>
        </w:rPr>
        <w:fldChar w:fldCharType="end"/>
      </w:r>
      <w:r>
        <w:rPr>
          <w:lang w:val="en-US"/>
        </w:rPr>
        <w:t xml:space="preserve">. However, as a rule of thumb, the above pH relation is assumed for most silica surfaces. </w:t>
      </w:r>
    </w:p>
    <w:p w:rsidR="00E74C8E" w:rsidRDefault="00E74C8E" w:rsidP="00FC7A2B">
      <w:pPr>
        <w:spacing w:line="240" w:lineRule="auto"/>
        <w:rPr>
          <w:lang w:val="en-US"/>
        </w:rPr>
      </w:pPr>
      <w:r>
        <w:rPr>
          <w:lang w:val="en-US"/>
        </w:rPr>
        <w:t>Lastly, a colloidal surface can be functionalized with basic amine groups</w:t>
      </w:r>
      <w:r w:rsidR="002907DF">
        <w:rPr>
          <w:lang w:val="en-US"/>
        </w:rPr>
        <w:t xml:space="preserve"> that</w:t>
      </w:r>
      <w:r>
        <w:rPr>
          <w:lang w:val="en-US"/>
        </w:rPr>
        <w:t xml:space="preserve"> obtain a positive charge at acidic and neutral pH</w:t>
      </w:r>
      <w:r>
        <w:rPr>
          <w:lang w:val="en-US"/>
        </w:rPr>
        <w:fldChar w:fldCharType="begin" w:fldLock="1"/>
      </w:r>
      <w:r w:rsidR="00FB6101">
        <w:rPr>
          <w:lang w:val="en-US"/>
        </w:rPr>
        <w:instrText>ADDIN CSL_CITATION { "citationItems" : [ { "id" : "ITEM-1", "itemData" : { "DOI" : "10.1002/macp.200500372", "ISSN" : "10221352", "abstract" : "A series of fluorescent polystyrene latex particles with carboxyl and amino functionalities on their surface were synthesized by the miniemulsion technique. The fluorescent dye N-(2,6-diisopropylphenyl)perylene-3,4- dicarboximide (PMI) was incorporated into the copolymer nanoparticles formulated from styrene and acrylic acid or styrene and aminoethyl methacrylate hydrochloride. The resulting latexes were stable and showed a monodisperse size distribution. The particle size depended on the amount and nature of the functional comonomer and was in the range 100-175 nm. All latexes were characterized by transmission electron microscopy (TEM), dynamic light scattering, UV-Vis spectroscopy and zeta potential measurements. The amount of surface functional groups was determined by electrolyte titration. Furthermore, the functionalized fluorescent particles were utilized as markers for HeLa cells and cell uptake was visualized using fluorescence microscopy. The correlation of the uptake of nanoparticles with the surface charge was determined by FACS measurements. \u00a9 2005 WILEY-VCH Verlag GmbH &amp; Co, KGaA, Weinheim.", "author" : [ { "dropping-particle" : "", "family" : "Holzapfel", "given" : "Verena", "non-dropping-particle" : "", "parse-names" : false, "suffix" : "" }, { "dropping-particle" : "", "family" : "Musyanovych", "given" : "Anna", "non-dropping-particle" : "", "parse-names" : false, "suffix" : "" }, { "dropping-particle" : "", "family" : "Landfester", "given" : "Katharina", "non-dropping-particle" : "", "parse-names" : false, "suffix" : "" }, { "dropping-particle" : "", "family" : "Lorenz", "given" : "Myriam Ricarda", "non-dropping-particle" : "", "parse-names" : false, "suffix" : "" }, { "dropping-particle" : "", "family" : "Mail\u00e4nder", "given" : "Volker", "non-dropping-particle" : "", "parse-names" : false, "suffix" : "" } ], "container-title" : "Macromolecular Chemistry and Physics", "id" : "ITEM-1", "issue" : "24", "issued" : { "date-parts" : [ [ "2005" ] ] }, "page" : "2440-2449", "title" : "Preparation of fluorescent carboxyl and amino functionalized polystyrene particles by miniemulsion polymerization as markers for cells", "type" : "article-journal", "volume" : "206" }, "uris" : [ "http://www.mendeley.com/documents/?uuid=cadc39cf-78c2-48b5-979e-c432bd15aaa5" ] } ], "mendeley" : { "formattedCitation" : "&lt;sup&gt;43&lt;/sup&gt;", "plainTextFormattedCitation" : "43", "previouslyFormattedCitation" : "&lt;sup&gt;43&lt;/sup&gt;"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43</w:t>
      </w:r>
      <w:r>
        <w:rPr>
          <w:lang w:val="en-US"/>
        </w:rPr>
        <w:fldChar w:fldCharType="end"/>
      </w:r>
      <w:r>
        <w:rPr>
          <w:lang w:val="en-US"/>
        </w:rPr>
        <w:t xml:space="preserve"> (scheme </w:t>
      </w:r>
      <w:r w:rsidR="006B30D1">
        <w:rPr>
          <w:lang w:val="en-US"/>
        </w:rPr>
        <w:t>3</w:t>
      </w:r>
      <w:r>
        <w:rPr>
          <w:lang w:val="en-US"/>
        </w:rPr>
        <w:t xml:space="preserve">). </w:t>
      </w:r>
    </w:p>
    <w:p w:rsidR="00E74C8E" w:rsidRDefault="002907DF" w:rsidP="00FC7A2B">
      <w:pPr>
        <w:keepNext/>
        <w:spacing w:line="240" w:lineRule="auto"/>
        <w:jc w:val="center"/>
        <w:rPr>
          <w:i/>
          <w:lang w:val="en-US"/>
        </w:rPr>
      </w:pPr>
      <w:r w:rsidRPr="002907DF">
        <w:rPr>
          <w:rFonts w:eastAsiaTheme="minorEastAsia"/>
          <w:noProof/>
        </w:rPr>
        <mc:AlternateContent>
          <mc:Choice Requires="wpg">
            <w:drawing>
              <wp:anchor distT="0" distB="0" distL="114300" distR="114300" simplePos="0" relativeHeight="251746304" behindDoc="0" locked="0" layoutInCell="1" allowOverlap="1" wp14:anchorId="4368BBF6" wp14:editId="23FFB797">
                <wp:simplePos x="0" y="0"/>
                <wp:positionH relativeFrom="column">
                  <wp:posOffset>2976880</wp:posOffset>
                </wp:positionH>
                <wp:positionV relativeFrom="paragraph">
                  <wp:posOffset>60630</wp:posOffset>
                </wp:positionV>
                <wp:extent cx="413443" cy="65774"/>
                <wp:effectExtent l="38100" t="76200" r="5715" b="86995"/>
                <wp:wrapNone/>
                <wp:docPr id="112" name="Group 12"/>
                <wp:cNvGraphicFramePr/>
                <a:graphic xmlns:a="http://schemas.openxmlformats.org/drawingml/2006/main">
                  <a:graphicData uri="http://schemas.microsoft.com/office/word/2010/wordprocessingGroup">
                    <wpg:wgp>
                      <wpg:cNvGrpSpPr/>
                      <wpg:grpSpPr>
                        <a:xfrm>
                          <a:off x="0" y="0"/>
                          <a:ext cx="413443" cy="65774"/>
                          <a:chOff x="0" y="0"/>
                          <a:chExt cx="617221" cy="65774"/>
                        </a:xfrm>
                      </wpg:grpSpPr>
                      <wps:wsp>
                        <wps:cNvPr id="113" name="Straight Arrow Connector 113"/>
                        <wps:cNvCnPr>
                          <a:cxnSpLocks/>
                        </wps:cNvCnPr>
                        <wps:spPr>
                          <a:xfrm>
                            <a:off x="0" y="0"/>
                            <a:ext cx="6172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a:cxnSpLocks/>
                        </wps:cNvCnPr>
                        <wps:spPr>
                          <a:xfrm flipH="1">
                            <a:off x="0" y="65774"/>
                            <a:ext cx="6172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3CCC09" id="Group 12" o:spid="_x0000_s1026" style="position:absolute;margin-left:234.4pt;margin-top:4.75pt;width:32.55pt;height:5.2pt;z-index:251746304" coordsize="617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">
                <v:shape id="Straight Arrow Connector 113" o:spid="_x0000_s1027" type="#_x0000_t32" style="position:absolute;width:6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" strokecolor="black [3213]" strokeweight=".5pt">
                  <v:stroke endarrow="block" joinstyle="miter"/>
                  <o:lock v:ext="edit" shapetype="f"/>
                </v:shape>
                <v:shape id="Straight Arrow Connector 114" o:spid="_x0000_s1028" type="#_x0000_t32" style="position:absolute;top:657;width:6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" strokecolor="black [3213]" strokeweight=".5pt">
                  <v:stroke endarrow="block" joinstyle="miter"/>
                  <o:lock v:ext="edit" shapetype="f"/>
                </v:shape>
              </v:group>
            </w:pict>
          </mc:Fallback>
        </mc:AlternateContent>
      </w:r>
      <w:r w:rsidR="00E74C8E">
        <w:rPr>
          <w:lang w:val="en-US"/>
        </w:rPr>
        <w:t>R-NH</w:t>
      </w:r>
      <w:r w:rsidR="00E74C8E">
        <w:rPr>
          <w:vertAlign w:val="subscript"/>
          <w:lang w:val="en-US"/>
        </w:rPr>
        <w:t>2</w:t>
      </w:r>
      <w:r w:rsidR="00E74C8E">
        <w:rPr>
          <w:lang w:val="en-US"/>
        </w:rPr>
        <w:t xml:space="preserve"> + H</w:t>
      </w:r>
      <w:r w:rsidR="00E74C8E">
        <w:rPr>
          <w:vertAlign w:val="superscript"/>
          <w:lang w:val="en-US"/>
        </w:rPr>
        <w:t>+</w:t>
      </w:r>
      <w:r w:rsidR="00E74C8E">
        <w:rPr>
          <w:lang w:val="en-US"/>
        </w:rPr>
        <w:t xml:space="preserve">                    R-NH</w:t>
      </w:r>
      <w:r w:rsidR="00E74C8E">
        <w:rPr>
          <w:vertAlign w:val="subscript"/>
          <w:lang w:val="en-US"/>
        </w:rPr>
        <w:t>3</w:t>
      </w:r>
      <w:r w:rsidR="00E74C8E">
        <w:rPr>
          <w:vertAlign w:val="superscript"/>
          <w:lang w:val="en-US"/>
        </w:rPr>
        <w:t>+</w:t>
      </w:r>
    </w:p>
    <w:p w:rsidR="006B30D1" w:rsidRPr="006B30D1" w:rsidRDefault="006B30D1" w:rsidP="00FC7A2B">
      <w:pPr>
        <w:pStyle w:val="Caption"/>
        <w:jc w:val="center"/>
        <w:rPr>
          <w:color w:val="auto"/>
          <w:sz w:val="20"/>
          <w:szCs w:val="20"/>
          <w:lang w:val="en-US"/>
        </w:rPr>
      </w:pPr>
      <w:r w:rsidRPr="006B30D1">
        <w:rPr>
          <w:color w:val="auto"/>
          <w:sz w:val="20"/>
          <w:szCs w:val="20"/>
          <w:lang w:val="en-US"/>
        </w:rPr>
        <w:t xml:space="preserve">Scheme </w:t>
      </w:r>
      <w:r w:rsidRPr="006B30D1">
        <w:rPr>
          <w:color w:val="auto"/>
          <w:sz w:val="20"/>
          <w:szCs w:val="20"/>
        </w:rPr>
        <w:fldChar w:fldCharType="begin"/>
      </w:r>
      <w:r w:rsidRPr="006B30D1">
        <w:rPr>
          <w:color w:val="auto"/>
          <w:sz w:val="20"/>
          <w:szCs w:val="20"/>
          <w:lang w:val="en-US"/>
        </w:rPr>
        <w:instrText xml:space="preserve"> SEQ Scheme \* ARABIC </w:instrText>
      </w:r>
      <w:r w:rsidRPr="006B30D1">
        <w:rPr>
          <w:color w:val="auto"/>
          <w:sz w:val="20"/>
          <w:szCs w:val="20"/>
        </w:rPr>
        <w:fldChar w:fldCharType="separate"/>
      </w:r>
      <w:r w:rsidR="00C52506">
        <w:rPr>
          <w:noProof/>
          <w:color w:val="auto"/>
          <w:sz w:val="20"/>
          <w:szCs w:val="20"/>
          <w:lang w:val="en-US"/>
        </w:rPr>
        <w:t>3</w:t>
      </w:r>
      <w:r w:rsidRPr="006B30D1">
        <w:rPr>
          <w:color w:val="auto"/>
          <w:sz w:val="20"/>
          <w:szCs w:val="20"/>
        </w:rPr>
        <w:fldChar w:fldCharType="end"/>
      </w:r>
      <w:r w:rsidRPr="006B30D1">
        <w:rPr>
          <w:color w:val="auto"/>
          <w:sz w:val="20"/>
          <w:szCs w:val="20"/>
          <w:lang w:val="en-US"/>
        </w:rPr>
        <w:t>: Pronation of amine groups on a colloidal surface.</w:t>
      </w:r>
    </w:p>
    <w:p w:rsidR="00FC7A2B" w:rsidRDefault="00E74C8E" w:rsidP="00FC7A2B">
      <w:pPr>
        <w:spacing w:line="240" w:lineRule="auto"/>
        <w:rPr>
          <w:lang w:val="en-US"/>
        </w:rPr>
      </w:pPr>
      <w:r>
        <w:rPr>
          <w:lang w:val="en-US"/>
        </w:rPr>
        <w:t>An example of an amine functionalized co-monomer that is used for colloidal synthesis is aminoethyl methacrylate hydrochloride (AEMH), which has a pKa value of around 10 in its monomeric state</w:t>
      </w:r>
      <w:r>
        <w:rPr>
          <w:lang w:val="en-US"/>
        </w:rPr>
        <w:fldChar w:fldCharType="begin" w:fldLock="1"/>
      </w:r>
      <w:r w:rsidR="00FB6101">
        <w:rPr>
          <w:lang w:val="en-US"/>
        </w:rPr>
        <w:instrText>ADDIN CSL_CITATION { "citationItems" : [ { "id" : "ITEM-1", "itemData" : { "DOI" : "10.1007/s00396-010-2347-y", "ISSN" : "0303402X", "abstract" : "Surfactant-free, radical precipitation copolymerization of N-isopropylmethacrylamide and the cationic co-monomer N-(3-aminopropyl) methacrylamide hydrochloride (APMH) was carried out to prepare microgels functionalized with primary amines. The morphology and hydrodynamic diameter of the microgels were characterized by atomic force microscopy and photon correlation spectroscopy, with the effect of NaCl concentration and initiator type on the microgel size and yield being investigated. When a 2,2\u2032-azobis (2-amidinopropane) dihydrochloride (V50)-initiated reaction was carried out in pure water, relatively small microgels (\u223c160 nm in diameter) were obtained in low yield (\u223c20%). However, both the yield and size increased if the reaction was carried out in saline or by using ammonium persulfate as initiator instead of V50. Stable amine-laden microgels in the range from 160 to 950 nm in diameter with narrow size distributions were thus produced using reaction media with controlled salinity. Microgel swelling and electrophoretic mobility values as a function of pH, ionic strength, and temperature were also studied, illustrating the presence of cationic sidechains and their influence on microgel properties. Finally, the availability of the primary amine groups for post-polymerization modification was confirmed via modification with fluorescein-N-hydroxysuccinamide. \u00a9 2010 Springer-Verlag.", "author" : [ { "dropping-particle" : "", "family" : "Hu", "given" : "Xiaobo", "non-dropping-particle" : "", "parse-names" : false, "suffix" : "" }, { "dropping-particle" : "", "family" : "Tong", "given" : "Zhen", "non-dropping-particle" : "", "parse-names" : false, "suffix" : "" }, { "dropping-particle" : "", "family" : "Lyon", "given" : "L. Andrew", "non-dropping-particle" : "", "parse-names" : false, "suffix" : "" } ], "container-title" : "Colloid and Polymer Science", "id" : "ITEM-1", "issue" : "3", "issued" : { "date-parts" : [ [ "2011" ] ] }, "page" : "333-339", "title" : "Synthesis and physicochemical properties of cationic microgels based on poly(N-isopropylmethacrylamide)", "type" : "article-journal", "volume" : "289" }, "uris" : [ "http://www.mendeley.com/documents/?uuid=690e8bca-8a5d-40a7-9552-1f103d9a63b4" ] } ], "mendeley" : { "formattedCitation" : "&lt;sup&gt;48&lt;/sup&gt;", "plainTextFormattedCitation" : "48", "previouslyFormattedCitation" : "&lt;sup&gt;48&lt;/sup&gt;"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48</w:t>
      </w:r>
      <w:r>
        <w:rPr>
          <w:lang w:val="en-US"/>
        </w:rPr>
        <w:fldChar w:fldCharType="end"/>
      </w:r>
      <w:r>
        <w:rPr>
          <w:lang w:val="en-US"/>
        </w:rPr>
        <w:t>. When this monomer is polymerized with other AEMH monomers, forming poly-AEMH, the pKa drastically decreases to 7.6. This is caused by the positive charge repulsion between two neighboring protonated amine groups, effectively resulting in a lower proton affinity of an amine group in the presence of another protonated neighboring amine group</w:t>
      </w:r>
      <w:r>
        <w:rPr>
          <w:lang w:val="en-US"/>
        </w:rPr>
        <w:fldChar w:fldCharType="begin" w:fldLock="1"/>
      </w:r>
      <w:r w:rsidR="00FB6101">
        <w:rPr>
          <w:lang w:val="en-US"/>
        </w:rPr>
        <w:instrText>ADDIN CSL_CITATION { "citationItems" : [ { "id" : "ITEM-1", "itemData" : { "DOI" : "10.1021/ma980689g", "ISSN" : "00249297", "abstract" : "The hydrolytic stability of poly(2-(dimethylamino)ethyl methacrylate) was investigated and compared with the stability of its monomer 2-(dimethylamino)ethyl methacrylate (DMAEMA), with 2-(dimethylamino)ethyl isobutyrate (DMAEIB), representing the repeating unit in the polymer, and with the related 3-(dimethylamino)propyl methacrylate (DMAPMA) (H0/pH range -0.5 to +12, at 37\u00b0C, in aqueous solution). At pH &lt; 3, the unsaturated DMAEMA and DMAPMA were more stable than the saturated DMAEIB. At pH 4-8, DMAEMA and DMAEIB were equally stable, but less stable than DMAPMA. This has been ascribed to a coordination of the protonated dimethylamino group and the ester carbonyl, rendering the ester more susceptible to nucleophilic attack of a hydroxyl ion. At alkaline pH (&gt; pKa) no differences in stability between the compounds were found. P(DMAEMA), either in its free form or complexed to DNA, was substantially more stable to hydrolytic degradation than DMAEMA and DMAEIB. Fluorescence measurements performed with a copolymer of DMAEMA and dansyl ethyl methacrylamide showed that the dielectric constant (\u2208r) experienced in the environment of the polymer backbone, was low (about 7). This microenvironment might be the reason for the hydrolytic stability of the polymer, since the hydrolysis of the monomer decreased substantially with decreasing \u2208r of the medium. Accelerated degradation (80\u00b0C, pH 1 and 7) of p(DMAEMA) and poly(2-(dimethylamino)ethyl acrylate), p(DMAEA), showed that p(DMAEA) was more sensitive to hydrolysis. This can be explained by the assumption that, due to the lack of the methyl group, the \u2208r in the environment of the acrylate backbone is higher than the \u2208r in the environment of the p(DMAEMA) backbone.", "author" : [ { "dropping-particle" : "", "family" : "Watering", "given" : "P.", "non-dropping-particle" : "Van De", "parse-names" : false, "suffix" : "" }, { "dropping-particle" : "", "family" : "Zuidam", "given" : "N. J.", "non-dropping-particle" : "", "parse-names" : false, "suffix" : "" }, { "dropping-particle" : "", "family" : "Steenbergen", "given" : "M. J.", "non-dropping-particle" : "Van", "parse-names" : false, "suffix" : "" }, { "dropping-particle" : "", "family" : "Houwen", "given" : "O. A.G.J.", "non-dropping-particle" : "Van Der", "parse-names" : false, "suffix" : "" }, { "dropping-particle" : "", "family" : "Underberg", "given" : "W. J.M.", "non-dropping-particle" : "", "parse-names" : false, "suffix" : "" }, { "dropping-particle" : "", "family" : "Hennink", "given" : "W. E.", "non-dropping-particle" : "", "parse-names" : false, "suffix" : "" } ], "container-title" : "Macromolecules", "id" : "ITEM-1", "issue" : "23", "issued" : { "date-parts" : [ [ "1998" ] ] }, "page" : "8063-8068", "title" : "A mechanistic study of the hydrolytic stability of poly(2-(dimethylamino)ethyl methacrylate)", "type" : "article-journal", "volume" : "31" }, "uris" : [ "http://www.mendeley.com/documents/?uuid=bde84396-bdc2-4c15-b964-b99de01cf5d5" ] } ], "mendeley" : { "formattedCitation" : "&lt;sup&gt;49&lt;/sup&gt;", "plainTextFormattedCitation" : "49", "previouslyFormattedCitation" : "&lt;sup&gt;49&lt;/sup&gt;"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49</w:t>
      </w:r>
      <w:r>
        <w:rPr>
          <w:lang w:val="en-US"/>
        </w:rPr>
        <w:fldChar w:fldCharType="end"/>
      </w:r>
      <w:r>
        <w:rPr>
          <w:lang w:val="en-US"/>
        </w:rPr>
        <w:t xml:space="preserve">. This shows that the pKa value can be taken as a basic assumption when looking at a (co-)polymerized version of this monomer, </w:t>
      </w:r>
      <w:r w:rsidR="002907DF">
        <w:rPr>
          <w:lang w:val="en-US"/>
        </w:rPr>
        <w:t xml:space="preserve">but </w:t>
      </w:r>
      <w:r>
        <w:rPr>
          <w:lang w:val="en-US"/>
        </w:rPr>
        <w:t xml:space="preserve">not </w:t>
      </w:r>
      <w:r w:rsidR="002907DF">
        <w:rPr>
          <w:lang w:val="en-US"/>
        </w:rPr>
        <w:t xml:space="preserve">as </w:t>
      </w:r>
      <w:r>
        <w:rPr>
          <w:lang w:val="en-US"/>
        </w:rPr>
        <w:t xml:space="preserve">a definitive quantity. </w:t>
      </w:r>
    </w:p>
    <w:p w:rsidR="00E74C8E" w:rsidRPr="00124F79" w:rsidRDefault="00E74C8E" w:rsidP="00FC7A2B">
      <w:pPr>
        <w:pStyle w:val="Heading3"/>
        <w:numPr>
          <w:ilvl w:val="2"/>
          <w:numId w:val="2"/>
        </w:numPr>
        <w:spacing w:line="240" w:lineRule="auto"/>
        <w:rPr>
          <w:b/>
          <w:color w:val="auto"/>
          <w:lang w:val="en-US"/>
        </w:rPr>
      </w:pPr>
      <w:bookmarkStart w:id="18" w:name="_Toc29640066"/>
      <w:bookmarkStart w:id="19" w:name="_Toc31892386"/>
      <w:r w:rsidRPr="00124F79">
        <w:rPr>
          <w:b/>
          <w:color w:val="auto"/>
          <w:lang w:val="en-US"/>
        </w:rPr>
        <w:t>pH Unresponsive Charged Groups</w:t>
      </w:r>
      <w:bookmarkEnd w:id="18"/>
      <w:bookmarkEnd w:id="19"/>
    </w:p>
    <w:p w:rsidR="00E74C8E" w:rsidRDefault="00E74C8E" w:rsidP="00FC7A2B">
      <w:pPr>
        <w:spacing w:line="240" w:lineRule="auto"/>
        <w:rPr>
          <w:lang w:val="en-US"/>
        </w:rPr>
      </w:pPr>
      <w:r>
        <w:rPr>
          <w:lang w:val="en-US"/>
        </w:rPr>
        <w:t>Another class of charged groups on colloidal surfaces discussed here are the pH unresponsive functionalities. A common negatively charged group of this category are the sulfonated co-monomers</w:t>
      </w:r>
      <w:r>
        <w:rPr>
          <w:lang w:val="en-US"/>
        </w:rPr>
        <w:fldChar w:fldCharType="begin" w:fldLock="1"/>
      </w:r>
      <w:r w:rsidR="00FB6101">
        <w:rPr>
          <w:lang w:val="en-US"/>
        </w:rPr>
        <w:instrText>ADDIN CSL_CITATION { "citationItems" : [ { "id" : "ITEM-1", "itemData" : { "DOI" : "10.1002/macp.200900573", "ISSN" : "10221352", "abstract" : "A novel dispersion polymerization system to produce \u201cclean\u201d polystyrene (PS) particles, using a polymerizable sodium styrene sulfonate (NaSS) as stabilizer, and a mixture of methanol/water (MeOH/H2O) as the reaction medium was investigated. The effects of the polymerization parameters, such as the methanol/water ratio in the medium, the concentration of the stabilizer, the initiator and the monomer on the resulting particles were studied. By observing the morphological changes of the PS particles by SEM and analyzing the surface chemical composition of these particles by XPS, it is found that this system had the following unique features: as little as 0.05 wt.-% of NaSS (based on styrene as opposed to 5 wt.-% for a routine dispersion polymerization system) was enough to prepare stable latex with monodisperse particles; as high as 20 vol.-% of monomer (as opposed to 5 wt.-% for polymerization system in the absence of surfactants) could be added into the polymerization system to produce monodisperse particles; surface-charged and monodisperse particles with average diameters of approximately 470\u20131600 nm could be directly obtained.", "author" : [ { "dropping-particle" : "", "family" : "Zhang", "given" : "Fen", "non-dropping-particle" : "", "parse-names" : false, "suffix" : "" }, { "dropping-particle" : "", "family" : "Cao", "given" : "Le", "non-dropping-particle" : "", "parse-names" : false, "suffix" : "" }, { "dropping-particle" : "", "family" : "Yang", "given" : "Wantai", "non-dropping-particle" : "", "parse-names" : false, "suffix" : "" } ], "container-title" : "Macromolecular Chemistry and Physics", "id" : "ITEM-1", "issue" : "7", "issued" : { "date-parts" : [ [ "2010" ] ] }, "page" : "744-751", "title" : "Preparation of monodisperse and anion-charged polystyrene microspheres stabilized with polymerizable sodium styrene sulfonate by dispersion polymerization", "type" : "article-journal", "volume" : "211" }, "uris" : [ "http://www.mendeley.com/documents/?uuid=0b7440e9-4949-4267-b2d0-25c35ff15360" ] } ], "mendeley" : { "formattedCitation" : "&lt;sup&gt;50&lt;/sup&gt;", "plainTextFormattedCitation" : "50", "previouslyFormattedCitation" : "&lt;sup&gt;50&lt;/sup&gt;"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50</w:t>
      </w:r>
      <w:r>
        <w:rPr>
          <w:lang w:val="en-US"/>
        </w:rPr>
        <w:fldChar w:fldCharType="end"/>
      </w:r>
      <w:r>
        <w:rPr>
          <w:lang w:val="en-US"/>
        </w:rPr>
        <w:t>, primarily,</w:t>
      </w:r>
      <w:r>
        <w:rPr>
          <w:i/>
          <w:lang w:val="en-US"/>
        </w:rPr>
        <w:t xml:space="preserve"> p</w:t>
      </w:r>
      <w:r>
        <w:rPr>
          <w:lang w:val="en-US"/>
        </w:rPr>
        <w:t>-</w:t>
      </w:r>
      <w:r w:rsidR="00030E43">
        <w:rPr>
          <w:lang w:val="en-US"/>
        </w:rPr>
        <w:t xml:space="preserve">styrenesulfonate </w:t>
      </w:r>
      <w:r>
        <w:rPr>
          <w:lang w:val="en-US"/>
        </w:rPr>
        <w:t>(</w:t>
      </w:r>
      <w:r w:rsidR="00FD41D8" w:rsidRPr="008024FB">
        <w:rPr>
          <w:lang w:val="en-US"/>
        </w:rPr>
        <w:fldChar w:fldCharType="begin"/>
      </w:r>
      <w:r w:rsidR="00FD41D8" w:rsidRPr="008024FB">
        <w:rPr>
          <w:lang w:val="en-US"/>
        </w:rPr>
        <w:instrText xml:space="preserve"> REF _Ref29912550 \h  \* MERGEFORMAT </w:instrText>
      </w:r>
      <w:r w:rsidR="00FD41D8" w:rsidRPr="008024FB">
        <w:rPr>
          <w:lang w:val="en-US"/>
        </w:rPr>
      </w:r>
      <w:r w:rsidR="00FD41D8" w:rsidRPr="008024FB">
        <w:rPr>
          <w:lang w:val="en-US"/>
        </w:rPr>
        <w:fldChar w:fldCharType="separate"/>
      </w:r>
      <w:r w:rsidR="00C52506" w:rsidRPr="00C52506">
        <w:rPr>
          <w:lang w:val="en-US"/>
        </w:rPr>
        <w:t xml:space="preserve">Figure </w:t>
      </w:r>
      <w:r w:rsidR="00C52506" w:rsidRPr="00C52506">
        <w:rPr>
          <w:noProof/>
          <w:lang w:val="en-US"/>
        </w:rPr>
        <w:t>3</w:t>
      </w:r>
      <w:r w:rsidR="00FD41D8" w:rsidRPr="008024FB">
        <w:rPr>
          <w:lang w:val="en-US"/>
        </w:rPr>
        <w:fldChar w:fldCharType="end"/>
      </w:r>
      <w:r w:rsidRPr="008024FB">
        <w:rPr>
          <w:lang w:val="en-US"/>
        </w:rPr>
        <w:t>A). S</w:t>
      </w:r>
      <w:r>
        <w:rPr>
          <w:lang w:val="en-US"/>
        </w:rPr>
        <w:t>trictly speaking, the sulfonate functionality is acidic</w:t>
      </w:r>
      <w:r w:rsidR="003876E9">
        <w:rPr>
          <w:lang w:val="en-US"/>
        </w:rPr>
        <w:t>. H</w:t>
      </w:r>
      <w:r>
        <w:rPr>
          <w:lang w:val="en-US"/>
        </w:rPr>
        <w:t xml:space="preserve">owever, because of its strongly acidic nature (pKa of </w:t>
      </w:r>
      <w:r>
        <w:rPr>
          <w:i/>
          <w:lang w:val="en-US"/>
        </w:rPr>
        <w:t>p</w:t>
      </w:r>
      <w:r>
        <w:rPr>
          <w:lang w:val="en-US"/>
        </w:rPr>
        <w:t>-</w:t>
      </w:r>
      <w:r w:rsidR="00001E4D">
        <w:rPr>
          <w:lang w:val="en-US"/>
        </w:rPr>
        <w:t>styrenesulfonate</w:t>
      </w:r>
      <w:r>
        <w:rPr>
          <w:lang w:val="en-US"/>
        </w:rPr>
        <w:t xml:space="preserve"> = 1.0), it is considered to be permanently negatively charged. </w:t>
      </w:r>
    </w:p>
    <w:p w:rsidR="00E74C8E" w:rsidRDefault="00E74C8E" w:rsidP="00FC7A2B">
      <w:pPr>
        <w:spacing w:line="240" w:lineRule="auto"/>
        <w:rPr>
          <w:lang w:val="en-US"/>
        </w:rPr>
      </w:pPr>
      <w:r>
        <w:rPr>
          <w:lang w:val="en-US"/>
        </w:rPr>
        <w:t>Another example of a permanently charged functional group are the quaternary nitrogen atoms in co-monomers such as [2-(methacryloyloxy)ethyl]trimethylammonium chloride]</w:t>
      </w:r>
      <w:r>
        <w:rPr>
          <w:lang w:val="en-US"/>
        </w:rPr>
        <w:fldChar w:fldCharType="begin" w:fldLock="1"/>
      </w:r>
      <w:r w:rsidR="00FB6101">
        <w:rPr>
          <w:lang w:val="en-US"/>
        </w:rPr>
        <w:instrText>ADDIN CSL_CITATION { "citationItems" : [ { "id" : "ITEM-1", "itemData" : { "DOI" : "10.1021/acs.langmuir.7b00845", "ISSN" : "15205827", "PMID" : "28419800", "abstract" : "We report the first example of reversible encapsulation of micron-sized particles by oppositely charged submicron smaller colloids. The reversibility of this encapsulation process is regulated by pH-responsive poly(acrylic acid) (PAA) present in solution. The competitive adsorption between the small colloids and the poly(acrylic acid) on the surface of the large colloids plays a key role in the encapsulation behavior of the system. pH offers an experimental knob to tune the electrostatic interactions between the two oppositely charged particle species via regulation of the charge density of the poly(acrylic acid). This results in an increased surface coverage of the large colloids by the smaller colloids when decreasing pH. Furthermore, the poly(acrylic acid) also acts as a steric barrier limiting the strength of the attractive forces between the oppositely charged particle species, thereby enabling detachment of the smaller colloids. Finally, based on the pH tunability of the encapsulation behavior and the ability of the small colloids to detach, reversible encapsulation is achieved by cycling pH in the presence of the PAA polyelectrolytes. The role of polyelectrolytes revealed in this work provides a new and facile strategy to control heteroaggregation behavior between oppositely charged colloids, paving the way to prepare sophisticated hierarchical assemblies.", "author" : [ { "dropping-particle" : "", "family" : "Guo", "given" : "Yong", "non-dropping-particle" : "", "parse-names" : false, "suffix" : "" }, { "dropping-particle" : "", "family" : "Ravensteijn", "given" : "Bas G.P.", "non-dropping-particle" : "Van", "parse-names" : false, "suffix" : "" }, { "dropping-particle" : "", "family" : "Evers", "given" : "Chris H.J.", "non-dropping-particle" : "", "parse-names" : false, "suffix" : "" }, { "dropping-particle" : "", "family" : "Kegel", "given" : "Willem K.", "non-dropping-particle" : "", "parse-names" : false, "suffix" : "" } ], "container-title" : "Langmuir", "id" : "ITEM-1", "issue" : "18", "issued" : { "date-parts" : [ [ "2017" ] ] }, "page" : "4551-4558", "title" : "pH Reversible Encapsulation of Oppositely Charged Colloids Mediated by Polyelectrolytes", "type" : "article-journal", "volume" : "33" }, "uris" : [ "http://www.mendeley.com/documents/?uuid=d9105bab-9100-4274-8259-b63a4501d278" ] } ], "mendeley" : { "formattedCitation" : "&lt;sup&gt;25&lt;/sup&gt;", "plainTextFormattedCitation" : "25", "previouslyFormattedCitation" : "&lt;sup&gt;25&lt;/sup&gt;"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25</w:t>
      </w:r>
      <w:r>
        <w:rPr>
          <w:lang w:val="en-US"/>
        </w:rPr>
        <w:fldChar w:fldCharType="end"/>
      </w:r>
      <w:r>
        <w:rPr>
          <w:lang w:val="en-US"/>
        </w:rPr>
        <w:t xml:space="preserve"> (METMAC) or [diallyldimethylammonium chloride]</w:t>
      </w:r>
      <w:r>
        <w:rPr>
          <w:lang w:val="en-US"/>
        </w:rPr>
        <w:fldChar w:fldCharType="begin" w:fldLock="1"/>
      </w:r>
      <w:r w:rsidR="00FB6101">
        <w:rPr>
          <w:lang w:val="en-US"/>
        </w:rPr>
        <w:instrText>ADDIN CSL_CITATION { "citationItems" : [ { "id" : "ITEM-1", "itemData" : { "DOI" : "10.1016/j.polymer.2014.02.062", "ISBN" : "0032-3861", "ISSN" : "00323861", "abstract" : "A cationic microgel with quaternized amine groups was prepared and used as a soft template for layer-by-layer (LbL) assemblies. The presence of quaternized amine groups inside the microgels was necessary to prevent rearrangements and subsequent bridging between the coated microgels, which were observed for the precursor microgels containing protonated primary amino groups. Sequentially, negatively charged polyelectrolyte poly(sodium styrene sulfonate) (PSS) and positively charged polyelectrolyte poly(diallyldimethylammonium chloride) (PDADMAC) were added to a suspension of quaternized microgels. This leads to an odd-even effect with respect to particle size and surface charge of the formed microgel-polyelectrolyte complexes (MPECs). MPECs with an even number of layers exhibit positive surface charge due to PDADMAC as the outermost layer and are larger compared to complexes with an odd number of layers, which are negatively charged having PSS in the outermost layer. Taking into account previous results (Macromolecules, 2009, 42, 1229), these observations show that electrostatic interactions are the major force for the odd-even effect in polyelectrolyte multilayers on microgels: the cationic groups of PDADMAC compete with the cationic moieties of the microgel for binding with the sulfonate groups of PSS. Concomitantly, a fluctuating size of the MPECs is induced by an osmotic pressure modulation within the microgel. In contrast, surface tension effects invoked by a possible varying hydrophilicity of the different terminal layers are negligible. \u00a9 2014 Elsevier Ltd. All rights reserved.", "author" : [ { "dropping-particle" : "", "family" : "Gelissen", "given" : "Arjan P H", "non-dropping-particle" : "", "parse-names" : false, "suffix" : "" }, { "dropping-particle" : "", "family" : "Schmid", "given" : "Andreas J.", "non-dropping-particle" : "", "parse-names" : false, "suffix" : "" }, { "dropping-particle" : "", "family" : "Plamper", "given" : "Felix A.", "non-dropping-particle" : "", "parse-names" : false, "suffix" : "" }, { "dropping-particle" : "V.", "family" : "Pergushov", "given" : "Dmitry", "non-dropping-particle" : "", "parse-names" : false, "suffix" : "" }, { "dropping-particle" : "", "family" : "Richtering", "given" : "Walter", "non-dropping-particle" : "", "parse-names" : false, "suffix" : "" } ], "container-title" : "Polymer (United Kingdom)", "id" : "ITEM-1", "issue" : "8", "issued" : { "date-parts" : [ [ "2014" ] ] }, "page" : "1991-1999", "publisher" : "Elsevier Ltd", "title" : "Quaternized microgels as soft templates for polyelectrolyte layer-by-layer assemblies", "type" : "article-journal", "volume" : "55" }, "uris" : [ "http://www.mendeley.com/documents/?uuid=cf1cc7e9-9d25-4acc-a16b-c9648c8bb123" ] } ], "mendeley" : { "formattedCitation" : "&lt;sup&gt;51&lt;/sup&gt;", "plainTextFormattedCitation" : "51", "previouslyFormattedCitation" : "&lt;sup&gt;51&lt;/sup&gt;"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51</w:t>
      </w:r>
      <w:r>
        <w:rPr>
          <w:lang w:val="en-US"/>
        </w:rPr>
        <w:fldChar w:fldCharType="end"/>
      </w:r>
      <w:r>
        <w:rPr>
          <w:lang w:val="en-US"/>
        </w:rPr>
        <w:t xml:space="preserve"> </w:t>
      </w:r>
      <w:r w:rsidR="00CA0452">
        <w:rPr>
          <w:lang w:val="en-US"/>
        </w:rPr>
        <w:t xml:space="preserve">(DADMAC) </w:t>
      </w:r>
      <w:r>
        <w:rPr>
          <w:lang w:val="en-US"/>
        </w:rPr>
        <w:t>(</w:t>
      </w:r>
      <w:r w:rsidR="00FD41D8">
        <w:rPr>
          <w:lang w:val="en-US"/>
        </w:rPr>
        <w:fldChar w:fldCharType="begin"/>
      </w:r>
      <w:r w:rsidR="00FD41D8" w:rsidRPr="00FD41D8">
        <w:rPr>
          <w:lang w:val="en-US"/>
        </w:rPr>
        <w:instrText xml:space="preserve"> REF _Ref29912550 \h </w:instrText>
      </w:r>
      <w:r w:rsidR="00FD41D8">
        <w:rPr>
          <w:lang w:val="en-US"/>
        </w:rPr>
        <w:instrText xml:space="preserve"> \* MERGEFORMAT </w:instrText>
      </w:r>
      <w:r w:rsidR="00FD41D8">
        <w:rPr>
          <w:lang w:val="en-US"/>
        </w:rPr>
      </w:r>
      <w:r w:rsidR="00FD41D8">
        <w:rPr>
          <w:lang w:val="en-US"/>
        </w:rPr>
        <w:fldChar w:fldCharType="separate"/>
      </w:r>
      <w:r w:rsidR="00C52506" w:rsidRPr="00C52506">
        <w:rPr>
          <w:lang w:val="en-US"/>
        </w:rPr>
        <w:t>Figure</w:t>
      </w:r>
      <w:r w:rsidR="00C52506" w:rsidRPr="00CA0452">
        <w:rPr>
          <w:sz w:val="20"/>
          <w:szCs w:val="20"/>
          <w:lang w:val="en-US"/>
        </w:rPr>
        <w:t xml:space="preserve"> </w:t>
      </w:r>
      <w:r w:rsidR="00C52506" w:rsidRPr="00C52506">
        <w:rPr>
          <w:noProof/>
          <w:lang w:val="en-US"/>
        </w:rPr>
        <w:t>3</w:t>
      </w:r>
      <w:r w:rsidR="00FD41D8">
        <w:rPr>
          <w:lang w:val="en-US"/>
        </w:rPr>
        <w:fldChar w:fldCharType="end"/>
      </w:r>
      <w:r>
        <w:rPr>
          <w:lang w:val="en-US"/>
        </w:rPr>
        <w:t>B,C). Because of the high stability of this tetravalent nitrogen atom, a pH</w:t>
      </w:r>
      <w:r w:rsidR="002907DF">
        <w:rPr>
          <w:lang w:val="en-US"/>
        </w:rPr>
        <w:t xml:space="preserve"> </w:t>
      </w:r>
      <w:r>
        <w:rPr>
          <w:lang w:val="en-US"/>
        </w:rPr>
        <w:t>independent charge is introduced on a particle surface.</w:t>
      </w:r>
    </w:p>
    <w:p w:rsidR="006B30D1" w:rsidRPr="00CA0452" w:rsidRDefault="00E74C8E" w:rsidP="00FC7A2B">
      <w:pPr>
        <w:keepNext/>
        <w:spacing w:line="240" w:lineRule="auto"/>
        <w:jc w:val="center"/>
        <w:rPr>
          <w:sz w:val="20"/>
          <w:szCs w:val="20"/>
        </w:rPr>
      </w:pPr>
      <w:r w:rsidRPr="00CA0452">
        <w:rPr>
          <w:noProof/>
          <w:sz w:val="20"/>
          <w:szCs w:val="20"/>
          <w:lang w:val="en-US"/>
        </w:rPr>
        <w:drawing>
          <wp:inline distT="0" distB="0" distL="0" distR="0">
            <wp:extent cx="3583130" cy="11863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5695" cy="1193810"/>
                    </a:xfrm>
                    <a:prstGeom prst="rect">
                      <a:avLst/>
                    </a:prstGeom>
                    <a:noFill/>
                    <a:ln>
                      <a:noFill/>
                    </a:ln>
                  </pic:spPr>
                </pic:pic>
              </a:graphicData>
            </a:graphic>
          </wp:inline>
        </w:drawing>
      </w:r>
    </w:p>
    <w:p w:rsidR="005A3A5A" w:rsidRPr="005A3A5A" w:rsidRDefault="00C82962" w:rsidP="00FC7A2B">
      <w:pPr>
        <w:pStyle w:val="Caption"/>
        <w:jc w:val="center"/>
        <w:rPr>
          <w:lang w:val="en-US"/>
        </w:rPr>
      </w:pPr>
      <w:bookmarkStart w:id="20" w:name="_Ref29912550"/>
      <w:r>
        <w:rPr>
          <w:color w:val="auto"/>
          <w:sz w:val="20"/>
          <w:szCs w:val="20"/>
          <w:lang w:val="en-US"/>
        </w:rPr>
        <w:t>Figure</w:t>
      </w:r>
      <w:r w:rsidR="006B30D1" w:rsidRPr="00CA0452">
        <w:rPr>
          <w:color w:val="auto"/>
          <w:sz w:val="20"/>
          <w:szCs w:val="20"/>
          <w:lang w:val="en-US"/>
        </w:rPr>
        <w:t xml:space="preserve"> </w:t>
      </w:r>
      <w:r w:rsidR="006B30D1" w:rsidRPr="00CA0452">
        <w:rPr>
          <w:color w:val="auto"/>
          <w:sz w:val="20"/>
          <w:szCs w:val="20"/>
        </w:rPr>
        <w:fldChar w:fldCharType="begin"/>
      </w:r>
      <w:r w:rsidR="006B30D1" w:rsidRPr="00CA0452">
        <w:rPr>
          <w:color w:val="auto"/>
          <w:sz w:val="20"/>
          <w:szCs w:val="20"/>
          <w:lang w:val="en-US"/>
        </w:rPr>
        <w:instrText xml:space="preserve"> SEQ Figure \* ARABIC </w:instrText>
      </w:r>
      <w:r w:rsidR="006B30D1" w:rsidRPr="00CA0452">
        <w:rPr>
          <w:color w:val="auto"/>
          <w:sz w:val="20"/>
          <w:szCs w:val="20"/>
        </w:rPr>
        <w:fldChar w:fldCharType="separate"/>
      </w:r>
      <w:r w:rsidR="00C52506">
        <w:rPr>
          <w:noProof/>
          <w:color w:val="auto"/>
          <w:sz w:val="20"/>
          <w:szCs w:val="20"/>
          <w:lang w:val="en-US"/>
        </w:rPr>
        <w:t>3</w:t>
      </w:r>
      <w:r w:rsidR="006B30D1" w:rsidRPr="00CA0452">
        <w:rPr>
          <w:color w:val="auto"/>
          <w:sz w:val="20"/>
          <w:szCs w:val="20"/>
        </w:rPr>
        <w:fldChar w:fldCharType="end"/>
      </w:r>
      <w:bookmarkEnd w:id="20"/>
      <w:r w:rsidR="006B30D1" w:rsidRPr="00CA0452">
        <w:rPr>
          <w:color w:val="auto"/>
          <w:sz w:val="20"/>
          <w:szCs w:val="20"/>
          <w:lang w:val="en-US"/>
        </w:rPr>
        <w:t xml:space="preserve">: pH-unresponsive charged groups. </w:t>
      </w:r>
      <w:r w:rsidR="006B30D1" w:rsidRPr="00FA64A5">
        <w:rPr>
          <w:b/>
          <w:color w:val="auto"/>
          <w:sz w:val="20"/>
          <w:szCs w:val="20"/>
          <w:lang w:val="en-US"/>
        </w:rPr>
        <w:t>A</w:t>
      </w:r>
      <w:r w:rsidR="006B30D1" w:rsidRPr="00FA64A5">
        <w:rPr>
          <w:color w:val="auto"/>
          <w:sz w:val="20"/>
          <w:szCs w:val="20"/>
          <w:lang w:val="en-US"/>
        </w:rPr>
        <w:t xml:space="preserve">: p-styrenesulfonate, </w:t>
      </w:r>
      <w:r w:rsidR="006B30D1" w:rsidRPr="00FA64A5">
        <w:rPr>
          <w:b/>
          <w:color w:val="auto"/>
          <w:sz w:val="20"/>
          <w:szCs w:val="20"/>
          <w:lang w:val="en-US"/>
        </w:rPr>
        <w:t>B</w:t>
      </w:r>
      <w:r w:rsidR="006B30D1" w:rsidRPr="00FA64A5">
        <w:rPr>
          <w:color w:val="auto"/>
          <w:sz w:val="20"/>
          <w:szCs w:val="20"/>
          <w:lang w:val="en-US"/>
        </w:rPr>
        <w:t xml:space="preserve">: METMAC, </w:t>
      </w:r>
      <w:r w:rsidR="006B30D1" w:rsidRPr="00FA64A5">
        <w:rPr>
          <w:b/>
          <w:color w:val="auto"/>
          <w:sz w:val="20"/>
          <w:szCs w:val="20"/>
          <w:lang w:val="en-US"/>
        </w:rPr>
        <w:t>C</w:t>
      </w:r>
      <w:r w:rsidR="006B30D1" w:rsidRPr="00FA64A5">
        <w:rPr>
          <w:color w:val="auto"/>
          <w:sz w:val="20"/>
          <w:szCs w:val="20"/>
          <w:lang w:val="en-US"/>
        </w:rPr>
        <w:t>: DADMAC.</w:t>
      </w:r>
    </w:p>
    <w:p w:rsidR="00E74C8E" w:rsidRPr="00124F79" w:rsidRDefault="00E74C8E" w:rsidP="00FC7A2B">
      <w:pPr>
        <w:pStyle w:val="Heading2"/>
        <w:numPr>
          <w:ilvl w:val="1"/>
          <w:numId w:val="2"/>
        </w:numPr>
        <w:spacing w:line="240" w:lineRule="auto"/>
        <w:rPr>
          <w:rStyle w:val="SubtleEmphasis"/>
          <w:b/>
          <w:i w:val="0"/>
          <w:iCs w:val="0"/>
          <w:color w:val="auto"/>
          <w:lang w:val="en-US"/>
        </w:rPr>
      </w:pPr>
      <w:bookmarkStart w:id="21" w:name="_Toc29640067"/>
      <w:bookmarkStart w:id="22" w:name="_Toc31892387"/>
      <w:r w:rsidRPr="00124F79">
        <w:rPr>
          <w:rStyle w:val="SubtleEmphasis"/>
          <w:b/>
          <w:i w:val="0"/>
          <w:color w:val="auto"/>
          <w:lang w:val="en-US"/>
        </w:rPr>
        <w:lastRenderedPageBreak/>
        <w:t>Measuring the charge of colloidal particles</w:t>
      </w:r>
      <w:bookmarkEnd w:id="21"/>
      <w:bookmarkEnd w:id="22"/>
    </w:p>
    <w:p w:rsidR="00E74C8E" w:rsidRPr="00E74C8E" w:rsidRDefault="00E74C8E" w:rsidP="00FC7A2B">
      <w:pPr>
        <w:spacing w:line="240" w:lineRule="auto"/>
        <w:rPr>
          <w:lang w:val="en-US"/>
        </w:rPr>
      </w:pPr>
      <w:r>
        <w:rPr>
          <w:lang w:val="en-US"/>
        </w:rPr>
        <w:t xml:space="preserve">Now that it is established where charges on a colloidal particle arise from, we now look at how the charge on a particle </w:t>
      </w:r>
      <w:r w:rsidR="002907DF">
        <w:rPr>
          <w:lang w:val="en-US"/>
        </w:rPr>
        <w:t>can be</w:t>
      </w:r>
      <w:r>
        <w:rPr>
          <w:lang w:val="en-US"/>
        </w:rPr>
        <w:t xml:space="preserve"> measured. The quickest and most accessible way is by measuring the zeta potential</w:t>
      </w:r>
      <w:r w:rsidR="002907DF">
        <w:rPr>
          <w:lang w:val="en-US"/>
        </w:rPr>
        <w:t>,</w:t>
      </w:r>
      <w:r>
        <w:rPr>
          <w:lang w:val="en-US"/>
        </w:rPr>
        <w:t xml:space="preserve"> by performing laser-Doppler electrophoresis on a colloidal dispersion. In short, the speed at which a colloidal particle moves in an electric field is measured, which can be used to calculate the average charge of the particle surface. Another common, more accurate way to measure the charge of a particle is through different titration methods. However, because of the easy accessibility of the zeta potential measurement and the sufficient amount of data obtained from it, it was chosen to be the primary method of evaluating the surface charge </w:t>
      </w:r>
      <w:r w:rsidR="002907DF">
        <w:rPr>
          <w:lang w:val="en-US"/>
        </w:rPr>
        <w:t>on</w:t>
      </w:r>
      <w:r>
        <w:rPr>
          <w:lang w:val="en-US"/>
        </w:rPr>
        <w:t xml:space="preserve"> a colloidal particle. </w:t>
      </w:r>
    </w:p>
    <w:p w:rsidR="00E74C8E" w:rsidRDefault="00E74C8E" w:rsidP="00FC7A2B">
      <w:pPr>
        <w:spacing w:line="240" w:lineRule="auto"/>
        <w:rPr>
          <w:lang w:val="en-US"/>
        </w:rPr>
      </w:pPr>
      <w:r>
        <w:rPr>
          <w:lang w:val="en-US"/>
        </w:rPr>
        <w:t xml:space="preserve">As mentioned before in paragraph </w:t>
      </w:r>
      <w:r w:rsidR="00772F61">
        <w:rPr>
          <w:lang w:val="en-US"/>
        </w:rPr>
        <w:t>2.1</w:t>
      </w:r>
      <w:r>
        <w:rPr>
          <w:lang w:val="en-US"/>
        </w:rPr>
        <w:t>, a</w:t>
      </w:r>
      <w:r w:rsidR="002907DF">
        <w:rPr>
          <w:lang w:val="en-US"/>
        </w:rPr>
        <w:t>n</w:t>
      </w:r>
      <w:r w:rsidR="003876E9">
        <w:rPr>
          <w:lang w:val="en-US"/>
        </w:rPr>
        <w:t xml:space="preserve"> </w:t>
      </w:r>
      <w:r w:rsidR="002907DF">
        <w:rPr>
          <w:lang w:val="en-US"/>
        </w:rPr>
        <w:t>in</w:t>
      </w:r>
      <w:r w:rsidR="003876E9">
        <w:rPr>
          <w:lang w:val="en-US"/>
        </w:rPr>
        <w:t xml:space="preserve">homogeneous </w:t>
      </w:r>
      <w:r>
        <w:rPr>
          <w:lang w:val="en-US"/>
        </w:rPr>
        <w:t>distribution of ions is present around a small distance from the particle surface</w:t>
      </w:r>
      <w:r w:rsidR="00A223A8">
        <w:rPr>
          <w:lang w:val="en-US"/>
        </w:rPr>
        <w:t>, compared to the bulk concentration</w:t>
      </w:r>
      <w:r>
        <w:rPr>
          <w:lang w:val="en-US"/>
        </w:rPr>
        <w:t>. This is the result of an attraction between the charged groups o</w:t>
      </w:r>
      <w:r w:rsidR="00A223A8">
        <w:rPr>
          <w:lang w:val="en-US"/>
        </w:rPr>
        <w:t>n</w:t>
      </w:r>
      <w:r>
        <w:rPr>
          <w:lang w:val="en-US"/>
        </w:rPr>
        <w:t xml:space="preserve"> the particle surface and their corresponding counterions, combined with the repulsion of the corresponding co-ions. The presenc</w:t>
      </w:r>
      <w:r w:rsidRPr="003A556A">
        <w:rPr>
          <w:lang w:val="en-US"/>
        </w:rPr>
        <w:t xml:space="preserve">e of these ions influences the </w:t>
      </w:r>
      <w:r w:rsidR="003876E9">
        <w:rPr>
          <w:lang w:val="en-US"/>
        </w:rPr>
        <w:t>electric</w:t>
      </w:r>
      <w:r w:rsidRPr="003A556A">
        <w:rPr>
          <w:lang w:val="en-US"/>
        </w:rPr>
        <w:t xml:space="preserve"> potential at different distances from the particle surface (</w:t>
      </w:r>
      <w:r w:rsidR="003A556A" w:rsidRPr="003A556A">
        <w:rPr>
          <w:lang w:val="en-US"/>
        </w:rPr>
        <w:fldChar w:fldCharType="begin"/>
      </w:r>
      <w:r w:rsidR="003A556A" w:rsidRPr="003A556A">
        <w:rPr>
          <w:lang w:val="en-US"/>
        </w:rPr>
        <w:instrText xml:space="preserve"> REF _Ref29912486 \h </w:instrText>
      </w:r>
      <w:r w:rsidR="003A556A">
        <w:rPr>
          <w:lang w:val="en-US"/>
        </w:rPr>
        <w:instrText xml:space="preserve"> \* MERGEFORMAT </w:instrText>
      </w:r>
      <w:r w:rsidR="003A556A" w:rsidRPr="003A556A">
        <w:rPr>
          <w:lang w:val="en-US"/>
        </w:rPr>
      </w:r>
      <w:r w:rsidR="003A556A" w:rsidRPr="003A556A">
        <w:rPr>
          <w:lang w:val="en-US"/>
        </w:rPr>
        <w:fldChar w:fldCharType="separate"/>
      </w:r>
      <w:r w:rsidR="00C52506" w:rsidRPr="00C52506">
        <w:rPr>
          <w:lang w:val="en-US"/>
        </w:rPr>
        <w:t xml:space="preserve">Figure </w:t>
      </w:r>
      <w:r w:rsidR="00C52506" w:rsidRPr="00C52506">
        <w:rPr>
          <w:noProof/>
          <w:lang w:val="en-US"/>
        </w:rPr>
        <w:t>2</w:t>
      </w:r>
      <w:r w:rsidR="003A556A" w:rsidRPr="003A556A">
        <w:rPr>
          <w:lang w:val="en-US"/>
        </w:rPr>
        <w:fldChar w:fldCharType="end"/>
      </w:r>
      <w:r>
        <w:rPr>
          <w:lang w:val="en-US"/>
        </w:rPr>
        <w:t xml:space="preserve">). First, the Stern layer is formed where the counter-ions are condensed on the particle surface. After this, the diffuse layer is formed, where a more </w:t>
      </w:r>
      <w:r w:rsidR="00A223A8">
        <w:rPr>
          <w:lang w:val="en-US"/>
        </w:rPr>
        <w:t>homogeneous</w:t>
      </w:r>
      <w:r>
        <w:rPr>
          <w:lang w:val="en-US"/>
        </w:rPr>
        <w:t xml:space="preserve"> distribution of counter- and co-ions is present. At a larger distance, the slipping plane can be found, indicating the border between bulk and local ion concentration. By using the laser-Doppler electrophoresis method, one measures the potential difference between the liquid bulk and the stationary layer of liquid attached to the particle surface, i.e. the zeta potential. </w:t>
      </w:r>
    </w:p>
    <w:p w:rsidR="00E74C8E" w:rsidRDefault="00E74C8E" w:rsidP="00FC7A2B">
      <w:pPr>
        <w:spacing w:line="240" w:lineRule="auto"/>
        <w:rPr>
          <w:i/>
          <w:lang w:val="en-US"/>
        </w:rPr>
      </w:pPr>
      <w:r>
        <w:rPr>
          <w:lang w:val="en-US"/>
        </w:rPr>
        <w:t>An experimental set up of how the zeta potential measurement is performed is shown in</w:t>
      </w:r>
      <w:r w:rsidRPr="00A223A8">
        <w:rPr>
          <w:lang w:val="en-US"/>
        </w:rPr>
        <w:t xml:space="preserve"> </w:t>
      </w:r>
      <w:r w:rsidR="00FD41D8" w:rsidRPr="00A223A8">
        <w:rPr>
          <w:lang w:val="en-US"/>
        </w:rPr>
        <w:fldChar w:fldCharType="begin"/>
      </w:r>
      <w:r w:rsidR="00FD41D8" w:rsidRPr="00A223A8">
        <w:rPr>
          <w:lang w:val="en-US"/>
        </w:rPr>
        <w:instrText xml:space="preserve"> REF _Ref29912590 \h  \* MERGEFORMAT </w:instrText>
      </w:r>
      <w:r w:rsidR="00FD41D8" w:rsidRPr="00A223A8">
        <w:rPr>
          <w:lang w:val="en-US"/>
        </w:rPr>
      </w:r>
      <w:r w:rsidR="00FD41D8" w:rsidRPr="00A223A8">
        <w:rPr>
          <w:lang w:val="en-US"/>
        </w:rPr>
        <w:fldChar w:fldCharType="separate"/>
      </w:r>
      <w:r w:rsidR="00C52506" w:rsidRPr="00A223A8">
        <w:rPr>
          <w:lang w:val="en-US"/>
        </w:rPr>
        <w:t xml:space="preserve">Figure </w:t>
      </w:r>
      <w:r w:rsidR="00C52506" w:rsidRPr="00A223A8">
        <w:rPr>
          <w:noProof/>
          <w:lang w:val="en-US"/>
        </w:rPr>
        <w:t>4</w:t>
      </w:r>
      <w:r w:rsidR="00FD41D8" w:rsidRPr="00A223A8">
        <w:rPr>
          <w:lang w:val="en-US"/>
        </w:rPr>
        <w:fldChar w:fldCharType="end"/>
      </w:r>
      <w:r w:rsidRPr="00A223A8">
        <w:rPr>
          <w:lang w:val="en-US"/>
        </w:rPr>
        <w:t>. An</w:t>
      </w:r>
      <w:r>
        <w:rPr>
          <w:lang w:val="en-US"/>
        </w:rPr>
        <w:t xml:space="preserve"> electric field is applied on the sample dispersion, causing the charged particles to either move with or opposite to the electric field. At the same time, a laser beam is shined on the sample that is scattered by the moving particles. This scattered beam is then measured at an angle of </w:t>
      </w:r>
      <w:r>
        <w:rPr>
          <w:rFonts w:cstheme="minorHAnsi"/>
          <w:lang w:val="en-US"/>
        </w:rPr>
        <w:t>θ = 15° and recombined with a reference beam</w:t>
      </w:r>
      <w:r w:rsidR="003876E9">
        <w:rPr>
          <w:rFonts w:cstheme="minorHAnsi"/>
          <w:lang w:val="en-US"/>
        </w:rPr>
        <w:fldChar w:fldCharType="begin" w:fldLock="1"/>
      </w:r>
      <w:r w:rsidR="00FB6101">
        <w:rPr>
          <w:rFonts w:cstheme="minorHAnsi"/>
          <w:lang w:val="en-US"/>
        </w:rPr>
        <w:instrText>ADDIN CSL_CITATION { "citationItems" : [ { "id" : "ITEM-1", "itemData" : { "author" : [ { "dropping-particle" : "", "family" : "Hunter", "given" : "J. R.", "non-dropping-particle" : "", "parse-names" : false, "suffix" : "" } ], "edition" : "1st", "editor" : [ { "dropping-particle" : "", "family" : "Ottewil", "given" : "R. H.", "non-dropping-particle" : "", "parse-names" : false, "suffix" : "" }, { "dropping-particle" : "", "family" : "Rowell", "given" : "R. L.", "non-dropping-particle" : "", "parse-names" : false, "suffix" : "" } ], "id" : "ITEM-1", "issued" : { "date-parts" : [ [ "1981" ] ] }, "publisher" : "Academic Press", "publisher-place" : "New York", "title" : "Zeta Potential in Colloid Science", "type" : "book" }, "uris" : [ "http://www.mendeley.com/documents/?uuid=4c334890-965b-422a-b949-79872a11114d" ] } ], "mendeley" : { "formattedCitation" : "&lt;sup&gt;42&lt;/sup&gt;", "plainTextFormattedCitation" : "42", "previouslyFormattedCitation" : "&lt;sup&gt;42&lt;/sup&gt;" }, "properties" : { "noteIndex" : 0 }, "schema" : "https://github.com/citation-style-language/schema/raw/master/csl-citation.json" }</w:instrText>
      </w:r>
      <w:r w:rsidR="003876E9">
        <w:rPr>
          <w:rFonts w:cstheme="minorHAnsi"/>
          <w:lang w:val="en-US"/>
        </w:rPr>
        <w:fldChar w:fldCharType="separate"/>
      </w:r>
      <w:r w:rsidR="00DE131C" w:rsidRPr="00DE131C">
        <w:rPr>
          <w:rFonts w:cstheme="minorHAnsi"/>
          <w:noProof/>
          <w:vertAlign w:val="superscript"/>
          <w:lang w:val="en-US"/>
        </w:rPr>
        <w:t>42</w:t>
      </w:r>
      <w:r w:rsidR="003876E9">
        <w:rPr>
          <w:rFonts w:cstheme="minorHAnsi"/>
          <w:lang w:val="en-US"/>
        </w:rPr>
        <w:fldChar w:fldCharType="end"/>
      </w:r>
      <w:r>
        <w:rPr>
          <w:rFonts w:cstheme="minorHAnsi"/>
          <w:lang w:val="en-US"/>
        </w:rPr>
        <w:t xml:space="preserve">. The data about the velocity of the particles in the applied electric field, i.e. the electrophoretic mobility, is obtained from the phase difference between the reference and the scattered beam. </w:t>
      </w:r>
    </w:p>
    <w:p w:rsidR="00FA64A5" w:rsidRDefault="00E74C8E" w:rsidP="00FC7A2B">
      <w:pPr>
        <w:keepNext/>
        <w:spacing w:line="240" w:lineRule="auto"/>
        <w:jc w:val="center"/>
      </w:pPr>
      <w:r>
        <w:rPr>
          <w:noProof/>
          <w:lang w:val="en-US"/>
        </w:rPr>
        <w:drawing>
          <wp:inline distT="0" distB="0" distL="0" distR="0">
            <wp:extent cx="3977005" cy="146621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7005" cy="1466215"/>
                    </a:xfrm>
                    <a:prstGeom prst="rect">
                      <a:avLst/>
                    </a:prstGeom>
                    <a:noFill/>
                    <a:ln>
                      <a:noFill/>
                    </a:ln>
                  </pic:spPr>
                </pic:pic>
              </a:graphicData>
            </a:graphic>
          </wp:inline>
        </w:drawing>
      </w:r>
    </w:p>
    <w:p w:rsidR="00E74C8E" w:rsidRPr="00FA64A5" w:rsidRDefault="00C82962" w:rsidP="00FC7A2B">
      <w:pPr>
        <w:pStyle w:val="Caption"/>
        <w:jc w:val="center"/>
        <w:rPr>
          <w:color w:val="auto"/>
          <w:sz w:val="20"/>
          <w:szCs w:val="20"/>
          <w:lang w:val="en-US"/>
        </w:rPr>
      </w:pPr>
      <w:bookmarkStart w:id="23" w:name="_Ref29912590"/>
      <w:r>
        <w:rPr>
          <w:color w:val="auto"/>
          <w:sz w:val="20"/>
          <w:szCs w:val="20"/>
          <w:lang w:val="en-US"/>
        </w:rPr>
        <w:t>Figure</w:t>
      </w:r>
      <w:r w:rsidR="00FA64A5" w:rsidRPr="00FA64A5">
        <w:rPr>
          <w:color w:val="auto"/>
          <w:sz w:val="20"/>
          <w:szCs w:val="20"/>
          <w:lang w:val="en-US"/>
        </w:rPr>
        <w:t xml:space="preserve"> </w:t>
      </w:r>
      <w:r w:rsidR="00FA64A5" w:rsidRPr="00FA64A5">
        <w:rPr>
          <w:color w:val="auto"/>
          <w:sz w:val="20"/>
          <w:szCs w:val="20"/>
        </w:rPr>
        <w:fldChar w:fldCharType="begin"/>
      </w:r>
      <w:r w:rsidR="00FA64A5" w:rsidRPr="00FA64A5">
        <w:rPr>
          <w:color w:val="auto"/>
          <w:sz w:val="20"/>
          <w:szCs w:val="20"/>
          <w:lang w:val="en-US"/>
        </w:rPr>
        <w:instrText xml:space="preserve"> SEQ Figure \* ARABIC </w:instrText>
      </w:r>
      <w:r w:rsidR="00FA64A5" w:rsidRPr="00FA64A5">
        <w:rPr>
          <w:color w:val="auto"/>
          <w:sz w:val="20"/>
          <w:szCs w:val="20"/>
        </w:rPr>
        <w:fldChar w:fldCharType="separate"/>
      </w:r>
      <w:r w:rsidR="00C52506">
        <w:rPr>
          <w:noProof/>
          <w:color w:val="auto"/>
          <w:sz w:val="20"/>
          <w:szCs w:val="20"/>
          <w:lang w:val="en-US"/>
        </w:rPr>
        <w:t>4</w:t>
      </w:r>
      <w:r w:rsidR="00FA64A5" w:rsidRPr="00FA64A5">
        <w:rPr>
          <w:color w:val="auto"/>
          <w:sz w:val="20"/>
          <w:szCs w:val="20"/>
        </w:rPr>
        <w:fldChar w:fldCharType="end"/>
      </w:r>
      <w:bookmarkEnd w:id="23"/>
      <w:r w:rsidR="00FA64A5" w:rsidRPr="00FA64A5">
        <w:rPr>
          <w:color w:val="auto"/>
          <w:sz w:val="20"/>
          <w:szCs w:val="20"/>
          <w:lang w:val="en-US"/>
        </w:rPr>
        <w:t>: Experimental set up of a zeta potential measurement</w:t>
      </w:r>
      <w:r w:rsidR="00FA64A5" w:rsidRPr="00FA64A5">
        <w:rPr>
          <w:color w:val="auto"/>
          <w:sz w:val="20"/>
          <w:szCs w:val="20"/>
        </w:rPr>
        <w:fldChar w:fldCharType="begin" w:fldLock="1"/>
      </w:r>
      <w:r w:rsidR="00FB6101">
        <w:rPr>
          <w:color w:val="auto"/>
          <w:sz w:val="20"/>
          <w:szCs w:val="20"/>
          <w:lang w:val="en-US"/>
        </w:rPr>
        <w:instrText>ADDIN CSL_CITATION { "citationItems" : [ { "id" : "ITEM-1", "itemData" : { "author" : [ { "dropping-particle" : "", "family" : "Hunter", "given" : "J. R.", "non-dropping-particle" : "", "parse-names" : false, "suffix" : "" } ], "edition" : "1st", "editor" : [ { "dropping-particle" : "", "family" : "Ottewil", "given" : "R. H.", "non-dropping-particle" : "", "parse-names" : false, "suffix" : "" }, { "dropping-particle" : "", "family" : "Rowell", "given" : "R. L.", "non-dropping-particle" : "", "parse-names" : false, "suffix" : "" } ], "id" : "ITEM-1", "issued" : { "date-parts" : [ [ "1981" ] ] }, "publisher" : "Academic Press", "publisher-place" : "New York", "title" : "Zeta Potential in Colloid Science", "type" : "book" }, "uris" : [ "http://www.mendeley.com/documents/?uuid=4c334890-965b-422a-b949-79872a11114d" ] } ], "mendeley" : { "formattedCitation" : "&lt;sup&gt;42&lt;/sup&gt;", "plainTextFormattedCitation" : "42", "previouslyFormattedCitation" : "&lt;sup&gt;42&lt;/sup&gt;" }, "properties" : { "noteIndex" : 0 }, "schema" : "https://github.com/citation-style-language/schema/raw/master/csl-citation.json" }</w:instrText>
      </w:r>
      <w:r w:rsidR="00FA64A5" w:rsidRPr="00FA64A5">
        <w:rPr>
          <w:color w:val="auto"/>
          <w:sz w:val="20"/>
          <w:szCs w:val="20"/>
        </w:rPr>
        <w:fldChar w:fldCharType="separate"/>
      </w:r>
      <w:r w:rsidR="00DE131C" w:rsidRPr="00DE131C">
        <w:rPr>
          <w:i w:val="0"/>
          <w:noProof/>
          <w:color w:val="auto"/>
          <w:sz w:val="20"/>
          <w:szCs w:val="20"/>
          <w:vertAlign w:val="superscript"/>
          <w:lang w:val="en-US"/>
        </w:rPr>
        <w:t>42</w:t>
      </w:r>
      <w:r w:rsidR="00FA64A5" w:rsidRPr="00FA64A5">
        <w:rPr>
          <w:color w:val="auto"/>
          <w:sz w:val="20"/>
          <w:szCs w:val="20"/>
        </w:rPr>
        <w:fldChar w:fldCharType="end"/>
      </w:r>
      <w:r w:rsidR="00FA64A5" w:rsidRPr="00FA64A5">
        <w:rPr>
          <w:color w:val="auto"/>
          <w:sz w:val="20"/>
          <w:szCs w:val="20"/>
          <w:lang w:val="en-US"/>
        </w:rPr>
        <w:t>.</w:t>
      </w:r>
    </w:p>
    <w:p w:rsidR="00E74C8E" w:rsidRDefault="00E74C8E" w:rsidP="00FC7A2B">
      <w:pPr>
        <w:spacing w:line="240" w:lineRule="auto"/>
        <w:rPr>
          <w:lang w:val="en-US"/>
        </w:rPr>
      </w:pPr>
      <w:r>
        <w:rPr>
          <w:rFonts w:cstheme="minorHAnsi"/>
          <w:lang w:val="en-US"/>
        </w:rPr>
        <w:t>The scattered beam is subjected to a Doppler effect, which arises from the scattered phase difference of a particle that has moved from point A to B in the electric field. Knowing how this Doppler effect works, one can apply a series of formulas to derive a relation between the electrophoretic mobility and the zeta potential (</w:t>
      </w:r>
      <w:r w:rsidR="00A16B44">
        <w:rPr>
          <w:rFonts w:cstheme="minorHAnsi"/>
          <w:lang w:val="en-US"/>
        </w:rPr>
        <w:t>equation</w:t>
      </w:r>
      <w:r>
        <w:rPr>
          <w:rFonts w:cstheme="minorHAnsi"/>
          <w:lang w:val="en-US"/>
        </w:rPr>
        <w:t xml:space="preserve"> 8)</w:t>
      </w:r>
      <w:r>
        <w:rPr>
          <w:rFonts w:cstheme="minorHAnsi"/>
          <w:lang w:val="en-US"/>
        </w:rPr>
        <w:fldChar w:fldCharType="begin" w:fldLock="1"/>
      </w:r>
      <w:r w:rsidR="00FB6101">
        <w:rPr>
          <w:rFonts w:cstheme="minorHAnsi"/>
          <w:lang w:val="en-US"/>
        </w:rPr>
        <w:instrText>ADDIN CSL_CITATION { "citationItems" : [ { "id" : "ITEM-1", "itemData" : { "author" : [ { "dropping-particle" : "", "family" : "Hunter", "given" : "J. R.", "non-dropping-particle" : "", "parse-names" : false, "suffix" : "" } ], "edition" : "1st", "editor" : [ { "dropping-particle" : "", "family" : "Ottewil", "given" : "R. H.", "non-dropping-particle" : "", "parse-names" : false, "suffix" : "" }, { "dropping-particle" : "", "family" : "Rowell", "given" : "R. L.", "non-dropping-particle" : "", "parse-names" : false, "suffix" : "" } ], "id" : "ITEM-1", "issued" : { "date-parts" : [ [ "1981" ] ] }, "publisher" : "Academic Press", "publisher-place" : "New York", "title" : "Zeta Potential in Colloid Science", "type" : "book" }, "uris" : [ "http://www.mendeley.com/documents/?uuid=4c334890-965b-422a-b949-79872a11114d" ] } ], "mendeley" : { "formattedCitation" : "&lt;sup&gt;42&lt;/sup&gt;", "plainTextFormattedCitation" : "42", "previouslyFormattedCitation" : "&lt;sup&gt;42&lt;/sup&gt;" }, "properties" : { "noteIndex" : 0 }, "schema" : "https://github.com/citation-style-language/schema/raw/master/csl-citation.json" }</w:instrText>
      </w:r>
      <w:r>
        <w:rPr>
          <w:rFonts w:cstheme="minorHAnsi"/>
          <w:lang w:val="en-US"/>
        </w:rPr>
        <w:fldChar w:fldCharType="separate"/>
      </w:r>
      <w:r w:rsidR="00DE131C" w:rsidRPr="00DE131C">
        <w:rPr>
          <w:rFonts w:cstheme="minorHAnsi"/>
          <w:noProof/>
          <w:vertAlign w:val="superscript"/>
          <w:lang w:val="en-US"/>
        </w:rPr>
        <w:t>42</w:t>
      </w:r>
      <w:r>
        <w:rPr>
          <w:rFonts w:cstheme="minorHAnsi"/>
          <w:lang w:val="en-US"/>
        </w:rPr>
        <w:fldChar w:fldCharType="end"/>
      </w:r>
      <w:r>
        <w:rPr>
          <w:rFonts w:cstheme="minorHAnsi"/>
          <w:lang w:val="en-US"/>
        </w:rPr>
        <w:t xml:space="preserve">. </w:t>
      </w:r>
    </w:p>
    <w:p w:rsidR="00E74C8E" w:rsidRPr="00A16B44" w:rsidRDefault="00767BE6" w:rsidP="00FC7A2B">
      <w:pPr>
        <w:spacing w:line="240" w:lineRule="auto"/>
        <w:jc w:val="center"/>
        <w:rPr>
          <w:rFonts w:eastAsiaTheme="minorEastAsia"/>
          <w:sz w:val="36"/>
          <w:szCs w:val="36"/>
          <w:lang w:val="en-US"/>
        </w:rPr>
      </w:pPr>
      <m:oMathPara>
        <m:oMath>
          <m:eqArr>
            <m:eqArrPr>
              <m:maxDist m:val="1"/>
              <m:ctrlPr>
                <w:rPr>
                  <w:rFonts w:ascii="Cambria Math" w:eastAsiaTheme="minorEastAsia" w:hAnsi="Cambria Math"/>
                  <w:i/>
                  <w:lang w:val="en-US"/>
                </w:rPr>
              </m:ctrlPr>
            </m:eqArrPr>
            <m:e>
              <m:sSub>
                <m:sSubPr>
                  <m:ctrlPr>
                    <w:rPr>
                      <w:rFonts w:ascii="Cambria Math" w:hAnsi="Cambria Math"/>
                      <w:i/>
                      <w:lang w:val="en-US"/>
                    </w:rPr>
                  </m:ctrlPr>
                </m:sSubPr>
                <m:e>
                  <m:r>
                    <w:rPr>
                      <w:rFonts w:ascii="Cambria Math" w:hAnsi="Cambria Math"/>
                      <w:lang w:val="en-US"/>
                    </w:rPr>
                    <m:t>µ</m:t>
                  </m:r>
                </m:e>
                <m:sub>
                  <m:r>
                    <w:rPr>
                      <w:rFonts w:ascii="Cambria Math" w:hAnsi="Cambria Math"/>
                      <w:lang w:val="en-US"/>
                    </w:rPr>
                    <m:t>m</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2ε</m:t>
                  </m:r>
                  <m:r>
                    <m:rPr>
                      <m:sty m:val="p"/>
                    </m:rPr>
                    <w:rPr>
                      <w:rFonts w:ascii="Cambria Math" w:hAnsi="Cambria Math" w:cstheme="minorHAnsi"/>
                      <w:lang w:val="en-US"/>
                    </w:rPr>
                    <m:t>ζ</m:t>
                  </m:r>
                  <m:r>
                    <w:rPr>
                      <w:rFonts w:ascii="Cambria Math" w:hAnsi="Cambria Math" w:cstheme="minorHAnsi"/>
                      <w:lang w:val="en-US"/>
                    </w:rPr>
                    <m:t>f</m:t>
                  </m:r>
                  <m:d>
                    <m:dPr>
                      <m:ctrlPr>
                        <w:rPr>
                          <w:rFonts w:ascii="Cambria Math" w:hAnsi="Cambria Math" w:cstheme="minorHAnsi"/>
                          <w:i/>
                          <w:lang w:val="en-US"/>
                        </w:rPr>
                      </m:ctrlPr>
                    </m:dPr>
                    <m:e>
                      <m:r>
                        <w:rPr>
                          <w:rFonts w:ascii="Cambria Math" w:hAnsi="Cambria Math" w:cstheme="minorHAnsi"/>
                          <w:lang w:val="en-US"/>
                        </w:rPr>
                        <m:t>κa</m:t>
                      </m:r>
                    </m:e>
                  </m:d>
                </m:num>
                <m:den>
                  <m:r>
                    <w:rPr>
                      <w:rFonts w:ascii="Cambria Math" w:hAnsi="Cambria Math"/>
                      <w:lang w:val="en-US"/>
                    </w:rPr>
                    <m:t>3</m:t>
                  </m:r>
                  <m:r>
                    <m:rPr>
                      <m:sty m:val="p"/>
                    </m:rPr>
                    <w:rPr>
                      <w:rFonts w:ascii="Cambria Math" w:hAnsi="Cambria Math" w:cstheme="minorHAnsi"/>
                      <w:lang w:val="en-US"/>
                    </w:rPr>
                    <m:t>η</m:t>
                  </m:r>
                </m:den>
              </m:f>
              <m:r>
                <w:rPr>
                  <w:rFonts w:ascii="Cambria Math"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8</m:t>
                  </m:r>
                </m:e>
              </m:d>
              <m:ctrlPr>
                <w:rPr>
                  <w:rFonts w:ascii="Cambria Math" w:hAnsi="Cambria Math"/>
                  <w:i/>
                  <w:lang w:val="en-US"/>
                </w:rPr>
              </m:ctrlPr>
            </m:e>
          </m:eqArr>
        </m:oMath>
      </m:oMathPara>
    </w:p>
    <w:p w:rsidR="00A223A8" w:rsidRDefault="00E74C8E" w:rsidP="00FC7A2B">
      <w:pPr>
        <w:spacing w:line="240" w:lineRule="auto"/>
        <w:rPr>
          <w:lang w:val="en-US"/>
        </w:rPr>
      </w:pPr>
      <w:r>
        <w:rPr>
          <w:lang w:val="en-US"/>
        </w:rPr>
        <w:t xml:space="preserve">Where </w:t>
      </w:r>
      <w:r>
        <w:rPr>
          <w:rFonts w:cstheme="minorHAnsi"/>
          <w:lang w:val="en-US"/>
        </w:rPr>
        <w:t>µ</w:t>
      </w:r>
      <w:r>
        <w:rPr>
          <w:vertAlign w:val="subscript"/>
          <w:lang w:val="en-US"/>
        </w:rPr>
        <w:t>m</w:t>
      </w:r>
      <w:r>
        <w:rPr>
          <w:lang w:val="en-US"/>
        </w:rPr>
        <w:t xml:space="preserve"> is the electrophoretic mobility, </w:t>
      </w:r>
      <w:r>
        <w:rPr>
          <w:rFonts w:cstheme="minorHAnsi"/>
          <w:lang w:val="en-US"/>
        </w:rPr>
        <w:t>ε</w:t>
      </w:r>
      <w:r>
        <w:rPr>
          <w:lang w:val="en-US"/>
        </w:rPr>
        <w:t xml:space="preserve"> is the dielectric constant of the liquid medium, </w:t>
      </w:r>
      <w:r>
        <w:rPr>
          <w:rFonts w:cstheme="minorHAnsi"/>
          <w:lang w:val="en-US"/>
        </w:rPr>
        <w:t>ζ</w:t>
      </w:r>
      <w:r>
        <w:rPr>
          <w:lang w:val="en-US"/>
        </w:rPr>
        <w:t xml:space="preserve"> is the zeta potential, </w:t>
      </w:r>
      <w:r>
        <w:rPr>
          <w:rFonts w:cstheme="minorHAnsi"/>
          <w:lang w:val="en-US"/>
        </w:rPr>
        <w:t>η</w:t>
      </w:r>
      <w:r>
        <w:rPr>
          <w:lang w:val="en-US"/>
        </w:rPr>
        <w:t xml:space="preserve"> is the viscosity and </w:t>
      </w:r>
      <w:r>
        <w:rPr>
          <w:i/>
          <w:lang w:val="en-US"/>
        </w:rPr>
        <w:t>f(</w:t>
      </w:r>
      <w:r>
        <w:rPr>
          <w:rFonts w:cstheme="minorHAnsi"/>
          <w:i/>
          <w:lang w:val="en-US"/>
        </w:rPr>
        <w:t>κ</w:t>
      </w:r>
      <w:r>
        <w:rPr>
          <w:i/>
          <w:lang w:val="en-US"/>
        </w:rPr>
        <w:t>a)</w:t>
      </w:r>
      <w:r>
        <w:rPr>
          <w:lang w:val="en-US"/>
        </w:rPr>
        <w:t xml:space="preserve"> is the Henry function. The Henry function determines in what limit the zeta potential is measured</w:t>
      </w:r>
      <w:r>
        <w:rPr>
          <w:lang w:val="en-US"/>
        </w:rPr>
        <w:fldChar w:fldCharType="begin" w:fldLock="1"/>
      </w:r>
      <w:r w:rsidR="00FB6101">
        <w:rPr>
          <w:lang w:val="en-US"/>
        </w:rPr>
        <w:instrText>ADDIN CSL_CITATION { "citationItems" : [ { "id" : "ITEM-1", "itemData" : { "author" : [ { "dropping-particle" : "V.", "family" : "Delgado", "given" : "A.", "non-dropping-particle" : "", "parse-names" : false, "suffix" : "" }, { "dropping-particle" : "", "family" : "Gonzalez-Caballero", "given" : "F.", "non-dropping-particle" : "", "parse-names" : false, "suffix" : "" }, { "dropping-particle" : "", "family" : "Hunter", "given" : "R. J.", "non-dropping-particle" : "", "parse-names" : false, "suffix" : "" }, { "dropping-particle" : "", "family" : "Koopal", "given" : "L. K.", "non-dropping-particle" : "", "parse-names" : false, "suffix" : "" }, { "dropping-particle" : "", "family" : "Lyklema", "given" : "J.", "non-dropping-particle" : "", "parse-names" : false, "suffix" : "" } ], "container-title" : "Pure Appl. Chem.", "id" : "ITEM-1", "issue" : "10", "issued" : { "date-parts" : [ [ "2005" ] ] }, "page" : "1753-1805", "title" : "Measurement and Interpretation of Electrophoretic Phenomena", "type" : "article-journal", "volume" : "77" }, "uris" : [ "http://www.mendeley.com/documents/?uuid=c10b7fa9-c072-4c24-9c8d-29dd97b6bf5d" ] } ], "mendeley" : { "formattedCitation" : "&lt;sup&gt;52&lt;/sup&gt;", "plainTextFormattedCitation" : "52", "previouslyFormattedCitation" : "&lt;sup&gt;52&lt;/sup&gt;"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52</w:t>
      </w:r>
      <w:r>
        <w:rPr>
          <w:lang w:val="en-US"/>
        </w:rPr>
        <w:fldChar w:fldCharType="end"/>
      </w:r>
      <w:r>
        <w:rPr>
          <w:lang w:val="en-US"/>
        </w:rPr>
        <w:t xml:space="preserve">. </w:t>
      </w:r>
    </w:p>
    <w:p w:rsidR="00E74C8E" w:rsidRDefault="00E74C8E" w:rsidP="00FC7A2B">
      <w:pPr>
        <w:spacing w:line="240" w:lineRule="auto"/>
        <w:rPr>
          <w:lang w:val="en-US"/>
        </w:rPr>
      </w:pPr>
      <w:r>
        <w:rPr>
          <w:lang w:val="en-US"/>
        </w:rPr>
        <w:lastRenderedPageBreak/>
        <w:t>When the double layer is thick compared to the particle diameter (</w:t>
      </w:r>
      <w:r>
        <w:rPr>
          <w:rFonts w:cstheme="minorHAnsi"/>
          <w:i/>
          <w:lang w:val="en-US"/>
        </w:rPr>
        <w:t>κ</w:t>
      </w:r>
      <w:r>
        <w:rPr>
          <w:i/>
          <w:lang w:val="en-US"/>
        </w:rPr>
        <w:t xml:space="preserve">a &lt; </w:t>
      </w:r>
      <w:r>
        <w:rPr>
          <w:lang w:val="en-US"/>
        </w:rPr>
        <w:t xml:space="preserve">0.1), the Hückel limit is used where </w:t>
      </w:r>
      <w:r>
        <w:rPr>
          <w:i/>
          <w:lang w:val="en-US"/>
        </w:rPr>
        <w:t>f(</w:t>
      </w:r>
      <w:r>
        <w:rPr>
          <w:rFonts w:cstheme="minorHAnsi"/>
          <w:i/>
          <w:lang w:val="en-US"/>
        </w:rPr>
        <w:t>κ</w:t>
      </w:r>
      <w:r>
        <w:rPr>
          <w:i/>
          <w:lang w:val="en-US"/>
        </w:rPr>
        <w:t xml:space="preserve">a) </w:t>
      </w:r>
      <w:r>
        <w:rPr>
          <w:lang w:val="en-US"/>
        </w:rPr>
        <w:t>= 1. Conversely, when the double layer is thin compared to the particle diameter (</w:t>
      </w:r>
      <w:r>
        <w:rPr>
          <w:rFonts w:cstheme="minorHAnsi"/>
          <w:i/>
          <w:lang w:val="en-US"/>
        </w:rPr>
        <w:t>κ</w:t>
      </w:r>
      <w:r>
        <w:rPr>
          <w:i/>
          <w:lang w:val="en-US"/>
        </w:rPr>
        <w:t xml:space="preserve">a &gt; </w:t>
      </w:r>
      <w:r w:rsidRPr="007C52D1">
        <w:rPr>
          <w:lang w:val="en-US"/>
        </w:rPr>
        <w:t>100)</w:t>
      </w:r>
      <w:r>
        <w:rPr>
          <w:i/>
          <w:lang w:val="en-US"/>
        </w:rPr>
        <w:t xml:space="preserve">, </w:t>
      </w:r>
      <w:r>
        <w:rPr>
          <w:lang w:val="en-US"/>
        </w:rPr>
        <w:t xml:space="preserve">the Smoluchovski limit is used where </w:t>
      </w:r>
      <w:r>
        <w:rPr>
          <w:i/>
          <w:lang w:val="en-US"/>
        </w:rPr>
        <w:t>f(</w:t>
      </w:r>
      <w:r>
        <w:rPr>
          <w:rFonts w:cstheme="minorHAnsi"/>
          <w:i/>
          <w:lang w:val="en-US"/>
        </w:rPr>
        <w:t>κ</w:t>
      </w:r>
      <w:r>
        <w:rPr>
          <w:i/>
          <w:lang w:val="en-US"/>
        </w:rPr>
        <w:t>a)</w:t>
      </w:r>
      <w:r>
        <w:rPr>
          <w:lang w:val="en-US"/>
        </w:rPr>
        <w:t xml:space="preserve"> = 1.5. </w:t>
      </w:r>
    </w:p>
    <w:p w:rsidR="00E74C8E" w:rsidRDefault="00E74C8E" w:rsidP="00FC7A2B">
      <w:pPr>
        <w:spacing w:line="240" w:lineRule="auto"/>
        <w:rPr>
          <w:lang w:val="en-US"/>
        </w:rPr>
      </w:pPr>
      <w:r>
        <w:rPr>
          <w:lang w:val="en-US"/>
        </w:rPr>
        <w:t xml:space="preserve">A primary problem that arises during these measurements is the electro-osmotic flow of the liquid along the charged surface of the sample </w:t>
      </w:r>
      <w:r w:rsidRPr="00A223A8">
        <w:rPr>
          <w:lang w:val="en-US"/>
        </w:rPr>
        <w:t>cuvette (</w:t>
      </w:r>
      <w:r w:rsidR="00FD41D8" w:rsidRPr="00A223A8">
        <w:rPr>
          <w:lang w:val="en-US"/>
        </w:rPr>
        <w:fldChar w:fldCharType="begin"/>
      </w:r>
      <w:r w:rsidR="00FD41D8" w:rsidRPr="00A223A8">
        <w:rPr>
          <w:lang w:val="en-US"/>
        </w:rPr>
        <w:instrText xml:space="preserve"> REF _Ref29912605 \h  \* MERGEFORMAT </w:instrText>
      </w:r>
      <w:r w:rsidR="00FD41D8" w:rsidRPr="00A223A8">
        <w:rPr>
          <w:lang w:val="en-US"/>
        </w:rPr>
      </w:r>
      <w:r w:rsidR="00FD41D8" w:rsidRPr="00A223A8">
        <w:rPr>
          <w:lang w:val="en-US"/>
        </w:rPr>
        <w:fldChar w:fldCharType="separate"/>
      </w:r>
      <w:r w:rsidR="00C52506" w:rsidRPr="00A223A8">
        <w:rPr>
          <w:lang w:val="en-US"/>
        </w:rPr>
        <w:t xml:space="preserve">Figure </w:t>
      </w:r>
      <w:r w:rsidR="00C52506" w:rsidRPr="00A223A8">
        <w:rPr>
          <w:noProof/>
          <w:lang w:val="en-US"/>
        </w:rPr>
        <w:t>5</w:t>
      </w:r>
      <w:r w:rsidR="00FD41D8" w:rsidRPr="00A223A8">
        <w:rPr>
          <w:lang w:val="en-US"/>
        </w:rPr>
        <w:fldChar w:fldCharType="end"/>
      </w:r>
      <w:r w:rsidRPr="00A223A8">
        <w:rPr>
          <w:lang w:val="en-US"/>
        </w:rPr>
        <w:t>). Considering that the wall of the cuvette is positively charged, an ionic cloud of negatively charged ions</w:t>
      </w:r>
      <w:r>
        <w:rPr>
          <w:lang w:val="en-US"/>
        </w:rPr>
        <w:t xml:space="preserve"> in liquid should be near </w:t>
      </w:r>
      <w:r w:rsidR="00A223A8">
        <w:rPr>
          <w:lang w:val="en-US"/>
        </w:rPr>
        <w:t>its</w:t>
      </w:r>
      <w:r>
        <w:rPr>
          <w:lang w:val="en-US"/>
        </w:rPr>
        <w:t xml:space="preserve"> surface. When the liquid with negatively charged ions moves in a certain direction due to the applied electric field, the central ‘bulk’ liquid will experience a backflow. Only at the precise interface between the backflow and electro-osmotic flow will measurement of the electrophoretic mobility be most accurate. Exact calibration of the measurement position in the sample cuvette is thus required for accurate data collection. </w:t>
      </w:r>
    </w:p>
    <w:p w:rsidR="00FA64A5" w:rsidRDefault="00E74C8E" w:rsidP="00FC7A2B">
      <w:pPr>
        <w:keepNext/>
        <w:spacing w:line="240" w:lineRule="auto"/>
        <w:jc w:val="center"/>
      </w:pPr>
      <w:r>
        <w:rPr>
          <w:noProof/>
          <w:lang w:val="en-US"/>
        </w:rPr>
        <w:drawing>
          <wp:inline distT="0" distB="0" distL="0" distR="0">
            <wp:extent cx="3295015" cy="21043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l="8246" t="2843" r="6000" b="2992"/>
                    <a:stretch>
                      <a:fillRect/>
                    </a:stretch>
                  </pic:blipFill>
                  <pic:spPr bwMode="auto">
                    <a:xfrm>
                      <a:off x="0" y="0"/>
                      <a:ext cx="3295015" cy="2104390"/>
                    </a:xfrm>
                    <a:prstGeom prst="rect">
                      <a:avLst/>
                    </a:prstGeom>
                    <a:noFill/>
                    <a:ln>
                      <a:noFill/>
                    </a:ln>
                  </pic:spPr>
                </pic:pic>
              </a:graphicData>
            </a:graphic>
          </wp:inline>
        </w:drawing>
      </w:r>
    </w:p>
    <w:p w:rsidR="00FC7A2B" w:rsidRPr="00BC69AE" w:rsidRDefault="00C82962" w:rsidP="00BC69AE">
      <w:pPr>
        <w:pStyle w:val="Caption"/>
        <w:jc w:val="center"/>
        <w:rPr>
          <w:color w:val="auto"/>
          <w:sz w:val="20"/>
          <w:szCs w:val="20"/>
          <w:lang w:val="en-US"/>
        </w:rPr>
      </w:pPr>
      <w:bookmarkStart w:id="24" w:name="_Ref29912605"/>
      <w:r>
        <w:rPr>
          <w:color w:val="auto"/>
          <w:sz w:val="20"/>
          <w:szCs w:val="20"/>
          <w:lang w:val="en-US"/>
        </w:rPr>
        <w:t>Figure</w:t>
      </w:r>
      <w:r w:rsidR="00FA64A5" w:rsidRPr="00FA64A5">
        <w:rPr>
          <w:color w:val="auto"/>
          <w:sz w:val="20"/>
          <w:szCs w:val="20"/>
          <w:lang w:val="en-US"/>
        </w:rPr>
        <w:t xml:space="preserve"> </w:t>
      </w:r>
      <w:r w:rsidR="00FA64A5" w:rsidRPr="00FA64A5">
        <w:rPr>
          <w:color w:val="auto"/>
          <w:sz w:val="20"/>
          <w:szCs w:val="20"/>
        </w:rPr>
        <w:fldChar w:fldCharType="begin"/>
      </w:r>
      <w:r w:rsidR="00FA64A5" w:rsidRPr="00FA64A5">
        <w:rPr>
          <w:color w:val="auto"/>
          <w:sz w:val="20"/>
          <w:szCs w:val="20"/>
          <w:lang w:val="en-US"/>
        </w:rPr>
        <w:instrText xml:space="preserve"> SEQ Figure \* ARABIC </w:instrText>
      </w:r>
      <w:r w:rsidR="00FA64A5" w:rsidRPr="00FA64A5">
        <w:rPr>
          <w:color w:val="auto"/>
          <w:sz w:val="20"/>
          <w:szCs w:val="20"/>
        </w:rPr>
        <w:fldChar w:fldCharType="separate"/>
      </w:r>
      <w:r w:rsidR="00C52506">
        <w:rPr>
          <w:noProof/>
          <w:color w:val="auto"/>
          <w:sz w:val="20"/>
          <w:szCs w:val="20"/>
          <w:lang w:val="en-US"/>
        </w:rPr>
        <w:t>5</w:t>
      </w:r>
      <w:r w:rsidR="00FA64A5" w:rsidRPr="00FA64A5">
        <w:rPr>
          <w:color w:val="auto"/>
          <w:sz w:val="20"/>
          <w:szCs w:val="20"/>
        </w:rPr>
        <w:fldChar w:fldCharType="end"/>
      </w:r>
      <w:bookmarkEnd w:id="24"/>
      <w:r w:rsidR="00FA64A5" w:rsidRPr="00FA64A5">
        <w:rPr>
          <w:color w:val="auto"/>
          <w:sz w:val="20"/>
          <w:szCs w:val="20"/>
          <w:lang w:val="en-US"/>
        </w:rPr>
        <w:t>: Visual representation of the backflow of ions caused by the presence of a charged surface (Manual of the Zetasizer Nano DLS instrument, chapter 13).</w:t>
      </w:r>
    </w:p>
    <w:p w:rsidR="005A3A5A" w:rsidRPr="00596AA8" w:rsidRDefault="00E74C8E" w:rsidP="00FC7A2B">
      <w:pPr>
        <w:spacing w:line="240" w:lineRule="auto"/>
        <w:rPr>
          <w:rStyle w:val="SubtleEmphasis"/>
          <w:i w:val="0"/>
          <w:iCs w:val="0"/>
          <w:color w:val="auto"/>
          <w:lang w:val="en-US"/>
        </w:rPr>
      </w:pPr>
      <w:r>
        <w:rPr>
          <w:lang w:val="en-US"/>
        </w:rPr>
        <w:t>This problem can be solved by combining two measurement methods, each involving the periodic reversal of the electric field. When the electric field is reversed in the time scale of seconds, the electro-osmotic flow reaches a steady state. This way, electrode polarization, i.e. accumulation of counter ions at the respective electrode, is limited. Then, when the electric field is reversed in the time scale of milliseconds, the electro-osmotic flow will not have enough time to set in. Combining these measurements allows for calculation of the contribution of the electro-osmotic flow to the net electrophoretic mobility of the particles. Additionally, these two measurement methods measure the zeta potential in a different way. With the slow field reversal, a distribution of zeta potentials over the sample is measured, while for the fast field reversal, a mean zeta potential is measured.</w:t>
      </w:r>
    </w:p>
    <w:p w:rsidR="00E74C8E" w:rsidRPr="00124F79" w:rsidRDefault="00E74C8E" w:rsidP="00FC7A2B">
      <w:pPr>
        <w:pStyle w:val="Heading1"/>
        <w:numPr>
          <w:ilvl w:val="0"/>
          <w:numId w:val="2"/>
        </w:numPr>
        <w:spacing w:line="240" w:lineRule="auto"/>
        <w:rPr>
          <w:rStyle w:val="SubtleEmphasis"/>
          <w:b/>
          <w:i w:val="0"/>
          <w:iCs w:val="0"/>
          <w:color w:val="auto"/>
          <w:lang w:val="en-US"/>
        </w:rPr>
      </w:pPr>
      <w:bookmarkStart w:id="25" w:name="_Toc29640068"/>
      <w:bookmarkStart w:id="26" w:name="_Toc31892388"/>
      <w:r w:rsidRPr="00124F79">
        <w:rPr>
          <w:rStyle w:val="SubtleEmphasis"/>
          <w:b/>
          <w:i w:val="0"/>
          <w:color w:val="auto"/>
          <w:lang w:val="en-US"/>
        </w:rPr>
        <w:t>The model system</w:t>
      </w:r>
      <w:bookmarkEnd w:id="25"/>
      <w:bookmarkEnd w:id="26"/>
    </w:p>
    <w:p w:rsidR="00E74C8E" w:rsidRDefault="003D71E6" w:rsidP="00FC7A2B">
      <w:pPr>
        <w:spacing w:line="240" w:lineRule="auto"/>
        <w:rPr>
          <w:lang w:val="en-US"/>
        </w:rPr>
      </w:pPr>
      <w:r>
        <w:rPr>
          <w:lang w:val="en-US"/>
        </w:rPr>
        <w:t>We</w:t>
      </w:r>
      <w:r w:rsidR="00E74C8E">
        <w:rPr>
          <w:lang w:val="en-US"/>
        </w:rPr>
        <w:t xml:space="preserve"> aim to model using a colloidal model is viral encapsulation. In this system, a large core particle will be encapsulated by smaller particles, mainly by electrostatic interactions. These electrostatic interactions can be tuned by altering the chemical environment, as the core particle can invert its charge when the pH is changed. The encapsulating particles are chosen to be pH unresponsive, so that primarily, the core particle responds to a change in pH. This way, a reversible encapsulation system can be made where at a certain pH, cluster formation occurs, while at either a higher or lower pH, dissemblance occurs. </w:t>
      </w:r>
    </w:p>
    <w:p w:rsidR="0066495C" w:rsidRPr="00A32FE8" w:rsidRDefault="00124F79" w:rsidP="00FC7A2B">
      <w:pPr>
        <w:pStyle w:val="Heading2"/>
        <w:numPr>
          <w:ilvl w:val="1"/>
          <w:numId w:val="2"/>
        </w:numPr>
        <w:spacing w:line="240" w:lineRule="auto"/>
        <w:rPr>
          <w:b/>
          <w:bCs/>
          <w:color w:val="auto"/>
          <w:lang w:val="en-US"/>
        </w:rPr>
      </w:pPr>
      <w:bookmarkStart w:id="27" w:name="_Toc29640069"/>
      <w:bookmarkStart w:id="28" w:name="_Toc31892389"/>
      <w:r w:rsidRPr="00A32FE8">
        <w:rPr>
          <w:b/>
          <w:bCs/>
          <w:color w:val="auto"/>
          <w:lang w:val="en-US"/>
        </w:rPr>
        <w:t>Sphere-sphere heteroaggregation</w:t>
      </w:r>
      <w:bookmarkEnd w:id="27"/>
      <w:bookmarkEnd w:id="28"/>
    </w:p>
    <w:p w:rsidR="00A223A8" w:rsidRDefault="00E74C8E" w:rsidP="00FC7A2B">
      <w:pPr>
        <w:spacing w:line="240" w:lineRule="auto"/>
        <w:rPr>
          <w:lang w:val="en-US"/>
        </w:rPr>
      </w:pPr>
      <w:r>
        <w:rPr>
          <w:lang w:val="en-US"/>
        </w:rPr>
        <w:t>First, we will look at the composition of the core particle. A batch of 3</w:t>
      </w:r>
      <w:r>
        <w:rPr>
          <w:rFonts w:cstheme="minorHAnsi"/>
          <w:lang w:val="en-US"/>
        </w:rPr>
        <w:t>µ</w:t>
      </w:r>
      <w:r>
        <w:rPr>
          <w:lang w:val="en-US"/>
        </w:rPr>
        <w:t xml:space="preserve">m sized polystyrene particles that are co-functionalized with carboxylic acid and amine groups was bought from </w:t>
      </w:r>
      <w:r w:rsidR="00272647">
        <w:rPr>
          <w:lang w:val="en-US"/>
        </w:rPr>
        <w:t>Thermo Fischer Scientific</w:t>
      </w:r>
      <w:r>
        <w:rPr>
          <w:lang w:val="en-US"/>
        </w:rPr>
        <w:t>. Both of these groups can be used as single functionalizations for colloidal particles, introducing either a negative or positive charge, respectively. Combining these into one particle results in a pH-responsive polystyrene particle (pH-PS) that acquires a positive charge at low pH and a negative charge at high pH (</w:t>
      </w:r>
      <w:r w:rsidR="00FD41D8">
        <w:rPr>
          <w:lang w:val="en-US"/>
        </w:rPr>
        <w:fldChar w:fldCharType="begin"/>
      </w:r>
      <w:r w:rsidR="00FD41D8" w:rsidRPr="00FD41D8">
        <w:rPr>
          <w:lang w:val="en-US"/>
        </w:rPr>
        <w:instrText xml:space="preserve"> REF _Ref29912619 \h </w:instrText>
      </w:r>
      <w:r w:rsidR="00FD41D8">
        <w:rPr>
          <w:lang w:val="en-US"/>
        </w:rPr>
        <w:instrText xml:space="preserve"> \* MERGEFORMAT </w:instrText>
      </w:r>
      <w:r w:rsidR="00FD41D8">
        <w:rPr>
          <w:lang w:val="en-US"/>
        </w:rPr>
      </w:r>
      <w:r w:rsidR="00FD41D8">
        <w:rPr>
          <w:lang w:val="en-US"/>
        </w:rPr>
        <w:fldChar w:fldCharType="separate"/>
      </w:r>
      <w:r w:rsidR="00C52506" w:rsidRPr="00C52506">
        <w:rPr>
          <w:lang w:val="en-US"/>
        </w:rPr>
        <w:t xml:space="preserve">Figure </w:t>
      </w:r>
      <w:r w:rsidR="00C52506" w:rsidRPr="00C52506">
        <w:rPr>
          <w:noProof/>
          <w:lang w:val="en-US"/>
        </w:rPr>
        <w:t>6</w:t>
      </w:r>
      <w:r w:rsidR="00FD41D8">
        <w:rPr>
          <w:lang w:val="en-US"/>
        </w:rPr>
        <w:fldChar w:fldCharType="end"/>
      </w:r>
      <w:r>
        <w:rPr>
          <w:lang w:val="en-US"/>
        </w:rPr>
        <w:t xml:space="preserve">). </w:t>
      </w:r>
    </w:p>
    <w:p w:rsidR="00E74C8E" w:rsidRDefault="00E74C8E" w:rsidP="00FC7A2B">
      <w:pPr>
        <w:spacing w:line="240" w:lineRule="auto"/>
        <w:rPr>
          <w:lang w:val="en-US"/>
        </w:rPr>
      </w:pPr>
      <w:r>
        <w:rPr>
          <w:lang w:val="en-US"/>
        </w:rPr>
        <w:lastRenderedPageBreak/>
        <w:t xml:space="preserve">At low pH, the amine and carboxylic acid groups become protonated, resulting in a positive charge. At high pH, the carboxylic acid and amine groups become deprotonated, resulting in a negative charge. </w:t>
      </w:r>
    </w:p>
    <w:p w:rsidR="00FA64A5" w:rsidRDefault="00E74C8E" w:rsidP="00FC7A2B">
      <w:pPr>
        <w:keepNext/>
        <w:spacing w:line="240" w:lineRule="auto"/>
        <w:jc w:val="center"/>
      </w:pPr>
      <w:r>
        <w:rPr>
          <w:noProof/>
          <w:lang w:val="en-US"/>
        </w:rPr>
        <w:drawing>
          <wp:inline distT="0" distB="0" distL="0" distR="0">
            <wp:extent cx="5232400" cy="1632585"/>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2400" cy="1632585"/>
                    </a:xfrm>
                    <a:prstGeom prst="rect">
                      <a:avLst/>
                    </a:prstGeom>
                    <a:noFill/>
                    <a:ln>
                      <a:noFill/>
                    </a:ln>
                  </pic:spPr>
                </pic:pic>
              </a:graphicData>
            </a:graphic>
          </wp:inline>
        </w:drawing>
      </w:r>
    </w:p>
    <w:p w:rsidR="00FA64A5" w:rsidRPr="00FA64A5" w:rsidRDefault="00C82962" w:rsidP="00FC7A2B">
      <w:pPr>
        <w:pStyle w:val="Caption"/>
        <w:jc w:val="center"/>
        <w:rPr>
          <w:color w:val="auto"/>
          <w:sz w:val="20"/>
          <w:szCs w:val="20"/>
          <w:lang w:val="en-US"/>
        </w:rPr>
      </w:pPr>
      <w:bookmarkStart w:id="29" w:name="_Ref29912619"/>
      <w:r>
        <w:rPr>
          <w:color w:val="auto"/>
          <w:sz w:val="20"/>
          <w:szCs w:val="20"/>
          <w:lang w:val="en-US"/>
        </w:rPr>
        <w:t>Figure</w:t>
      </w:r>
      <w:r w:rsidR="00FA64A5" w:rsidRPr="00FA64A5">
        <w:rPr>
          <w:color w:val="auto"/>
          <w:sz w:val="20"/>
          <w:szCs w:val="20"/>
          <w:lang w:val="en-US"/>
        </w:rPr>
        <w:t xml:space="preserve"> </w:t>
      </w:r>
      <w:r w:rsidR="00FA64A5" w:rsidRPr="00FA64A5">
        <w:rPr>
          <w:color w:val="auto"/>
          <w:sz w:val="20"/>
          <w:szCs w:val="20"/>
        </w:rPr>
        <w:fldChar w:fldCharType="begin"/>
      </w:r>
      <w:r w:rsidR="00FA64A5" w:rsidRPr="00FA64A5">
        <w:rPr>
          <w:color w:val="auto"/>
          <w:sz w:val="20"/>
          <w:szCs w:val="20"/>
          <w:lang w:val="en-US"/>
        </w:rPr>
        <w:instrText xml:space="preserve"> SEQ Figure \* ARABIC </w:instrText>
      </w:r>
      <w:r w:rsidR="00FA64A5" w:rsidRPr="00FA64A5">
        <w:rPr>
          <w:color w:val="auto"/>
          <w:sz w:val="20"/>
          <w:szCs w:val="20"/>
        </w:rPr>
        <w:fldChar w:fldCharType="separate"/>
      </w:r>
      <w:r w:rsidR="00C52506">
        <w:rPr>
          <w:noProof/>
          <w:color w:val="auto"/>
          <w:sz w:val="20"/>
          <w:szCs w:val="20"/>
          <w:lang w:val="en-US"/>
        </w:rPr>
        <w:t>6</w:t>
      </w:r>
      <w:r w:rsidR="00FA64A5" w:rsidRPr="00FA64A5">
        <w:rPr>
          <w:color w:val="auto"/>
          <w:sz w:val="20"/>
          <w:szCs w:val="20"/>
        </w:rPr>
        <w:fldChar w:fldCharType="end"/>
      </w:r>
      <w:bookmarkEnd w:id="29"/>
      <w:r w:rsidR="00FA64A5" w:rsidRPr="00FA64A5">
        <w:rPr>
          <w:color w:val="auto"/>
          <w:sz w:val="20"/>
          <w:szCs w:val="20"/>
          <w:lang w:val="en-US"/>
        </w:rPr>
        <w:t>: Co-functionalization of the pH-responsive core polystyrene particle.</w:t>
      </w:r>
    </w:p>
    <w:p w:rsidR="008D496E" w:rsidRDefault="008D496E" w:rsidP="00FC7A2B">
      <w:pPr>
        <w:spacing w:line="240" w:lineRule="auto"/>
        <w:rPr>
          <w:rFonts w:eastAsiaTheme="minorEastAsia"/>
          <w:lang w:val="en-US"/>
        </w:rPr>
      </w:pPr>
      <w:r>
        <w:rPr>
          <w:rFonts w:eastAsiaTheme="minorEastAsia"/>
          <w:lang w:val="en-US"/>
        </w:rPr>
        <w:t xml:space="preserve">The encapsulating pH unresponsive particles consists of polystyrene that are functionalized with either styrene sulfonate to acquire a negative charge, or METMAC to acquire a positive charge. The result is either a negatively or positively charged polystyrene particle of an approximate size of 800 nm. Thus, a system is proposed where a large pH responsive PS particle is reversibly encapsulated by smaller pH unresponsive </w:t>
      </w:r>
      <w:r w:rsidR="00A223A8">
        <w:rPr>
          <w:rFonts w:eastAsiaTheme="minorEastAsia"/>
          <w:lang w:val="en-US"/>
        </w:rPr>
        <w:t xml:space="preserve">PS </w:t>
      </w:r>
      <w:r>
        <w:rPr>
          <w:rFonts w:eastAsiaTheme="minorEastAsia"/>
          <w:lang w:val="en-US"/>
        </w:rPr>
        <w:t xml:space="preserve">particles by changing the pH, as shown in </w:t>
      </w:r>
      <w:r>
        <w:rPr>
          <w:rFonts w:eastAsiaTheme="minorEastAsia"/>
          <w:lang w:val="en-US"/>
        </w:rPr>
        <w:fldChar w:fldCharType="begin"/>
      </w:r>
      <w:r w:rsidRPr="00FD41D8">
        <w:rPr>
          <w:rFonts w:eastAsiaTheme="minorEastAsia"/>
          <w:lang w:val="en-US"/>
        </w:rPr>
        <w:instrText xml:space="preserve"> REF _Ref29912656 \h </w:instrText>
      </w:r>
      <w:r>
        <w:rPr>
          <w:rFonts w:eastAsiaTheme="minorEastAsia"/>
          <w:lang w:val="en-US"/>
        </w:rPr>
        <w:instrText xml:space="preserve"> \* MERGEFORMAT </w:instrText>
      </w:r>
      <w:r>
        <w:rPr>
          <w:rFonts w:eastAsiaTheme="minorEastAsia"/>
          <w:lang w:val="en-US"/>
        </w:rPr>
      </w:r>
      <w:r>
        <w:rPr>
          <w:rFonts w:eastAsiaTheme="minorEastAsia"/>
          <w:lang w:val="en-US"/>
        </w:rPr>
        <w:fldChar w:fldCharType="separate"/>
      </w:r>
      <w:r w:rsidR="00C52506" w:rsidRPr="00C52506">
        <w:rPr>
          <w:lang w:val="en-US"/>
        </w:rPr>
        <w:t>Figure</w:t>
      </w:r>
      <w:r w:rsidR="00C52506" w:rsidRPr="000C3E53">
        <w:rPr>
          <w:sz w:val="20"/>
          <w:szCs w:val="20"/>
          <w:lang w:val="en-US"/>
        </w:rPr>
        <w:t xml:space="preserve"> </w:t>
      </w:r>
      <w:r w:rsidR="00C52506">
        <w:rPr>
          <w:noProof/>
          <w:sz w:val="20"/>
          <w:szCs w:val="20"/>
          <w:lang w:val="en-US"/>
        </w:rPr>
        <w:t>7</w:t>
      </w:r>
      <w:r>
        <w:rPr>
          <w:rFonts w:eastAsiaTheme="minorEastAsia"/>
          <w:lang w:val="en-US"/>
        </w:rPr>
        <w:fldChar w:fldCharType="end"/>
      </w:r>
      <w:r>
        <w:rPr>
          <w:rFonts w:eastAsiaTheme="minorEastAsia"/>
          <w:lang w:val="en-US"/>
        </w:rPr>
        <w:t>.</w:t>
      </w:r>
    </w:p>
    <w:p w:rsidR="008D496E" w:rsidRDefault="008D496E" w:rsidP="00FC7A2B">
      <w:pPr>
        <w:keepNext/>
        <w:spacing w:line="240" w:lineRule="auto"/>
        <w:jc w:val="center"/>
      </w:pPr>
      <w:r>
        <w:rPr>
          <w:rFonts w:eastAsiaTheme="minorEastAsia"/>
          <w:noProof/>
          <w:lang w:val="en-US"/>
        </w:rPr>
        <w:drawing>
          <wp:inline distT="0" distB="0" distL="0" distR="0" wp14:anchorId="5C691AAE" wp14:editId="4731766D">
            <wp:extent cx="4160477" cy="224482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2592" cy="2245963"/>
                    </a:xfrm>
                    <a:prstGeom prst="rect">
                      <a:avLst/>
                    </a:prstGeom>
                    <a:noFill/>
                    <a:ln>
                      <a:noFill/>
                    </a:ln>
                  </pic:spPr>
                </pic:pic>
              </a:graphicData>
            </a:graphic>
          </wp:inline>
        </w:drawing>
      </w:r>
    </w:p>
    <w:p w:rsidR="008D496E" w:rsidRPr="000C3E53" w:rsidRDefault="00C82962" w:rsidP="00FC7A2B">
      <w:pPr>
        <w:pStyle w:val="Caption"/>
        <w:jc w:val="center"/>
        <w:rPr>
          <w:color w:val="auto"/>
          <w:sz w:val="20"/>
          <w:szCs w:val="20"/>
          <w:lang w:val="en-US"/>
        </w:rPr>
      </w:pPr>
      <w:bookmarkStart w:id="30" w:name="_Ref29912656"/>
      <w:r>
        <w:rPr>
          <w:color w:val="auto"/>
          <w:sz w:val="20"/>
          <w:szCs w:val="20"/>
          <w:lang w:val="en-US"/>
        </w:rPr>
        <w:t>Figure</w:t>
      </w:r>
      <w:r w:rsidR="008D496E" w:rsidRPr="000C3E53">
        <w:rPr>
          <w:color w:val="auto"/>
          <w:sz w:val="20"/>
          <w:szCs w:val="20"/>
          <w:lang w:val="en-US"/>
        </w:rPr>
        <w:t xml:space="preserve"> </w:t>
      </w:r>
      <w:r w:rsidR="008D496E" w:rsidRPr="00FA64A5">
        <w:rPr>
          <w:color w:val="auto"/>
          <w:sz w:val="20"/>
          <w:szCs w:val="20"/>
        </w:rPr>
        <w:fldChar w:fldCharType="begin"/>
      </w:r>
      <w:r w:rsidR="008D496E" w:rsidRPr="000C3E53">
        <w:rPr>
          <w:color w:val="auto"/>
          <w:sz w:val="20"/>
          <w:szCs w:val="20"/>
          <w:lang w:val="en-US"/>
        </w:rPr>
        <w:instrText xml:space="preserve"> SEQ Figure \* ARABIC </w:instrText>
      </w:r>
      <w:r w:rsidR="008D496E" w:rsidRPr="00FA64A5">
        <w:rPr>
          <w:color w:val="auto"/>
          <w:sz w:val="20"/>
          <w:szCs w:val="20"/>
        </w:rPr>
        <w:fldChar w:fldCharType="separate"/>
      </w:r>
      <w:r w:rsidR="00C52506">
        <w:rPr>
          <w:noProof/>
          <w:color w:val="auto"/>
          <w:sz w:val="20"/>
          <w:szCs w:val="20"/>
          <w:lang w:val="en-US"/>
        </w:rPr>
        <w:t>7</w:t>
      </w:r>
      <w:r w:rsidR="008D496E" w:rsidRPr="00FA64A5">
        <w:rPr>
          <w:color w:val="auto"/>
          <w:sz w:val="20"/>
          <w:szCs w:val="20"/>
        </w:rPr>
        <w:fldChar w:fldCharType="end"/>
      </w:r>
      <w:bookmarkEnd w:id="30"/>
      <w:r w:rsidR="008D496E" w:rsidRPr="000C3E53">
        <w:rPr>
          <w:color w:val="auto"/>
          <w:sz w:val="20"/>
          <w:szCs w:val="20"/>
          <w:lang w:val="en-US"/>
        </w:rPr>
        <w:t>: Proposed encapsulation system for sphere-sphere heteroaggregation.</w:t>
      </w:r>
    </w:p>
    <w:p w:rsidR="00BC69AE" w:rsidRDefault="00BC69AE" w:rsidP="00FC7A2B">
      <w:pPr>
        <w:spacing w:line="240" w:lineRule="auto"/>
        <w:rPr>
          <w:lang w:val="en-US"/>
        </w:rPr>
      </w:pPr>
    </w:p>
    <w:p w:rsidR="00E74C8E" w:rsidRDefault="00E74C8E" w:rsidP="00FC7A2B">
      <w:pPr>
        <w:spacing w:line="240" w:lineRule="auto"/>
        <w:rPr>
          <w:lang w:val="en-US"/>
        </w:rPr>
      </w:pPr>
      <w:r>
        <w:rPr>
          <w:lang w:val="en-US"/>
        </w:rPr>
        <w:t xml:space="preserve">The smaller pH unresponsive encapsulating particles will </w:t>
      </w:r>
      <w:r w:rsidR="00D92D38">
        <w:rPr>
          <w:lang w:val="en-US"/>
        </w:rPr>
        <w:t>adsorb</w:t>
      </w:r>
      <w:r>
        <w:rPr>
          <w:lang w:val="en-US"/>
        </w:rPr>
        <w:t xml:space="preserve"> on the surface of pH-PS at the pH where both particles </w:t>
      </w:r>
      <w:r w:rsidR="00A223A8">
        <w:rPr>
          <w:lang w:val="en-US"/>
        </w:rPr>
        <w:t>are</w:t>
      </w:r>
      <w:r>
        <w:rPr>
          <w:lang w:val="en-US"/>
        </w:rPr>
        <w:t xml:space="preserve"> opposite</w:t>
      </w:r>
      <w:r w:rsidR="00A223A8">
        <w:rPr>
          <w:lang w:val="en-US"/>
        </w:rPr>
        <w:t>ly</w:t>
      </w:r>
      <w:r>
        <w:rPr>
          <w:lang w:val="en-US"/>
        </w:rPr>
        <w:t xml:space="preserve"> charge</w:t>
      </w:r>
      <w:r w:rsidR="00A223A8">
        <w:rPr>
          <w:lang w:val="en-US"/>
        </w:rPr>
        <w:t>d</w:t>
      </w:r>
      <w:r>
        <w:rPr>
          <w:lang w:val="en-US"/>
        </w:rPr>
        <w:t xml:space="preserve">. Theoretically, a maximum </w:t>
      </w:r>
      <w:r w:rsidR="00443CE0">
        <w:rPr>
          <w:lang w:val="en-US"/>
        </w:rPr>
        <w:t>number</w:t>
      </w:r>
      <w:r>
        <w:rPr>
          <w:lang w:val="en-US"/>
        </w:rPr>
        <w:t xml:space="preserve"> of smaller particles that can </w:t>
      </w:r>
      <w:r w:rsidR="00D92D38">
        <w:rPr>
          <w:lang w:val="en-US"/>
        </w:rPr>
        <w:t>adsorb</w:t>
      </w:r>
      <w:r>
        <w:rPr>
          <w:lang w:val="en-US"/>
        </w:rPr>
        <w:t xml:space="preserve"> on the surface of a larger particles </w:t>
      </w:r>
      <w:r>
        <w:rPr>
          <w:rFonts w:eastAsiaTheme="minorEastAsia"/>
          <w:lang w:val="en-US"/>
        </w:rPr>
        <w:t>(</w:t>
      </w:r>
      <m:oMath>
        <m:sSub>
          <m:sSubPr>
            <m:ctrlPr>
              <w:rPr>
                <w:rFonts w:ascii="Cambria Math" w:hAnsi="Cambria Math"/>
                <w:i/>
                <w:lang w:val="en-US"/>
              </w:rPr>
            </m:ctrlPr>
          </m:sSubPr>
          <m:e>
            <m:r>
              <m:rPr>
                <m:sty m:val="p"/>
              </m:rPr>
              <w:rPr>
                <w:rFonts w:ascii="Cambria Math" w:hAnsi="Cambria Math" w:cstheme="minorHAnsi"/>
                <w:lang w:val="en-US"/>
              </w:rPr>
              <m:t>Γ</m:t>
            </m:r>
          </m:e>
          <m:sub>
            <m:r>
              <w:rPr>
                <w:rFonts w:ascii="Cambria Math" w:hAnsi="Cambria Math"/>
                <w:lang w:val="en-US"/>
              </w:rPr>
              <m:t>hcp</m:t>
            </m:r>
          </m:sub>
        </m:sSub>
      </m:oMath>
      <w:r>
        <w:rPr>
          <w:rFonts w:eastAsiaTheme="minorEastAsia"/>
          <w:lang w:val="en-US"/>
        </w:rPr>
        <w:t xml:space="preserve">) </w:t>
      </w:r>
      <w:r>
        <w:rPr>
          <w:lang w:val="en-US"/>
        </w:rPr>
        <w:t xml:space="preserve">can be determined by approximating the packing as </w:t>
      </w:r>
      <w:r w:rsidR="00A223A8">
        <w:rPr>
          <w:lang w:val="en-US"/>
        </w:rPr>
        <w:t xml:space="preserve">2D </w:t>
      </w:r>
      <w:r>
        <w:rPr>
          <w:lang w:val="en-US"/>
        </w:rPr>
        <w:t>hexagonally close packed</w:t>
      </w:r>
      <w:r w:rsidR="00A223A8">
        <w:rPr>
          <w:lang w:val="en-US"/>
        </w:rPr>
        <w:t xml:space="preserve"> surface</w:t>
      </w:r>
      <w:r>
        <w:rPr>
          <w:lang w:val="en-US"/>
        </w:rPr>
        <w:t xml:space="preserve">. This can be estimated by using </w:t>
      </w:r>
      <w:r w:rsidR="00167472">
        <w:rPr>
          <w:lang w:val="en-US"/>
        </w:rPr>
        <w:t>equation</w:t>
      </w:r>
      <w:r>
        <w:rPr>
          <w:lang w:val="en-US"/>
        </w:rPr>
        <w:t xml:space="preserve"> 9</w:t>
      </w:r>
      <w:r>
        <w:rPr>
          <w:lang w:val="en-US"/>
        </w:rPr>
        <w:fldChar w:fldCharType="begin" w:fldLock="1"/>
      </w:r>
      <w:r w:rsidR="00FB6101">
        <w:rPr>
          <w:lang w:val="en-US"/>
        </w:rPr>
        <w:instrText>ADDIN CSL_CITATION { "citationItems" : [ { "id" : "ITEM-1", "itemData" : { "DOI" : "10.1007/BF01410956", "ISSN" : "0303402X", "abstract" : "Anomalous polymer microspheres having uneven surfaces were produced by \"stepwise\" heterocoagulation technique of small polymer particles (SPs) onto large polymer particles (LPs). SPs and LPs have surface charges opposite to each other in the emulsion states. SPs were produced by emulsion copolymerization of styrene and methacryloyloxyethyltrimethylammonium chloride, and LPs by emulsion terpolymerization of styrene, butyl acrylate and methacrylic acid, with nonionic emulsifier being used in both cases. Maximum covering of LP by SPs was obtained under the conditions that both emulsions were blended without the coagulation at pH 3 at room temperature and then left stand to coagulate with each other at 70 \u00b0C for 4 h at pH 9. \u00a9 1990 Steinkopff.", "author" : [ { "dropping-particle" : "", "family" : "Okubo", "given" : "M.", "non-dropping-particle" : "", "parse-names" : false, "suffix" : "" }, { "dropping-particle" : "", "family" : "Ichikawa", "given" : "K.", "non-dropping-particle" : "", "parse-names" : false, "suffix" : "" }, { "dropping-particle" : "", "family" : "Tsujihiro", "given" : "M.", "non-dropping-particle" : "", "parse-names" : false, "suffix" : "" }, { "dropping-particle" : "", "family" : "He", "given" : "Y.", "non-dropping-particle" : "", "parse-names" : false, "suffix" : "" } ], "container-title" : "Colloid &amp; Polymer Science", "id" : "ITEM-1", "issue" : "9", "issued" : { "date-parts" : [ [ "1990" ] ] }, "page" : "791-796", "title" : "Production of anomalous polymer microspheres having uneven surfaces by \"stepwise\" heterocoagulation technique", "type" : "article-journal", "volume" : "268" }, "uris" : [ "http://www.mendeley.com/documents/?uuid=bbd72cd9-39a3-40cc-a629-6ef21268b452" ] } ], "mendeley" : { "formattedCitation" : "&lt;sup&gt;53&lt;/sup&gt;", "plainTextFormattedCitation" : "53", "previouslyFormattedCitation" : "&lt;sup&gt;53&lt;/sup&gt;"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53</w:t>
      </w:r>
      <w:r>
        <w:rPr>
          <w:lang w:val="en-US"/>
        </w:rPr>
        <w:fldChar w:fldCharType="end"/>
      </w:r>
      <w:r>
        <w:rPr>
          <w:lang w:val="en-US"/>
        </w:rPr>
        <w:t xml:space="preserve">. </w:t>
      </w:r>
    </w:p>
    <w:p w:rsidR="00E74C8E" w:rsidRPr="00A16B44" w:rsidRDefault="00767BE6" w:rsidP="00FC7A2B">
      <w:pPr>
        <w:spacing w:line="240" w:lineRule="auto"/>
        <w:jc w:val="center"/>
        <w:rPr>
          <w:rFonts w:eastAsiaTheme="minorEastAsia"/>
          <w:sz w:val="32"/>
          <w:szCs w:val="32"/>
          <w:lang w:val="en-US"/>
        </w:rPr>
      </w:pPr>
      <m:oMathPara>
        <m:oMath>
          <m:eqArr>
            <m:eqArrPr>
              <m:maxDist m:val="1"/>
              <m:ctrlPr>
                <w:rPr>
                  <w:rFonts w:ascii="Cambria Math" w:hAnsi="Cambria Math"/>
                  <w:i/>
                  <w:lang w:val="en-US"/>
                </w:rPr>
              </m:ctrlPr>
            </m:eqArrPr>
            <m:e>
              <m:sSub>
                <m:sSubPr>
                  <m:ctrlPr>
                    <w:rPr>
                      <w:rFonts w:ascii="Cambria Math" w:hAnsi="Cambria Math"/>
                      <w:i/>
                      <w:lang w:val="en-US"/>
                    </w:rPr>
                  </m:ctrlPr>
                </m:sSubPr>
                <m:e>
                  <m:r>
                    <m:rPr>
                      <m:sty m:val="p"/>
                    </m:rPr>
                    <w:rPr>
                      <w:rFonts w:ascii="Cambria Math" w:hAnsi="Cambria Math" w:cstheme="minorHAnsi"/>
                      <w:lang w:val="en-US"/>
                    </w:rPr>
                    <m:t>Γ</m:t>
                  </m:r>
                </m:e>
                <m:sub>
                  <m:r>
                    <w:rPr>
                      <w:rFonts w:ascii="Cambria Math" w:hAnsi="Cambria Math"/>
                      <w:lang w:val="en-US"/>
                    </w:rPr>
                    <m:t>hcp</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ad>
                    <m:radPr>
                      <m:degHide m:val="1"/>
                      <m:ctrlPr>
                        <w:rPr>
                          <w:rFonts w:ascii="Cambria Math" w:hAnsi="Cambria Math"/>
                          <w:i/>
                          <w:lang w:val="en-US"/>
                        </w:rPr>
                      </m:ctrlPr>
                    </m:radPr>
                    <m:deg/>
                    <m:e>
                      <m:r>
                        <w:rPr>
                          <w:rFonts w:ascii="Cambria Math" w:hAnsi="Cambria Math"/>
                          <w:lang w:val="en-US"/>
                        </w:rPr>
                        <m:t>3</m:t>
                      </m:r>
                    </m:e>
                  </m:rad>
                </m:den>
              </m:f>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R + r</m:t>
                          </m:r>
                        </m:num>
                        <m:den>
                          <m:r>
                            <w:rPr>
                              <w:rFonts w:ascii="Cambria Math" w:hAnsi="Cambria Math"/>
                              <w:lang w:val="en-US"/>
                            </w:rPr>
                            <m:t>r</m:t>
                          </m:r>
                        </m:den>
                      </m:f>
                    </m:e>
                  </m:d>
                </m:e>
                <m:sup>
                  <m:r>
                    <w:rPr>
                      <w:rFonts w:ascii="Cambria Math" w:hAnsi="Cambria Math"/>
                      <w:lang w:val="en-US"/>
                    </w:rPr>
                    <m:t>2</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9</m:t>
                  </m:r>
                </m:e>
              </m:d>
            </m:e>
          </m:eqArr>
        </m:oMath>
      </m:oMathPara>
    </w:p>
    <w:p w:rsidR="009623AB" w:rsidRDefault="00E74C8E" w:rsidP="00FC7A2B">
      <w:pPr>
        <w:spacing w:line="240" w:lineRule="auto"/>
        <w:rPr>
          <w:lang w:val="en-US"/>
        </w:rPr>
      </w:pPr>
      <w:r>
        <w:rPr>
          <w:lang w:val="en-US"/>
        </w:rPr>
        <w:t xml:space="preserve">Where </w:t>
      </w:r>
      <w:r>
        <w:rPr>
          <w:i/>
          <w:lang w:val="en-US"/>
        </w:rPr>
        <w:t>R</w:t>
      </w:r>
      <w:r>
        <w:rPr>
          <w:lang w:val="en-US"/>
        </w:rPr>
        <w:t xml:space="preserve"> and </w:t>
      </w:r>
      <w:r>
        <w:rPr>
          <w:i/>
          <w:lang w:val="en-US"/>
        </w:rPr>
        <w:t>r</w:t>
      </w:r>
      <w:r>
        <w:rPr>
          <w:lang w:val="en-US"/>
        </w:rPr>
        <w:t xml:space="preserve"> are the radii of the larger core particle and smaller encapsulating particle, respectively. </w:t>
      </w:r>
    </w:p>
    <w:p w:rsidR="00A223A8" w:rsidRDefault="00A223A8" w:rsidP="00FC7A2B">
      <w:pPr>
        <w:spacing w:line="240" w:lineRule="auto"/>
        <w:rPr>
          <w:lang w:val="en-US"/>
        </w:rPr>
      </w:pPr>
    </w:p>
    <w:p w:rsidR="00124F79" w:rsidRPr="00A32FE8" w:rsidRDefault="00124F79" w:rsidP="00FC7A2B">
      <w:pPr>
        <w:pStyle w:val="Heading2"/>
        <w:numPr>
          <w:ilvl w:val="1"/>
          <w:numId w:val="2"/>
        </w:numPr>
        <w:spacing w:line="240" w:lineRule="auto"/>
        <w:rPr>
          <w:rFonts w:eastAsiaTheme="minorEastAsia"/>
          <w:b/>
          <w:bCs/>
          <w:color w:val="auto"/>
          <w:lang w:val="en-US"/>
        </w:rPr>
      </w:pPr>
      <w:bookmarkStart w:id="31" w:name="_Toc29640070"/>
      <w:bookmarkStart w:id="32" w:name="_Toc31892390"/>
      <w:r w:rsidRPr="00A32FE8">
        <w:rPr>
          <w:rFonts w:eastAsiaTheme="minorEastAsia"/>
          <w:b/>
          <w:bCs/>
          <w:color w:val="auto"/>
          <w:lang w:val="en-US"/>
        </w:rPr>
        <w:lastRenderedPageBreak/>
        <w:t>Sphere-dumbbell heteroaggregation</w:t>
      </w:r>
      <w:bookmarkEnd w:id="31"/>
      <w:bookmarkEnd w:id="32"/>
    </w:p>
    <w:p w:rsidR="008D496E" w:rsidRDefault="00E74C8E" w:rsidP="00FC7A2B">
      <w:pPr>
        <w:spacing w:line="240" w:lineRule="auto"/>
        <w:rPr>
          <w:rFonts w:eastAsiaTheme="minorEastAsia"/>
          <w:lang w:val="en-US"/>
        </w:rPr>
      </w:pPr>
      <w:r w:rsidRPr="008D496E">
        <w:rPr>
          <w:rFonts w:eastAsiaTheme="minorEastAsia"/>
          <w:lang w:val="en-US"/>
        </w:rPr>
        <w:t>On top of spherical particles, the encapsulation of the core particle with dumbbell shaped particles will also be investigated. The dumbbell shape of the particle is chosen in order to introduce an additional constraint in the encapsulation process</w:t>
      </w:r>
      <w:r w:rsidR="00A223A8">
        <w:rPr>
          <w:rFonts w:eastAsiaTheme="minorEastAsia"/>
          <w:lang w:val="en-US"/>
        </w:rPr>
        <w:t>, as the core particle can be shielded from further aggregation</w:t>
      </w:r>
      <w:r w:rsidRPr="008D496E">
        <w:rPr>
          <w:rFonts w:eastAsiaTheme="minorEastAsia"/>
          <w:lang w:val="en-US"/>
        </w:rPr>
        <w:t xml:space="preserve">. This is done by introducing a different charge on each of the lobes, thereby forcing one lobe to be attractive and the other repulsive. These dumbbells consist of a negatively charged </w:t>
      </w:r>
      <w:r w:rsidR="00A223A8">
        <w:rPr>
          <w:rFonts w:eastAsiaTheme="minorEastAsia"/>
          <w:lang w:val="en-US"/>
        </w:rPr>
        <w:t>PS</w:t>
      </w:r>
      <w:r w:rsidRPr="008D496E">
        <w:rPr>
          <w:rFonts w:eastAsiaTheme="minorEastAsia"/>
          <w:lang w:val="en-US"/>
        </w:rPr>
        <w:t xml:space="preserve"> seed particle (synthesized by dispersion polymerization) and a hydrolyzed and polymerized </w:t>
      </w:r>
      <w:r w:rsidRPr="008D496E">
        <w:rPr>
          <w:lang w:val="en-US"/>
        </w:rPr>
        <w:t>3-methacryloxypropyl trimethoxysilane (TPM)</w:t>
      </w:r>
      <w:r w:rsidRPr="008D496E">
        <w:rPr>
          <w:rFonts w:eastAsiaTheme="minorEastAsia"/>
          <w:lang w:val="en-US"/>
        </w:rPr>
        <w:t xml:space="preserve"> lobe that is nucleated onto it</w:t>
      </w:r>
      <w:r w:rsidRPr="008D496E">
        <w:rPr>
          <w:rFonts w:eastAsiaTheme="minorEastAsia"/>
          <w:lang w:val="en-US"/>
        </w:rPr>
        <w:fldChar w:fldCharType="begin" w:fldLock="1"/>
      </w:r>
      <w:r w:rsidR="00BA64A2">
        <w:rPr>
          <w:rFonts w:eastAsiaTheme="minorEastAsia"/>
          <w:lang w:val="en-US"/>
        </w:rPr>
        <w:instrText>ADDIN CSL_CITATION { "citationItems" : [ { "id" : "ITEM-1", "itemData" : { "DOI" : "10.1038/ncomms2694", "ISSN" : "20411723", "abstract" : "The creation of a new material often starts from the design of its constituent building blocks at a smaller scale. From macromolecules to colloidal architectures, to granular systems, the interactions between basic units of matter can dictate the macroscopic behaviour of the resulting engineered material and even regulate its genesis. Information can be imparted to the building units by altering their physical and chemical properties. In particular, the shape of building blocks has a fundamental role at the colloidal scale, as it can govern the self-organization of particles into hierarchical structures and ultimately into the desired material. Herein we report a simple and general approach to generate an entire zoo of new anisotropic colloids. Our method is based on a controlled deformation of multiphase colloidal particles that can be selectively liquified, polymerized, dissolved and functionalized in bulk. We further demonstrate control over the particle functionalization and coating by realizing patchy and Janus colloids. \u00a9 2013 Macmillan Publishers Limited. All rights reserved.", "author" : [ { "dropping-particle" : "", "family" : "Sacanna", "given" : "Stefano", "non-dropping-particle" : "", "parse-names" : false, "suffix" : "" }, { "dropping-particle" : "", "family" : "Korpics", "given" : "Mark", "non-dropping-particle" : "", "parse-names" : false, "suffix" : "" }, { "dropping-particle" : "", "family" : "Rodriguez", "given" : "Kelvin", "non-dropping-particle" : "", "parse-names" : false, "suffix" : "" }, { "dropping-particle" : "", "family" : "Col\u00f3n-Mel\u00e9ndez", "given" : "Laura", "non-dropping-particle" : "", "parse-names" : false, "suffix" : "" }, { "dropping-particle" : "", "family" : "Kim", "given" : "Seung Hyun", "non-dropping-particle" : "", "parse-names" : false, "suffix" : "" }, { "dropping-particle" : "", "family" : "Pine", "given" : "David J.", "non-dropping-particle" : "", "parse-names" : false, "suffix" : "" }, { "dropping-particle" : "", "family" : "Yi", "given" : "Gi Ra", "non-dropping-particle" : "", "parse-names" : false, "suffix" : "" } ], "container-title" : "Nature Communications", "id" : "ITEM-1", "issued" : { "date-parts" : [ [ "2013" ] ] }, "page" : "2-7", "title" : "Shaping colloids for self-assembly", "type" : "article-journal", "volume" : "4" }, "uris" : [ "http://www.mendeley.com/documents/?uuid=a831627c-b179-4d54-8931-b4b9e65fa549" ] } ], "mendeley" : { "formattedCitation" : "&lt;sup&gt;12&lt;/sup&gt;", "plainTextFormattedCitation" : "12", "previouslyFormattedCitation" : "&lt;sup&gt;12&lt;/sup&gt;" }, "properties" : { "noteIndex" : 0 }, "schema" : "https://github.com/citation-style-language/schema/raw/master/csl-citation.json" }</w:instrText>
      </w:r>
      <w:r w:rsidRPr="008D496E">
        <w:rPr>
          <w:rFonts w:eastAsiaTheme="minorEastAsia"/>
          <w:lang w:val="en-US"/>
        </w:rPr>
        <w:fldChar w:fldCharType="separate"/>
      </w:r>
      <w:r w:rsidR="005F77FF" w:rsidRPr="005F77FF">
        <w:rPr>
          <w:rFonts w:eastAsiaTheme="minorEastAsia"/>
          <w:noProof/>
          <w:vertAlign w:val="superscript"/>
          <w:lang w:val="en-US"/>
        </w:rPr>
        <w:t>12</w:t>
      </w:r>
      <w:r w:rsidRPr="008D496E">
        <w:rPr>
          <w:rFonts w:eastAsiaTheme="minorEastAsia"/>
          <w:lang w:val="en-US"/>
        </w:rPr>
        <w:fldChar w:fldCharType="end"/>
      </w:r>
      <w:r w:rsidRPr="008D496E">
        <w:rPr>
          <w:rFonts w:eastAsiaTheme="minorEastAsia"/>
          <w:lang w:val="en-US"/>
        </w:rPr>
        <w:t xml:space="preserve">. </w:t>
      </w:r>
      <w:r w:rsidR="008D496E" w:rsidRPr="008D496E">
        <w:rPr>
          <w:rFonts w:eastAsiaTheme="minorEastAsia"/>
          <w:lang w:val="en-US"/>
        </w:rPr>
        <w:t>By changing the pH of the system, one can control which</w:t>
      </w:r>
      <w:r w:rsidR="00B81CD8">
        <w:rPr>
          <w:rFonts w:eastAsiaTheme="minorEastAsia"/>
          <w:lang w:val="en-US"/>
        </w:rPr>
        <w:t xml:space="preserve"> lobes</w:t>
      </w:r>
      <w:r w:rsidR="008D496E" w:rsidRPr="008D496E">
        <w:rPr>
          <w:rFonts w:eastAsiaTheme="minorEastAsia"/>
          <w:lang w:val="en-US"/>
        </w:rPr>
        <w:t xml:space="preserve"> </w:t>
      </w:r>
      <w:r w:rsidR="00B81CD8">
        <w:rPr>
          <w:rFonts w:eastAsiaTheme="minorEastAsia"/>
          <w:lang w:val="en-US"/>
        </w:rPr>
        <w:t>of the dumbbell</w:t>
      </w:r>
      <w:r w:rsidR="008D496E" w:rsidRPr="008D496E">
        <w:rPr>
          <w:rFonts w:eastAsiaTheme="minorEastAsia"/>
          <w:lang w:val="en-US"/>
        </w:rPr>
        <w:t xml:space="preserve"> become attractive and which become repulsive</w:t>
      </w:r>
      <w:r w:rsidR="008D496E">
        <w:rPr>
          <w:rFonts w:eastAsiaTheme="minorEastAsia"/>
          <w:lang w:val="en-US"/>
        </w:rPr>
        <w:t xml:space="preserve"> (</w:t>
      </w:r>
      <w:r w:rsidR="008D496E" w:rsidRPr="008D496E">
        <w:rPr>
          <w:rFonts w:eastAsiaTheme="minorEastAsia"/>
          <w:lang w:val="en-US"/>
        </w:rPr>
        <w:fldChar w:fldCharType="begin"/>
      </w:r>
      <w:r w:rsidR="008D496E" w:rsidRPr="008D496E">
        <w:rPr>
          <w:rFonts w:eastAsiaTheme="minorEastAsia"/>
          <w:lang w:val="en-US"/>
        </w:rPr>
        <w:instrText xml:space="preserve"> REF _Ref31015036 \h </w:instrText>
      </w:r>
      <w:r w:rsidR="008D496E">
        <w:rPr>
          <w:rFonts w:eastAsiaTheme="minorEastAsia"/>
          <w:lang w:val="en-US"/>
        </w:rPr>
        <w:instrText xml:space="preserve"> \* MERGEFORMAT </w:instrText>
      </w:r>
      <w:r w:rsidR="008D496E" w:rsidRPr="008D496E">
        <w:rPr>
          <w:rFonts w:eastAsiaTheme="minorEastAsia"/>
          <w:lang w:val="en-US"/>
        </w:rPr>
      </w:r>
      <w:r w:rsidR="008D496E" w:rsidRPr="008D496E">
        <w:rPr>
          <w:rFonts w:eastAsiaTheme="minorEastAsia"/>
          <w:lang w:val="en-US"/>
        </w:rPr>
        <w:fldChar w:fldCharType="separate"/>
      </w:r>
      <w:r w:rsidR="00C52506" w:rsidRPr="00C52506">
        <w:rPr>
          <w:lang w:val="en-US"/>
        </w:rPr>
        <w:t xml:space="preserve">Figure </w:t>
      </w:r>
      <w:r w:rsidR="00C52506" w:rsidRPr="00C52506">
        <w:rPr>
          <w:noProof/>
          <w:lang w:val="en-US"/>
        </w:rPr>
        <w:t>8</w:t>
      </w:r>
      <w:r w:rsidR="008D496E" w:rsidRPr="008D496E">
        <w:rPr>
          <w:rFonts w:eastAsiaTheme="minorEastAsia"/>
          <w:lang w:val="en-US"/>
        </w:rPr>
        <w:fldChar w:fldCharType="end"/>
      </w:r>
      <w:r w:rsidR="008D496E">
        <w:rPr>
          <w:rFonts w:eastAsiaTheme="minorEastAsia"/>
          <w:lang w:val="en-US"/>
        </w:rPr>
        <w:t>A, B and C)</w:t>
      </w:r>
      <w:r w:rsidR="008D496E" w:rsidRPr="008D496E">
        <w:rPr>
          <w:rFonts w:eastAsiaTheme="minorEastAsia"/>
          <w:lang w:val="en-US"/>
        </w:rPr>
        <w:t>.</w:t>
      </w:r>
      <w:r w:rsidR="008D496E">
        <w:rPr>
          <w:rFonts w:eastAsiaTheme="minorEastAsia"/>
          <w:lang w:val="en-US"/>
        </w:rPr>
        <w:t xml:space="preserve"> </w:t>
      </w:r>
    </w:p>
    <w:p w:rsidR="008D496E" w:rsidRDefault="008D496E" w:rsidP="00FC7A2B">
      <w:pPr>
        <w:keepNext/>
        <w:spacing w:line="240" w:lineRule="auto"/>
        <w:jc w:val="center"/>
      </w:pPr>
      <w:r>
        <w:rPr>
          <w:rFonts w:eastAsiaTheme="minorEastAsia"/>
          <w:noProof/>
          <w:lang w:val="en-US"/>
        </w:rPr>
        <w:drawing>
          <wp:inline distT="0" distB="0" distL="0" distR="0" wp14:anchorId="03AB2BF2" wp14:editId="58C18B99">
            <wp:extent cx="5760720" cy="1965960"/>
            <wp:effectExtent l="0" t="0" r="0" b="0"/>
            <wp:docPr id="85" name="Picture 85"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Heteroaggregation dumbbells schemat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1965960"/>
                    </a:xfrm>
                    <a:prstGeom prst="rect">
                      <a:avLst/>
                    </a:prstGeom>
                  </pic:spPr>
                </pic:pic>
              </a:graphicData>
            </a:graphic>
          </wp:inline>
        </w:drawing>
      </w:r>
    </w:p>
    <w:p w:rsidR="00FA64A5" w:rsidRPr="008D496E" w:rsidRDefault="00C82962" w:rsidP="00FC7A2B">
      <w:pPr>
        <w:pStyle w:val="Caption"/>
        <w:jc w:val="center"/>
        <w:rPr>
          <w:color w:val="auto"/>
          <w:sz w:val="20"/>
          <w:szCs w:val="20"/>
          <w:lang w:val="en-US"/>
        </w:rPr>
      </w:pPr>
      <w:bookmarkStart w:id="33" w:name="_Ref31015036"/>
      <w:r>
        <w:rPr>
          <w:color w:val="auto"/>
          <w:sz w:val="20"/>
          <w:szCs w:val="20"/>
          <w:lang w:val="en-US"/>
        </w:rPr>
        <w:t>Figure</w:t>
      </w:r>
      <w:r w:rsidR="008D496E" w:rsidRPr="008D496E">
        <w:rPr>
          <w:color w:val="auto"/>
          <w:sz w:val="20"/>
          <w:szCs w:val="20"/>
          <w:lang w:val="en-US"/>
        </w:rPr>
        <w:t xml:space="preserve"> </w:t>
      </w:r>
      <w:r w:rsidR="008D496E" w:rsidRPr="008D496E">
        <w:rPr>
          <w:color w:val="auto"/>
          <w:sz w:val="20"/>
          <w:szCs w:val="20"/>
        </w:rPr>
        <w:fldChar w:fldCharType="begin"/>
      </w:r>
      <w:r w:rsidR="008D496E" w:rsidRPr="008D496E">
        <w:rPr>
          <w:color w:val="auto"/>
          <w:sz w:val="20"/>
          <w:szCs w:val="20"/>
          <w:lang w:val="en-US"/>
        </w:rPr>
        <w:instrText xml:space="preserve"> SEQ Figure \* ARABIC </w:instrText>
      </w:r>
      <w:r w:rsidR="008D496E" w:rsidRPr="008D496E">
        <w:rPr>
          <w:color w:val="auto"/>
          <w:sz w:val="20"/>
          <w:szCs w:val="20"/>
        </w:rPr>
        <w:fldChar w:fldCharType="separate"/>
      </w:r>
      <w:r w:rsidR="00C52506">
        <w:rPr>
          <w:noProof/>
          <w:color w:val="auto"/>
          <w:sz w:val="20"/>
          <w:szCs w:val="20"/>
          <w:lang w:val="en-US"/>
        </w:rPr>
        <w:t>8</w:t>
      </w:r>
      <w:r w:rsidR="008D496E" w:rsidRPr="008D496E">
        <w:rPr>
          <w:color w:val="auto"/>
          <w:sz w:val="20"/>
          <w:szCs w:val="20"/>
        </w:rPr>
        <w:fldChar w:fldCharType="end"/>
      </w:r>
      <w:bookmarkEnd w:id="33"/>
      <w:r w:rsidR="008D496E" w:rsidRPr="008D496E">
        <w:rPr>
          <w:color w:val="auto"/>
          <w:sz w:val="20"/>
          <w:szCs w:val="20"/>
          <w:lang w:val="en-US"/>
        </w:rPr>
        <w:t xml:space="preserve">: </w:t>
      </w:r>
      <w:r w:rsidR="00211CA6" w:rsidRPr="000C3E53">
        <w:rPr>
          <w:color w:val="auto"/>
          <w:sz w:val="20"/>
          <w:szCs w:val="20"/>
          <w:lang w:val="en-US"/>
        </w:rPr>
        <w:t xml:space="preserve">Proposed encapsulation system for </w:t>
      </w:r>
      <w:r w:rsidR="00211CA6">
        <w:rPr>
          <w:color w:val="auto"/>
          <w:sz w:val="20"/>
          <w:szCs w:val="20"/>
          <w:lang w:val="en-US"/>
        </w:rPr>
        <w:t>dumbbell</w:t>
      </w:r>
      <w:r w:rsidR="00211CA6" w:rsidRPr="000C3E53">
        <w:rPr>
          <w:color w:val="auto"/>
          <w:sz w:val="20"/>
          <w:szCs w:val="20"/>
          <w:lang w:val="en-US"/>
        </w:rPr>
        <w:t>-sphere heteroaggregation</w:t>
      </w:r>
      <w:r w:rsidR="008D496E">
        <w:rPr>
          <w:color w:val="auto"/>
          <w:sz w:val="20"/>
          <w:szCs w:val="20"/>
          <w:lang w:val="en-US"/>
        </w:rPr>
        <w:t xml:space="preserve">. </w:t>
      </w:r>
      <w:r w:rsidR="008D496E">
        <w:rPr>
          <w:b/>
          <w:bCs/>
          <w:color w:val="auto"/>
          <w:sz w:val="20"/>
          <w:szCs w:val="20"/>
          <w:lang w:val="en-US"/>
        </w:rPr>
        <w:t>A</w:t>
      </w:r>
      <w:r w:rsidR="008D496E">
        <w:rPr>
          <w:color w:val="auto"/>
          <w:sz w:val="20"/>
          <w:szCs w:val="20"/>
          <w:lang w:val="en-US"/>
        </w:rPr>
        <w:t xml:space="preserve">: Both lobes of the dumbbell are repulsive. </w:t>
      </w:r>
      <w:r w:rsidR="008D496E">
        <w:rPr>
          <w:b/>
          <w:bCs/>
          <w:color w:val="auto"/>
          <w:sz w:val="20"/>
          <w:szCs w:val="20"/>
          <w:lang w:val="en-US"/>
        </w:rPr>
        <w:t>B</w:t>
      </w:r>
      <w:r w:rsidR="008D496E">
        <w:rPr>
          <w:color w:val="auto"/>
          <w:sz w:val="20"/>
          <w:szCs w:val="20"/>
          <w:lang w:val="en-US"/>
        </w:rPr>
        <w:t xml:space="preserve">: Both lobes are attractive. </w:t>
      </w:r>
      <w:r w:rsidR="008D496E">
        <w:rPr>
          <w:b/>
          <w:bCs/>
          <w:color w:val="auto"/>
          <w:sz w:val="20"/>
          <w:szCs w:val="20"/>
          <w:lang w:val="en-US"/>
        </w:rPr>
        <w:t>C</w:t>
      </w:r>
      <w:r w:rsidR="008D496E">
        <w:rPr>
          <w:color w:val="auto"/>
          <w:sz w:val="20"/>
          <w:szCs w:val="20"/>
          <w:lang w:val="en-US"/>
        </w:rPr>
        <w:t>: Only the PS lobe is attractive.</w:t>
      </w:r>
    </w:p>
    <w:p w:rsidR="0059237E" w:rsidRDefault="002236C5" w:rsidP="00FC7A2B">
      <w:pPr>
        <w:spacing w:line="240" w:lineRule="auto"/>
        <w:rPr>
          <w:lang w:val="en-US"/>
        </w:rPr>
      </w:pPr>
      <w:r>
        <w:rPr>
          <w:lang w:val="en-US"/>
        </w:rPr>
        <w:t xml:space="preserve">These dumbbells can then be employed in the encapsulation of the afore mentioned pH-PS. To </w:t>
      </w:r>
      <w:r w:rsidR="00802085">
        <w:rPr>
          <w:lang w:val="en-US"/>
        </w:rPr>
        <w:t>maximize</w:t>
      </w:r>
      <w:r>
        <w:rPr>
          <w:lang w:val="en-US"/>
        </w:rPr>
        <w:t xml:space="preserve"> the packing of dumbbells on a sphere, a series of geometry equations need to be used to determine the optimal angles and sizes</w:t>
      </w:r>
      <w:r w:rsidR="00802085">
        <w:rPr>
          <w:lang w:val="en-US"/>
        </w:rPr>
        <w:t xml:space="preserve"> of the dumbbells. This packing is largely determined by the size ratio of the two lobes</w:t>
      </w:r>
      <w:r w:rsidR="004B0154" w:rsidRPr="004B0154">
        <w:rPr>
          <w:lang w:val="en-US"/>
        </w:rPr>
        <w:t xml:space="preserve"> </w:t>
      </w:r>
      <w:r w:rsidR="004B0154">
        <w:rPr>
          <w:lang w:val="en-US"/>
        </w:rPr>
        <w:t>(</w:t>
      </w:r>
      <w:r w:rsidR="004B0154" w:rsidRPr="004B0154">
        <w:rPr>
          <w:lang w:val="en-US"/>
        </w:rPr>
        <w:fldChar w:fldCharType="begin"/>
      </w:r>
      <w:r w:rsidR="004B0154" w:rsidRPr="004B0154">
        <w:rPr>
          <w:lang w:val="en-US"/>
        </w:rPr>
        <w:instrText xml:space="preserve"> REF _Ref29980681 \h </w:instrText>
      </w:r>
      <w:r w:rsidR="004B0154">
        <w:rPr>
          <w:lang w:val="en-US"/>
        </w:rPr>
        <w:instrText xml:space="preserve"> \* MERGEFORMAT </w:instrText>
      </w:r>
      <w:r w:rsidR="004B0154" w:rsidRPr="004B0154">
        <w:rPr>
          <w:lang w:val="en-US"/>
        </w:rPr>
      </w:r>
      <w:r w:rsidR="004B0154" w:rsidRPr="004B0154">
        <w:rPr>
          <w:lang w:val="en-US"/>
        </w:rPr>
        <w:fldChar w:fldCharType="separate"/>
      </w:r>
      <w:r w:rsidR="00C52506" w:rsidRPr="00C52506">
        <w:rPr>
          <w:lang w:val="en-US"/>
        </w:rPr>
        <w:t xml:space="preserve">Figure </w:t>
      </w:r>
      <w:r w:rsidR="00C52506" w:rsidRPr="00C52506">
        <w:rPr>
          <w:noProof/>
          <w:lang w:val="en-US"/>
        </w:rPr>
        <w:t>9</w:t>
      </w:r>
      <w:r w:rsidR="004B0154" w:rsidRPr="004B0154">
        <w:rPr>
          <w:lang w:val="en-US"/>
        </w:rPr>
        <w:fldChar w:fldCharType="end"/>
      </w:r>
      <w:r w:rsidR="004B0154">
        <w:rPr>
          <w:lang w:val="en-US"/>
        </w:rPr>
        <w:t>)</w:t>
      </w:r>
      <w:r w:rsidR="00836D4D">
        <w:rPr>
          <w:lang w:val="en-US"/>
        </w:rPr>
        <w:fldChar w:fldCharType="begin" w:fldLock="1"/>
      </w:r>
      <w:r w:rsidR="00FB6101">
        <w:rPr>
          <w:lang w:val="en-US"/>
        </w:rPr>
        <w:instrText>ADDIN CSL_CITATION { "citationItems" : [ { "id" : "ITEM-1", "itemData" : { "DOI" : "10.1021/acs.langmuir.7b00014", "ISBN" : "1520-5827 (Electronic)\r0743-7463 (Linking)", "ISSN" : "15205827", "PMID" : "28272895", "abstract" : "In this paper, we demonstrate the stabilization of polystyrene microspheres by encapsulating them with dumbbell-shaped colloids with a sticky and a nonsticky lobe. Upon adding a depletant, an effective short ranged attraction is induced between the microspheres and the smaller, smooth lobes of the dumbbells, making those specifically sticky, whereas the interaction with the larger lobes of the dumbbells is considerably less attractive due to their rough surface, which reduces the overlap volume and leaves them nonsticky. The encapsulation of the microspheres by these rough-smooth patchy dumbbells is investigated using a combination of experiments and computer simulations, both resulting in partial coverage of the template particles. For larger microspheres, the depletion attraction is stronger, resulting in a larger fraction of dumbbells that are attached with both lobes to the surface of microspheres. We thus find a template curvature dependent orientation of the dumbbells. In the Monte Carlo simulations, the introduction of such a small, curvature dependent attraction between the rough lobes of the dumbbells resulted in an increased coverage. However, kinetic constraints imposed by the dumbbell geometry seem to prevent optimal packing of the dumbbells on the template particles under all investigated conditions in experiments and simulations. Despite the incomplete coverage, the encapsulation by dumbbell particles does prevent aggregation of the microspheres, thus acting as a colloid-sized steric stabilizer.", "author" : [ { "dropping-particle" : "", "family" : "Wolters", "given" : "Joost R.", "non-dropping-particle" : "", "parse-names" : false, "suffix" : "" }, { "dropping-particle" : "", "family" : "Verweij", "given" : "Joanne E.", "non-dropping-particle" : "", "parse-names" : false, "suffix" : "" }, { "dropping-particle" : "", "family" : "Avvisati", "given" : "Guido", "non-dropping-particle" : "", "parse-names" : false, "suffix" : "" }, { "dropping-particle" : "", "family" : "Dijkstra", "given" : "Marjolein", "non-dropping-particle" : "", "parse-names" : false, "suffix" : "" }, { "dropping-particle" : "", "family" : "Kegel", "given" : "Willem K.", "non-dropping-particle" : "", "parse-names" : false, "suffix" : "" } ], "container-title" : "Langmuir", "id" : "ITEM-1", "issue" : "13", "issued" : { "date-parts" : [ [ "2017" ] ] }, "page" : "3270-3280", "title" : "Depletion-Induced Encapsulation by Dumbbell-Shaped Patchy Colloids Stabilize Microspheres against Aggregation", "type" : "article-journal", "volume" : "33" }, "uris" : [ "http://www.mendeley.com/documents/?uuid=e457da4b-c8a5-47ef-9f3c-c81ade40547f" ] } ], "mendeley" : { "formattedCitation" : "&lt;sup&gt;27&lt;/sup&gt;", "plainTextFormattedCitation" : "27", "previouslyFormattedCitation" : "&lt;sup&gt;27&lt;/sup&gt;" }, "properties" : { "noteIndex" : 0 }, "schema" : "https://github.com/citation-style-language/schema/raw/master/csl-citation.json" }</w:instrText>
      </w:r>
      <w:r w:rsidR="00836D4D">
        <w:rPr>
          <w:lang w:val="en-US"/>
        </w:rPr>
        <w:fldChar w:fldCharType="separate"/>
      </w:r>
      <w:r w:rsidR="00DE131C" w:rsidRPr="00DE131C">
        <w:rPr>
          <w:noProof/>
          <w:vertAlign w:val="superscript"/>
          <w:lang w:val="en-US"/>
        </w:rPr>
        <w:t>27</w:t>
      </w:r>
      <w:r w:rsidR="00836D4D">
        <w:rPr>
          <w:lang w:val="en-US"/>
        </w:rPr>
        <w:fldChar w:fldCharType="end"/>
      </w:r>
      <w:r w:rsidR="00836D4D">
        <w:rPr>
          <w:vertAlign w:val="superscript"/>
          <w:lang w:val="en-US"/>
        </w:rPr>
        <w:t>,</w:t>
      </w:r>
      <w:r w:rsidR="00000519">
        <w:rPr>
          <w:lang w:val="en-US"/>
        </w:rPr>
        <w:fldChar w:fldCharType="begin" w:fldLock="1"/>
      </w:r>
      <w:r w:rsidR="00FB6101">
        <w:rPr>
          <w:lang w:val="en-US"/>
        </w:rPr>
        <w:instrText>ADDIN CSL_CITATION { "citationItems" : [ { "id" : "ITEM-1", "itemData" : { "DOI" : "10.1112/S0025579300004083", "ISSN" : "0025-5793", "abstract" : "&lt;div class=\"abstract\" data-abstract-type=\"normal\"&gt;&lt;p&gt;We work throughout in &lt;span class='italic'&gt;n&lt;/span&gt;-dimensional Euclidean space. It has been clear, since the publication of [1], that it should be possible to obtain quite good upper bounds for the number of spherical caps of chord 2 required to cover the surface of a sphere of radius &lt;span class='italic'&gt;R&lt;/span&gt; &amp;gt; 1, and for the number of spheres of radius 1 required to cover a sphere of radius &lt;span class='italic'&gt;R&lt;/span&gt; &amp;gt; 1. But it is not quite simple to organize the necessary calculations to give estimates which are manageable, and which are as good as the method allows for all &lt;span class='italic'&gt;R&lt;/span&gt; &amp;gt; 1. The following results seem to be a reasonable compromise between precision and simplicity; but, for reasons we will give later, they are not completely satisfactory.&lt;/p&gt;&lt;/div&gt;", "author" : [ { "dropping-particle" : "", "family" : "Rogers", "given" : "C. A.", "non-dropping-particle" : "", "parse-names" : false, "suffix" : "" } ], "container-title" : "Mathematika", "id" : "ITEM-1", "issue" : "2", "issued" : { "date-parts" : [ [ "1963", "12", "26" ] ] }, "page" : "157-164", "publisher" : "London Mathematical Society", "title" : "Covering a sphere with spheres", "type" : "article-journal", "volume" : "10" }, "uris" : [ "http://www.mendeley.com/documents/?uuid=89c0e427-49d7-30ec-bd0e-a2feb86b92b8" ] } ], "mendeley" : { "formattedCitation" : "&lt;sup&gt;54&lt;/sup&gt;", "plainTextFormattedCitation" : "54", "previouslyFormattedCitation" : "&lt;sup&gt;54&lt;/sup&gt;" }, "properties" : { "noteIndex" : 0 }, "schema" : "https://github.com/citation-style-language/schema/raw/master/csl-citation.json" }</w:instrText>
      </w:r>
      <w:r w:rsidR="00000519">
        <w:rPr>
          <w:lang w:val="en-US"/>
        </w:rPr>
        <w:fldChar w:fldCharType="separate"/>
      </w:r>
      <w:r w:rsidR="00DE131C" w:rsidRPr="00DE131C">
        <w:rPr>
          <w:noProof/>
          <w:vertAlign w:val="superscript"/>
          <w:lang w:val="en-US"/>
        </w:rPr>
        <w:t>54</w:t>
      </w:r>
      <w:r w:rsidR="00000519">
        <w:rPr>
          <w:lang w:val="en-US"/>
        </w:rPr>
        <w:fldChar w:fldCharType="end"/>
      </w:r>
      <w:r w:rsidR="00802085">
        <w:rPr>
          <w:lang w:val="en-US"/>
        </w:rPr>
        <w:t xml:space="preserve">. </w:t>
      </w:r>
    </w:p>
    <w:p w:rsidR="00C634EF" w:rsidRDefault="00802085" w:rsidP="00FC7A2B">
      <w:pPr>
        <w:keepNext/>
        <w:spacing w:line="240" w:lineRule="auto"/>
        <w:jc w:val="center"/>
      </w:pPr>
      <w:r w:rsidRPr="00802085">
        <w:rPr>
          <w:noProof/>
        </w:rPr>
        <w:drawing>
          <wp:inline distT="0" distB="0" distL="0" distR="0" wp14:anchorId="5A26F1CA" wp14:editId="2316AAA7">
            <wp:extent cx="3976577" cy="1913568"/>
            <wp:effectExtent l="0" t="0" r="5080" b="0"/>
            <wp:docPr id="105" name="Picture 2" descr="A screenshot of a video game&#10;&#10;Description generated with low confidence">
              <a:extLst xmlns:a="http://schemas.openxmlformats.org/drawingml/2006/main">
                <a:ext uri="{FF2B5EF4-FFF2-40B4-BE49-F238E27FC236}">
                  <a16:creationId xmlns:a16="http://schemas.microsoft.com/office/drawing/2014/main" id="{D2B5766A-9D61-408E-86A7-C57CFDC75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video game&#10;&#10;Description generated with low confidence">
                      <a:extLst>
                        <a:ext uri="{FF2B5EF4-FFF2-40B4-BE49-F238E27FC236}">
                          <a16:creationId xmlns:a16="http://schemas.microsoft.com/office/drawing/2014/main" id="{D2B5766A-9D61-408E-86A7-C57CFDC75A7C}"/>
                        </a:ext>
                      </a:extLst>
                    </pic:cNvPr>
                    <pic:cNvPicPr>
                      <a:picLocks noChangeAspect="1"/>
                    </pic:cNvPicPr>
                  </pic:nvPicPr>
                  <pic:blipFill rotWithShape="1">
                    <a:blip r:embed="rId25"/>
                    <a:srcRect l="3451" t="29423" r="34401" b="19450"/>
                    <a:stretch/>
                  </pic:blipFill>
                  <pic:spPr>
                    <a:xfrm>
                      <a:off x="0" y="0"/>
                      <a:ext cx="3976577" cy="1913568"/>
                    </a:xfrm>
                    <a:prstGeom prst="rect">
                      <a:avLst/>
                    </a:prstGeom>
                  </pic:spPr>
                </pic:pic>
              </a:graphicData>
            </a:graphic>
          </wp:inline>
        </w:drawing>
      </w:r>
    </w:p>
    <w:p w:rsidR="00C52506" w:rsidRDefault="00C82962" w:rsidP="00A223A8">
      <w:pPr>
        <w:pStyle w:val="Caption"/>
        <w:jc w:val="center"/>
        <w:rPr>
          <w:lang w:val="en-US"/>
        </w:rPr>
      </w:pPr>
      <w:bookmarkStart w:id="34" w:name="_Ref29980681"/>
      <w:bookmarkStart w:id="35" w:name="_Ref31802267"/>
      <w:r>
        <w:rPr>
          <w:color w:val="auto"/>
          <w:sz w:val="20"/>
          <w:szCs w:val="20"/>
          <w:lang w:val="en-US"/>
        </w:rPr>
        <w:t>Figure</w:t>
      </w:r>
      <w:r w:rsidR="00C634EF" w:rsidRPr="004B0154">
        <w:rPr>
          <w:color w:val="auto"/>
          <w:sz w:val="20"/>
          <w:szCs w:val="20"/>
          <w:lang w:val="en-US"/>
        </w:rPr>
        <w:t xml:space="preserve"> </w:t>
      </w:r>
      <w:r w:rsidR="00C634EF" w:rsidRPr="004B0154">
        <w:rPr>
          <w:color w:val="auto"/>
          <w:sz w:val="20"/>
          <w:szCs w:val="20"/>
        </w:rPr>
        <w:fldChar w:fldCharType="begin"/>
      </w:r>
      <w:r w:rsidR="00C634EF" w:rsidRPr="004B0154">
        <w:rPr>
          <w:color w:val="auto"/>
          <w:sz w:val="20"/>
          <w:szCs w:val="20"/>
          <w:lang w:val="en-US"/>
        </w:rPr>
        <w:instrText xml:space="preserve"> SEQ Figure \* ARABIC </w:instrText>
      </w:r>
      <w:r w:rsidR="00C634EF" w:rsidRPr="004B0154">
        <w:rPr>
          <w:color w:val="auto"/>
          <w:sz w:val="20"/>
          <w:szCs w:val="20"/>
        </w:rPr>
        <w:fldChar w:fldCharType="separate"/>
      </w:r>
      <w:r w:rsidR="00C52506">
        <w:rPr>
          <w:noProof/>
          <w:color w:val="auto"/>
          <w:sz w:val="20"/>
          <w:szCs w:val="20"/>
          <w:lang w:val="en-US"/>
        </w:rPr>
        <w:t>9</w:t>
      </w:r>
      <w:r w:rsidR="00C634EF" w:rsidRPr="004B0154">
        <w:rPr>
          <w:color w:val="auto"/>
          <w:sz w:val="20"/>
          <w:szCs w:val="20"/>
        </w:rPr>
        <w:fldChar w:fldCharType="end"/>
      </w:r>
      <w:bookmarkEnd w:id="34"/>
      <w:r w:rsidR="00C634EF" w:rsidRPr="004B0154">
        <w:rPr>
          <w:color w:val="auto"/>
          <w:sz w:val="20"/>
          <w:szCs w:val="20"/>
          <w:lang w:val="en-US"/>
        </w:rPr>
        <w:t xml:space="preserve">: A: Schematic representation of the optimal packing of dumbbells on a larger sphere. </w:t>
      </w:r>
      <w:r w:rsidR="00C634EF" w:rsidRPr="00000519">
        <w:rPr>
          <w:color w:val="auto"/>
          <w:sz w:val="20"/>
          <w:szCs w:val="20"/>
          <w:lang w:val="en-US"/>
        </w:rPr>
        <w:t>B: Schematic representation of the geometry of a dumbbel</w:t>
      </w:r>
      <w:r w:rsidR="00726196">
        <w:rPr>
          <w:color w:val="auto"/>
          <w:sz w:val="20"/>
          <w:szCs w:val="20"/>
          <w:lang w:val="en-US"/>
        </w:rPr>
        <w:fldChar w:fldCharType="begin" w:fldLock="1"/>
      </w:r>
      <w:r w:rsidR="00FB6101">
        <w:rPr>
          <w:color w:val="auto"/>
          <w:sz w:val="20"/>
          <w:szCs w:val="20"/>
          <w:lang w:val="en-US"/>
        </w:rPr>
        <w:instrText>ADDIN CSL_CITATION { "citationItems" : [ { "id" : "ITEM-1", "itemData" : { "DOI" : "10.1021/acs.langmuir.7b00014", "ISBN" : "1520-5827 (Electronic)\r0743-7463 (Linking)", "ISSN" : "15205827", "PMID" : "28272895", "abstract" : "In this paper, we demonstrate the stabilization of polystyrene microspheres by encapsulating them with dumbbell-shaped colloids with a sticky and a nonsticky lobe. Upon adding a depletant, an effective short ranged attraction is induced between the microspheres and the smaller, smooth lobes of the dumbbells, making those specifically sticky, whereas the interaction with the larger lobes of the dumbbells is considerably less attractive due to their rough surface, which reduces the overlap volume and leaves them nonsticky. The encapsulation of the microspheres by these rough-smooth patchy dumbbells is investigated using a combination of experiments and computer simulations, both resulting in partial coverage of the template particles. For larger microspheres, the depletion attraction is stronger, resulting in a larger fraction of dumbbells that are attached with both lobes to the surface of microspheres. We thus find a template curvature dependent orientation of the dumbbells. In the Monte Carlo simulations, the introduction of such a small, curvature dependent attraction between the rough lobes of the dumbbells resulted in an increased coverage. However, kinetic constraints imposed by the dumbbell geometry seem to prevent optimal packing of the dumbbells on the template particles under all investigated conditions in experiments and simulations. Despite the incomplete coverage, the encapsulation by dumbbell particles does prevent aggregation of the microspheres, thus acting as a colloid-sized steric stabilizer.", "author" : [ { "dropping-particle" : "", "family" : "Wolters", "given" : "Joost R.", "non-dropping-particle" : "", "parse-names" : false, "suffix" : "" }, { "dropping-particle" : "", "family" : "Verweij", "given" : "Joanne E.", "non-dropping-particle" : "", "parse-names" : false, "suffix" : "" }, { "dropping-particle" : "", "family" : "Avvisati", "given" : "Guido", "non-dropping-particle" : "", "parse-names" : false, "suffix" : "" }, { "dropping-particle" : "", "family" : "Dijkstra", "given" : "Marjolein", "non-dropping-particle" : "", "parse-names" : false, "suffix" : "" }, { "dropping-particle" : "", "family" : "Kegel", "given" : "Willem K.", "non-dropping-particle" : "", "parse-names" : false, "suffix" : "" } ], "container-title" : "Langmuir", "id" : "ITEM-1", "issue" : "13", "issued" : { "date-parts" : [ [ "2017" ] ] }, "page" : "3270-3280", "title" : "Depletion-Induced Encapsulation by Dumbbell-Shaped Patchy Colloids Stabilize Microspheres against Aggregation", "type" : "article-journal", "volume" : "33" }, "uris" : [ "http://www.mendeley.com/documents/?uuid=e457da4b-c8a5-47ef-9f3c-c81ade40547f" ] } ], "mendeley" : { "formattedCitation" : "&lt;sup&gt;27&lt;/sup&gt;", "plainTextFormattedCitation" : "27", "previouslyFormattedCitation" : "&lt;sup&gt;27&lt;/sup&gt;" }, "properties" : { "noteIndex" : 0 }, "schema" : "https://github.com/citation-style-language/schema/raw/master/csl-citation.json" }</w:instrText>
      </w:r>
      <w:r w:rsidR="00726196">
        <w:rPr>
          <w:color w:val="auto"/>
          <w:sz w:val="20"/>
          <w:szCs w:val="20"/>
          <w:lang w:val="en-US"/>
        </w:rPr>
        <w:fldChar w:fldCharType="separate"/>
      </w:r>
      <w:r w:rsidR="00DE131C" w:rsidRPr="00DE131C">
        <w:rPr>
          <w:i w:val="0"/>
          <w:noProof/>
          <w:color w:val="auto"/>
          <w:sz w:val="20"/>
          <w:szCs w:val="20"/>
          <w:vertAlign w:val="superscript"/>
          <w:lang w:val="en-US"/>
        </w:rPr>
        <w:t>27</w:t>
      </w:r>
      <w:r w:rsidR="00726196">
        <w:rPr>
          <w:color w:val="auto"/>
          <w:sz w:val="20"/>
          <w:szCs w:val="20"/>
          <w:lang w:val="en-US"/>
        </w:rPr>
        <w:fldChar w:fldCharType="end"/>
      </w:r>
      <w:r w:rsidR="00C634EF" w:rsidRPr="00000519">
        <w:rPr>
          <w:color w:val="auto"/>
          <w:sz w:val="20"/>
          <w:szCs w:val="20"/>
          <w:lang w:val="en-US"/>
        </w:rPr>
        <w:t>.</w:t>
      </w:r>
      <w:bookmarkEnd w:id="35"/>
    </w:p>
    <w:p w:rsidR="004B0154" w:rsidRDefault="004B0154" w:rsidP="00FC7A2B">
      <w:pPr>
        <w:spacing w:line="240" w:lineRule="auto"/>
        <w:rPr>
          <w:rFonts w:cstheme="minorHAnsi"/>
          <w:lang w:val="en-US"/>
        </w:rPr>
      </w:pPr>
      <w:r>
        <w:rPr>
          <w:lang w:val="en-US"/>
        </w:rPr>
        <w:t xml:space="preserve">The amount of smaller spheres that can optimally pack on a larger sphere is determined by the angle </w:t>
      </w:r>
      <w:r>
        <w:rPr>
          <w:rFonts w:cstheme="minorHAnsi"/>
          <w:lang w:val="en-US"/>
        </w:rPr>
        <w:t xml:space="preserve">θ, which is defined in equation </w:t>
      </w:r>
      <w:r w:rsidR="00167472">
        <w:rPr>
          <w:rFonts w:cstheme="minorHAnsi"/>
          <w:lang w:val="en-US"/>
        </w:rPr>
        <w:t>10</w:t>
      </w:r>
      <w:r w:rsidR="00000519">
        <w:rPr>
          <w:rFonts w:cstheme="minorHAnsi"/>
          <w:lang w:val="en-US"/>
        </w:rPr>
        <w:fldChar w:fldCharType="begin" w:fldLock="1"/>
      </w:r>
      <w:r w:rsidR="00FB6101">
        <w:rPr>
          <w:rFonts w:cstheme="minorHAnsi"/>
          <w:lang w:val="en-US"/>
        </w:rPr>
        <w:instrText>ADDIN CSL_CITATION { "citationItems" : [ { "id" : "ITEM-1", "itemData" : { "DOI" : "10.1021/la8041555", "ISSN" : "07437463", "abstract" : "The adsorption of small silica particles onto large sterically stabilized poly(2-vinylpyridine) [P2VP] latex particles in aqueous solution is assessed as a potential route to nanocomposite particles with a \"core-shell\" morphology. Geometric considerations allow the packing efficiency, P, to be related to the number of adsorbed silica particles per latex particle, N. Making no assumptions about the packing structure, this approach leads to a theoretical estimate for P of 86\u00b1 4%. Experimentally, dynamic light scattering is used to obtain a plot of hydrodynamic diameter against N, which indicates the conditions required for monolayer coverage of the latex by the silica particles. Transmission electron microscopy confirmed that, at approximately monolayer coverage, calcination of these nanocomposite particles led to the formation of well-defined hollow silica shells. This is interpreted as strong evidence for a contiguous monolayer of silica particles surrounding the latex cores. On this basis, an experimental value for P of 69 \u00b1 4% was estimated for nanocomposite particles prepared by the heteroflocculation of a 20 nm silica sol with near-monodisperse P2VP latexes of either 463 or 616 nm diameter at approximately pH 10. X-ray photoelectron spectroscopy was used to quantify the extent of latex surface coverage by the silica particles. This technique gave good agreement with the silica packing efficiencies estimated from calcination studies. \u00a92009 American Chemical Society.", "author" : [ { "dropping-particle" : "", "family" : "Balmer", "given" : "Jennifer A.", "non-dropping-particle" : "", "parse-names" : false, "suffix" : "" }, { "dropping-particle" : "", "family" : "Armes", "given" : "Steven P.", "non-dropping-particle" : "", "parse-names" : false, "suffix" : "" }, { "dropping-particle" : "", "family" : "Fowler", "given" : "Patrick W.", "non-dropping-particle" : "", "parse-names" : false, "suffix" : "" }, { "dropping-particle" : "", "family" : "Tarnai", "given" : "Tibor", "non-dropping-particle" : "", "parse-names" : false, "suffix" : "" }, { "dropping-particle" : "", "family" : "G\u00e1sp\u00e1r", "given" : "Zsolt", "non-dropping-particle" : "", "parse-names" : false, "suffix" : "" }, { "dropping-particle" : "", "family" : "Murray", "given" : "Kenneth A.", "non-dropping-particle" : "", "parse-names" : false, "suffix" : "" }, { "dropping-particle" : "", "family" : "Williams", "given" : "Neal S.J.", "non-dropping-particle" : "", "parse-names" : false, "suffix" : "" } ], "container-title" : "Langmuir", "id" : "ITEM-1", "issue" : "9", "issued" : { "date-parts" : [ [ "2009" ] ] }, "page" : "5339-5347", "title" : "Packing efficiency of small silica particles on large latex particles: A facile route to colloidal nanocomposites", "type" : "article-journal", "volume" : "25" }, "uris" : [ "http://www.mendeley.com/documents/?uuid=ad25e00a-f973-4197-84fa-aa766b4bd1da" ] } ], "mendeley" : { "formattedCitation" : "&lt;sup&gt;55&lt;/sup&gt;", "plainTextFormattedCitation" : "55", "previouslyFormattedCitation" : "&lt;sup&gt;55&lt;/sup&gt;" }, "properties" : { "noteIndex" : 0 }, "schema" : "https://github.com/citation-style-language/schema/raw/master/csl-citation.json" }</w:instrText>
      </w:r>
      <w:r w:rsidR="00000519">
        <w:rPr>
          <w:rFonts w:cstheme="minorHAnsi"/>
          <w:lang w:val="en-US"/>
        </w:rPr>
        <w:fldChar w:fldCharType="separate"/>
      </w:r>
      <w:r w:rsidR="00DE131C" w:rsidRPr="00DE131C">
        <w:rPr>
          <w:rFonts w:cstheme="minorHAnsi"/>
          <w:noProof/>
          <w:vertAlign w:val="superscript"/>
          <w:lang w:val="en-US"/>
        </w:rPr>
        <w:t>55</w:t>
      </w:r>
      <w:r w:rsidR="00000519">
        <w:rPr>
          <w:rFonts w:cstheme="minorHAnsi"/>
          <w:lang w:val="en-US"/>
        </w:rPr>
        <w:fldChar w:fldCharType="end"/>
      </w:r>
      <w:r>
        <w:rPr>
          <w:rFonts w:cstheme="minorHAnsi"/>
          <w:lang w:val="en-US"/>
        </w:rPr>
        <w:t>.</w:t>
      </w:r>
    </w:p>
    <w:p w:rsidR="004B0154" w:rsidRPr="004B0154" w:rsidRDefault="00767BE6" w:rsidP="00FC7A2B">
      <w:pPr>
        <w:spacing w:line="240" w:lineRule="auto"/>
        <w:rPr>
          <w:rFonts w:eastAsiaTheme="minorEastAsia" w:cstheme="minorHAnsi"/>
          <w:lang w:val="en-US"/>
        </w:rPr>
      </w:pPr>
      <m:oMathPara>
        <m:oMath>
          <m:eqArr>
            <m:eqArrPr>
              <m:maxDist m:val="1"/>
              <m:ctrlPr>
                <w:rPr>
                  <w:rFonts w:ascii="Cambria Math" w:hAnsi="Cambria Math"/>
                  <w:i/>
                  <w:lang w:val="en-US"/>
                </w:rPr>
              </m:ctrlPr>
            </m:eqArrPr>
            <m:e>
              <m:func>
                <m:funcPr>
                  <m:ctrlPr>
                    <w:rPr>
                      <w:rFonts w:ascii="Cambria Math" w:hAnsi="Cambria Math"/>
                      <w:i/>
                      <w:lang w:val="en-US"/>
                    </w:rPr>
                  </m:ctrlPr>
                </m:funcPr>
                <m:fName>
                  <m:r>
                    <m:rPr>
                      <m:sty m:val="p"/>
                    </m:rPr>
                    <w:rPr>
                      <w:rFonts w:ascii="Cambria Math" w:hAnsi="Cambria Math"/>
                    </w:rPr>
                    <m:t>sin</m:t>
                  </m:r>
                </m:fName>
                <m:e>
                  <m:r>
                    <w:rPr>
                      <w:rFonts w:ascii="Cambria Math" w:hAnsi="Cambria Math"/>
                      <w:lang w:val="en-US"/>
                    </w:rPr>
                    <m:t>θ</m:t>
                  </m:r>
                </m:e>
              </m:func>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den>
              </m:f>
              <m:r>
                <w:rPr>
                  <w:rFonts w:ascii="Cambria Math" w:hAnsi="Cambria Math"/>
                  <w:lang w:val="en-US"/>
                </w:rPr>
                <m:t>#</m:t>
              </m:r>
              <m:d>
                <m:dPr>
                  <m:ctrlPr>
                    <w:rPr>
                      <w:rFonts w:ascii="Cambria Math" w:hAnsi="Cambria Math"/>
                      <w:i/>
                      <w:lang w:val="en-US"/>
                    </w:rPr>
                  </m:ctrlPr>
                </m:dPr>
                <m:e>
                  <m:r>
                    <w:rPr>
                      <w:rFonts w:ascii="Cambria Math" w:hAnsi="Cambria Math"/>
                      <w:lang w:val="en-US"/>
                    </w:rPr>
                    <m:t>10</m:t>
                  </m:r>
                </m:e>
              </m:d>
            </m:e>
          </m:eqArr>
        </m:oMath>
      </m:oMathPara>
    </w:p>
    <w:p w:rsidR="00A223A8" w:rsidRDefault="004B0154" w:rsidP="00FC7A2B">
      <w:pPr>
        <w:spacing w:line="240" w:lineRule="auto"/>
        <w:rPr>
          <w:rFonts w:eastAsiaTheme="minorEastAsia" w:cstheme="minorHAnsi"/>
          <w:lang w:val="en-US"/>
        </w:rPr>
      </w:pPr>
      <w:r>
        <w:rPr>
          <w:rFonts w:eastAsiaTheme="minorEastAsia" w:cstheme="minorHAnsi"/>
          <w:lang w:val="en-US"/>
        </w:rPr>
        <w:t>Here, R</w:t>
      </w:r>
      <w:r>
        <w:rPr>
          <w:rFonts w:eastAsiaTheme="minorEastAsia" w:cstheme="minorHAnsi"/>
          <w:vertAlign w:val="subscript"/>
          <w:lang w:val="en-US"/>
        </w:rPr>
        <w:t>s</w:t>
      </w:r>
      <w:r>
        <w:rPr>
          <w:rFonts w:eastAsiaTheme="minorEastAsia" w:cstheme="minorHAnsi"/>
          <w:lang w:val="en-US"/>
        </w:rPr>
        <w:t xml:space="preserve"> is the radius of the small red sphere and R</w:t>
      </w:r>
      <w:r>
        <w:rPr>
          <w:rFonts w:eastAsiaTheme="minorEastAsia" w:cstheme="minorHAnsi"/>
          <w:vertAlign w:val="subscript"/>
          <w:lang w:val="en-US"/>
        </w:rPr>
        <w:t>m</w:t>
      </w:r>
      <w:r>
        <w:rPr>
          <w:rFonts w:eastAsiaTheme="minorEastAsia" w:cstheme="minorHAnsi"/>
          <w:lang w:val="en-US"/>
        </w:rPr>
        <w:t xml:space="preserve"> the radius of the larger encapsulated sphere. </w:t>
      </w:r>
    </w:p>
    <w:p w:rsidR="004B0154" w:rsidRDefault="004B0154" w:rsidP="00FC7A2B">
      <w:pPr>
        <w:spacing w:line="240" w:lineRule="auto"/>
        <w:rPr>
          <w:lang w:val="en-US"/>
        </w:rPr>
      </w:pPr>
      <w:r>
        <w:rPr>
          <w:lang w:val="en-US"/>
        </w:rPr>
        <w:lastRenderedPageBreak/>
        <w:t xml:space="preserve">Optimal packing of dumbbells on a larger sphere is achieved when the small red spheres of the dumbbells </w:t>
      </w:r>
      <w:r w:rsidR="00A223A8" w:rsidRPr="00A223A8">
        <w:rPr>
          <w:lang w:val="en-US"/>
        </w:rPr>
        <w:t>(</w:t>
      </w:r>
      <w:r w:rsidR="00A223A8" w:rsidRPr="00A223A8">
        <w:rPr>
          <w:lang w:val="en-US"/>
        </w:rPr>
        <w:fldChar w:fldCharType="begin"/>
      </w:r>
      <w:r w:rsidR="00A223A8" w:rsidRPr="00A223A8">
        <w:rPr>
          <w:lang w:val="en-US"/>
        </w:rPr>
        <w:instrText xml:space="preserve"> REF _Ref31802267 \h </w:instrText>
      </w:r>
      <w:r w:rsidR="00A223A8">
        <w:rPr>
          <w:lang w:val="en-US"/>
        </w:rPr>
        <w:instrText xml:space="preserve"> \* MERGEFORMAT </w:instrText>
      </w:r>
      <w:r w:rsidR="00A223A8" w:rsidRPr="00A223A8">
        <w:rPr>
          <w:lang w:val="en-US"/>
        </w:rPr>
      </w:r>
      <w:r w:rsidR="00A223A8" w:rsidRPr="00A223A8">
        <w:rPr>
          <w:lang w:val="en-US"/>
        </w:rPr>
        <w:fldChar w:fldCharType="separate"/>
      </w:r>
      <w:r w:rsidR="00A223A8" w:rsidRPr="00A223A8">
        <w:rPr>
          <w:lang w:val="en-US"/>
        </w:rPr>
        <w:t xml:space="preserve">Figure </w:t>
      </w:r>
      <w:r w:rsidR="00A223A8" w:rsidRPr="00A223A8">
        <w:rPr>
          <w:noProof/>
          <w:lang w:val="en-US"/>
        </w:rPr>
        <w:t>9</w:t>
      </w:r>
      <w:r w:rsidR="00A223A8" w:rsidRPr="00A223A8">
        <w:rPr>
          <w:lang w:val="en-US"/>
        </w:rPr>
        <w:t>)</w:t>
      </w:r>
      <w:r w:rsidR="00A223A8" w:rsidRPr="00A223A8">
        <w:rPr>
          <w:lang w:val="en-US"/>
        </w:rPr>
        <w:fldChar w:fldCharType="end"/>
      </w:r>
      <w:r w:rsidR="00A223A8" w:rsidRPr="00A223A8">
        <w:rPr>
          <w:lang w:val="en-US"/>
        </w:rPr>
        <w:t xml:space="preserve"> </w:t>
      </w:r>
      <w:r w:rsidRPr="00A223A8">
        <w:rPr>
          <w:lang w:val="en-US"/>
        </w:rPr>
        <w:t>are</w:t>
      </w:r>
      <w:r>
        <w:rPr>
          <w:lang w:val="en-US"/>
        </w:rPr>
        <w:t xml:space="preserve"> in contact with the other small red spheres. Thus, the optimal packing of dumbbells is determined by the optimal angle between the two lobes of the dumbbell </w:t>
      </w:r>
      <w:r w:rsidRPr="007669D6">
        <w:rPr>
          <w:rFonts w:cstheme="minorHAnsi"/>
          <w:lang w:val="en-US"/>
        </w:rPr>
        <w:t>θ</w:t>
      </w:r>
      <w:r w:rsidRPr="007669D6">
        <w:rPr>
          <w:vertAlign w:val="subscript"/>
          <w:lang w:val="en-US"/>
        </w:rPr>
        <w:t>db</w:t>
      </w:r>
      <w:r w:rsidR="007669D6" w:rsidRPr="007669D6">
        <w:rPr>
          <w:lang w:val="en-US"/>
        </w:rPr>
        <w:t xml:space="preserve"> (</w:t>
      </w:r>
      <w:r w:rsidR="007669D6" w:rsidRPr="007669D6">
        <w:rPr>
          <w:lang w:val="en-US"/>
        </w:rPr>
        <w:fldChar w:fldCharType="begin"/>
      </w:r>
      <w:r w:rsidR="007669D6" w:rsidRPr="007669D6">
        <w:rPr>
          <w:lang w:val="en-US"/>
        </w:rPr>
        <w:instrText xml:space="preserve"> REF _Ref29980681 \h </w:instrText>
      </w:r>
      <w:r w:rsidR="007669D6">
        <w:rPr>
          <w:lang w:val="en-US"/>
        </w:rPr>
        <w:instrText xml:space="preserve"> \* MERGEFORMAT </w:instrText>
      </w:r>
      <w:r w:rsidR="007669D6" w:rsidRPr="007669D6">
        <w:rPr>
          <w:lang w:val="en-US"/>
        </w:rPr>
      </w:r>
      <w:r w:rsidR="007669D6" w:rsidRPr="007669D6">
        <w:rPr>
          <w:lang w:val="en-US"/>
        </w:rPr>
        <w:fldChar w:fldCharType="separate"/>
      </w:r>
      <w:r w:rsidR="00C52506" w:rsidRPr="00C52506">
        <w:rPr>
          <w:lang w:val="en-US"/>
        </w:rPr>
        <w:t xml:space="preserve">Figure </w:t>
      </w:r>
      <w:r w:rsidR="00C52506" w:rsidRPr="00C52506">
        <w:rPr>
          <w:noProof/>
          <w:lang w:val="en-US"/>
        </w:rPr>
        <w:t>9</w:t>
      </w:r>
      <w:r w:rsidR="007669D6" w:rsidRPr="007669D6">
        <w:rPr>
          <w:lang w:val="en-US"/>
        </w:rPr>
        <w:fldChar w:fldCharType="end"/>
      </w:r>
      <w:r w:rsidR="007669D6" w:rsidRPr="007669D6">
        <w:rPr>
          <w:lang w:val="en-US"/>
        </w:rPr>
        <w:t>B)</w:t>
      </w:r>
      <w:r w:rsidRPr="007669D6">
        <w:rPr>
          <w:lang w:val="en-US"/>
        </w:rPr>
        <w:t>, which</w:t>
      </w:r>
      <w:r>
        <w:rPr>
          <w:lang w:val="en-US"/>
        </w:rPr>
        <w:t xml:space="preserve"> is defined in equation 1</w:t>
      </w:r>
      <w:r w:rsidR="00167472">
        <w:rPr>
          <w:lang w:val="en-US"/>
        </w:rPr>
        <w:t>1</w:t>
      </w:r>
      <w:r>
        <w:rPr>
          <w:lang w:val="en-US"/>
        </w:rPr>
        <w:t>.</w:t>
      </w:r>
    </w:p>
    <w:p w:rsidR="004B0154" w:rsidRPr="00EB67FE" w:rsidRDefault="00767BE6" w:rsidP="00FC7A2B">
      <w:pPr>
        <w:spacing w:line="240" w:lineRule="auto"/>
        <w:rPr>
          <w:rFonts w:eastAsiaTheme="minorEastAsia"/>
          <w:lang w:val="en-US"/>
        </w:rPr>
      </w:pPr>
      <m:oMathPara>
        <m:oMath>
          <m:eqArr>
            <m:eqArrPr>
              <m:maxDist m:val="1"/>
              <m:ctrlPr>
                <w:rPr>
                  <w:rFonts w:ascii="Cambria Math" w:eastAsiaTheme="minorEastAsia" w:hAnsi="Cambria Math" w:cstheme="minorHAnsi"/>
                  <w:i/>
                  <w:lang w:val="en-US"/>
                </w:rPr>
              </m:ctrlPr>
            </m:eqArrPr>
            <m:e>
              <m:func>
                <m:funcPr>
                  <m:ctrlPr>
                    <w:rPr>
                      <w:rFonts w:ascii="Cambria Math" w:eastAsiaTheme="minorEastAsia" w:hAnsi="Cambria Math" w:cstheme="minorHAnsi"/>
                      <w:i/>
                      <w:lang w:val="en-US"/>
                    </w:rPr>
                  </m:ctrlPr>
                </m:funcPr>
                <m:fName>
                  <m:r>
                    <m:rPr>
                      <m:sty m:val="p"/>
                    </m:rPr>
                    <w:rPr>
                      <w:rFonts w:ascii="Cambria Math" w:hAnsi="Cambria Math" w:cstheme="minorHAnsi"/>
                    </w:rPr>
                    <m:t>sin</m:t>
                  </m:r>
                </m:fName>
                <m:e>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θ</m:t>
                      </m:r>
                    </m:e>
                    <m:sub>
                      <m:r>
                        <w:rPr>
                          <w:rFonts w:ascii="Cambria Math" w:eastAsiaTheme="minorEastAsia" w:hAnsi="Cambria Math" w:cstheme="minorHAnsi"/>
                          <w:lang w:val="en-US"/>
                        </w:rPr>
                        <m:t>db</m:t>
                      </m:r>
                    </m:sub>
                  </m:sSub>
                </m:e>
              </m:func>
              <m:r>
                <w:rPr>
                  <w:rFonts w:ascii="Cambria Math" w:eastAsiaTheme="minorEastAsia" w:hAnsi="Cambria Math" w:cstheme="minorHAnsi"/>
                  <w:lang w:val="en-US"/>
                </w:rPr>
                <m:t>=</m:t>
              </m:r>
              <m:f>
                <m:fPr>
                  <m:ctrlPr>
                    <w:rPr>
                      <w:rFonts w:ascii="Cambria Math" w:eastAsiaTheme="minorEastAsia" w:hAnsi="Cambria Math" w:cstheme="minorHAnsi"/>
                      <w:i/>
                      <w:lang w:val="en-US"/>
                    </w:rPr>
                  </m:ctrlPr>
                </m:fPr>
                <m:num>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lang w:val="en-US"/>
                        </w:rPr>
                        <m:t>r</m:t>
                      </m:r>
                    </m:sub>
                  </m:sSub>
                  <m:r>
                    <w:rPr>
                      <w:rFonts w:ascii="Cambria Math" w:eastAsiaTheme="minorEastAsia" w:hAnsi="Cambria Math" w:cstheme="minorHAnsi"/>
                      <w:lang w:val="en-US"/>
                    </w:rPr>
                    <m:t xml:space="preserve"> - </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lang w:val="en-US"/>
                        </w:rPr>
                        <m:t>s</m:t>
                      </m:r>
                    </m:sub>
                  </m:sSub>
                </m:num>
                <m:den>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lang w:val="en-US"/>
                        </w:rPr>
                        <m:t>r</m:t>
                      </m:r>
                    </m:sub>
                  </m:sSub>
                  <m:r>
                    <w:rPr>
                      <w:rFonts w:ascii="Cambria Math" w:eastAsiaTheme="minorEastAsia" w:hAnsi="Cambria Math" w:cstheme="minorHAnsi"/>
                      <w:lang w:val="en-US"/>
                    </w:rPr>
                    <m:t>+</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lang w:val="en-US"/>
                        </w:rPr>
                        <m:t>s</m:t>
                      </m:r>
                    </m:sub>
                  </m:sSub>
                </m:den>
              </m:f>
              <m:r>
                <w:rPr>
                  <w:rFonts w:ascii="Cambria Math" w:eastAsiaTheme="minorEastAsia" w:hAnsi="Cambria Math" w:cstheme="minorHAnsi"/>
                  <w:lang w:val="en-US"/>
                </w:rPr>
                <m:t>#</m:t>
              </m:r>
              <m:d>
                <m:dPr>
                  <m:ctrlPr>
                    <w:rPr>
                      <w:rFonts w:ascii="Cambria Math" w:eastAsiaTheme="minorEastAsia" w:hAnsi="Cambria Math" w:cstheme="minorHAnsi"/>
                      <w:i/>
                      <w:lang w:val="en-US"/>
                    </w:rPr>
                  </m:ctrlPr>
                </m:dPr>
                <m:e>
                  <m:r>
                    <w:rPr>
                      <w:rFonts w:ascii="Cambria Math" w:eastAsiaTheme="minorEastAsia" w:hAnsi="Cambria Math" w:cstheme="minorHAnsi"/>
                      <w:lang w:val="en-US"/>
                    </w:rPr>
                    <m:t>11</m:t>
                  </m:r>
                </m:e>
              </m:d>
            </m:e>
          </m:eqArr>
        </m:oMath>
      </m:oMathPara>
    </w:p>
    <w:p w:rsidR="00EB67FE" w:rsidRDefault="00CD324E" w:rsidP="00FC7A2B">
      <w:pPr>
        <w:spacing w:line="240" w:lineRule="auto"/>
        <w:rPr>
          <w:rFonts w:eastAsiaTheme="minorEastAsia"/>
          <w:lang w:val="en-US"/>
        </w:rPr>
      </w:pPr>
      <w:r>
        <w:rPr>
          <w:rFonts w:eastAsiaTheme="minorEastAsia"/>
          <w:lang w:val="en-US"/>
        </w:rPr>
        <w:t xml:space="preserve">Here, </w:t>
      </w:r>
      <m:oMath>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lang w:val="en-US"/>
              </w:rPr>
              <m:t>r</m:t>
            </m:r>
          </m:sub>
        </m:sSub>
      </m:oMath>
      <w:r>
        <w:rPr>
          <w:rFonts w:eastAsiaTheme="minorEastAsia"/>
          <w:lang w:val="en-US"/>
        </w:rPr>
        <w:t xml:space="preserve"> is the radius of the blue sphere of the dumbbell </w:t>
      </w:r>
      <w:r w:rsidRPr="00A223A8">
        <w:rPr>
          <w:lang w:val="en-US"/>
        </w:rPr>
        <w:t>(</w:t>
      </w:r>
      <w:r w:rsidRPr="00A223A8">
        <w:rPr>
          <w:lang w:val="en-US"/>
        </w:rPr>
        <w:fldChar w:fldCharType="begin"/>
      </w:r>
      <w:r w:rsidRPr="00A223A8">
        <w:rPr>
          <w:lang w:val="en-US"/>
        </w:rPr>
        <w:instrText xml:space="preserve"> REF _Ref31802267 \h </w:instrText>
      </w:r>
      <w:r>
        <w:rPr>
          <w:lang w:val="en-US"/>
        </w:rPr>
        <w:instrText xml:space="preserve"> \* MERGEFORMAT </w:instrText>
      </w:r>
      <w:r w:rsidRPr="00A223A8">
        <w:rPr>
          <w:lang w:val="en-US"/>
        </w:rPr>
      </w:r>
      <w:r w:rsidRPr="00A223A8">
        <w:rPr>
          <w:lang w:val="en-US"/>
        </w:rPr>
        <w:fldChar w:fldCharType="separate"/>
      </w:r>
      <w:r w:rsidRPr="00A223A8">
        <w:rPr>
          <w:lang w:val="en-US"/>
        </w:rPr>
        <w:t xml:space="preserve">Figure </w:t>
      </w:r>
      <w:r w:rsidRPr="00A223A8">
        <w:rPr>
          <w:noProof/>
          <w:lang w:val="en-US"/>
        </w:rPr>
        <w:t>9</w:t>
      </w:r>
      <w:r w:rsidRPr="00A223A8">
        <w:rPr>
          <w:lang w:val="en-US"/>
        </w:rPr>
        <w:t>)</w:t>
      </w:r>
      <w:r w:rsidRPr="00A223A8">
        <w:rPr>
          <w:lang w:val="en-US"/>
        </w:rPr>
        <w:fldChar w:fldCharType="end"/>
      </w:r>
      <w:r>
        <w:rPr>
          <w:lang w:val="en-US"/>
        </w:rPr>
        <w:t xml:space="preserve">. </w:t>
      </w:r>
      <w:r w:rsidR="007669D6">
        <w:rPr>
          <w:rFonts w:eastAsiaTheme="minorEastAsia"/>
          <w:lang w:val="en-US"/>
        </w:rPr>
        <w:t>From this, the ideal radius of R</w:t>
      </w:r>
      <w:r w:rsidR="007669D6">
        <w:rPr>
          <w:rFonts w:eastAsiaTheme="minorEastAsia"/>
          <w:vertAlign w:val="subscript"/>
          <w:lang w:val="en-US"/>
        </w:rPr>
        <w:t>m</w:t>
      </w:r>
      <w:r w:rsidR="007669D6">
        <w:rPr>
          <w:rFonts w:eastAsiaTheme="minorEastAsia"/>
          <w:lang w:val="en-US"/>
        </w:rPr>
        <w:t xml:space="preserve"> (R</w:t>
      </w:r>
      <w:r w:rsidR="007669D6">
        <w:rPr>
          <w:rFonts w:eastAsiaTheme="minorEastAsia"/>
          <w:vertAlign w:val="subscript"/>
          <w:lang w:val="en-US"/>
        </w:rPr>
        <w:t>Ideal</w:t>
      </w:r>
      <w:r w:rsidR="007669D6">
        <w:rPr>
          <w:rFonts w:eastAsiaTheme="minorEastAsia"/>
          <w:lang w:val="en-US"/>
        </w:rPr>
        <w:t>) where optimal packing of dumbbells on a larger sphere is achieved, can be determined from equation 1</w:t>
      </w:r>
      <w:r w:rsidR="00167472">
        <w:rPr>
          <w:rFonts w:eastAsiaTheme="minorEastAsia"/>
          <w:lang w:val="en-US"/>
        </w:rPr>
        <w:t>2</w:t>
      </w:r>
      <w:r w:rsidR="007669D6">
        <w:rPr>
          <w:rFonts w:eastAsiaTheme="minorEastAsia"/>
          <w:lang w:val="en-US"/>
        </w:rPr>
        <w:t>.</w:t>
      </w:r>
    </w:p>
    <w:p w:rsidR="007669D6" w:rsidRPr="007669D6" w:rsidRDefault="00767BE6" w:rsidP="00FC7A2B">
      <w:pPr>
        <w:spacing w:line="240" w:lineRule="auto"/>
        <w:rPr>
          <w:rFonts w:eastAsiaTheme="minorEastAsia"/>
          <w:lang w:val="en-US"/>
        </w:rPr>
      </w:pPr>
      <m:oMathPara>
        <m:oMath>
          <m:eqArr>
            <m:eqArrPr>
              <m:maxDist m:val="1"/>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Ideal</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s</m:t>
                      </m:r>
                    </m:sub>
                  </m:sSub>
                </m:num>
                <m:den>
                  <m:func>
                    <m:funcPr>
                      <m:ctrlPr>
                        <w:rPr>
                          <w:rFonts w:ascii="Cambria Math" w:eastAsiaTheme="minorEastAsia" w:hAnsi="Cambria Math"/>
                          <w:i/>
                          <w:lang w:val="en-US"/>
                        </w:rPr>
                      </m:ctrlPr>
                    </m:funcPr>
                    <m:fName>
                      <m:r>
                        <m:rPr>
                          <m:sty m:val="p"/>
                        </m:rPr>
                        <w:rPr>
                          <w:rFonts w:ascii="Cambria Math" w:hAnsi="Cambria Math"/>
                        </w:rPr>
                        <m:t>sin</m:t>
                      </m:r>
                    </m:fName>
                    <m:e>
                      <m:sSub>
                        <m:sSubPr>
                          <m:ctrlPr>
                            <w:rPr>
                              <w:rFonts w:ascii="Cambria Math" w:eastAsiaTheme="minorEastAsia" w:hAnsi="Cambria Math"/>
                              <w:i/>
                              <w:lang w:val="en-US"/>
                            </w:rPr>
                          </m:ctrlPr>
                        </m:sSubPr>
                        <m:e>
                          <m:r>
                            <w:rPr>
                              <w:rFonts w:ascii="Cambria Math" w:eastAsiaTheme="minorEastAsia" w:hAnsi="Cambria Math"/>
                              <w:lang w:val="en-US"/>
                            </w:rPr>
                            <m:t>θ</m:t>
                          </m:r>
                        </m:e>
                        <m:sub>
                          <m:r>
                            <w:rPr>
                              <w:rFonts w:ascii="Cambria Math" w:eastAsiaTheme="minorEastAsia" w:hAnsi="Cambria Math"/>
                              <w:lang w:val="en-US"/>
                            </w:rPr>
                            <m:t>db</m:t>
                          </m:r>
                        </m:sub>
                      </m:sSub>
                    </m:e>
                  </m:func>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s</m:t>
                  </m:r>
                </m:sub>
              </m:sSub>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12</m:t>
                  </m:r>
                </m:e>
              </m:d>
            </m:e>
          </m:eqArr>
        </m:oMath>
      </m:oMathPara>
    </w:p>
    <w:p w:rsidR="00FC7A2B" w:rsidRPr="00167472" w:rsidRDefault="00167472" w:rsidP="00FC7A2B">
      <w:pPr>
        <w:spacing w:line="240" w:lineRule="auto"/>
        <w:rPr>
          <w:rFonts w:eastAsiaTheme="minorEastAsia"/>
          <w:lang w:val="en-US"/>
        </w:rPr>
      </w:pPr>
      <w:r>
        <w:rPr>
          <w:rFonts w:eastAsiaTheme="minorEastAsia"/>
          <w:lang w:val="en-US"/>
        </w:rPr>
        <w:t>Filling in R</w:t>
      </w:r>
      <w:r>
        <w:rPr>
          <w:rFonts w:eastAsiaTheme="minorEastAsia"/>
          <w:vertAlign w:val="subscript"/>
          <w:lang w:val="en-US"/>
        </w:rPr>
        <w:t>Ideal</w:t>
      </w:r>
      <w:r>
        <w:rPr>
          <w:rFonts w:eastAsiaTheme="minorEastAsia"/>
          <w:lang w:val="en-US"/>
        </w:rPr>
        <w:t xml:space="preserve"> obtained from equation 12 as R</w:t>
      </w:r>
      <w:r>
        <w:rPr>
          <w:rFonts w:eastAsiaTheme="minorEastAsia"/>
          <w:vertAlign w:val="subscript"/>
          <w:lang w:val="en-US"/>
        </w:rPr>
        <w:t>m</w:t>
      </w:r>
      <w:r>
        <w:rPr>
          <w:rFonts w:eastAsiaTheme="minorEastAsia"/>
          <w:lang w:val="en-US"/>
        </w:rPr>
        <w:t xml:space="preserve"> in equation 10, gives the optimal angle of packing of small spheres on a larger sphere. This angle can be used to determine the amount of spheres that can pack</w:t>
      </w:r>
      <w:r w:rsidR="00CD324E">
        <w:rPr>
          <w:rFonts w:eastAsiaTheme="minorEastAsia"/>
          <w:lang w:val="en-US"/>
        </w:rPr>
        <w:t xml:space="preserve"> on the larger sphere,</w:t>
      </w:r>
      <w:r>
        <w:rPr>
          <w:rFonts w:eastAsiaTheme="minorEastAsia"/>
          <w:lang w:val="en-US"/>
        </w:rPr>
        <w:t xml:space="preserve"> by using Sloanes table of icosahedrally symmetric packing</w:t>
      </w:r>
      <w:r w:rsidR="000A2756">
        <w:rPr>
          <w:rFonts w:eastAsiaTheme="minorEastAsia"/>
          <w:lang w:val="en-US"/>
        </w:rPr>
        <w:fldChar w:fldCharType="begin" w:fldLock="1"/>
      </w:r>
      <w:r w:rsidR="00FB6101">
        <w:rPr>
          <w:rFonts w:eastAsiaTheme="minorEastAsia"/>
          <w:lang w:val="en-US"/>
        </w:rPr>
        <w:instrText>ADDIN CSL_CITATION { "citationItems" : [ { "id" : "ITEM-1", "itemData" : { "URL" : "http://neilsloane.com/icosahedral.codes/", "author" : [ { "dropping-particle" : "", "family" : "Hardin", "given" : "R.", "non-dropping-particle" : "", "parse-names" : false, "suffix" : "" }, { "dropping-particle" : "", "family" : "Sloane", "given" : "N.", "non-dropping-particle" : "", "parse-names" : false, "suffix" : "" }, { "dropping-particle" : "", "family" : "Smith", "given" : "W.", "non-dropping-particle" : "", "parse-names" : false, "suffix" : "" } ], "id" : "ITEM-1", "issued" : { "date-parts" : [ [ "0" ] ] }, "title" : "Tables of spherical codes with icosahedral symmetry", "type" : "webpage" }, "uris" : [ "http://www.mendeley.com/documents/?uuid=b1c7565d-b5fe-4967-80d8-b080d3769a10" ] } ], "mendeley" : { "formattedCitation" : "&lt;sup&gt;56&lt;/sup&gt;", "plainTextFormattedCitation" : "56", "previouslyFormattedCitation" : "&lt;sup&gt;56&lt;/sup&gt;" }, "properties" : { "noteIndex" : 0 }, "schema" : "https://github.com/citation-style-language/schema/raw/master/csl-citation.json" }</w:instrText>
      </w:r>
      <w:r w:rsidR="000A2756">
        <w:rPr>
          <w:rFonts w:eastAsiaTheme="minorEastAsia"/>
          <w:lang w:val="en-US"/>
        </w:rPr>
        <w:fldChar w:fldCharType="separate"/>
      </w:r>
      <w:r w:rsidR="00DE131C" w:rsidRPr="00DE131C">
        <w:rPr>
          <w:rFonts w:eastAsiaTheme="minorEastAsia"/>
          <w:noProof/>
          <w:vertAlign w:val="superscript"/>
          <w:lang w:val="en-US"/>
        </w:rPr>
        <w:t>56</w:t>
      </w:r>
      <w:r w:rsidR="000A2756">
        <w:rPr>
          <w:rFonts w:eastAsiaTheme="minorEastAsia"/>
          <w:lang w:val="en-US"/>
        </w:rPr>
        <w:fldChar w:fldCharType="end"/>
      </w:r>
      <w:r>
        <w:rPr>
          <w:rFonts w:eastAsiaTheme="minorEastAsia"/>
          <w:lang w:val="en-US"/>
        </w:rPr>
        <w:t>. Icosahedral symmetry is used here, as a 2D close packed surface with hcp symmetry (used for sphere-sphere heteroaggregation in section 2.4.1) transforms in an icosahedral symmetry when curved into a sphere</w:t>
      </w:r>
      <w:r w:rsidR="000A2756">
        <w:rPr>
          <w:rFonts w:eastAsiaTheme="minorEastAsia"/>
          <w:lang w:val="en-US"/>
        </w:rPr>
        <w:fldChar w:fldCharType="begin" w:fldLock="1"/>
      </w:r>
      <w:r w:rsidR="00FB6101">
        <w:rPr>
          <w:rFonts w:eastAsiaTheme="minorEastAsia"/>
          <w:lang w:val="en-US"/>
        </w:rPr>
        <w:instrText>ADDIN CSL_CITATION { "citationItems" : [ { "id" : "ITEM-1", "itemData" : { "DOI" : "10.1006/jmbi.1997.1068", "ISSN" : "00222836", "abstract" : "The structure and assembly of icosahedral virus capsids composed of one or more gene products and displaying quasi-equivalent subunit associations are discussed at three levels. The principles of quasi-equivalence and the related geodesic dome formation are first discussed conceptually and the geometric basis for their construction from two-dimensional assembly units is reviewed. The consequences for such an assembly when three-dimensional protein subunits are the associating components are then discussed with the coordinates of cowpea chlorotic mottle virus (CCMV) used to generate hypothetical structures in approximate agreement with the conceptual models presented in the first section. Biophysical, molecular genetic, and atomic structural data for CCMV are then reviewed, related to each other, and incorporated into an assembly model for CCMV that is discussed with respect to the modular, chemical nature of the viral subunit structure. The concepts of quasi-equivalence are then examined in some larger virus structures containing multiple subunit types and auxiliary proteins and the need for additional control points in their assembly are considered. The conclusion suggests that some viral assembly principles are limited paradigms for protein associations occurring in the broader range of cell biology including signal transduction, interaction of transcription factors and protein trafficking.", "author" : [ { "dropping-particle" : "", "family" : "Johnson", "given" : "John E.", "non-dropping-particle" : "", "parse-names" : false, "suffix" : "" }, { "dropping-particle" : "", "family" : "Speir", "given" : "Jeffrey A.", "non-dropping-particle" : "", "parse-names" : false, "suffix" : "" } ], "container-title" : "Journal of Molecular Biology", "id" : "ITEM-1", "issued" : { "date-parts" : [ [ "1997" ] ] }, "title" : "Quasi-equivalent viruses: A paradigm for protein assemblies", "type" : "article" }, "uris" : [ "http://www.mendeley.com/documents/?uuid=3902419e-593b-3d2a-8d7e-6fb19ee54615" ] }, { "id" : "ITEM-2", "itemData" : { "id" : "ITEM-2", "issued" : { "date-parts" : [ [ "0" ] ] }, "title" : "http://viperdb.scripps.edu/icos_server.php?icspage=paradigm", "type" : "webpage" }, "uris" : [ "http://www.mendeley.com/documents/?uuid=5c6383fe-dd75-432f-957d-bee4715905a1" ] } ], "mendeley" : { "formattedCitation" : "&lt;sup&gt;57,58&lt;/sup&gt;", "plainTextFormattedCitation" : "57,58", "previouslyFormattedCitation" : "&lt;sup&gt;57,58&lt;/sup&gt;" }, "properties" : { "noteIndex" : 0 }, "schema" : "https://github.com/citation-style-language/schema/raw/master/csl-citation.json" }</w:instrText>
      </w:r>
      <w:r w:rsidR="000A2756">
        <w:rPr>
          <w:rFonts w:eastAsiaTheme="minorEastAsia"/>
          <w:lang w:val="en-US"/>
        </w:rPr>
        <w:fldChar w:fldCharType="separate"/>
      </w:r>
      <w:r w:rsidR="00DE131C" w:rsidRPr="00DE131C">
        <w:rPr>
          <w:rFonts w:eastAsiaTheme="minorEastAsia"/>
          <w:noProof/>
          <w:vertAlign w:val="superscript"/>
          <w:lang w:val="en-US"/>
        </w:rPr>
        <w:t>57,58</w:t>
      </w:r>
      <w:r w:rsidR="000A2756">
        <w:rPr>
          <w:rFonts w:eastAsiaTheme="minorEastAsia"/>
          <w:lang w:val="en-US"/>
        </w:rPr>
        <w:fldChar w:fldCharType="end"/>
      </w:r>
      <w:r>
        <w:rPr>
          <w:rFonts w:eastAsiaTheme="minorEastAsia"/>
          <w:lang w:val="en-US"/>
        </w:rPr>
        <w:t>. Furthermore, many viral cages that occur in nature</w:t>
      </w:r>
      <w:r w:rsidR="00CD324E">
        <w:rPr>
          <w:rFonts w:eastAsiaTheme="minorEastAsia"/>
          <w:lang w:val="en-US"/>
        </w:rPr>
        <w:t xml:space="preserve"> also</w:t>
      </w:r>
      <w:r>
        <w:rPr>
          <w:rFonts w:eastAsiaTheme="minorEastAsia"/>
          <w:lang w:val="en-US"/>
        </w:rPr>
        <w:t xml:space="preserve"> adopt this icosahedral symmetry</w:t>
      </w:r>
      <w:r w:rsidR="000A2756">
        <w:rPr>
          <w:rFonts w:eastAsiaTheme="minorEastAsia"/>
          <w:lang w:val="en-US"/>
        </w:rPr>
        <w:fldChar w:fldCharType="begin" w:fldLock="1"/>
      </w:r>
      <w:r w:rsidR="00FB6101">
        <w:rPr>
          <w:rFonts w:eastAsiaTheme="minorEastAsia"/>
          <w:lang w:val="en-US"/>
        </w:rPr>
        <w:instrText>ADDIN CSL_CITATION { "citationItems" : [ { "id" : "ITEM-1", "itemData" : { "DOI" : "10.1016/j.physbeh.2017.03.040", "ISBN" : "2163684814", "abstract" : "Within the materials science community, proteins with cage-like architectures are being developed as versatile nanoscale platforms for use in protein nanotechnology. Much effort has been focused on the functionalization of protein cages with biological and non-biological moieties to bring about new properties of not only individual protein cages, but collective bulk-scale assemblies of protein cages. In this review, we report on the current understanding of protein cage assembly, both of the cages themselves from individual subunits, and the assembly of the individual protein cages into higher order structures. We start by discussing the key properties of natural protein cages (for example: size, shape and structure) followed by a review of some of the mechanisms of protein cage assembly and the factors that influence it. We then explore the current approaches for functionalizing protein cages, on the interior or exterior surfaces of the capsids. Lastly, we explore the emerging area of higher order assemblies created from individual protein cages and their potential for new and exciting collective properties.", "author" : [ { "dropping-particle" : "", "family" : "Aumiller Jr.", "given" : "William M", "non-dropping-particle" : "", "parse-names" : false, "suffix" : "" }, { "dropping-particle" : "", "family" : "Uchida", "given" : "Masaki", "non-dropping-particle" : "", "parse-names" : false, "suffix" : "" }, { "dropping-particle" : "", "family" : "Douglas", "given" : "Trevor", "non-dropping-particle" : "", "parse-names" : false, "suffix" : "" } ], "container-title" : "Physiology &amp; behavior", "id" : "ITEM-1", "issue" : "1", "issued" : { "date-parts" : [ [ "2017" ] ] }, "page" : "139-148", "title" : "Protein Cage Assembly Across Multiple Lenght Scales", "type" : "article-journal", "volume" : "176" }, "uris" : [ "http://www.mendeley.com/documents/?uuid=02ad4ff1-0496-4d61-b3f2-91c0d64acfb3" ] } ], "mendeley" : { "formattedCitation" : "&lt;sup&gt;59&lt;/sup&gt;", "plainTextFormattedCitation" : "59", "previouslyFormattedCitation" : "&lt;sup&gt;59&lt;/sup&gt;" }, "properties" : { "noteIndex" : 0 }, "schema" : "https://github.com/citation-style-language/schema/raw/master/csl-citation.json" }</w:instrText>
      </w:r>
      <w:r w:rsidR="000A2756">
        <w:rPr>
          <w:rFonts w:eastAsiaTheme="minorEastAsia"/>
          <w:lang w:val="en-US"/>
        </w:rPr>
        <w:fldChar w:fldCharType="separate"/>
      </w:r>
      <w:r w:rsidR="00DE131C" w:rsidRPr="00DE131C">
        <w:rPr>
          <w:rFonts w:eastAsiaTheme="minorEastAsia"/>
          <w:noProof/>
          <w:vertAlign w:val="superscript"/>
          <w:lang w:val="en-US"/>
        </w:rPr>
        <w:t>59</w:t>
      </w:r>
      <w:r w:rsidR="000A2756">
        <w:rPr>
          <w:rFonts w:eastAsiaTheme="minorEastAsia"/>
          <w:lang w:val="en-US"/>
        </w:rPr>
        <w:fldChar w:fldCharType="end"/>
      </w:r>
      <w:r>
        <w:rPr>
          <w:rFonts w:eastAsiaTheme="minorEastAsia"/>
          <w:lang w:val="en-US"/>
        </w:rPr>
        <w:t>.</w:t>
      </w:r>
    </w:p>
    <w:p w:rsidR="00500207" w:rsidRPr="00A32FE8" w:rsidRDefault="00500207" w:rsidP="00FC7A2B">
      <w:pPr>
        <w:pStyle w:val="Heading3"/>
        <w:numPr>
          <w:ilvl w:val="2"/>
          <w:numId w:val="2"/>
        </w:numPr>
        <w:spacing w:line="240" w:lineRule="auto"/>
        <w:rPr>
          <w:b/>
          <w:bCs/>
          <w:color w:val="auto"/>
          <w:lang w:val="en-US"/>
        </w:rPr>
      </w:pPr>
      <w:bookmarkStart w:id="36" w:name="_Toc31892391"/>
      <w:r w:rsidRPr="00A32FE8">
        <w:rPr>
          <w:b/>
          <w:bCs/>
          <w:color w:val="auto"/>
          <w:lang w:val="en-US"/>
        </w:rPr>
        <w:t>Density Gradient Centrifugation</w:t>
      </w:r>
      <w:bookmarkEnd w:id="36"/>
    </w:p>
    <w:p w:rsidR="00E74C8E" w:rsidRDefault="003E1E89" w:rsidP="00FC7A2B">
      <w:pPr>
        <w:spacing w:line="240" w:lineRule="auto"/>
        <w:rPr>
          <w:lang w:val="en-US"/>
        </w:rPr>
      </w:pPr>
      <w:r>
        <w:rPr>
          <w:lang w:val="en-US"/>
        </w:rPr>
        <w:t>The TPM lobe around the negatively charged PS seed is first</w:t>
      </w:r>
      <w:r w:rsidR="00E74C8E">
        <w:rPr>
          <w:lang w:val="en-US"/>
        </w:rPr>
        <w:t xml:space="preserve"> formed from an emulsion</w:t>
      </w:r>
      <w:r>
        <w:rPr>
          <w:lang w:val="en-US"/>
        </w:rPr>
        <w:t>. This makes it</w:t>
      </w:r>
      <w:r w:rsidR="00E74C8E">
        <w:rPr>
          <w:lang w:val="en-US"/>
        </w:rPr>
        <w:t xml:space="preserve"> unavoidable </w:t>
      </w:r>
      <w:r>
        <w:rPr>
          <w:lang w:val="en-US"/>
        </w:rPr>
        <w:t>for</w:t>
      </w:r>
      <w:r w:rsidR="00E74C8E">
        <w:rPr>
          <w:lang w:val="en-US"/>
        </w:rPr>
        <w:t xml:space="preserve"> other morphological species </w:t>
      </w:r>
      <w:r>
        <w:rPr>
          <w:lang w:val="en-US"/>
        </w:rPr>
        <w:t>to</w:t>
      </w:r>
      <w:r w:rsidR="00E74C8E">
        <w:rPr>
          <w:lang w:val="en-US"/>
        </w:rPr>
        <w:t xml:space="preserve"> form. To separate these unwanted species from the desired dumbbells, density gradient centrifugation can be applied. </w:t>
      </w:r>
    </w:p>
    <w:p w:rsidR="00E74C8E" w:rsidRDefault="00E74C8E" w:rsidP="00FC7A2B">
      <w:pPr>
        <w:spacing w:line="240" w:lineRule="auto"/>
        <w:rPr>
          <w:lang w:val="en-US"/>
        </w:rPr>
      </w:pPr>
      <w:r>
        <w:rPr>
          <w:lang w:val="en-US"/>
        </w:rPr>
        <w:t xml:space="preserve">Rate zonal centrifugation is chosen to be the method of centrifugation to separate these morphological species from one another. The principle underlying this method is that the density of the particles is higher than the density of the gradient over which they are separated. This way, the particles are separated on the basis of particle volume, particle density and friction factor. There is no equilibrium height at which the particles will stop to sediment, as would be the case for isopycnic centrifugation. </w:t>
      </w:r>
    </w:p>
    <w:p w:rsidR="00577625" w:rsidRDefault="00E74C8E" w:rsidP="00FC7A2B">
      <w:pPr>
        <w:spacing w:line="240" w:lineRule="auto"/>
        <w:rPr>
          <w:lang w:val="en-US"/>
        </w:rPr>
      </w:pPr>
      <w:r>
        <w:rPr>
          <w:lang w:val="en-US"/>
        </w:rPr>
        <w:t xml:space="preserve">The principle formula used for rate zonal centrifugation is the </w:t>
      </w:r>
      <w:r w:rsidR="003E1E89">
        <w:rPr>
          <w:lang w:val="en-US"/>
        </w:rPr>
        <w:t>Stokes</w:t>
      </w:r>
      <w:r>
        <w:rPr>
          <w:lang w:val="en-US"/>
        </w:rPr>
        <w:t xml:space="preserve"> equation, derived from the balance between the centrifugal force, the buoyancy and the frictional force (</w:t>
      </w:r>
      <w:r w:rsidR="000C3E53">
        <w:rPr>
          <w:lang w:val="en-US"/>
        </w:rPr>
        <w:t>equation</w:t>
      </w:r>
      <w:r>
        <w:rPr>
          <w:lang w:val="en-US"/>
        </w:rPr>
        <w:t xml:space="preserve"> 1</w:t>
      </w:r>
      <w:r w:rsidR="00726196">
        <w:rPr>
          <w:lang w:val="en-US"/>
        </w:rPr>
        <w:t>3</w:t>
      </w:r>
      <w:r>
        <w:rPr>
          <w:lang w:val="en-US"/>
        </w:rPr>
        <w:t>)</w:t>
      </w:r>
      <w:r w:rsidR="00554F81">
        <w:rPr>
          <w:lang w:val="en-US"/>
        </w:rPr>
        <w:fldChar w:fldCharType="begin" w:fldLock="1"/>
      </w:r>
      <w:r w:rsidR="00FB6101">
        <w:rPr>
          <w:lang w:val="en-US"/>
        </w:rPr>
        <w:instrText>ADDIN CSL_CITATION { "citationItems" : [ { "id" : "ITEM-1", "itemData" : { "author" : [ { "dropping-particle" : "", "family" : "Vesilind", "given" : "Aarne", "non-dropping-particle" : "", "parse-names" : false, "suffix" : "" }, { "dropping-particle" : "", "family" : "Peirce", "given" : "Jeffrey", "non-dropping-particle" : "", "parse-names" : false, "suffix" : "" }, { "dropping-particle" : "", "family" : "Weiner", "given" : "Ruth", "non-dropping-particle" : "", "parse-names" : false, "suffix" : "" } ], "edition" : "3rd", "id" : "ITEM-1", "issued" : { "date-parts" : [ [ "1994" ] ] }, "number-of-pages" : "544", "publisher" : "Butterworth Heinemann", "title" : "Environmental Engineering", "type" : "book" }, "uris" : [ "http://www.mendeley.com/documents/?uuid=43f04ad1-61ee-49a0-8e1e-023ce42d963e" ] } ], "mendeley" : { "formattedCitation" : "&lt;sup&gt;60&lt;/sup&gt;", "plainTextFormattedCitation" : "60", "previouslyFormattedCitation" : "&lt;sup&gt;60&lt;/sup&gt;" }, "properties" : { "noteIndex" : 0 }, "schema" : "https://github.com/citation-style-language/schema/raw/master/csl-citation.json" }</w:instrText>
      </w:r>
      <w:r w:rsidR="00554F81">
        <w:rPr>
          <w:lang w:val="en-US"/>
        </w:rPr>
        <w:fldChar w:fldCharType="separate"/>
      </w:r>
      <w:r w:rsidR="00DE131C" w:rsidRPr="00DE131C">
        <w:rPr>
          <w:noProof/>
          <w:vertAlign w:val="superscript"/>
          <w:lang w:val="en-US"/>
        </w:rPr>
        <w:t>60</w:t>
      </w:r>
      <w:r w:rsidR="00554F81">
        <w:rPr>
          <w:lang w:val="en-US"/>
        </w:rPr>
        <w:fldChar w:fldCharType="end"/>
      </w:r>
      <w:r>
        <w:rPr>
          <w:lang w:val="en-US"/>
        </w:rPr>
        <w:t>.</w:t>
      </w:r>
    </w:p>
    <w:p w:rsidR="00AF58E5" w:rsidRPr="00FC7A2B" w:rsidRDefault="00767BE6" w:rsidP="00FC7A2B">
      <w:pPr>
        <w:spacing w:line="240" w:lineRule="auto"/>
        <w:jc w:val="center"/>
        <w:rPr>
          <w:rFonts w:eastAsiaTheme="minorEastAsia"/>
          <w:sz w:val="36"/>
          <w:szCs w:val="36"/>
          <w:lang w:val="en-US"/>
        </w:rPr>
      </w:pPr>
      <m:oMathPara>
        <m:oMath>
          <m:eqArr>
            <m:eqArrPr>
              <m:maxDist m:val="1"/>
              <m:ctrlPr>
                <w:rPr>
                  <w:rFonts w:ascii="Cambria Math" w:hAnsi="Cambria Math"/>
                  <w:i/>
                  <w:lang w:val="en-US"/>
                </w:rPr>
              </m:ctrlPr>
            </m:eqArrPr>
            <m:e>
              <m:r>
                <w:rPr>
                  <w:rFonts w:ascii="Cambria Math" w:hAnsi="Cambria Math"/>
                  <w:lang w:val="en-US"/>
                </w:rPr>
                <m:t>u=</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p</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0</m:t>
                          </m:r>
                        </m:sub>
                      </m:sSub>
                    </m:e>
                  </m:d>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r>
                    <w:rPr>
                      <w:rFonts w:ascii="Cambria Math" w:hAnsi="Cambria Math"/>
                      <w:lang w:val="en-US"/>
                    </w:rPr>
                    <m:t>r</m:t>
                  </m:r>
                </m:num>
                <m:den>
                  <m:r>
                    <w:rPr>
                      <w:rFonts w:ascii="Cambria Math" w:hAnsi="Cambria Math"/>
                      <w:lang w:val="en-US"/>
                    </w:rPr>
                    <m:t>f</m:t>
                  </m:r>
                </m:den>
              </m:f>
              <m:r>
                <w:rPr>
                  <w:rFonts w:ascii="Cambria Math" w:hAnsi="Cambria Math"/>
                  <w:lang w:val="en-US"/>
                </w:rPr>
                <m:t>#</m:t>
              </m:r>
              <m:d>
                <m:dPr>
                  <m:ctrlPr>
                    <w:rPr>
                      <w:rFonts w:ascii="Cambria Math" w:hAnsi="Cambria Math"/>
                      <w:i/>
                      <w:lang w:val="en-US"/>
                    </w:rPr>
                  </m:ctrlPr>
                </m:dPr>
                <m:e>
                  <m:r>
                    <w:rPr>
                      <w:rFonts w:ascii="Cambria Math" w:hAnsi="Cambria Math"/>
                      <w:lang w:val="en-US"/>
                    </w:rPr>
                    <m:t>13</m:t>
                  </m:r>
                </m:e>
              </m:d>
            </m:e>
          </m:eqArr>
        </m:oMath>
      </m:oMathPara>
    </w:p>
    <w:p w:rsidR="00E74C8E" w:rsidRDefault="00E74C8E" w:rsidP="00FC7A2B">
      <w:pPr>
        <w:spacing w:line="240" w:lineRule="auto"/>
        <w:rPr>
          <w:rFonts w:eastAsiaTheme="minorEastAsia"/>
          <w:lang w:val="en-US"/>
        </w:rPr>
      </w:pPr>
      <w:r>
        <w:rPr>
          <w:lang w:val="en-US"/>
        </w:rPr>
        <w:t xml:space="preserve">Here, </w:t>
      </w:r>
      <w:r>
        <w:rPr>
          <w:i/>
          <w:lang w:val="en-US"/>
        </w:rPr>
        <w:t>u</w:t>
      </w:r>
      <w:r>
        <w:rPr>
          <w:lang w:val="en-US"/>
        </w:rPr>
        <w:t xml:space="preserve"> is the sedimentation velocity,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0</m:t>
            </m:r>
          </m:sub>
        </m:sSub>
        <m:r>
          <w:rPr>
            <w:rFonts w:ascii="Cambria Math" w:hAnsi="Cambria Math"/>
            <w:lang w:val="en-US"/>
          </w:rPr>
          <m:t>)</m:t>
        </m:r>
      </m:oMath>
      <w:r>
        <w:rPr>
          <w:rFonts w:eastAsiaTheme="minorEastAsia"/>
          <w:lang w:val="en-US"/>
        </w:rPr>
        <w:t xml:space="preserve"> is the buoyant mass of a particle, </w:t>
      </w:r>
      <w:r>
        <w:rPr>
          <w:rFonts w:eastAsiaTheme="minorEastAsia" w:cstheme="minorHAnsi"/>
          <w:i/>
          <w:lang w:val="en-US"/>
        </w:rPr>
        <w:t xml:space="preserve">ω </w:t>
      </w:r>
      <w:r>
        <w:rPr>
          <w:rFonts w:eastAsiaTheme="minorEastAsia" w:cstheme="minorHAnsi"/>
          <w:lang w:val="en-US"/>
        </w:rPr>
        <w:t xml:space="preserve">is the angular velocity of the centrifuge, </w:t>
      </w:r>
      <w:r>
        <w:rPr>
          <w:rFonts w:eastAsiaTheme="minorEastAsia" w:cstheme="minorHAnsi"/>
          <w:i/>
          <w:lang w:val="en-US"/>
        </w:rPr>
        <w:t>r</w:t>
      </w:r>
      <w:r>
        <w:rPr>
          <w:rFonts w:eastAsiaTheme="minorEastAsia" w:cstheme="minorHAnsi"/>
          <w:lang w:val="en-US"/>
        </w:rPr>
        <w:t xml:space="preserve"> the distance between the center of centrifugation and the sample and </w:t>
      </w:r>
      <w:r>
        <w:rPr>
          <w:rFonts w:eastAsiaTheme="minorEastAsia" w:cstheme="minorHAnsi"/>
          <w:i/>
          <w:lang w:val="en-US"/>
        </w:rPr>
        <w:t>f</w:t>
      </w:r>
      <w:r>
        <w:rPr>
          <w:rFonts w:eastAsiaTheme="minorEastAsia" w:cstheme="minorHAnsi"/>
          <w:lang w:val="en-US"/>
        </w:rPr>
        <w:t xml:space="preserve"> is the friction factor of the particle. For each morphological species, the specific buoyant mass and friction factor determines the sedimentation velocity of the particle, allowing for separation based on these quantities. </w:t>
      </w:r>
    </w:p>
    <w:p w:rsidR="003E1E89" w:rsidRDefault="00E74C8E" w:rsidP="00FC7A2B">
      <w:pPr>
        <w:spacing w:line="240" w:lineRule="auto"/>
        <w:rPr>
          <w:lang w:val="en-US"/>
        </w:rPr>
      </w:pPr>
      <w:r>
        <w:rPr>
          <w:lang w:val="en-US"/>
        </w:rPr>
        <w:t>The choice of gradient depends on the type of particles</w:t>
      </w:r>
      <w:r w:rsidR="003E1E89">
        <w:rPr>
          <w:lang w:val="en-US"/>
        </w:rPr>
        <w:t xml:space="preserve"> that are</w:t>
      </w:r>
      <w:r>
        <w:rPr>
          <w:lang w:val="en-US"/>
        </w:rPr>
        <w:t xml:space="preserve"> used. The dumbbells consist of a PS seed and a TPM lobe grown around it. The densities of PS and TPM are 1.05 g/ml and 1.3 g/mL, respectively</w:t>
      </w:r>
      <w:r>
        <w:rPr>
          <w:lang w:val="en-US"/>
        </w:rPr>
        <w:fldChar w:fldCharType="begin" w:fldLock="1"/>
      </w:r>
      <w:r w:rsidR="00FB6101">
        <w:rPr>
          <w:lang w:val="en-US"/>
        </w:rPr>
        <w:instrText>ADDIN CSL_CITATION { "citationItems" : [ { "id" : "ITEM-1", "itemData" : { "author" : [ { "dropping-particle" : "", "family" : "D. G. Sharp, Beard", "given" : "J. W.", "non-dropping-particle" : "", "parse-names" : false, "suffix" : "" } ], "container-title" : "J. Biol. Chem.", "id" : "ITEM-1", "issue" : "185", "issued" : { "date-parts" : [ [ "1950" ] ] }, "page" : "247-253", "title" : "Size and Density of Polystyrene Particles Measured by Ultracentrifugation", "type" : "article-journal" }, "uris" : [ "http://www.mendeley.com/documents/?uuid=e59c50f3-364a-4f5e-a893-1e4d8edc43ed" ] }, { "id" : "ITEM-2", "itemData" : { "DOI" : "10.1021/acs.langmuir.7b01398", "ISSN" : "15205827", "abstract" : "Colloidal particles of controlled size are promising building blocks for the self-assembly of functional materials. Here, we systematically study a method to synthesize monodisperse, micrometer-sized spheres from 3-(trimethoxysilyl)propyl methacrylate (TPM) in a benchtop experiment. Their ease of preparation, smoothness, and physical properties provide distinct advantages over other widely employed materials such as silica, polystyrene, and poly(methyl methacrylate). We describe that the spontaneous emulsification of TPM droplets in water is caused by base-catalyzed hydrolysis, self-condensation, and the deprotonation of TPM. By studying the time-dependent size evolution, we find that the droplet size increases without any detectable secondary nucleation. Resulting TPM droplets are polymerized to form solid particles. The particle diameter can be controlled in the range of 0.4 to 2.8 \u03bcm by adjusting the volume fraction of added monomer and the pH of the solution. Droplets can be grown to diameters of up to 4 \u03bcm by adding TPM monomer after the initial emulsification. Additionally, we characterize various physical parameters of the TPM particles, and we describe methods to incorporate several fluorescent dyes.", "author" : [ { "dropping-particle" : "", "family" : "Wel", "given" : "Casper", "non-dropping-particle" : "Van Der", "parse-names" : false, "suffix" : "" }, { "dropping-particle" : "", "family" : "Bhan", "given" : "Rohit K.", "non-dropping-particle" : "", "parse-names" : false, "suffix" : "" }, { "dropping-particle" : "", "family" : "Verweij", "given" : "Ruben W.", "non-dropping-particle" : "", "parse-names" : false, "suffix" : "" }, { "dropping-particle" : "", "family" : "Frijters", "given" : "Hans C.", "non-dropping-particle" : "", "parse-names" : false, "suffix" : "" }, { "dropping-particle" : "", "family" : "Gong", "given" : "Zhe", "non-dropping-particle" : "", "parse-names" : false, "suffix" : "" }, { "dropping-particle" : "", "family" : "Hollingsworth", "given" : "Andrew D.", "non-dropping-particle" : "", "parse-names" : false, "suffix" : "" }, { "dropping-particle" : "", "family" : "Sacanna", "given" : "Stefano", "non-dropping-particle" : "", "parse-names" : false, "suffix" : "" }, { "dropping-particle" : "", "family" : "Kraft", "given" : "Daniela J.", "non-dropping-particle" : "", "parse-names" : false, "suffix" : "" } ], "container-title" : "Langmuir", "id" : "ITEM-2", "issue" : "33", "issued" : { "date-parts" : [ [ "2017" ] ] }, "page" : "8174-8180", "title" : "Preparation of Colloidal Organosilica Spheres through Spontaneous Emulsification", "type" : "article-journal", "volume" : "33" }, "uris" : [ "http://www.mendeley.com/documents/?uuid=10a1a31b-e1dc-431c-9315-722a867b4b9e" ] } ], "mendeley" : { "formattedCitation" : "&lt;sup&gt;61,62&lt;/sup&gt;", "plainTextFormattedCitation" : "61,62", "previouslyFormattedCitation" : "&lt;sup&gt;61,62&lt;/sup&gt;"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61,62</w:t>
      </w:r>
      <w:r>
        <w:rPr>
          <w:lang w:val="en-US"/>
        </w:rPr>
        <w:fldChar w:fldCharType="end"/>
      </w:r>
      <w:r>
        <w:rPr>
          <w:lang w:val="en-US"/>
        </w:rPr>
        <w:t>, meaning that the average density of the dumbbell lies somewhere in between these values</w:t>
      </w:r>
      <w:r w:rsidR="003E1E89">
        <w:rPr>
          <w:lang w:val="en-US"/>
        </w:rPr>
        <w:t>. The exact density then depends</w:t>
      </w:r>
      <w:r>
        <w:rPr>
          <w:lang w:val="en-US"/>
        </w:rPr>
        <w:t xml:space="preserve"> on the </w:t>
      </w:r>
      <w:r w:rsidR="003E1E89">
        <w:rPr>
          <w:lang w:val="en-US"/>
        </w:rPr>
        <w:t xml:space="preserve">specific </w:t>
      </w:r>
      <w:r>
        <w:rPr>
          <w:lang w:val="en-US"/>
        </w:rPr>
        <w:t xml:space="preserve">size ratio </w:t>
      </w:r>
      <w:r w:rsidR="003E1E89">
        <w:rPr>
          <w:lang w:val="en-US"/>
        </w:rPr>
        <w:t>between</w:t>
      </w:r>
      <w:r>
        <w:rPr>
          <w:lang w:val="en-US"/>
        </w:rPr>
        <w:t xml:space="preserve"> the two lobes. From these densities, it was decided that a sucrose gradient would be most suitable to perform the density gradient centrifugation. At high a weight percent of sucrose in water (35 wt%), the density of that solution will be around 1.15 g/mL.</w:t>
      </w:r>
      <w:r>
        <w:rPr>
          <w:b/>
          <w:lang w:val="en-US"/>
        </w:rPr>
        <w:t xml:space="preserve"> </w:t>
      </w:r>
      <w:r>
        <w:rPr>
          <w:lang w:val="en-US"/>
        </w:rPr>
        <w:t>This means that any particle with a higher density than 1.15 g/mL will pass through this density. At this density, the viscosity is 4.13 mPas, which is more than 4 times higher than for normal water. As the viscosity is linearly dependent on the friction factor</w:t>
      </w:r>
      <w:r w:rsidR="00B71D21">
        <w:rPr>
          <w:lang w:val="en-US"/>
        </w:rPr>
        <w:fldChar w:fldCharType="begin" w:fldLock="1"/>
      </w:r>
      <w:r w:rsidR="00FB6101">
        <w:rPr>
          <w:lang w:val="en-US"/>
        </w:rPr>
        <w:instrText>ADDIN CSL_CITATION { "citationItems" : [ { "id" : "ITEM-1", "itemData" : { "author" : [ { "dropping-particle" : "", "family" : "Laidler", "given" : "Keith", "non-dropping-particle" : "", "parse-names" : false, "suffix" : "" }, { "dropping-particle" : "", "family" : "Meiser", "given" : "John H", "non-dropping-particle" : "", "parse-names" : false, "suffix" : "" } ], "id" : "ITEM-1", "issued" : { "date-parts" : [ [ "1982" ] ] }, "number-of-pages" : "833", "publisher" : "Benjamin/Cummings", "title" : "Physical Chemistry", "type" : "book" }, "uris" : [ "http://www.mendeley.com/documents/?uuid=18aecf60-3656-495c-a056-2d72059f2bcc" ] } ], "mendeley" : { "formattedCitation" : "&lt;sup&gt;63&lt;/sup&gt;", "plainTextFormattedCitation" : "63", "previouslyFormattedCitation" : "&lt;sup&gt;63&lt;/sup&gt;" }, "properties" : { "noteIndex" : 0 }, "schema" : "https://github.com/citation-style-language/schema/raw/master/csl-citation.json" }</w:instrText>
      </w:r>
      <w:r w:rsidR="00B71D21">
        <w:rPr>
          <w:lang w:val="en-US"/>
        </w:rPr>
        <w:fldChar w:fldCharType="separate"/>
      </w:r>
      <w:r w:rsidR="00DE131C" w:rsidRPr="00DE131C">
        <w:rPr>
          <w:noProof/>
          <w:vertAlign w:val="superscript"/>
          <w:lang w:val="en-US"/>
        </w:rPr>
        <w:t>63</w:t>
      </w:r>
      <w:r w:rsidR="00B71D21">
        <w:rPr>
          <w:lang w:val="en-US"/>
        </w:rPr>
        <w:fldChar w:fldCharType="end"/>
      </w:r>
      <w:r>
        <w:rPr>
          <w:lang w:val="en-US"/>
        </w:rPr>
        <w:t xml:space="preserve">, and thus inversely dependent on the sedimentation velocity, the particles are slowed down more in the bottom density fractions. </w:t>
      </w:r>
    </w:p>
    <w:p w:rsidR="00E74C8E" w:rsidRDefault="00E74C8E" w:rsidP="00FC7A2B">
      <w:pPr>
        <w:spacing w:line="240" w:lineRule="auto"/>
        <w:rPr>
          <w:lang w:val="en-US"/>
        </w:rPr>
      </w:pPr>
      <w:r w:rsidRPr="003E1E89">
        <w:rPr>
          <w:lang w:val="en-US"/>
        </w:rPr>
        <w:lastRenderedPageBreak/>
        <w:t xml:space="preserve">This </w:t>
      </w:r>
      <w:r w:rsidR="003E1E89" w:rsidRPr="003E1E89">
        <w:rPr>
          <w:lang w:val="en-US"/>
        </w:rPr>
        <w:t xml:space="preserve">high viscosity </w:t>
      </w:r>
      <w:r w:rsidRPr="003E1E89">
        <w:rPr>
          <w:lang w:val="en-US"/>
        </w:rPr>
        <w:t>makes the method easier to perform for heavier particles, as every particle will not sediment in the order of seconds</w:t>
      </w:r>
      <w:r w:rsidR="00B71D21" w:rsidRPr="003E1E89">
        <w:rPr>
          <w:lang w:val="en-US"/>
        </w:rPr>
        <w:t>, as in an pure water dispersion</w:t>
      </w:r>
      <w:r w:rsidRPr="003E1E89">
        <w:rPr>
          <w:lang w:val="en-US"/>
        </w:rPr>
        <w:t>, but more in the order of minutes.</w:t>
      </w:r>
      <w:r w:rsidR="003E1E89" w:rsidRPr="003E1E89">
        <w:rPr>
          <w:lang w:val="en-US"/>
        </w:rPr>
        <w:t xml:space="preserve"> </w:t>
      </w:r>
      <w:r w:rsidRPr="003E1E89">
        <w:rPr>
          <w:lang w:val="en-US"/>
        </w:rPr>
        <w:t xml:space="preserve">The gradient can be formed as a stepwise or a continuous density gradient. The stepwise gradient is made </w:t>
      </w:r>
      <w:r>
        <w:rPr>
          <w:lang w:val="en-US"/>
        </w:rPr>
        <w:t>by first adding the least dense weight percent solution of, in our case, sucrose, after which the heavier densities are added under that fraction (</w:t>
      </w:r>
      <w:r w:rsidR="00FD41D8" w:rsidRPr="003E1E89">
        <w:rPr>
          <w:lang w:val="en-US"/>
        </w:rPr>
        <w:fldChar w:fldCharType="begin"/>
      </w:r>
      <w:r w:rsidR="00FD41D8" w:rsidRPr="003E1E89">
        <w:rPr>
          <w:lang w:val="en-US"/>
        </w:rPr>
        <w:instrText xml:space="preserve"> REF _Ref29912681 \h  \* MERGEFORMAT </w:instrText>
      </w:r>
      <w:r w:rsidR="00FD41D8" w:rsidRPr="003E1E89">
        <w:rPr>
          <w:lang w:val="en-US"/>
        </w:rPr>
      </w:r>
      <w:r w:rsidR="00FD41D8" w:rsidRPr="003E1E89">
        <w:rPr>
          <w:lang w:val="en-US"/>
        </w:rPr>
        <w:fldChar w:fldCharType="separate"/>
      </w:r>
      <w:r w:rsidR="00C52506" w:rsidRPr="003E1E89">
        <w:rPr>
          <w:lang w:val="en-US"/>
        </w:rPr>
        <w:t xml:space="preserve">Figure </w:t>
      </w:r>
      <w:r w:rsidR="00C52506" w:rsidRPr="003E1E89">
        <w:rPr>
          <w:noProof/>
          <w:lang w:val="en-US"/>
        </w:rPr>
        <w:t>10</w:t>
      </w:r>
      <w:r w:rsidR="00FD41D8" w:rsidRPr="003E1E89">
        <w:rPr>
          <w:lang w:val="en-US"/>
        </w:rPr>
        <w:fldChar w:fldCharType="end"/>
      </w:r>
      <w:r w:rsidRPr="003E1E89">
        <w:rPr>
          <w:lang w:val="en-US"/>
        </w:rPr>
        <w:t>). This</w:t>
      </w:r>
      <w:r>
        <w:rPr>
          <w:lang w:val="en-US"/>
        </w:rPr>
        <w:t xml:space="preserve"> is done in order to prevent mixing of the individual fractions due to gravity. </w:t>
      </w:r>
    </w:p>
    <w:p w:rsidR="000C3E53" w:rsidRDefault="00E74C8E" w:rsidP="00FC7A2B">
      <w:pPr>
        <w:keepNext/>
        <w:spacing w:line="240" w:lineRule="auto"/>
        <w:jc w:val="center"/>
      </w:pPr>
      <w:r>
        <w:rPr>
          <w:noProof/>
          <w:lang w:val="en-US"/>
        </w:rPr>
        <w:drawing>
          <wp:inline distT="0" distB="0" distL="0" distR="0">
            <wp:extent cx="4150995" cy="232981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0995" cy="2329815"/>
                    </a:xfrm>
                    <a:prstGeom prst="rect">
                      <a:avLst/>
                    </a:prstGeom>
                    <a:noFill/>
                    <a:ln>
                      <a:noFill/>
                    </a:ln>
                  </pic:spPr>
                </pic:pic>
              </a:graphicData>
            </a:graphic>
          </wp:inline>
        </w:drawing>
      </w:r>
    </w:p>
    <w:p w:rsidR="00E74C8E" w:rsidRPr="000C3E53" w:rsidRDefault="00C82962" w:rsidP="00FC7A2B">
      <w:pPr>
        <w:pStyle w:val="Caption"/>
        <w:jc w:val="center"/>
        <w:rPr>
          <w:color w:val="auto"/>
          <w:sz w:val="20"/>
          <w:szCs w:val="20"/>
          <w:lang w:val="en-US"/>
        </w:rPr>
      </w:pPr>
      <w:bookmarkStart w:id="37" w:name="_Ref29912681"/>
      <w:r>
        <w:rPr>
          <w:color w:val="auto"/>
          <w:sz w:val="20"/>
          <w:szCs w:val="20"/>
          <w:lang w:val="en-US"/>
        </w:rPr>
        <w:t>Figure</w:t>
      </w:r>
      <w:r w:rsidR="000C3E53" w:rsidRPr="000C3E53">
        <w:rPr>
          <w:color w:val="auto"/>
          <w:sz w:val="20"/>
          <w:szCs w:val="20"/>
          <w:lang w:val="en-US"/>
        </w:rPr>
        <w:t xml:space="preserve"> </w:t>
      </w:r>
      <w:r w:rsidR="000C3E53" w:rsidRPr="000C3E53">
        <w:rPr>
          <w:color w:val="auto"/>
          <w:sz w:val="20"/>
          <w:szCs w:val="20"/>
        </w:rPr>
        <w:fldChar w:fldCharType="begin"/>
      </w:r>
      <w:r w:rsidR="000C3E53" w:rsidRPr="000C3E53">
        <w:rPr>
          <w:color w:val="auto"/>
          <w:sz w:val="20"/>
          <w:szCs w:val="20"/>
          <w:lang w:val="en-US"/>
        </w:rPr>
        <w:instrText xml:space="preserve"> SEQ Figure \* ARABIC </w:instrText>
      </w:r>
      <w:r w:rsidR="000C3E53" w:rsidRPr="000C3E53">
        <w:rPr>
          <w:color w:val="auto"/>
          <w:sz w:val="20"/>
          <w:szCs w:val="20"/>
        </w:rPr>
        <w:fldChar w:fldCharType="separate"/>
      </w:r>
      <w:r w:rsidR="00C52506">
        <w:rPr>
          <w:noProof/>
          <w:color w:val="auto"/>
          <w:sz w:val="20"/>
          <w:szCs w:val="20"/>
          <w:lang w:val="en-US"/>
        </w:rPr>
        <w:t>10</w:t>
      </w:r>
      <w:r w:rsidR="000C3E53" w:rsidRPr="000C3E53">
        <w:rPr>
          <w:color w:val="auto"/>
          <w:sz w:val="20"/>
          <w:szCs w:val="20"/>
        </w:rPr>
        <w:fldChar w:fldCharType="end"/>
      </w:r>
      <w:bookmarkEnd w:id="37"/>
      <w:r w:rsidR="000C3E53" w:rsidRPr="000C3E53">
        <w:rPr>
          <w:color w:val="auto"/>
          <w:sz w:val="20"/>
          <w:szCs w:val="20"/>
          <w:lang w:val="en-US"/>
        </w:rPr>
        <w:t>: Visual representation of making a stepwise gradient for density gradient centrifugation.</w:t>
      </w:r>
    </w:p>
    <w:p w:rsidR="00E74C8E" w:rsidRDefault="00E74C8E" w:rsidP="00FC7A2B">
      <w:pPr>
        <w:spacing w:line="240" w:lineRule="auto"/>
        <w:rPr>
          <w:lang w:val="en-US"/>
        </w:rPr>
      </w:pPr>
      <w:r>
        <w:rPr>
          <w:lang w:val="en-US"/>
        </w:rPr>
        <w:t>A continuous gradient can be made by mixing a high and low weight density solution of sucrose, using a perista</w:t>
      </w:r>
      <w:r w:rsidRPr="00AF58E5">
        <w:rPr>
          <w:lang w:val="en-US"/>
        </w:rPr>
        <w:t>ltic pump (</w:t>
      </w:r>
      <w:r w:rsidR="00FD41D8" w:rsidRPr="00AF58E5">
        <w:rPr>
          <w:lang w:val="en-US"/>
        </w:rPr>
        <w:fldChar w:fldCharType="begin"/>
      </w:r>
      <w:r w:rsidR="00FD41D8" w:rsidRPr="00AF58E5">
        <w:rPr>
          <w:lang w:val="en-US"/>
        </w:rPr>
        <w:instrText xml:space="preserve"> REF _Ref29912693 \h  \* MERGEFORMAT </w:instrText>
      </w:r>
      <w:r w:rsidR="00FD41D8" w:rsidRPr="00AF58E5">
        <w:rPr>
          <w:lang w:val="en-US"/>
        </w:rPr>
      </w:r>
      <w:r w:rsidR="00FD41D8" w:rsidRPr="00AF58E5">
        <w:rPr>
          <w:lang w:val="en-US"/>
        </w:rPr>
        <w:fldChar w:fldCharType="separate"/>
      </w:r>
      <w:r w:rsidR="00C52506" w:rsidRPr="00C52506">
        <w:rPr>
          <w:lang w:val="en-US"/>
        </w:rPr>
        <w:t xml:space="preserve">Figure </w:t>
      </w:r>
      <w:r w:rsidR="00C52506" w:rsidRPr="00C52506">
        <w:rPr>
          <w:noProof/>
          <w:lang w:val="en-US"/>
        </w:rPr>
        <w:t>11</w:t>
      </w:r>
      <w:r w:rsidR="00FD41D8" w:rsidRPr="00AF58E5">
        <w:rPr>
          <w:lang w:val="en-US"/>
        </w:rPr>
        <w:fldChar w:fldCharType="end"/>
      </w:r>
      <w:r w:rsidRPr="00AF58E5">
        <w:rPr>
          <w:lang w:val="en-US"/>
        </w:rPr>
        <w:t>). This</w:t>
      </w:r>
      <w:r>
        <w:rPr>
          <w:lang w:val="en-US"/>
        </w:rPr>
        <w:t xml:space="preserve"> method is more easily reproducible and less prone to human errors, as the machine can be set to the specific desired conditions.</w:t>
      </w:r>
    </w:p>
    <w:p w:rsidR="000C3E53" w:rsidRPr="000C3E53" w:rsidRDefault="00E74C8E" w:rsidP="00FC7A2B">
      <w:pPr>
        <w:keepNext/>
        <w:spacing w:line="240" w:lineRule="auto"/>
        <w:jc w:val="center"/>
        <w:rPr>
          <w:sz w:val="20"/>
          <w:szCs w:val="20"/>
        </w:rPr>
      </w:pPr>
      <w:r w:rsidRPr="000C3E53">
        <w:rPr>
          <w:noProof/>
          <w:sz w:val="20"/>
          <w:szCs w:val="20"/>
          <w:lang w:val="en-US"/>
        </w:rPr>
        <w:drawing>
          <wp:inline distT="0" distB="0" distL="0" distR="0">
            <wp:extent cx="2895600" cy="305498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3054985"/>
                    </a:xfrm>
                    <a:prstGeom prst="rect">
                      <a:avLst/>
                    </a:prstGeom>
                    <a:noFill/>
                    <a:ln>
                      <a:noFill/>
                    </a:ln>
                  </pic:spPr>
                </pic:pic>
              </a:graphicData>
            </a:graphic>
          </wp:inline>
        </w:drawing>
      </w:r>
    </w:p>
    <w:p w:rsidR="00E74C8E" w:rsidRPr="000C3E53" w:rsidRDefault="00C82962" w:rsidP="00FC7A2B">
      <w:pPr>
        <w:pStyle w:val="Caption"/>
        <w:jc w:val="center"/>
        <w:rPr>
          <w:color w:val="auto"/>
          <w:sz w:val="20"/>
          <w:szCs w:val="20"/>
          <w:lang w:val="en-US"/>
        </w:rPr>
      </w:pPr>
      <w:bookmarkStart w:id="38" w:name="_Ref29912693"/>
      <w:r>
        <w:rPr>
          <w:color w:val="auto"/>
          <w:sz w:val="20"/>
          <w:szCs w:val="20"/>
          <w:lang w:val="en-US"/>
        </w:rPr>
        <w:t>Figure</w:t>
      </w:r>
      <w:r w:rsidR="000C3E53" w:rsidRPr="000C3E53">
        <w:rPr>
          <w:color w:val="auto"/>
          <w:sz w:val="20"/>
          <w:szCs w:val="20"/>
          <w:lang w:val="en-US"/>
        </w:rPr>
        <w:t xml:space="preserve"> </w:t>
      </w:r>
      <w:r w:rsidR="000C3E53" w:rsidRPr="000C3E53">
        <w:rPr>
          <w:color w:val="auto"/>
          <w:sz w:val="20"/>
          <w:szCs w:val="20"/>
        </w:rPr>
        <w:fldChar w:fldCharType="begin"/>
      </w:r>
      <w:r w:rsidR="000C3E53" w:rsidRPr="000C3E53">
        <w:rPr>
          <w:color w:val="auto"/>
          <w:sz w:val="20"/>
          <w:szCs w:val="20"/>
          <w:lang w:val="en-US"/>
        </w:rPr>
        <w:instrText xml:space="preserve"> SEQ Figure \* ARABIC </w:instrText>
      </w:r>
      <w:r w:rsidR="000C3E53" w:rsidRPr="000C3E53">
        <w:rPr>
          <w:color w:val="auto"/>
          <w:sz w:val="20"/>
          <w:szCs w:val="20"/>
        </w:rPr>
        <w:fldChar w:fldCharType="separate"/>
      </w:r>
      <w:r w:rsidR="00C52506">
        <w:rPr>
          <w:noProof/>
          <w:color w:val="auto"/>
          <w:sz w:val="20"/>
          <w:szCs w:val="20"/>
          <w:lang w:val="en-US"/>
        </w:rPr>
        <w:t>11</w:t>
      </w:r>
      <w:r w:rsidR="000C3E53" w:rsidRPr="000C3E53">
        <w:rPr>
          <w:color w:val="auto"/>
          <w:sz w:val="20"/>
          <w:szCs w:val="20"/>
        </w:rPr>
        <w:fldChar w:fldCharType="end"/>
      </w:r>
      <w:bookmarkEnd w:id="38"/>
      <w:r w:rsidR="000C3E53" w:rsidRPr="000C3E53">
        <w:rPr>
          <w:color w:val="auto"/>
          <w:sz w:val="20"/>
          <w:szCs w:val="20"/>
          <w:lang w:val="en-US"/>
        </w:rPr>
        <w:t>: Visual representation of making a continuous gradient for density gradient centrifugation.</w:t>
      </w:r>
    </w:p>
    <w:p w:rsidR="00577625" w:rsidRDefault="00E74C8E" w:rsidP="00FC7A2B">
      <w:pPr>
        <w:spacing w:line="240" w:lineRule="auto"/>
        <w:rPr>
          <w:lang w:val="en-US"/>
        </w:rPr>
      </w:pPr>
      <w:r>
        <w:rPr>
          <w:lang w:val="en-US"/>
        </w:rPr>
        <w:t>This method has shown to be very effective in separating carbon nanotubes of different sizes</w:t>
      </w:r>
      <w:r>
        <w:rPr>
          <w:lang w:val="en-US"/>
        </w:rPr>
        <w:fldChar w:fldCharType="begin" w:fldLock="1"/>
      </w:r>
      <w:r w:rsidR="00FB6101">
        <w:rPr>
          <w:lang w:val="en-US"/>
        </w:rPr>
        <w:instrText>ADDIN CSL_CITATION { "citationItems" : [ { "id" : "ITEM-1", "itemData" : { "author" : [ { "dropping-particle" : "", "family" : "Block", "given" : "Biocompatible", "non-dropping-particle" : "", "parse-names" : false, "suffix" : "" }, { "dropping-particle" : "", "family" : "Antaris", "given" : "Alexander L", "non-dropping-particle" : "", "parse-names" : false, "suffix" : "" }, { "dropping-particle" : "", "family" : "Seo", "given" : "Jung-woo T", "non-dropping-particle" : "", "parse-names" : false, "suffix" : "" }, { "dropping-particle" : "", "family" : "Green", "given" : "Alexander A", "non-dropping-particle" : "", "parse-names" : false, "suffix" : "" }, { "dropping-particle" : "", "family" : "Hersam", "given" : "Mark C", "non-dropping-particle" : "", "parse-names" : false, "suffix" : "" } ], "id" : "ITEM-1", "issue" : "8", "issued" : { "date-parts" : [ [ "2010" ] ] }, "page" : "4725-4732", "title" : "Sorting Single-Walled Carbon", "type" : "article-journal", "volume" : "4" }, "uris" : [ "http://www.mendeley.com/documents/?uuid=1b39ffa2-5e6a-4ed4-8bc0-ef4d72a7ca9c" ] } ], "mendeley" : { "formattedCitation" : "&lt;sup&gt;64&lt;/sup&gt;", "plainTextFormattedCitation" : "64", "previouslyFormattedCitation" : "&lt;sup&gt;64&lt;/sup&gt;"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64</w:t>
      </w:r>
      <w:r>
        <w:rPr>
          <w:lang w:val="en-US"/>
        </w:rPr>
        <w:fldChar w:fldCharType="end"/>
      </w:r>
      <w:r>
        <w:rPr>
          <w:lang w:val="en-US"/>
        </w:rPr>
        <w:t xml:space="preserve"> and colloids with different liquid protrusions</w:t>
      </w:r>
      <w:r>
        <w:rPr>
          <w:lang w:val="en-US"/>
        </w:rPr>
        <w:fldChar w:fldCharType="begin" w:fldLock="1"/>
      </w:r>
      <w:r w:rsidR="00FB6101">
        <w:rPr>
          <w:lang w:val="en-US"/>
        </w:rPr>
        <w:instrText>ADDIN CSL_CITATION { "citationItems" : [ { "id" : "ITEM-1", "itemData" : { "DOI" : "10.1021/ja8079803", "ISSN" : "00027863", "abstract" : "A facile and flexible synthesis for colloidal molecules with well-controlled shape and tunable patchiness is presented. Cross-linked polystyrene spheres with a liquid protrusion were found to assemble into colloidal molecules by coalescence of the liquid protrusions. Similarly, cross-linked poly(methyl methacrylate) particles carrying a wetting layer assembled into colloidal molecules by coalescence of the wetting layer. Driven by surface energy, a liquid droplet on which the solid spheres are attached is formed. Subsequent polymerization of the liquid yields a wide variety of colloidal molecules as well as colloidosomes with tunable patchiness. Precise control over the topology of the particles has been achieved by changing the amount and nature of the swelling monomer as well as the wetting angle between the liquid and the seed particles. The overall cluster size can be controlled by the seed size as well as the swelling ratio. Use of different swelling monomers and/or particles allows for chemical diversity of the patches and the center. For low swelling ratios assemblies of small numbers of seeds resemble clusters that minimize the second moment of the mass distribution. Assemblies comprised of a large number of colloids are similar to colloidosomes exhibiting elastic strain relief by scar formation. \u00a9 2009 American Chemical Society.", "author" : [ { "dropping-particle" : "", "family" : "Kraft", "given" : "Daniela J.", "non-dropping-particle" : "", "parse-names" : false, "suffix" : "" }, { "dropping-particle" : "", "family" : "Vlug", "given" : "Wessel S.", "non-dropping-particle" : "", "parse-names" : false, "suffix" : "" }, { "dropping-particle" : "", "family" : "Kats", "given" : "Carlos M.", "non-dropping-particle" : "Van", "parse-names" : false, "suffix" : "" }, { "dropping-particle" : "", "family" : "Blaaderen", "given" : "Alfons", "non-dropping-particle" : "Van", "parse-names" : false, "suffix" : "" }, { "dropping-particle" : "", "family" : "Imhof", "given" : "Arnout", "non-dropping-particle" : "", "parse-names" : false, "suffix" : "" }, { "dropping-particle" : "", "family" : "Kegel", "given" : "Willem K.", "non-dropping-particle" : "", "parse-names" : false, "suffix" : "" } ], "container-title" : "Journal of the American Chemical Society", "id" : "ITEM-1", "issue" : "3", "issued" : { "date-parts" : [ [ "2009" ] ] }, "page" : "1182-1186", "title" : "Self-assembly of colloids with liquid protrusions", "type" : "article-journal", "volume" : "131" }, "uris" : [ "http://www.mendeley.com/documents/?uuid=7e03898a-552b-47b2-abee-693247a161c2" ] } ], "mendeley" : { "formattedCitation" : "&lt;sup&gt;65&lt;/sup&gt;", "plainTextFormattedCitation" : "65", "previouslyFormattedCitation" : "&lt;sup&gt;65&lt;/sup&gt;" }, "properties" : { "noteIndex" : 0 }, "schema" : "https://github.com/citation-style-language/schema/raw/master/csl-citation.json" }</w:instrText>
      </w:r>
      <w:r>
        <w:rPr>
          <w:lang w:val="en-US"/>
        </w:rPr>
        <w:fldChar w:fldCharType="separate"/>
      </w:r>
      <w:r w:rsidR="00DE131C" w:rsidRPr="00DE131C">
        <w:rPr>
          <w:noProof/>
          <w:vertAlign w:val="superscript"/>
          <w:lang w:val="en-US"/>
        </w:rPr>
        <w:t>65</w:t>
      </w:r>
      <w:r>
        <w:rPr>
          <w:lang w:val="en-US"/>
        </w:rPr>
        <w:fldChar w:fldCharType="end"/>
      </w:r>
      <w:r>
        <w:rPr>
          <w:lang w:val="en-US"/>
        </w:rPr>
        <w:t xml:space="preserve">. However, for a separation to be performed, the sample volume should be very </w:t>
      </w:r>
      <w:r w:rsidR="0066495C">
        <w:rPr>
          <w:lang w:val="en-US"/>
        </w:rPr>
        <w:t>small,</w:t>
      </w:r>
      <w:r>
        <w:rPr>
          <w:lang w:val="en-US"/>
        </w:rPr>
        <w:t xml:space="preserve"> and the volume </w:t>
      </w:r>
      <w:r w:rsidR="0066495C">
        <w:rPr>
          <w:lang w:val="en-US"/>
        </w:rPr>
        <w:t>fraction</w:t>
      </w:r>
      <w:r>
        <w:rPr>
          <w:lang w:val="en-US"/>
        </w:rPr>
        <w:t xml:space="preserve"> of particles should be relatively low to enhance the separation. This results in a low yield of desired particles that can be used for further experiments.</w:t>
      </w:r>
    </w:p>
    <w:p w:rsidR="00D20E47" w:rsidRPr="00500207" w:rsidRDefault="00E74C8E" w:rsidP="00FC7A2B">
      <w:pPr>
        <w:pStyle w:val="Heading1"/>
        <w:numPr>
          <w:ilvl w:val="0"/>
          <w:numId w:val="2"/>
        </w:numPr>
        <w:spacing w:line="240" w:lineRule="auto"/>
        <w:rPr>
          <w:rStyle w:val="SubtleEmphasis"/>
          <w:b/>
          <w:i w:val="0"/>
          <w:iCs w:val="0"/>
          <w:color w:val="auto"/>
        </w:rPr>
      </w:pPr>
      <w:bookmarkStart w:id="39" w:name="_Toc29640072"/>
      <w:bookmarkStart w:id="40" w:name="_Toc31892392"/>
      <w:r w:rsidRPr="00500207">
        <w:rPr>
          <w:rStyle w:val="SubtleEmphasis"/>
          <w:b/>
          <w:i w:val="0"/>
          <w:iCs w:val="0"/>
          <w:color w:val="auto"/>
        </w:rPr>
        <w:lastRenderedPageBreak/>
        <w:t>Experimental method</w:t>
      </w:r>
      <w:bookmarkEnd w:id="39"/>
      <w:bookmarkEnd w:id="40"/>
    </w:p>
    <w:p w:rsidR="000C1C03" w:rsidRPr="000C1C03" w:rsidRDefault="00E74C8E" w:rsidP="00FC7A2B">
      <w:pPr>
        <w:pStyle w:val="Heading2"/>
        <w:numPr>
          <w:ilvl w:val="1"/>
          <w:numId w:val="2"/>
        </w:numPr>
        <w:spacing w:line="240" w:lineRule="auto"/>
        <w:rPr>
          <w:b/>
          <w:color w:val="auto"/>
          <w:lang w:val="en-US"/>
        </w:rPr>
      </w:pPr>
      <w:bookmarkStart w:id="41" w:name="_Toc31892393"/>
      <w:r w:rsidRPr="00500207">
        <w:rPr>
          <w:rStyle w:val="SubtleEmphasis"/>
          <w:b/>
          <w:i w:val="0"/>
          <w:color w:val="auto"/>
          <w:lang w:val="en-US"/>
        </w:rPr>
        <w:t>List of chemicals</w:t>
      </w:r>
      <w:bookmarkEnd w:id="41"/>
    </w:p>
    <w:tbl>
      <w:tblPr>
        <w:tblStyle w:val="PlainTable2"/>
        <w:tblW w:w="0" w:type="auto"/>
        <w:jc w:val="center"/>
        <w:tblInd w:w="0" w:type="dxa"/>
        <w:tblLook w:val="04A0" w:firstRow="1" w:lastRow="0" w:firstColumn="1" w:lastColumn="0" w:noHBand="0" w:noVBand="1"/>
      </w:tblPr>
      <w:tblGrid>
        <w:gridCol w:w="2895"/>
        <w:gridCol w:w="1951"/>
        <w:gridCol w:w="1980"/>
        <w:gridCol w:w="2246"/>
      </w:tblGrid>
      <w:tr w:rsidR="000C1C03" w:rsidTr="00BC69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5" w:type="dxa"/>
            <w:tcBorders>
              <w:top w:val="single" w:sz="4" w:space="0" w:color="7F7F7F" w:themeColor="text1" w:themeTint="80"/>
              <w:left w:val="nil"/>
              <w:right w:val="nil"/>
            </w:tcBorders>
            <w:hideMark/>
          </w:tcPr>
          <w:p w:rsidR="000C1C03" w:rsidRPr="003E1E89" w:rsidRDefault="000C1C03" w:rsidP="00FC7A2B">
            <w:pPr>
              <w:spacing w:after="0" w:line="240" w:lineRule="auto"/>
              <w:rPr>
                <w:rStyle w:val="SubtleEmphasis"/>
                <w:i w:val="0"/>
                <w:color w:val="auto"/>
                <w:lang w:val="en-US"/>
              </w:rPr>
            </w:pPr>
            <w:r w:rsidRPr="003E1E89">
              <w:rPr>
                <w:rStyle w:val="SubtleEmphasis"/>
                <w:color w:val="auto"/>
                <w:lang w:val="en-US"/>
              </w:rPr>
              <w:t>Name</w:t>
            </w:r>
          </w:p>
        </w:tc>
        <w:tc>
          <w:tcPr>
            <w:tcW w:w="1951" w:type="dxa"/>
            <w:tcBorders>
              <w:top w:val="single" w:sz="4" w:space="0" w:color="7F7F7F" w:themeColor="text1" w:themeTint="80"/>
              <w:left w:val="nil"/>
              <w:right w:val="nil"/>
            </w:tcBorders>
            <w:hideMark/>
          </w:tcPr>
          <w:p w:rsidR="000C1C03" w:rsidRPr="003E1E89" w:rsidRDefault="000C1C03" w:rsidP="00FC7A2B">
            <w:pPr>
              <w:spacing w:after="0" w:line="240" w:lineRule="auto"/>
              <w:cnfStyle w:val="100000000000" w:firstRow="1"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Abbreviation</w:t>
            </w:r>
          </w:p>
        </w:tc>
        <w:tc>
          <w:tcPr>
            <w:tcW w:w="1980" w:type="dxa"/>
            <w:tcBorders>
              <w:top w:val="single" w:sz="4" w:space="0" w:color="7F7F7F" w:themeColor="text1" w:themeTint="80"/>
              <w:left w:val="nil"/>
              <w:right w:val="nil"/>
            </w:tcBorders>
            <w:hideMark/>
          </w:tcPr>
          <w:p w:rsidR="000C1C03" w:rsidRPr="003E1E89" w:rsidRDefault="000C1C03" w:rsidP="00FC7A2B">
            <w:pPr>
              <w:spacing w:after="0" w:line="240" w:lineRule="auto"/>
              <w:cnfStyle w:val="100000000000" w:firstRow="1"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Purity Grade</w:t>
            </w:r>
          </w:p>
        </w:tc>
        <w:tc>
          <w:tcPr>
            <w:tcW w:w="2246" w:type="dxa"/>
            <w:tcBorders>
              <w:top w:val="single" w:sz="4" w:space="0" w:color="7F7F7F" w:themeColor="text1" w:themeTint="80"/>
              <w:left w:val="nil"/>
              <w:right w:val="nil"/>
            </w:tcBorders>
            <w:hideMark/>
          </w:tcPr>
          <w:p w:rsidR="000C1C03" w:rsidRPr="003E1E89" w:rsidRDefault="000C1C03" w:rsidP="00FC7A2B">
            <w:pPr>
              <w:spacing w:after="0" w:line="240" w:lineRule="auto"/>
              <w:cnfStyle w:val="100000000000" w:firstRow="1" w:lastRow="0" w:firstColumn="0" w:lastColumn="0" w:oddVBand="0" w:evenVBand="0" w:oddHBand="0" w:evenHBand="0" w:firstRowFirstColumn="0" w:firstRowLastColumn="0" w:lastRowFirstColumn="0" w:lastRowLastColumn="0"/>
              <w:rPr>
                <w:rStyle w:val="SubtleEmphasis"/>
                <w:b w:val="0"/>
                <w:bCs w:val="0"/>
                <w:i w:val="0"/>
                <w:color w:val="auto"/>
                <w:lang w:val="en-US"/>
              </w:rPr>
            </w:pPr>
            <w:r w:rsidRPr="003E1E89">
              <w:rPr>
                <w:rStyle w:val="SubtleEmphasis"/>
                <w:color w:val="auto"/>
                <w:lang w:val="en-US"/>
              </w:rPr>
              <w:t>Supplier</w:t>
            </w:r>
          </w:p>
        </w:tc>
      </w:tr>
      <w:tr w:rsidR="000C1C03" w:rsidTr="00BC69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5" w:type="dxa"/>
            <w:tcBorders>
              <w:left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lang w:val="en-US"/>
              </w:rPr>
              <w:t>Styrene</w:t>
            </w:r>
          </w:p>
        </w:tc>
        <w:tc>
          <w:tcPr>
            <w:tcW w:w="1951"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St</w:t>
            </w:r>
          </w:p>
        </w:tc>
        <w:tc>
          <w:tcPr>
            <w:tcW w:w="1980"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rFonts w:cstheme="minorHAnsi"/>
                <w:color w:val="auto"/>
              </w:rPr>
              <w:t>≥</w:t>
            </w:r>
            <w:r w:rsidRPr="003E1E89">
              <w:rPr>
                <w:rStyle w:val="SubtleEmphasis"/>
                <w:color w:val="auto"/>
              </w:rPr>
              <w:t>99%</w:t>
            </w:r>
          </w:p>
        </w:tc>
        <w:tc>
          <w:tcPr>
            <w:tcW w:w="2246"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Sigma-Aldrich</w:t>
            </w:r>
          </w:p>
        </w:tc>
      </w:tr>
      <w:tr w:rsidR="000C1C03" w:rsidTr="00BC69AE">
        <w:trPr>
          <w:jc w:val="center"/>
        </w:trPr>
        <w:tc>
          <w:tcPr>
            <w:cnfStyle w:val="001000000000" w:firstRow="0" w:lastRow="0" w:firstColumn="1" w:lastColumn="0" w:oddVBand="0" w:evenVBand="0" w:oddHBand="0" w:evenHBand="0" w:firstRowFirstColumn="0" w:firstRowLastColumn="0" w:lastRowFirstColumn="0" w:lastRowLastColumn="0"/>
            <w:tcW w:w="2895" w:type="dxa"/>
            <w:tcBorders>
              <w:top w:val="nil"/>
              <w:left w:val="nil"/>
              <w:bottom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lang w:val="en-US"/>
              </w:rPr>
              <w:t>Divinylbenzene</w:t>
            </w:r>
          </w:p>
        </w:tc>
        <w:tc>
          <w:tcPr>
            <w:tcW w:w="1951"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DVB</w:t>
            </w:r>
          </w:p>
        </w:tc>
        <w:tc>
          <w:tcPr>
            <w:tcW w:w="1980"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rFonts w:cstheme="minorHAnsi"/>
                <w:i w:val="0"/>
                <w:color w:val="auto"/>
              </w:rPr>
            </w:pPr>
            <w:r w:rsidRPr="003E1E89">
              <w:rPr>
                <w:rStyle w:val="SubtleEmphasis"/>
                <w:rFonts w:cstheme="minorHAnsi"/>
                <w:color w:val="auto"/>
              </w:rPr>
              <w:t>80%</w:t>
            </w:r>
          </w:p>
        </w:tc>
        <w:tc>
          <w:tcPr>
            <w:tcW w:w="2246"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Sigma-Aldrich</w:t>
            </w:r>
          </w:p>
        </w:tc>
      </w:tr>
      <w:tr w:rsidR="000C1C03" w:rsidTr="00BC69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5" w:type="dxa"/>
            <w:tcBorders>
              <w:left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lang w:val="en-US"/>
              </w:rPr>
              <w:t>Sodium Styrene Sulfonate</w:t>
            </w:r>
          </w:p>
        </w:tc>
        <w:tc>
          <w:tcPr>
            <w:tcW w:w="1951"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NaSS</w:t>
            </w:r>
          </w:p>
        </w:tc>
        <w:tc>
          <w:tcPr>
            <w:tcW w:w="1980"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Untested</w:t>
            </w:r>
          </w:p>
        </w:tc>
        <w:tc>
          <w:tcPr>
            <w:tcW w:w="2246"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Sigma-Aldrich</w:t>
            </w:r>
          </w:p>
        </w:tc>
      </w:tr>
      <w:tr w:rsidR="000C1C03" w:rsidTr="00BC69AE">
        <w:trPr>
          <w:jc w:val="center"/>
        </w:trPr>
        <w:tc>
          <w:tcPr>
            <w:cnfStyle w:val="001000000000" w:firstRow="0" w:lastRow="0" w:firstColumn="1" w:lastColumn="0" w:oddVBand="0" w:evenVBand="0" w:oddHBand="0" w:evenHBand="0" w:firstRowFirstColumn="0" w:firstRowLastColumn="0" w:lastRowFirstColumn="0" w:lastRowLastColumn="0"/>
            <w:tcW w:w="2895" w:type="dxa"/>
            <w:tcBorders>
              <w:top w:val="nil"/>
              <w:left w:val="nil"/>
              <w:bottom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rPr>
              <w:t>3-(trimethoxysilyl) propylmethacrylate</w:t>
            </w:r>
          </w:p>
        </w:tc>
        <w:tc>
          <w:tcPr>
            <w:tcW w:w="1951"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TPM</w:t>
            </w:r>
          </w:p>
        </w:tc>
        <w:tc>
          <w:tcPr>
            <w:tcW w:w="1980"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98%</w:t>
            </w:r>
          </w:p>
        </w:tc>
        <w:tc>
          <w:tcPr>
            <w:tcW w:w="2246"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Sigma-Aldrich</w:t>
            </w:r>
          </w:p>
        </w:tc>
      </w:tr>
      <w:tr w:rsidR="000C1C03" w:rsidTr="00BC69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5" w:type="dxa"/>
            <w:tcBorders>
              <w:left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rPr>
              <w:t>3-aminopropyl triethoxysilane</w:t>
            </w:r>
          </w:p>
        </w:tc>
        <w:tc>
          <w:tcPr>
            <w:tcW w:w="1951"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APTES</w:t>
            </w:r>
          </w:p>
        </w:tc>
        <w:tc>
          <w:tcPr>
            <w:tcW w:w="1980"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98%</w:t>
            </w:r>
          </w:p>
        </w:tc>
        <w:tc>
          <w:tcPr>
            <w:tcW w:w="2246"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Sigma-Aldrich</w:t>
            </w:r>
          </w:p>
        </w:tc>
      </w:tr>
      <w:tr w:rsidR="000C1C03" w:rsidTr="00BC69AE">
        <w:trPr>
          <w:jc w:val="center"/>
        </w:trPr>
        <w:tc>
          <w:tcPr>
            <w:cnfStyle w:val="001000000000" w:firstRow="0" w:lastRow="0" w:firstColumn="1" w:lastColumn="0" w:oddVBand="0" w:evenVBand="0" w:oddHBand="0" w:evenHBand="0" w:firstRowFirstColumn="0" w:firstRowLastColumn="0" w:lastRowFirstColumn="0" w:lastRowLastColumn="0"/>
            <w:tcW w:w="2895" w:type="dxa"/>
            <w:tcBorders>
              <w:top w:val="nil"/>
              <w:left w:val="nil"/>
              <w:bottom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rPr>
              <w:t>[2-(methacryloyloxy) ethyl] trimethylammonium chloride</w:t>
            </w:r>
          </w:p>
        </w:tc>
        <w:tc>
          <w:tcPr>
            <w:tcW w:w="1951"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METMAC</w:t>
            </w:r>
          </w:p>
        </w:tc>
        <w:tc>
          <w:tcPr>
            <w:tcW w:w="1980"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80 wt% in water</w:t>
            </w:r>
          </w:p>
        </w:tc>
        <w:tc>
          <w:tcPr>
            <w:tcW w:w="2246"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Sigma-Aldrich</w:t>
            </w:r>
          </w:p>
        </w:tc>
      </w:tr>
      <w:tr w:rsidR="000C1C03" w:rsidTr="00BC69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5" w:type="dxa"/>
            <w:tcBorders>
              <w:left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rPr>
              <w:t>Azobis(isobutonitrile)</w:t>
            </w:r>
          </w:p>
        </w:tc>
        <w:tc>
          <w:tcPr>
            <w:tcW w:w="1951"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AIBN</w:t>
            </w:r>
          </w:p>
        </w:tc>
        <w:tc>
          <w:tcPr>
            <w:tcW w:w="1980"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98%</w:t>
            </w:r>
          </w:p>
        </w:tc>
        <w:tc>
          <w:tcPr>
            <w:tcW w:w="2246"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Sigma-Aldrich</w:t>
            </w:r>
          </w:p>
        </w:tc>
      </w:tr>
      <w:tr w:rsidR="000C1C03" w:rsidTr="00BC69AE">
        <w:trPr>
          <w:jc w:val="center"/>
        </w:trPr>
        <w:tc>
          <w:tcPr>
            <w:cnfStyle w:val="001000000000" w:firstRow="0" w:lastRow="0" w:firstColumn="1" w:lastColumn="0" w:oddVBand="0" w:evenVBand="0" w:oddHBand="0" w:evenHBand="0" w:firstRowFirstColumn="0" w:firstRowLastColumn="0" w:lastRowFirstColumn="0" w:lastRowLastColumn="0"/>
            <w:tcW w:w="2895" w:type="dxa"/>
            <w:tcBorders>
              <w:top w:val="nil"/>
              <w:left w:val="nil"/>
              <w:bottom w:val="nil"/>
              <w:right w:val="nil"/>
            </w:tcBorders>
            <w:hideMark/>
          </w:tcPr>
          <w:p w:rsidR="000C1C03" w:rsidRPr="003E1E89" w:rsidRDefault="000C1C03" w:rsidP="00FC7A2B">
            <w:pPr>
              <w:spacing w:after="0" w:line="240" w:lineRule="auto"/>
              <w:rPr>
                <w:rStyle w:val="SubtleEmphasis"/>
                <w:b w:val="0"/>
                <w:i w:val="0"/>
                <w:color w:val="auto"/>
              </w:rPr>
            </w:pPr>
            <w:r w:rsidRPr="003E1E89">
              <w:rPr>
                <w:rStyle w:val="SubtleEmphasis"/>
                <w:b w:val="0"/>
                <w:color w:val="auto"/>
              </w:rPr>
              <w:t>2-(2-Bromoisobutyryl oxy)ethyl methacrylate</w:t>
            </w:r>
          </w:p>
        </w:tc>
        <w:tc>
          <w:tcPr>
            <w:tcW w:w="1951"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BIAE</w:t>
            </w:r>
          </w:p>
        </w:tc>
        <w:tc>
          <w:tcPr>
            <w:tcW w:w="1980"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95%</w:t>
            </w:r>
          </w:p>
        </w:tc>
        <w:tc>
          <w:tcPr>
            <w:tcW w:w="2246"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Sigma-Aldrich</w:t>
            </w:r>
          </w:p>
        </w:tc>
      </w:tr>
      <w:tr w:rsidR="000C1C03" w:rsidTr="00BC69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5" w:type="dxa"/>
            <w:tcBorders>
              <w:left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lang w:val="en-US"/>
              </w:rPr>
              <w:t>Dimethylsulfoxide</w:t>
            </w:r>
          </w:p>
        </w:tc>
        <w:tc>
          <w:tcPr>
            <w:tcW w:w="1951"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DMSO</w:t>
            </w:r>
          </w:p>
        </w:tc>
        <w:tc>
          <w:tcPr>
            <w:tcW w:w="1980"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99.7%</w:t>
            </w:r>
          </w:p>
        </w:tc>
        <w:tc>
          <w:tcPr>
            <w:tcW w:w="2246"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Acros Organics</w:t>
            </w:r>
          </w:p>
        </w:tc>
      </w:tr>
      <w:tr w:rsidR="000C1C03" w:rsidTr="00BC69AE">
        <w:trPr>
          <w:jc w:val="center"/>
        </w:trPr>
        <w:tc>
          <w:tcPr>
            <w:cnfStyle w:val="001000000000" w:firstRow="0" w:lastRow="0" w:firstColumn="1" w:lastColumn="0" w:oddVBand="0" w:evenVBand="0" w:oddHBand="0" w:evenHBand="0" w:firstRowFirstColumn="0" w:firstRowLastColumn="0" w:lastRowFirstColumn="0" w:lastRowLastColumn="0"/>
            <w:tcW w:w="2895" w:type="dxa"/>
            <w:tcBorders>
              <w:top w:val="nil"/>
              <w:left w:val="nil"/>
              <w:bottom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lang w:val="en-US"/>
              </w:rPr>
              <w:t>Ammonia</w:t>
            </w:r>
          </w:p>
        </w:tc>
        <w:tc>
          <w:tcPr>
            <w:tcW w:w="1951"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w:t>
            </w:r>
          </w:p>
        </w:tc>
        <w:tc>
          <w:tcPr>
            <w:tcW w:w="1980"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28-30 wt% in water</w:t>
            </w:r>
          </w:p>
        </w:tc>
        <w:tc>
          <w:tcPr>
            <w:tcW w:w="2246"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Acros Organics</w:t>
            </w:r>
          </w:p>
        </w:tc>
      </w:tr>
      <w:tr w:rsidR="000C1C03" w:rsidTr="00BC69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5" w:type="dxa"/>
            <w:tcBorders>
              <w:left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lang w:val="en-US"/>
              </w:rPr>
              <w:t>Hydrogen Chloride</w:t>
            </w:r>
          </w:p>
        </w:tc>
        <w:tc>
          <w:tcPr>
            <w:tcW w:w="1951"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HCl</w:t>
            </w:r>
          </w:p>
        </w:tc>
        <w:tc>
          <w:tcPr>
            <w:tcW w:w="1980"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37 wt% in water</w:t>
            </w:r>
          </w:p>
        </w:tc>
        <w:tc>
          <w:tcPr>
            <w:tcW w:w="2246"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Acros Organics</w:t>
            </w:r>
          </w:p>
        </w:tc>
      </w:tr>
      <w:tr w:rsidR="000C1C03" w:rsidTr="00BC69AE">
        <w:trPr>
          <w:jc w:val="center"/>
        </w:trPr>
        <w:tc>
          <w:tcPr>
            <w:cnfStyle w:val="001000000000" w:firstRow="0" w:lastRow="0" w:firstColumn="1" w:lastColumn="0" w:oddVBand="0" w:evenVBand="0" w:oddHBand="0" w:evenHBand="0" w:firstRowFirstColumn="0" w:firstRowLastColumn="0" w:lastRowFirstColumn="0" w:lastRowLastColumn="0"/>
            <w:tcW w:w="2895" w:type="dxa"/>
            <w:tcBorders>
              <w:top w:val="nil"/>
              <w:left w:val="nil"/>
              <w:bottom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lang w:val="en-US"/>
              </w:rPr>
              <w:t>Potassium Hydroxide</w:t>
            </w:r>
          </w:p>
        </w:tc>
        <w:tc>
          <w:tcPr>
            <w:tcW w:w="1951"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KOH</w:t>
            </w:r>
          </w:p>
        </w:tc>
        <w:tc>
          <w:tcPr>
            <w:tcW w:w="1980"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85%</w:t>
            </w:r>
          </w:p>
        </w:tc>
        <w:tc>
          <w:tcPr>
            <w:tcW w:w="2246"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Emsure</w:t>
            </w:r>
          </w:p>
        </w:tc>
      </w:tr>
      <w:tr w:rsidR="000C1C03" w:rsidTr="00BC69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5" w:type="dxa"/>
            <w:tcBorders>
              <w:left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lang w:val="en-US"/>
              </w:rPr>
              <w:t>Ethanol</w:t>
            </w:r>
          </w:p>
        </w:tc>
        <w:tc>
          <w:tcPr>
            <w:tcW w:w="1951"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EtOH</w:t>
            </w:r>
          </w:p>
        </w:tc>
        <w:tc>
          <w:tcPr>
            <w:tcW w:w="1980"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Absolute</w:t>
            </w:r>
          </w:p>
        </w:tc>
        <w:tc>
          <w:tcPr>
            <w:tcW w:w="2246"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Emsure</w:t>
            </w:r>
          </w:p>
        </w:tc>
      </w:tr>
      <w:tr w:rsidR="000C1C03" w:rsidTr="00BC69AE">
        <w:trPr>
          <w:jc w:val="center"/>
        </w:trPr>
        <w:tc>
          <w:tcPr>
            <w:cnfStyle w:val="001000000000" w:firstRow="0" w:lastRow="0" w:firstColumn="1" w:lastColumn="0" w:oddVBand="0" w:evenVBand="0" w:oddHBand="0" w:evenHBand="0" w:firstRowFirstColumn="0" w:firstRowLastColumn="0" w:lastRowFirstColumn="0" w:lastRowLastColumn="0"/>
            <w:tcW w:w="2895" w:type="dxa"/>
            <w:tcBorders>
              <w:top w:val="nil"/>
              <w:left w:val="nil"/>
              <w:bottom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lang w:val="en-US"/>
              </w:rPr>
              <w:t>Methanol</w:t>
            </w:r>
          </w:p>
        </w:tc>
        <w:tc>
          <w:tcPr>
            <w:tcW w:w="1951"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MeOH</w:t>
            </w:r>
          </w:p>
        </w:tc>
        <w:tc>
          <w:tcPr>
            <w:tcW w:w="1980"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99.9%</w:t>
            </w:r>
          </w:p>
        </w:tc>
        <w:tc>
          <w:tcPr>
            <w:tcW w:w="2246"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Biosolve</w:t>
            </w:r>
          </w:p>
        </w:tc>
      </w:tr>
      <w:tr w:rsidR="000C1C03" w:rsidTr="00BC69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5" w:type="dxa"/>
            <w:tcBorders>
              <w:left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lang w:val="en-US"/>
              </w:rPr>
              <w:t>Hydroquinone</w:t>
            </w:r>
          </w:p>
        </w:tc>
        <w:tc>
          <w:tcPr>
            <w:tcW w:w="1951"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HQ</w:t>
            </w:r>
          </w:p>
        </w:tc>
        <w:tc>
          <w:tcPr>
            <w:tcW w:w="1980"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99.7%</w:t>
            </w:r>
          </w:p>
        </w:tc>
        <w:tc>
          <w:tcPr>
            <w:tcW w:w="2246"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Riedel-de-Haen</w:t>
            </w:r>
          </w:p>
        </w:tc>
      </w:tr>
      <w:tr w:rsidR="000C1C03" w:rsidTr="00BC69AE">
        <w:trPr>
          <w:jc w:val="center"/>
        </w:trPr>
        <w:tc>
          <w:tcPr>
            <w:cnfStyle w:val="001000000000" w:firstRow="0" w:lastRow="0" w:firstColumn="1" w:lastColumn="0" w:oddVBand="0" w:evenVBand="0" w:oddHBand="0" w:evenHBand="0" w:firstRowFirstColumn="0" w:firstRowLastColumn="0" w:lastRowFirstColumn="0" w:lastRowLastColumn="0"/>
            <w:tcW w:w="2895" w:type="dxa"/>
            <w:tcBorders>
              <w:top w:val="nil"/>
              <w:left w:val="nil"/>
              <w:bottom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lang w:val="en-US"/>
              </w:rPr>
              <w:t>Sucrose</w:t>
            </w:r>
          </w:p>
        </w:tc>
        <w:tc>
          <w:tcPr>
            <w:tcW w:w="1951"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w:t>
            </w:r>
          </w:p>
        </w:tc>
        <w:tc>
          <w:tcPr>
            <w:tcW w:w="1980"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99%</w:t>
            </w:r>
          </w:p>
        </w:tc>
        <w:tc>
          <w:tcPr>
            <w:tcW w:w="2246"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Alfa Aesar</w:t>
            </w:r>
          </w:p>
        </w:tc>
      </w:tr>
      <w:tr w:rsidR="000C1C03" w:rsidTr="00BC69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5" w:type="dxa"/>
            <w:tcBorders>
              <w:left w:val="nil"/>
              <w:right w:val="nil"/>
            </w:tcBorders>
            <w:hideMark/>
          </w:tcPr>
          <w:p w:rsidR="000C1C03" w:rsidRPr="003E1E89" w:rsidRDefault="00BA64A2" w:rsidP="00FC7A2B">
            <w:pPr>
              <w:spacing w:after="0" w:line="240" w:lineRule="auto"/>
              <w:rPr>
                <w:rStyle w:val="SubtleEmphasis"/>
                <w:b w:val="0"/>
                <w:i w:val="0"/>
                <w:color w:val="auto"/>
                <w:lang w:val="en-US"/>
              </w:rPr>
            </w:pPr>
            <w:r w:rsidRPr="003E1E89">
              <w:rPr>
                <w:rStyle w:val="SubtleEmphasis"/>
                <w:b w:val="0"/>
                <w:color w:val="auto"/>
                <w:lang w:val="en-US"/>
              </w:rPr>
              <w:t>Ficoll</w:t>
            </w:r>
          </w:p>
        </w:tc>
        <w:tc>
          <w:tcPr>
            <w:tcW w:w="1951"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w:t>
            </w:r>
          </w:p>
        </w:tc>
        <w:tc>
          <w:tcPr>
            <w:tcW w:w="1980"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w:t>
            </w:r>
          </w:p>
        </w:tc>
        <w:tc>
          <w:tcPr>
            <w:tcW w:w="2246"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Sigma</w:t>
            </w:r>
          </w:p>
        </w:tc>
      </w:tr>
      <w:tr w:rsidR="000C1C03" w:rsidTr="00BC69AE">
        <w:trPr>
          <w:jc w:val="center"/>
        </w:trPr>
        <w:tc>
          <w:tcPr>
            <w:cnfStyle w:val="001000000000" w:firstRow="0" w:lastRow="0" w:firstColumn="1" w:lastColumn="0" w:oddVBand="0" w:evenVBand="0" w:oddHBand="0" w:evenHBand="0" w:firstRowFirstColumn="0" w:firstRowLastColumn="0" w:lastRowFirstColumn="0" w:lastRowLastColumn="0"/>
            <w:tcW w:w="2895" w:type="dxa"/>
            <w:tcBorders>
              <w:top w:val="nil"/>
              <w:left w:val="nil"/>
              <w:bottom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lang w:val="en-US"/>
              </w:rPr>
              <w:t>Rhodamine-B isothiocyanate</w:t>
            </w:r>
          </w:p>
        </w:tc>
        <w:tc>
          <w:tcPr>
            <w:tcW w:w="1951"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RITC</w:t>
            </w:r>
          </w:p>
        </w:tc>
        <w:tc>
          <w:tcPr>
            <w:tcW w:w="1980"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w:t>
            </w:r>
          </w:p>
        </w:tc>
        <w:tc>
          <w:tcPr>
            <w:tcW w:w="2246" w:type="dxa"/>
            <w:tcBorders>
              <w:top w:val="nil"/>
              <w:left w:val="nil"/>
              <w:bottom w:val="nil"/>
              <w:right w:val="nil"/>
            </w:tcBorders>
            <w:hideMark/>
          </w:tcPr>
          <w:p w:rsidR="000C1C03" w:rsidRPr="003E1E89" w:rsidRDefault="000C1C03" w:rsidP="00FC7A2B">
            <w:pPr>
              <w:spacing w:after="0" w:line="240" w:lineRule="auto"/>
              <w:cnfStyle w:val="000000000000" w:firstRow="0" w:lastRow="0" w:firstColumn="0" w:lastColumn="0" w:oddVBand="0" w:evenVBand="0" w:oddHBand="0" w:evenHBand="0" w:firstRowFirstColumn="0" w:firstRowLastColumn="0" w:lastRowFirstColumn="0" w:lastRowLastColumn="0"/>
              <w:rPr>
                <w:rStyle w:val="SubtleEmphasis"/>
                <w:i w:val="0"/>
                <w:color w:val="auto"/>
                <w:lang w:val="en-US"/>
              </w:rPr>
            </w:pPr>
            <w:r w:rsidRPr="003E1E89">
              <w:rPr>
                <w:rStyle w:val="SubtleEmphasis"/>
                <w:color w:val="auto"/>
                <w:lang w:val="en-US"/>
              </w:rPr>
              <w:t>Sigma</w:t>
            </w:r>
          </w:p>
        </w:tc>
      </w:tr>
      <w:tr w:rsidR="000C1C03" w:rsidTr="00BC69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5" w:type="dxa"/>
            <w:tcBorders>
              <w:left w:val="nil"/>
              <w:right w:val="nil"/>
            </w:tcBorders>
            <w:hideMark/>
          </w:tcPr>
          <w:p w:rsidR="000C1C03" w:rsidRPr="003E1E89" w:rsidRDefault="000C1C03" w:rsidP="00FC7A2B">
            <w:pPr>
              <w:spacing w:after="0" w:line="240" w:lineRule="auto"/>
              <w:rPr>
                <w:rStyle w:val="SubtleEmphasis"/>
                <w:b w:val="0"/>
                <w:i w:val="0"/>
                <w:color w:val="auto"/>
                <w:lang w:val="en-US"/>
              </w:rPr>
            </w:pPr>
            <w:r w:rsidRPr="003E1E89">
              <w:rPr>
                <w:rStyle w:val="SubtleEmphasis"/>
                <w:b w:val="0"/>
                <w:color w:val="auto"/>
                <w:lang w:val="en-US"/>
              </w:rPr>
              <w:t>Bodipy</w:t>
            </w:r>
            <w:r w:rsidR="00BE40FA" w:rsidRPr="003E1E89">
              <w:rPr>
                <w:rStyle w:val="SubtleEmphasis"/>
                <w:b w:val="0"/>
                <w:color w:val="auto"/>
                <w:lang w:val="en-US"/>
              </w:rPr>
              <w:t xml:space="preserve"> 493/503</w:t>
            </w:r>
          </w:p>
        </w:tc>
        <w:tc>
          <w:tcPr>
            <w:tcW w:w="1951"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w:t>
            </w:r>
          </w:p>
        </w:tc>
        <w:tc>
          <w:tcPr>
            <w:tcW w:w="1980"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w:t>
            </w:r>
          </w:p>
        </w:tc>
        <w:tc>
          <w:tcPr>
            <w:tcW w:w="2246" w:type="dxa"/>
            <w:tcBorders>
              <w:left w:val="nil"/>
              <w:right w:val="nil"/>
            </w:tcBorders>
            <w:hideMark/>
          </w:tcPr>
          <w:p w:rsidR="000C1C03" w:rsidRPr="003E1E89" w:rsidRDefault="000C1C03" w:rsidP="00FC7A2B">
            <w:p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color w:val="auto"/>
                <w:lang w:val="en-US"/>
              </w:rPr>
            </w:pPr>
            <w:r w:rsidRPr="003E1E89">
              <w:rPr>
                <w:rStyle w:val="SubtleEmphasis"/>
                <w:color w:val="auto"/>
                <w:lang w:val="en-US"/>
              </w:rPr>
              <w:t xml:space="preserve">Michele Zanini </w:t>
            </w:r>
          </w:p>
        </w:tc>
      </w:tr>
    </w:tbl>
    <w:p w:rsidR="000C1C03" w:rsidRPr="000C1C03" w:rsidRDefault="000C1C03" w:rsidP="00FC7A2B">
      <w:pPr>
        <w:pStyle w:val="Caption"/>
        <w:keepNext/>
        <w:jc w:val="center"/>
        <w:rPr>
          <w:color w:val="auto"/>
          <w:sz w:val="20"/>
          <w:szCs w:val="20"/>
        </w:rPr>
      </w:pPr>
      <w:r w:rsidRPr="000C1C03">
        <w:rPr>
          <w:color w:val="auto"/>
          <w:sz w:val="20"/>
          <w:szCs w:val="20"/>
        </w:rPr>
        <w:t xml:space="preserve">Table </w:t>
      </w:r>
      <w:r w:rsidRPr="000C1C03">
        <w:rPr>
          <w:color w:val="auto"/>
          <w:sz w:val="20"/>
          <w:szCs w:val="20"/>
        </w:rPr>
        <w:fldChar w:fldCharType="begin"/>
      </w:r>
      <w:r w:rsidRPr="000C1C03">
        <w:rPr>
          <w:color w:val="auto"/>
          <w:sz w:val="20"/>
          <w:szCs w:val="20"/>
        </w:rPr>
        <w:instrText xml:space="preserve"> SEQ Table \* ARABIC </w:instrText>
      </w:r>
      <w:r w:rsidRPr="000C1C03">
        <w:rPr>
          <w:color w:val="auto"/>
          <w:sz w:val="20"/>
          <w:szCs w:val="20"/>
        </w:rPr>
        <w:fldChar w:fldCharType="separate"/>
      </w:r>
      <w:r w:rsidR="00C52506">
        <w:rPr>
          <w:noProof/>
          <w:color w:val="auto"/>
          <w:sz w:val="20"/>
          <w:szCs w:val="20"/>
        </w:rPr>
        <w:t>1</w:t>
      </w:r>
      <w:r w:rsidRPr="000C1C03">
        <w:rPr>
          <w:color w:val="auto"/>
          <w:sz w:val="20"/>
          <w:szCs w:val="20"/>
        </w:rPr>
        <w:fldChar w:fldCharType="end"/>
      </w:r>
      <w:r w:rsidRPr="000C1C03">
        <w:rPr>
          <w:color w:val="auto"/>
          <w:sz w:val="20"/>
          <w:szCs w:val="20"/>
        </w:rPr>
        <w:t>: List of chemicals</w:t>
      </w:r>
    </w:p>
    <w:p w:rsidR="00E74C8E" w:rsidRPr="003E1E89" w:rsidRDefault="00E74C8E" w:rsidP="003E1E89">
      <w:pPr>
        <w:rPr>
          <w:rStyle w:val="SubtleEmphasis"/>
          <w:i w:val="0"/>
          <w:color w:val="auto"/>
          <w:lang w:val="en-US"/>
        </w:rPr>
      </w:pPr>
      <w:r w:rsidRPr="003E1E89">
        <w:rPr>
          <w:rStyle w:val="SubtleEmphasis"/>
          <w:i w:val="0"/>
          <w:color w:val="auto"/>
          <w:lang w:val="en-US"/>
        </w:rPr>
        <w:t>The water used throughout all of the experiments was purified using a Milli-Q water purification system, 18.2m</w:t>
      </w:r>
      <w:r w:rsidRPr="003E1E89">
        <w:rPr>
          <w:rStyle w:val="SubtleEmphasis"/>
          <w:rFonts w:cstheme="minorHAnsi"/>
          <w:i w:val="0"/>
          <w:color w:val="auto"/>
          <w:lang w:val="en-US"/>
        </w:rPr>
        <w:t>Ω·cm</w:t>
      </w:r>
      <w:r w:rsidRPr="003E1E89">
        <w:rPr>
          <w:rStyle w:val="SubtleEmphasis"/>
          <w:i w:val="0"/>
          <w:color w:val="auto"/>
          <w:lang w:val="en-US"/>
        </w:rPr>
        <w:t>.</w:t>
      </w:r>
    </w:p>
    <w:p w:rsidR="00E74C8E" w:rsidRPr="00124F79" w:rsidRDefault="00E74C8E" w:rsidP="00FC7A2B">
      <w:pPr>
        <w:spacing w:line="240" w:lineRule="auto"/>
        <w:rPr>
          <w:rStyle w:val="SubtleEmphasis"/>
          <w:i w:val="0"/>
          <w:lang w:val="en-US"/>
        </w:rPr>
      </w:pPr>
    </w:p>
    <w:p w:rsidR="00E74C8E" w:rsidRPr="00124F79" w:rsidRDefault="00E74C8E" w:rsidP="00FC7A2B">
      <w:pPr>
        <w:spacing w:line="240" w:lineRule="auto"/>
        <w:rPr>
          <w:rStyle w:val="SubtleEmphasis"/>
          <w:i w:val="0"/>
          <w:lang w:val="en-US"/>
        </w:rPr>
      </w:pPr>
    </w:p>
    <w:p w:rsidR="00E74C8E" w:rsidRPr="00124F79" w:rsidRDefault="00E74C8E" w:rsidP="00FC7A2B">
      <w:pPr>
        <w:spacing w:line="240" w:lineRule="auto"/>
        <w:rPr>
          <w:rStyle w:val="SubtleEmphasis"/>
          <w:i w:val="0"/>
          <w:lang w:val="en-US"/>
        </w:rPr>
      </w:pPr>
    </w:p>
    <w:p w:rsidR="00E74C8E" w:rsidRPr="00124F79" w:rsidRDefault="00E74C8E" w:rsidP="00FC7A2B">
      <w:pPr>
        <w:spacing w:line="240" w:lineRule="auto"/>
        <w:rPr>
          <w:rStyle w:val="SubtleEmphasis"/>
          <w:i w:val="0"/>
          <w:lang w:val="en-US"/>
        </w:rPr>
      </w:pPr>
    </w:p>
    <w:p w:rsidR="00E74C8E" w:rsidRPr="00124F79" w:rsidRDefault="00E74C8E" w:rsidP="00FC7A2B">
      <w:pPr>
        <w:spacing w:line="240" w:lineRule="auto"/>
        <w:rPr>
          <w:rStyle w:val="SubtleEmphasis"/>
          <w:i w:val="0"/>
          <w:lang w:val="en-US"/>
        </w:rPr>
      </w:pPr>
    </w:p>
    <w:p w:rsidR="00E74C8E" w:rsidRDefault="00E74C8E" w:rsidP="00FC7A2B">
      <w:pPr>
        <w:spacing w:line="240" w:lineRule="auto"/>
        <w:rPr>
          <w:rStyle w:val="SubtleEmphasis"/>
          <w:i w:val="0"/>
          <w:lang w:val="en-US"/>
        </w:rPr>
      </w:pPr>
    </w:p>
    <w:p w:rsidR="00500207" w:rsidRPr="00124F79" w:rsidRDefault="00500207" w:rsidP="00FC7A2B">
      <w:pPr>
        <w:spacing w:line="240" w:lineRule="auto"/>
        <w:rPr>
          <w:rStyle w:val="SubtleEmphasis"/>
          <w:i w:val="0"/>
          <w:lang w:val="en-US"/>
        </w:rPr>
      </w:pPr>
    </w:p>
    <w:p w:rsidR="00E74C8E" w:rsidRPr="00124F79" w:rsidRDefault="00E74C8E" w:rsidP="00FC7A2B">
      <w:pPr>
        <w:spacing w:line="240" w:lineRule="auto"/>
        <w:rPr>
          <w:rStyle w:val="SubtleEmphasis"/>
          <w:i w:val="0"/>
          <w:lang w:val="en-US"/>
        </w:rPr>
      </w:pPr>
    </w:p>
    <w:p w:rsidR="00E74C8E" w:rsidRDefault="00E74C8E" w:rsidP="00FC7A2B">
      <w:pPr>
        <w:spacing w:line="240" w:lineRule="auto"/>
        <w:rPr>
          <w:rStyle w:val="SubtleEmphasis"/>
          <w:i w:val="0"/>
          <w:lang w:val="en-US"/>
        </w:rPr>
      </w:pPr>
    </w:p>
    <w:p w:rsidR="00BC69AE" w:rsidRPr="00124F79" w:rsidRDefault="00BC69AE" w:rsidP="00FC7A2B">
      <w:pPr>
        <w:spacing w:line="240" w:lineRule="auto"/>
        <w:rPr>
          <w:rStyle w:val="SubtleEmphasis"/>
          <w:i w:val="0"/>
          <w:lang w:val="en-US"/>
        </w:rPr>
      </w:pPr>
    </w:p>
    <w:p w:rsidR="00E74C8E" w:rsidRPr="00124F79" w:rsidRDefault="00E74C8E" w:rsidP="00FC7A2B">
      <w:pPr>
        <w:spacing w:line="240" w:lineRule="auto"/>
        <w:rPr>
          <w:rStyle w:val="SubtleEmphasis"/>
          <w:i w:val="0"/>
          <w:lang w:val="en-US"/>
        </w:rPr>
      </w:pPr>
    </w:p>
    <w:p w:rsidR="00E74C8E" w:rsidRPr="00124F79" w:rsidRDefault="00E74C8E" w:rsidP="00FC7A2B">
      <w:pPr>
        <w:spacing w:line="240" w:lineRule="auto"/>
        <w:rPr>
          <w:rStyle w:val="SubtleEmphasis"/>
          <w:i w:val="0"/>
          <w:lang w:val="en-US"/>
        </w:rPr>
      </w:pPr>
    </w:p>
    <w:p w:rsidR="00500207" w:rsidRPr="0012395A" w:rsidRDefault="00E74C8E" w:rsidP="00FC7A2B">
      <w:pPr>
        <w:pStyle w:val="Heading2"/>
        <w:numPr>
          <w:ilvl w:val="1"/>
          <w:numId w:val="2"/>
        </w:numPr>
        <w:spacing w:line="240" w:lineRule="auto"/>
        <w:rPr>
          <w:rStyle w:val="Heading3Char"/>
          <w:b/>
          <w:color w:val="2F5496" w:themeColor="accent1" w:themeShade="BF"/>
          <w:sz w:val="26"/>
          <w:szCs w:val="26"/>
          <w:lang w:val="en-US"/>
        </w:rPr>
      </w:pPr>
      <w:bookmarkStart w:id="42" w:name="_Toc29640073"/>
      <w:bookmarkStart w:id="43" w:name="_Toc31892394"/>
      <w:r w:rsidRPr="0012395A">
        <w:rPr>
          <w:rStyle w:val="Heading3Char"/>
          <w:b/>
          <w:color w:val="auto"/>
          <w:sz w:val="26"/>
          <w:szCs w:val="26"/>
          <w:lang w:val="en-US"/>
        </w:rPr>
        <w:lastRenderedPageBreak/>
        <w:t>Synthesis negatively charged polystyrene (nPS)</w:t>
      </w:r>
      <w:bookmarkEnd w:id="42"/>
      <w:bookmarkEnd w:id="43"/>
    </w:p>
    <w:p w:rsidR="00500207" w:rsidRPr="00500207" w:rsidRDefault="00500207" w:rsidP="00FC7A2B">
      <w:pPr>
        <w:spacing w:line="240" w:lineRule="auto"/>
        <w:rPr>
          <w:rFonts w:asciiTheme="majorHAnsi" w:eastAsiaTheme="majorEastAsia" w:hAnsiTheme="majorHAnsi" w:cstheme="majorBidi"/>
          <w:sz w:val="26"/>
          <w:szCs w:val="26"/>
          <w:lang w:val="en-US"/>
        </w:rPr>
      </w:pPr>
      <w:r w:rsidRPr="00500207">
        <w:rPr>
          <w:lang w:val="en-US"/>
        </w:rPr>
        <w:t xml:space="preserve">Styrene (5 mL), NaSS (90 mg), Bodipy 493/503 (5µL, 1 mg/mL in styrene) and AIBN (90 mg) were dissolved in water (10 mL) and methanol (40 mL) in a 100 mL round bottom flask. The mixture was degassed </w:t>
      </w:r>
      <w:r w:rsidR="00E40DF3">
        <w:rPr>
          <w:lang w:val="en-US"/>
        </w:rPr>
        <w:t>without stirring</w:t>
      </w:r>
      <w:r w:rsidRPr="00500207">
        <w:rPr>
          <w:lang w:val="en-US"/>
        </w:rPr>
        <w:t xml:space="preserve"> at room temperature for 30 minutes. Then, the mixture was immersed in an oil bath at a temperature of 65°C under magnetic stirring. After 2.5 hours, styrene (0.5 mL) and AIBN (90 mg) dissolved in MeOH (5 mL) was degassed at 50°C and added to the mixture. </w:t>
      </w:r>
      <w:r w:rsidR="000D3429">
        <w:rPr>
          <w:lang w:val="en-US"/>
        </w:rPr>
        <w:t xml:space="preserve">Subsequently, the mixture was left to react overnight. </w:t>
      </w:r>
      <w:r w:rsidRPr="00500207">
        <w:rPr>
          <w:lang w:val="en-US"/>
        </w:rPr>
        <w:t xml:space="preserve">The resulting yellow/green suspension was then washed with methanol and water (4:1) after centrifugation at 3200 g for 10 minutes to remove leftover reactants and secondary nuclei. The resulting washed particles were stored in water. </w:t>
      </w:r>
      <w:r w:rsidRPr="00500207">
        <w:rPr>
          <w:lang w:val="en-US"/>
        </w:rPr>
        <w:br/>
        <w:t>These particles were post-modified with the bromine functionality BIEA using seeded emulsion polymerization. 50 mL of the washed PS dispersion (3.5 wt%, 1.75 g solid content) was introduced in a 100 mL round-bottom flask in presence of 31 mg of SDS and 18 mg of NaSS (1 wt% of solid content</w:t>
      </w:r>
      <w:r w:rsidR="00201FFA">
        <w:rPr>
          <w:lang w:val="en-US"/>
        </w:rPr>
        <w:t xml:space="preserve"> of </w:t>
      </w:r>
      <w:r w:rsidR="00E40DF3">
        <w:rPr>
          <w:lang w:val="en-US"/>
        </w:rPr>
        <w:t>polystyrene</w:t>
      </w:r>
      <w:r w:rsidRPr="00500207">
        <w:rPr>
          <w:lang w:val="en-US"/>
        </w:rPr>
        <w:t>). Afterwards, a swelling solution composed of 250 µL of styrene, 500 µL of DVB, 100 µL of BIEA and 25 mg of AIBN was added. The suspension was stirred overnight at room temperature, degassed with nitrogen and eventually polymerized at 75°C for 5 hours. The particles were washed three times with water and then stirred with an ion exchange resin (AG®501-X8 Resin, Bio Rad Laboratories, Inc.) until the suspension surface tension was higher than 70 mNm-1.</w:t>
      </w:r>
    </w:p>
    <w:p w:rsidR="00500207" w:rsidRPr="00EF36EB" w:rsidRDefault="00D20E47" w:rsidP="00FC7A2B">
      <w:pPr>
        <w:pStyle w:val="Heading2"/>
        <w:numPr>
          <w:ilvl w:val="1"/>
          <w:numId w:val="2"/>
        </w:numPr>
        <w:spacing w:line="240" w:lineRule="auto"/>
        <w:rPr>
          <w:rStyle w:val="Heading2Char"/>
          <w:b/>
          <w:color w:val="auto"/>
          <w:lang w:val="en-US"/>
        </w:rPr>
      </w:pPr>
      <w:bookmarkStart w:id="44" w:name="_Toc29640074"/>
      <w:bookmarkStart w:id="45" w:name="_Toc31892395"/>
      <w:r w:rsidRPr="0012395A">
        <w:rPr>
          <w:rStyle w:val="Heading2Char"/>
          <w:b/>
          <w:color w:val="auto"/>
          <w:lang w:val="en-US"/>
        </w:rPr>
        <w:t>Synthesis positively charged polystyrene (pPS)</w:t>
      </w:r>
      <w:bookmarkEnd w:id="44"/>
      <w:bookmarkEnd w:id="45"/>
    </w:p>
    <w:p w:rsidR="00500207" w:rsidRPr="00294D74" w:rsidRDefault="00500207" w:rsidP="00FC7A2B">
      <w:pPr>
        <w:spacing w:line="240" w:lineRule="auto"/>
        <w:rPr>
          <w:lang w:val="en-US"/>
        </w:rPr>
      </w:pPr>
      <w:r w:rsidRPr="00AC2540">
        <w:rPr>
          <w:lang w:val="en-US"/>
        </w:rPr>
        <w:t xml:space="preserve">Styrene (5 mL), METMAC (90 mg), Bodipy 493/503 (5µL, 1 mg/mL in styrene) and AIBN (90 mg) were dissolved in water (10 mL) and methanol (40 mL) in a 100 mL round bottom flask. </w:t>
      </w:r>
      <w:r w:rsidRPr="00EF36EB">
        <w:rPr>
          <w:lang w:val="en-US"/>
        </w:rPr>
        <w:t xml:space="preserve">The mixture was degassed under magnetic stirring at room temperature for 30 minutes. Then, the mixture was immersed in an oil bath at a temperature of 65°C under magnetic stirring. After 2.5 hours, styrene (0.5 mL) and AIBN (90 mg) dissolved in MeOH (5 mL) was degassed at 50°C and added to the mixture. </w:t>
      </w:r>
      <w:r w:rsidR="00294D74">
        <w:rPr>
          <w:lang w:val="en-US"/>
        </w:rPr>
        <w:t xml:space="preserve">Subsequently, the mixture was left to react overnight. </w:t>
      </w:r>
      <w:r w:rsidRPr="00EF36EB">
        <w:rPr>
          <w:lang w:val="en-US"/>
        </w:rPr>
        <w:t xml:space="preserve">The resulting yellow/green suspension was then washed with methanol and water (4:1) after centrifugation at 3200 </w:t>
      </w:r>
      <w:r w:rsidR="00294D74">
        <w:rPr>
          <w:lang w:val="en-US"/>
        </w:rPr>
        <w:t>g</w:t>
      </w:r>
      <w:r w:rsidRPr="00EF36EB">
        <w:rPr>
          <w:lang w:val="en-US"/>
        </w:rPr>
        <w:t xml:space="preserve"> for 10 minutes to remove leftover reactants and secondary nuclei. </w:t>
      </w:r>
      <w:r w:rsidRPr="00294D74">
        <w:rPr>
          <w:lang w:val="en-US"/>
        </w:rPr>
        <w:t>The resulting washed particles were stored in water.</w:t>
      </w:r>
    </w:p>
    <w:p w:rsidR="00500207" w:rsidRPr="0012395A" w:rsidRDefault="00E74C8E" w:rsidP="00FC7A2B">
      <w:pPr>
        <w:pStyle w:val="Heading2"/>
        <w:numPr>
          <w:ilvl w:val="1"/>
          <w:numId w:val="2"/>
        </w:numPr>
        <w:spacing w:line="240" w:lineRule="auto"/>
        <w:rPr>
          <w:b/>
          <w:color w:val="auto"/>
          <w:lang w:val="en-US"/>
        </w:rPr>
      </w:pPr>
      <w:bookmarkStart w:id="46" w:name="_Toc29640075"/>
      <w:bookmarkStart w:id="47" w:name="_Toc31892396"/>
      <w:r w:rsidRPr="0012395A">
        <w:rPr>
          <w:b/>
          <w:color w:val="auto"/>
          <w:lang w:val="en-US"/>
        </w:rPr>
        <w:t>Synthesis dumbbell with size ratio of 1.17 (DB1)</w:t>
      </w:r>
      <w:bookmarkEnd w:id="46"/>
      <w:bookmarkEnd w:id="47"/>
    </w:p>
    <w:p w:rsidR="00AC2540" w:rsidRDefault="00E74C8E" w:rsidP="00FC7A2B">
      <w:pPr>
        <w:spacing w:line="240" w:lineRule="auto"/>
        <w:rPr>
          <w:lang w:val="en-US"/>
        </w:rPr>
      </w:pPr>
      <w:r w:rsidRPr="00500207">
        <w:rPr>
          <w:lang w:val="en-US"/>
        </w:rPr>
        <w:t xml:space="preserve">TPM (183uL) was hydrolyzed by adding water (1.817 mL) in a volume ratio of 1:10 in a plastic centrifugal tube and was left to react on a tumbling table for 5 hours. Plastic was used to prevent the reaction of TPM to a glass surface. Meanwhile, a dispersion of nPS (3.8 wt%, 1.83 mL), water (8.17 mL) and ammonia (4 µL) was prepared in a plastic centrifugal tube, resulting in a concentration of </w:t>
      </w:r>
      <w:r w:rsidR="00C74B90">
        <w:rPr>
          <w:lang w:val="en-US"/>
        </w:rPr>
        <w:t xml:space="preserve">     </w:t>
      </w:r>
      <w:r w:rsidRPr="00500207">
        <w:rPr>
          <w:lang w:val="en-US"/>
        </w:rPr>
        <w:t>2 x 10</w:t>
      </w:r>
      <w:r w:rsidRPr="00C74B90">
        <w:rPr>
          <w:vertAlign w:val="superscript"/>
          <w:lang w:val="en-US"/>
        </w:rPr>
        <w:t>10</w:t>
      </w:r>
      <w:r w:rsidRPr="00500207">
        <w:rPr>
          <w:lang w:val="en-US"/>
        </w:rPr>
        <w:t xml:space="preserve"> np/mL with pH 10.2. To this polystyrene dispersion, the h-TPM was added dropwise at a speed of 0.83 µL/hour using a peristaltic pump (speed 0.2). The mixture was left to react overnight. </w:t>
      </w:r>
      <w:r w:rsidRPr="00500207">
        <w:rPr>
          <w:lang w:val="en-US"/>
        </w:rPr>
        <w:br/>
        <w:t xml:space="preserve">The morning after, Rhodamine B – APTES dye in DMSO (15 µL), water (20mL), AIBN (5 mg) and hydroquinone (1.85 mg) were added to the dispersion. The resulting mixture was degassed for 45 minutes, after which it was heated in an oil bath to 80°C and left to react for 2 hours. To maintain a homogeneous temperature of 80°C, the plastic tube was attached to a mechanical stirrer with scotch tape and mechanically stirred in the oil bath. The resulting brownish dispersion was washed with water after centrifuging at 3273 </w:t>
      </w:r>
      <w:r w:rsidR="00294D74">
        <w:rPr>
          <w:lang w:val="en-US"/>
        </w:rPr>
        <w:t>g</w:t>
      </w:r>
      <w:r w:rsidRPr="00500207">
        <w:rPr>
          <w:lang w:val="en-US"/>
        </w:rPr>
        <w:t xml:space="preserve"> for 20 minutes to remove leftover reactants. Afterwards, the washed particles were stored in water.</w:t>
      </w:r>
    </w:p>
    <w:p w:rsidR="00BC69AE" w:rsidRDefault="00BC69AE" w:rsidP="00FC7A2B">
      <w:pPr>
        <w:spacing w:line="240" w:lineRule="auto"/>
        <w:rPr>
          <w:lang w:val="en-US"/>
        </w:rPr>
      </w:pPr>
    </w:p>
    <w:p w:rsidR="00BC69AE" w:rsidRDefault="00BC69AE" w:rsidP="00FC7A2B">
      <w:pPr>
        <w:spacing w:line="240" w:lineRule="auto"/>
        <w:rPr>
          <w:lang w:val="en-US"/>
        </w:rPr>
      </w:pPr>
    </w:p>
    <w:p w:rsidR="00BC69AE" w:rsidRDefault="00BC69AE" w:rsidP="00FC7A2B">
      <w:pPr>
        <w:spacing w:line="240" w:lineRule="auto"/>
        <w:rPr>
          <w:lang w:val="en-US"/>
        </w:rPr>
      </w:pPr>
    </w:p>
    <w:p w:rsidR="00BC69AE" w:rsidRDefault="00BC69AE" w:rsidP="00FC7A2B">
      <w:pPr>
        <w:spacing w:line="240" w:lineRule="auto"/>
        <w:rPr>
          <w:lang w:val="en-US"/>
        </w:rPr>
      </w:pPr>
    </w:p>
    <w:p w:rsidR="00BC69AE" w:rsidRDefault="00BC69AE" w:rsidP="00FC7A2B">
      <w:pPr>
        <w:spacing w:line="240" w:lineRule="auto"/>
        <w:rPr>
          <w:lang w:val="en-US"/>
        </w:rPr>
      </w:pPr>
    </w:p>
    <w:p w:rsidR="00AC2540" w:rsidRPr="0012395A" w:rsidRDefault="00E74C8E" w:rsidP="00FC7A2B">
      <w:pPr>
        <w:pStyle w:val="Heading2"/>
        <w:numPr>
          <w:ilvl w:val="1"/>
          <w:numId w:val="2"/>
        </w:numPr>
        <w:spacing w:line="240" w:lineRule="auto"/>
        <w:rPr>
          <w:b/>
          <w:color w:val="auto"/>
          <w:lang w:val="en-US"/>
        </w:rPr>
      </w:pPr>
      <w:bookmarkStart w:id="48" w:name="_Toc31892397"/>
      <w:r w:rsidRPr="0012395A">
        <w:rPr>
          <w:rStyle w:val="Heading2Char"/>
          <w:b/>
          <w:color w:val="auto"/>
          <w:lang w:val="en-US"/>
        </w:rPr>
        <w:lastRenderedPageBreak/>
        <w:t xml:space="preserve">Density Gradient Centrifugation of </w:t>
      </w:r>
      <w:r w:rsidR="00033EC4">
        <w:rPr>
          <w:rStyle w:val="Heading2Char"/>
          <w:b/>
          <w:color w:val="auto"/>
          <w:lang w:val="en-US"/>
        </w:rPr>
        <w:t>DB1</w:t>
      </w:r>
      <w:r w:rsidRPr="0012395A">
        <w:rPr>
          <w:rStyle w:val="Heading2Char"/>
          <w:b/>
          <w:color w:val="auto"/>
          <w:lang w:val="en-US"/>
        </w:rPr>
        <w:t xml:space="preserve"> with incremented sucrose gradient</w:t>
      </w:r>
      <w:bookmarkEnd w:id="48"/>
    </w:p>
    <w:p w:rsidR="00AC2540" w:rsidRPr="00AC2540" w:rsidRDefault="00AC2540" w:rsidP="00FC7A2B">
      <w:pPr>
        <w:spacing w:line="240" w:lineRule="auto"/>
        <w:rPr>
          <w:lang w:val="en-US"/>
        </w:rPr>
      </w:pPr>
      <w:r w:rsidRPr="00AC2540">
        <w:rPr>
          <w:lang w:val="en-US"/>
        </w:rPr>
        <w:t>Sucrose in water solutions of 5 mL each were stacked from lightest (5 wt%) to the heaviest (35 wt%)</w:t>
      </w:r>
      <w:r w:rsidR="00E40DF3">
        <w:rPr>
          <w:lang w:val="en-US"/>
        </w:rPr>
        <w:t xml:space="preserve">. </w:t>
      </w:r>
      <w:r w:rsidRPr="00AC2540">
        <w:rPr>
          <w:lang w:val="en-US"/>
        </w:rPr>
        <w:t xml:space="preserve"> </w:t>
      </w:r>
    </w:p>
    <w:p w:rsidR="00AC2540" w:rsidRDefault="00AC2540" w:rsidP="00FC7A2B">
      <w:pPr>
        <w:pStyle w:val="ListParagraph"/>
        <w:numPr>
          <w:ilvl w:val="1"/>
          <w:numId w:val="1"/>
        </w:numPr>
        <w:spacing w:line="240" w:lineRule="auto"/>
        <w:rPr>
          <w:lang w:val="en-US"/>
        </w:rPr>
      </w:pPr>
      <w:r>
        <w:rPr>
          <w:lang w:val="en-US"/>
        </w:rPr>
        <w:t>5 wt% sucrose</w:t>
      </w:r>
    </w:p>
    <w:p w:rsidR="00AC2540" w:rsidRDefault="00AC2540" w:rsidP="00FC7A2B">
      <w:pPr>
        <w:pStyle w:val="ListParagraph"/>
        <w:numPr>
          <w:ilvl w:val="1"/>
          <w:numId w:val="1"/>
        </w:numPr>
        <w:spacing w:line="240" w:lineRule="auto"/>
        <w:rPr>
          <w:lang w:val="en-US"/>
        </w:rPr>
      </w:pPr>
      <w:r>
        <w:rPr>
          <w:lang w:val="en-US"/>
        </w:rPr>
        <w:t>10 wt% sucrose</w:t>
      </w:r>
    </w:p>
    <w:p w:rsidR="00AC2540" w:rsidRDefault="00AC2540" w:rsidP="00FC7A2B">
      <w:pPr>
        <w:pStyle w:val="ListParagraph"/>
        <w:numPr>
          <w:ilvl w:val="1"/>
          <w:numId w:val="1"/>
        </w:numPr>
        <w:spacing w:line="240" w:lineRule="auto"/>
        <w:rPr>
          <w:lang w:val="en-US"/>
        </w:rPr>
      </w:pPr>
      <w:r>
        <w:rPr>
          <w:lang w:val="en-US"/>
        </w:rPr>
        <w:t>15 wt% sucrose</w:t>
      </w:r>
    </w:p>
    <w:p w:rsidR="00AC2540" w:rsidRDefault="00AC2540" w:rsidP="00FC7A2B">
      <w:pPr>
        <w:pStyle w:val="ListParagraph"/>
        <w:numPr>
          <w:ilvl w:val="1"/>
          <w:numId w:val="1"/>
        </w:numPr>
        <w:spacing w:line="240" w:lineRule="auto"/>
        <w:rPr>
          <w:lang w:val="en-US"/>
        </w:rPr>
      </w:pPr>
      <w:r>
        <w:rPr>
          <w:lang w:val="en-US"/>
        </w:rPr>
        <w:t>20 wt% sucrose</w:t>
      </w:r>
    </w:p>
    <w:p w:rsidR="00AC2540" w:rsidRDefault="00AC2540" w:rsidP="00FC7A2B">
      <w:pPr>
        <w:pStyle w:val="ListParagraph"/>
        <w:numPr>
          <w:ilvl w:val="1"/>
          <w:numId w:val="1"/>
        </w:numPr>
        <w:spacing w:line="240" w:lineRule="auto"/>
        <w:rPr>
          <w:lang w:val="en-US"/>
        </w:rPr>
      </w:pPr>
      <w:r>
        <w:rPr>
          <w:lang w:val="en-US"/>
        </w:rPr>
        <w:t>25 wt% sucrose</w:t>
      </w:r>
    </w:p>
    <w:p w:rsidR="00AC2540" w:rsidRDefault="00AC2540" w:rsidP="00FC7A2B">
      <w:pPr>
        <w:pStyle w:val="ListParagraph"/>
        <w:numPr>
          <w:ilvl w:val="1"/>
          <w:numId w:val="1"/>
        </w:numPr>
        <w:spacing w:line="240" w:lineRule="auto"/>
        <w:rPr>
          <w:lang w:val="en-US"/>
        </w:rPr>
      </w:pPr>
      <w:r>
        <w:rPr>
          <w:lang w:val="en-US"/>
        </w:rPr>
        <w:t>30 wt% sucrose</w:t>
      </w:r>
    </w:p>
    <w:p w:rsidR="00AC2540" w:rsidRDefault="00AC2540" w:rsidP="00FC7A2B">
      <w:pPr>
        <w:pStyle w:val="ListParagraph"/>
        <w:numPr>
          <w:ilvl w:val="1"/>
          <w:numId w:val="1"/>
        </w:numPr>
        <w:spacing w:line="240" w:lineRule="auto"/>
        <w:rPr>
          <w:lang w:val="en-US"/>
        </w:rPr>
      </w:pPr>
      <w:r>
        <w:rPr>
          <w:lang w:val="en-US"/>
        </w:rPr>
        <w:t>35 wt% sucrose</w:t>
      </w:r>
    </w:p>
    <w:p w:rsidR="00E74C8E" w:rsidRPr="00AC2540" w:rsidRDefault="00E40DF3" w:rsidP="00FC7A2B">
      <w:pPr>
        <w:spacing w:line="240" w:lineRule="auto"/>
        <w:rPr>
          <w:lang w:val="en-US"/>
        </w:rPr>
      </w:pPr>
      <w:r>
        <w:rPr>
          <w:lang w:val="en-US"/>
        </w:rPr>
        <w:t xml:space="preserve">The stacked sucrose solutions separately visible, as the interfaces between the layers was clearly observable. </w:t>
      </w:r>
      <w:r w:rsidR="00AC2540">
        <w:rPr>
          <w:lang w:val="en-US"/>
        </w:rPr>
        <w:t>A 10 mL syringe with a sharp needle was used to stack the solutions into a 45 mL transparent polycarbonate centrifugal tube, starting with the 5 wt% su</w:t>
      </w:r>
      <w:r>
        <w:rPr>
          <w:lang w:val="en-US"/>
        </w:rPr>
        <w:t>c</w:t>
      </w:r>
      <w:r w:rsidR="00AC2540">
        <w:rPr>
          <w:lang w:val="en-US"/>
        </w:rPr>
        <w:t xml:space="preserve">rose solution. Then, 1 – 2 mL of dumbbell dispersion was stacked on top of the gradient. Then, the sample was centrifuged at 400 </w:t>
      </w:r>
      <w:r w:rsidR="00294D74">
        <w:rPr>
          <w:lang w:val="en-US"/>
        </w:rPr>
        <w:t>g</w:t>
      </w:r>
      <w:r w:rsidR="00AC2540">
        <w:rPr>
          <w:lang w:val="en-US"/>
        </w:rPr>
        <w:t xml:space="preserve"> for 20 minutes. </w:t>
      </w:r>
      <w:r w:rsidR="00051D40">
        <w:rPr>
          <w:lang w:val="en-US"/>
        </w:rPr>
        <w:br/>
      </w:r>
      <w:r w:rsidR="00AC2540">
        <w:rPr>
          <w:lang w:val="en-US"/>
        </w:rPr>
        <w:t xml:space="preserve">The separation of the bands was done via a peristaltic pump. A needle was inserted in the tube and pressed to the bottom. Then, the pump was turned on at a low speed, slowly removing each layer from the gradient from bottom to top. The </w:t>
      </w:r>
      <w:r w:rsidR="00AF58E5">
        <w:rPr>
          <w:lang w:val="en-US"/>
        </w:rPr>
        <w:t>particles</w:t>
      </w:r>
      <w:r w:rsidR="00AC2540">
        <w:rPr>
          <w:lang w:val="en-US"/>
        </w:rPr>
        <w:t xml:space="preserve"> were washed three times with water at 3273 </w:t>
      </w:r>
      <w:r w:rsidR="00294D74">
        <w:rPr>
          <w:lang w:val="en-US"/>
        </w:rPr>
        <w:t>g</w:t>
      </w:r>
      <w:r w:rsidR="00AC2540">
        <w:rPr>
          <w:lang w:val="en-US"/>
        </w:rPr>
        <w:t xml:space="preserve"> for 20 minutes to remove the sucrose in the solution. Afterwards, the washed particles were stored in water. </w:t>
      </w:r>
    </w:p>
    <w:p w:rsidR="00AC2540" w:rsidRPr="0012395A" w:rsidRDefault="00E74C8E" w:rsidP="00FC7A2B">
      <w:pPr>
        <w:pStyle w:val="Heading2"/>
        <w:numPr>
          <w:ilvl w:val="1"/>
          <w:numId w:val="2"/>
        </w:numPr>
        <w:spacing w:line="240" w:lineRule="auto"/>
        <w:rPr>
          <w:rStyle w:val="Heading2Char"/>
          <w:b/>
          <w:color w:val="auto"/>
          <w:lang w:val="en-US"/>
        </w:rPr>
      </w:pPr>
      <w:bookmarkStart w:id="49" w:name="_Toc31892398"/>
      <w:r w:rsidRPr="0012395A">
        <w:rPr>
          <w:rStyle w:val="Heading2Char"/>
          <w:b/>
          <w:color w:val="auto"/>
          <w:lang w:val="en-US"/>
        </w:rPr>
        <w:t>Density Gradient Centrifugation of DB1 with continuous sucrose gradient</w:t>
      </w:r>
      <w:bookmarkEnd w:id="49"/>
    </w:p>
    <w:p w:rsidR="00E87FD6" w:rsidRPr="00E74C8E" w:rsidRDefault="00AC2540" w:rsidP="00FC7A2B">
      <w:pPr>
        <w:spacing w:line="240" w:lineRule="auto"/>
        <w:rPr>
          <w:rFonts w:ascii="Calibri" w:eastAsia="Calibri" w:hAnsi="Calibri" w:cs="Times New Roman"/>
          <w:iCs/>
          <w:lang w:val="en-US"/>
        </w:rPr>
      </w:pPr>
      <w:r w:rsidRPr="00AC2540">
        <w:rPr>
          <w:lang w:val="en-US"/>
        </w:rPr>
        <w:t>15 mL of a 1 wt% and a 30 wt% aqueous sucrose solution was prepared to make the continuous sucrose gradient. The solutions were added simultaneously by using a peristaltic pump set up</w:t>
      </w:r>
      <w:r w:rsidR="00E40DF3">
        <w:rPr>
          <w:lang w:val="en-US"/>
        </w:rPr>
        <w:t xml:space="preserve"> at a speed of 2 rpm</w:t>
      </w:r>
      <w:r w:rsidRPr="00AC2540">
        <w:rPr>
          <w:lang w:val="en-US"/>
        </w:rPr>
        <w:t>, starting with the 1 wt % sucrose solution so that the top part of the resulting gradient has the lowest density.</w:t>
      </w:r>
      <w:r w:rsidR="00E40DF3">
        <w:rPr>
          <w:lang w:val="en-US"/>
        </w:rPr>
        <w:t xml:space="preserve"> As opposed to the incremented sucrose gradient, the continuous gradient was observed to have no individual interfaces between </w:t>
      </w:r>
      <w:r w:rsidR="001A2CB0">
        <w:rPr>
          <w:lang w:val="en-US"/>
        </w:rPr>
        <w:t xml:space="preserve">density layers. </w:t>
      </w:r>
      <w:r w:rsidRPr="00AC2540">
        <w:rPr>
          <w:lang w:val="en-US"/>
        </w:rPr>
        <w:t xml:space="preserve">1-2 mL of dumbbell dispersion was layered on top of the gradient, after which the sample was centrifuged at 300 </w:t>
      </w:r>
      <w:r w:rsidR="00294D74">
        <w:rPr>
          <w:lang w:val="en-US"/>
        </w:rPr>
        <w:t>g</w:t>
      </w:r>
      <w:r w:rsidRPr="00AC2540">
        <w:rPr>
          <w:lang w:val="en-US"/>
        </w:rPr>
        <w:t xml:space="preserve"> for 20 minutes. The separation of the bands was done via a peristaltic pump. A needle was inserted in the tube and pressed to the bottom. Then, the pump was turned on at a low speed, slowly removing each layer from the gradient. The layers were washed three times with water at 3273 </w:t>
      </w:r>
      <w:r w:rsidR="00294D74">
        <w:rPr>
          <w:lang w:val="en-US"/>
        </w:rPr>
        <w:t>g</w:t>
      </w:r>
      <w:r w:rsidRPr="00AC2540">
        <w:rPr>
          <w:lang w:val="en-US"/>
        </w:rPr>
        <w:t xml:space="preserve"> for 20 minutes to remove the sucrose from the dispersion. Afterwards, the </w:t>
      </w:r>
      <w:r w:rsidRPr="003E1E89">
        <w:rPr>
          <w:lang w:val="en-US"/>
        </w:rPr>
        <w:t xml:space="preserve">washed particles were stored in water. </w:t>
      </w:r>
      <w:r w:rsidR="00E87FD6" w:rsidRPr="003E1E89">
        <w:rPr>
          <w:rFonts w:ascii="Calibri" w:eastAsia="Calibri" w:hAnsi="Calibri" w:cs="Times New Roman"/>
          <w:iCs/>
          <w:lang w:val="en-US"/>
        </w:rPr>
        <w:t xml:space="preserve">An experimental set up of the formation of this gradient is shown in </w:t>
      </w:r>
      <w:r w:rsidR="00E87FD6" w:rsidRPr="003E1E89">
        <w:rPr>
          <w:rFonts w:ascii="Calibri" w:eastAsia="Calibri" w:hAnsi="Calibri" w:cs="Times New Roman"/>
          <w:iCs/>
          <w:lang w:val="en-US"/>
        </w:rPr>
        <w:fldChar w:fldCharType="begin"/>
      </w:r>
      <w:r w:rsidR="00E87FD6" w:rsidRPr="003E1E89">
        <w:rPr>
          <w:rFonts w:ascii="Calibri" w:eastAsia="Calibri" w:hAnsi="Calibri" w:cs="Times New Roman"/>
          <w:iCs/>
          <w:lang w:val="en-US"/>
        </w:rPr>
        <w:instrText xml:space="preserve"> REF _Ref29913153 \h  \* MERGEFORMAT </w:instrText>
      </w:r>
      <w:r w:rsidR="00E87FD6" w:rsidRPr="003E1E89">
        <w:rPr>
          <w:rFonts w:ascii="Calibri" w:eastAsia="Calibri" w:hAnsi="Calibri" w:cs="Times New Roman"/>
          <w:iCs/>
          <w:lang w:val="en-US"/>
        </w:rPr>
      </w:r>
      <w:r w:rsidR="00E87FD6" w:rsidRPr="003E1E89">
        <w:rPr>
          <w:rFonts w:ascii="Calibri" w:eastAsia="Calibri" w:hAnsi="Calibri" w:cs="Times New Roman"/>
          <w:iCs/>
          <w:lang w:val="en-US"/>
        </w:rPr>
        <w:fldChar w:fldCharType="separate"/>
      </w:r>
      <w:r w:rsidR="00C52506" w:rsidRPr="003E1E89">
        <w:rPr>
          <w:lang w:val="en-US"/>
        </w:rPr>
        <w:t xml:space="preserve">Figure </w:t>
      </w:r>
      <w:r w:rsidR="00C52506" w:rsidRPr="003E1E89">
        <w:rPr>
          <w:noProof/>
          <w:lang w:val="en-US"/>
        </w:rPr>
        <w:t>12</w:t>
      </w:r>
      <w:r w:rsidR="00E87FD6" w:rsidRPr="003E1E89">
        <w:rPr>
          <w:rFonts w:ascii="Calibri" w:eastAsia="Calibri" w:hAnsi="Calibri" w:cs="Times New Roman"/>
          <w:iCs/>
          <w:lang w:val="en-US"/>
        </w:rPr>
        <w:fldChar w:fldCharType="end"/>
      </w:r>
      <w:r w:rsidR="00E87FD6" w:rsidRPr="003E1E89">
        <w:rPr>
          <w:rFonts w:ascii="Calibri" w:eastAsia="Calibri" w:hAnsi="Calibri" w:cs="Times New Roman"/>
          <w:iCs/>
          <w:lang w:val="en-US"/>
        </w:rPr>
        <w:t>.</w:t>
      </w:r>
      <w:r w:rsidR="00E87FD6" w:rsidRPr="00E74C8E">
        <w:rPr>
          <w:rFonts w:ascii="Calibri" w:eastAsia="Calibri" w:hAnsi="Calibri" w:cs="Times New Roman"/>
          <w:iCs/>
          <w:lang w:val="en-US"/>
        </w:rPr>
        <w:t xml:space="preserve"> </w:t>
      </w:r>
    </w:p>
    <w:p w:rsidR="00E87FD6" w:rsidRDefault="00E87FD6" w:rsidP="00FC7A2B">
      <w:pPr>
        <w:keepNext/>
        <w:spacing w:line="240" w:lineRule="auto"/>
        <w:jc w:val="center"/>
      </w:pPr>
      <w:r w:rsidRPr="00E74C8E">
        <w:rPr>
          <w:rFonts w:ascii="Calibri" w:eastAsia="Calibri" w:hAnsi="Calibri" w:cs="Times New Roman"/>
          <w:iCs/>
          <w:noProof/>
          <w:lang w:val="en-US"/>
        </w:rPr>
        <w:drawing>
          <wp:inline distT="0" distB="0" distL="0" distR="0" wp14:anchorId="2380F2FF" wp14:editId="24F6EABE">
            <wp:extent cx="3786070" cy="2539011"/>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erimental set up gradient dgc.jpg"/>
                    <pic:cNvPicPr/>
                  </pic:nvPicPr>
                  <pic:blipFill rotWithShape="1">
                    <a:blip r:embed="rId28" cstate="print">
                      <a:extLst>
                        <a:ext uri="{28A0092B-C50C-407E-A947-70E740481C1C}">
                          <a14:useLocalDpi xmlns:a14="http://schemas.microsoft.com/office/drawing/2010/main" val="0"/>
                        </a:ext>
                      </a:extLst>
                    </a:blip>
                    <a:srcRect l="11148" t="21677" r="10585" b="8340"/>
                    <a:stretch/>
                  </pic:blipFill>
                  <pic:spPr bwMode="auto">
                    <a:xfrm>
                      <a:off x="0" y="0"/>
                      <a:ext cx="3817139" cy="2559846"/>
                    </a:xfrm>
                    <a:prstGeom prst="rect">
                      <a:avLst/>
                    </a:prstGeom>
                    <a:ln>
                      <a:noFill/>
                    </a:ln>
                    <a:extLst>
                      <a:ext uri="{53640926-AAD7-44D8-BBD7-CCE9431645EC}">
                        <a14:shadowObscured xmlns:a14="http://schemas.microsoft.com/office/drawing/2010/main"/>
                      </a:ext>
                    </a:extLst>
                  </pic:spPr>
                </pic:pic>
              </a:graphicData>
            </a:graphic>
          </wp:inline>
        </w:drawing>
      </w:r>
    </w:p>
    <w:p w:rsidR="00AC2540" w:rsidRDefault="00C82962" w:rsidP="00FC7A2B">
      <w:pPr>
        <w:pStyle w:val="Caption"/>
        <w:jc w:val="center"/>
        <w:rPr>
          <w:color w:val="auto"/>
          <w:sz w:val="20"/>
          <w:szCs w:val="20"/>
          <w:lang w:val="en-US"/>
        </w:rPr>
      </w:pPr>
      <w:bookmarkStart w:id="50" w:name="_Ref29913153"/>
      <w:r>
        <w:rPr>
          <w:color w:val="auto"/>
          <w:sz w:val="20"/>
          <w:szCs w:val="20"/>
          <w:lang w:val="en-US"/>
        </w:rPr>
        <w:t>Figure</w:t>
      </w:r>
      <w:r w:rsidR="00E87FD6" w:rsidRPr="00302DE1">
        <w:rPr>
          <w:color w:val="auto"/>
          <w:sz w:val="20"/>
          <w:szCs w:val="20"/>
          <w:lang w:val="en-US"/>
        </w:rPr>
        <w:t xml:space="preserve"> </w:t>
      </w:r>
      <w:r w:rsidR="00E87FD6" w:rsidRPr="00302DE1">
        <w:rPr>
          <w:color w:val="auto"/>
          <w:sz w:val="20"/>
          <w:szCs w:val="20"/>
        </w:rPr>
        <w:fldChar w:fldCharType="begin"/>
      </w:r>
      <w:r w:rsidR="00E87FD6" w:rsidRPr="00302DE1">
        <w:rPr>
          <w:color w:val="auto"/>
          <w:sz w:val="20"/>
          <w:szCs w:val="20"/>
          <w:lang w:val="en-US"/>
        </w:rPr>
        <w:instrText xml:space="preserve"> SEQ Figure \* ARABIC </w:instrText>
      </w:r>
      <w:r w:rsidR="00E87FD6" w:rsidRPr="00302DE1">
        <w:rPr>
          <w:color w:val="auto"/>
          <w:sz w:val="20"/>
          <w:szCs w:val="20"/>
        </w:rPr>
        <w:fldChar w:fldCharType="separate"/>
      </w:r>
      <w:r w:rsidR="00C52506">
        <w:rPr>
          <w:noProof/>
          <w:color w:val="auto"/>
          <w:sz w:val="20"/>
          <w:szCs w:val="20"/>
          <w:lang w:val="en-US"/>
        </w:rPr>
        <w:t>12</w:t>
      </w:r>
      <w:r w:rsidR="00E87FD6" w:rsidRPr="00302DE1">
        <w:rPr>
          <w:color w:val="auto"/>
          <w:sz w:val="20"/>
          <w:szCs w:val="20"/>
        </w:rPr>
        <w:fldChar w:fldCharType="end"/>
      </w:r>
      <w:bookmarkEnd w:id="50"/>
      <w:r w:rsidR="00E87FD6" w:rsidRPr="00302DE1">
        <w:rPr>
          <w:color w:val="auto"/>
          <w:sz w:val="20"/>
          <w:szCs w:val="20"/>
          <w:lang w:val="en-US"/>
        </w:rPr>
        <w:t>: Experimental set up for making a continuous density gradient.</w:t>
      </w:r>
    </w:p>
    <w:p w:rsidR="00BC69AE" w:rsidRPr="00BC69AE" w:rsidRDefault="00BC69AE" w:rsidP="00BC69AE">
      <w:pPr>
        <w:rPr>
          <w:lang w:val="en-US"/>
        </w:rPr>
      </w:pPr>
    </w:p>
    <w:p w:rsidR="00AC2540" w:rsidRPr="0012395A" w:rsidRDefault="00E74C8E" w:rsidP="00FC7A2B">
      <w:pPr>
        <w:pStyle w:val="Heading2"/>
        <w:numPr>
          <w:ilvl w:val="1"/>
          <w:numId w:val="2"/>
        </w:numPr>
        <w:spacing w:line="240" w:lineRule="auto"/>
        <w:rPr>
          <w:rStyle w:val="Heading2Char"/>
          <w:b/>
          <w:color w:val="auto"/>
          <w:lang w:val="en-US"/>
        </w:rPr>
      </w:pPr>
      <w:bookmarkStart w:id="51" w:name="_Toc31892399"/>
      <w:r w:rsidRPr="0012395A">
        <w:rPr>
          <w:rStyle w:val="Heading2Char"/>
          <w:b/>
          <w:color w:val="auto"/>
          <w:lang w:val="en-US"/>
        </w:rPr>
        <w:lastRenderedPageBreak/>
        <w:t>Synthesis dumbbell with size ratio of 2.79 (DB2)</w:t>
      </w:r>
      <w:bookmarkEnd w:id="51"/>
    </w:p>
    <w:p w:rsidR="00AC2540" w:rsidRPr="003E1E89" w:rsidRDefault="00AC2540" w:rsidP="00FC7A2B">
      <w:pPr>
        <w:spacing w:line="240" w:lineRule="auto"/>
        <w:rPr>
          <w:rStyle w:val="Heading2Char"/>
          <w:rFonts w:asciiTheme="minorHAnsi" w:eastAsiaTheme="minorHAnsi" w:hAnsiTheme="minorHAnsi" w:cstheme="minorBidi"/>
          <w:color w:val="auto"/>
          <w:sz w:val="22"/>
          <w:szCs w:val="22"/>
          <w:lang w:val="en-US"/>
        </w:rPr>
      </w:pPr>
      <w:r>
        <w:rPr>
          <w:lang w:val="en-US"/>
        </w:rPr>
        <w:t xml:space="preserve">TPM (182uL) was hydrolyzed by adding water (1.82 mL) in a volume ratio of 1:10 in a plastic centrifugal tube and was left to react on a tumbling table for 5 hours. Plastic was used to prevent the reaction of TPM to a glass surface. Meanwhile, a dispersion of nPS (3.8 wt%, </w:t>
      </w:r>
      <w:r w:rsidR="001231D9">
        <w:rPr>
          <w:lang w:val="en-US"/>
        </w:rPr>
        <w:t>0.12</w:t>
      </w:r>
      <w:r>
        <w:rPr>
          <w:lang w:val="en-US"/>
        </w:rPr>
        <w:t xml:space="preserve"> mL), water (</w:t>
      </w:r>
      <w:r w:rsidR="001231D9">
        <w:rPr>
          <w:lang w:val="en-US"/>
        </w:rPr>
        <w:t>9.88</w:t>
      </w:r>
      <w:r>
        <w:rPr>
          <w:lang w:val="en-US"/>
        </w:rPr>
        <w:t xml:space="preserve"> mL) and ammonia (4 µL) was prepared, resulting in a concentration of 3 x 10</w:t>
      </w:r>
      <w:r>
        <w:rPr>
          <w:vertAlign w:val="superscript"/>
          <w:lang w:val="en-US"/>
        </w:rPr>
        <w:t>9</w:t>
      </w:r>
      <w:r>
        <w:rPr>
          <w:lang w:val="en-US"/>
        </w:rPr>
        <w:t xml:space="preserve"> np/mL with a pH of 10.2. To this polystyrene dispersion, h-TPM was added dropwise at a speed of 0.83 µL/hour using a peristaltic pump (speed 0.2). The mixture was left to react overnight. </w:t>
      </w:r>
      <w:r>
        <w:rPr>
          <w:lang w:val="en-US"/>
        </w:rPr>
        <w:br/>
        <w:t>The morning after, Rhodamine B – APTES dye in DMSO (15 µL), water (20mL), AIBN (5 mg) and hydroquinone (1.85 mg) were added to the dispersion. The resulting mixture was degassed for 45 minutes, after which it was heated in an oil bath to 80</w:t>
      </w:r>
      <w:r>
        <w:rPr>
          <w:rFonts w:cstheme="minorHAnsi"/>
          <w:lang w:val="en-US"/>
        </w:rPr>
        <w:t>°</w:t>
      </w:r>
      <w:r>
        <w:rPr>
          <w:lang w:val="en-US"/>
        </w:rPr>
        <w:t>C and left to react for 2 hours. To maintain a homogeneous temperature of 80</w:t>
      </w:r>
      <w:r>
        <w:rPr>
          <w:rFonts w:cstheme="minorHAnsi"/>
          <w:lang w:val="en-US"/>
        </w:rPr>
        <w:t xml:space="preserve">°C, the plastic tube was attached to a mechanical stirrer with scotch tape and mechanically stirred in the oil bath. </w:t>
      </w:r>
      <w:r>
        <w:rPr>
          <w:lang w:val="en-US"/>
        </w:rPr>
        <w:t xml:space="preserve">The resulting brownish dispersion was washed with water after centrifuging at 3273 </w:t>
      </w:r>
      <w:r w:rsidR="00294D74">
        <w:rPr>
          <w:lang w:val="en-US"/>
        </w:rPr>
        <w:t>g</w:t>
      </w:r>
      <w:r>
        <w:rPr>
          <w:lang w:val="en-US"/>
        </w:rPr>
        <w:t xml:space="preserve"> for 20 minutes to remove leftover reactants. Afterwards, the washed particles were stored in water.</w:t>
      </w:r>
    </w:p>
    <w:p w:rsidR="00AC2540" w:rsidRPr="0012395A" w:rsidRDefault="00E74C8E" w:rsidP="00FC7A2B">
      <w:pPr>
        <w:pStyle w:val="Heading2"/>
        <w:numPr>
          <w:ilvl w:val="1"/>
          <w:numId w:val="2"/>
        </w:numPr>
        <w:spacing w:line="240" w:lineRule="auto"/>
        <w:rPr>
          <w:rStyle w:val="Heading2Char"/>
          <w:b/>
          <w:color w:val="auto"/>
          <w:lang w:val="en-US"/>
        </w:rPr>
      </w:pPr>
      <w:bookmarkStart w:id="52" w:name="_Toc31892400"/>
      <w:r w:rsidRPr="0012395A">
        <w:rPr>
          <w:rStyle w:val="Heading2Char"/>
          <w:b/>
          <w:color w:val="auto"/>
          <w:lang w:val="en-US"/>
        </w:rPr>
        <w:t>Density Gradient Centrifugation of DB2 with continuous sucrose gradient</w:t>
      </w:r>
      <w:bookmarkEnd w:id="52"/>
    </w:p>
    <w:p w:rsidR="00AC2540" w:rsidRPr="00AC2540" w:rsidRDefault="00AC2540" w:rsidP="00FC7A2B">
      <w:pPr>
        <w:spacing w:line="240" w:lineRule="auto"/>
        <w:rPr>
          <w:rStyle w:val="SubtleEmphasis"/>
          <w:i w:val="0"/>
          <w:iCs w:val="0"/>
          <w:color w:val="2F5496" w:themeColor="accent1" w:themeShade="BF"/>
          <w:lang w:val="en-US"/>
        </w:rPr>
      </w:pPr>
      <w:r w:rsidRPr="00AC2540">
        <w:rPr>
          <w:lang w:val="en-US"/>
        </w:rPr>
        <w:t xml:space="preserve">15 mL of a 1 wt% and a 30 wt% aqueous sucrose solution was prepared to make the continuous sucrose gradient. The solutions were added simultaneously by using a peristaltic pump set up, starting with the 1 wt % sucrose solution so that the top part of the resulting gradient has the lowest density. 1-2 mL of dumbbell dispersion was layered on top of the gradient, after which the sample was centrifuged at 150 </w:t>
      </w:r>
      <w:r w:rsidR="00294D74">
        <w:rPr>
          <w:lang w:val="en-US"/>
        </w:rPr>
        <w:t>g</w:t>
      </w:r>
      <w:r w:rsidRPr="00AC2540">
        <w:rPr>
          <w:lang w:val="en-US"/>
        </w:rPr>
        <w:t xml:space="preserve"> for 20 minutes. The separation of the bands was done via a peristaltic pump. A needle was inserted in the tube and pressed to the bottom. Then, the pump was turned on at a low speed, slowly removing each layer from the gradient. The layers were washed three times with water at 3273 </w:t>
      </w:r>
      <w:r w:rsidR="00294D74">
        <w:rPr>
          <w:lang w:val="en-US"/>
        </w:rPr>
        <w:t>g</w:t>
      </w:r>
      <w:r w:rsidRPr="00AC2540">
        <w:rPr>
          <w:lang w:val="en-US"/>
        </w:rPr>
        <w:t xml:space="preserve"> for 20 minutes to remove the sucrose from the dispersion. Afterwards, the washed particles were stored in water.</w:t>
      </w:r>
    </w:p>
    <w:p w:rsidR="00E74C8E" w:rsidRPr="00AC2540" w:rsidRDefault="00E74C8E" w:rsidP="00FC7A2B">
      <w:pPr>
        <w:pStyle w:val="Heading2"/>
        <w:numPr>
          <w:ilvl w:val="1"/>
          <w:numId w:val="2"/>
        </w:numPr>
        <w:spacing w:line="240" w:lineRule="auto"/>
        <w:rPr>
          <w:rStyle w:val="SubtleEmphasis"/>
          <w:b/>
          <w:i w:val="0"/>
          <w:color w:val="auto"/>
          <w:lang w:val="en-US"/>
        </w:rPr>
      </w:pPr>
      <w:bookmarkStart w:id="53" w:name="_Toc31892401"/>
      <w:r w:rsidRPr="00AC2540">
        <w:rPr>
          <w:rStyle w:val="SubtleEmphasis"/>
          <w:b/>
          <w:i w:val="0"/>
          <w:color w:val="auto"/>
          <w:lang w:val="en-US"/>
        </w:rPr>
        <w:t>Synthesis APTES-Rhod B fluorophore</w:t>
      </w:r>
      <w:bookmarkEnd w:id="53"/>
    </w:p>
    <w:p w:rsidR="00E74C8E" w:rsidRDefault="00E74C8E" w:rsidP="00FC7A2B">
      <w:pPr>
        <w:spacing w:line="240" w:lineRule="auto"/>
        <w:rPr>
          <w:rStyle w:val="SubtleEmphasis"/>
          <w:lang w:val="en-US"/>
        </w:rPr>
      </w:pPr>
      <w:r>
        <w:rPr>
          <w:lang w:val="en-US"/>
        </w:rPr>
        <w:t>RITC (10.2 mg) together with APTES (8.6 µL) were dissolved in DMSO (10 mL) in a 25 mL round bottom flask and stirred with a magnetic stirrer. The resulting APTES-Rhod B fluorophore dye in DMSO can be immediately used in further labeling methods.</w:t>
      </w:r>
    </w:p>
    <w:p w:rsidR="00E74C8E" w:rsidRPr="000E08F3" w:rsidRDefault="00AC2540" w:rsidP="00FC7A2B">
      <w:pPr>
        <w:pStyle w:val="Heading2"/>
        <w:numPr>
          <w:ilvl w:val="1"/>
          <w:numId w:val="2"/>
        </w:numPr>
        <w:spacing w:line="240" w:lineRule="auto"/>
        <w:rPr>
          <w:rStyle w:val="SubtleEmphasis"/>
          <w:b/>
          <w:i w:val="0"/>
          <w:lang w:val="en-US"/>
        </w:rPr>
      </w:pPr>
      <w:r w:rsidRPr="00AC2540">
        <w:rPr>
          <w:rStyle w:val="SubtleEmphasis"/>
          <w:i w:val="0"/>
          <w:lang w:val="en-US"/>
        </w:rPr>
        <w:t xml:space="preserve">  </w:t>
      </w:r>
      <w:bookmarkStart w:id="54" w:name="_Toc31892402"/>
      <w:r w:rsidR="00E74C8E" w:rsidRPr="00CF6EE4">
        <w:rPr>
          <w:rStyle w:val="SubtleEmphasis"/>
          <w:b/>
          <w:i w:val="0"/>
          <w:color w:val="auto"/>
          <w:lang w:val="en-US"/>
        </w:rPr>
        <w:t>Synthesis TPM particles</w:t>
      </w:r>
      <w:bookmarkEnd w:id="54"/>
    </w:p>
    <w:p w:rsidR="00FC7A2B" w:rsidRDefault="00E74C8E" w:rsidP="00FC7A2B">
      <w:pPr>
        <w:spacing w:line="240" w:lineRule="auto"/>
        <w:rPr>
          <w:rFonts w:cstheme="minorHAnsi"/>
          <w:lang w:val="en-US"/>
        </w:rPr>
      </w:pPr>
      <w:r>
        <w:rPr>
          <w:lang w:val="en-US"/>
        </w:rPr>
        <w:t>In a plastic centrifugal tube, TPM (30µL) was emulsified on a tumbling table in an ammonia (4µL) in water (16 mL) solution for 2 hours. Then AIBN (40 mg) and the fluorescent dye APTES-Rhod B in DMSO (5µL) were added to the emulsion, after which the mixture was heated in an oil bath to 80°C</w:t>
      </w:r>
      <w:r>
        <w:rPr>
          <w:rFonts w:cstheme="minorHAnsi"/>
          <w:lang w:val="en-US"/>
        </w:rPr>
        <w:t xml:space="preserve"> to initiate polymerization</w:t>
      </w:r>
      <w:r w:rsidR="000E08F3">
        <w:rPr>
          <w:rFonts w:cstheme="minorHAnsi"/>
          <w:lang w:val="en-US"/>
        </w:rPr>
        <w:t xml:space="preserve"> for 2.5 hours</w:t>
      </w:r>
      <w:r>
        <w:rPr>
          <w:rFonts w:cstheme="minorHAnsi"/>
          <w:lang w:val="en-US"/>
        </w:rPr>
        <w:t xml:space="preserve">. </w:t>
      </w:r>
      <w:r>
        <w:rPr>
          <w:lang w:val="en-US"/>
        </w:rPr>
        <w:t>To maintain a homogeneous temperature of 80</w:t>
      </w:r>
      <w:r>
        <w:rPr>
          <w:rFonts w:cstheme="minorHAnsi"/>
          <w:lang w:val="en-US"/>
        </w:rPr>
        <w:t xml:space="preserve">°C, the plastic tube was attached to a mechanical stirrer with scotch tape and mechanically stirred in the oil bath. Afterwards, the resulting pink suspension was washed three times with water after centrifuging at 3273 </w:t>
      </w:r>
      <w:r w:rsidR="00294D74">
        <w:rPr>
          <w:rFonts w:cstheme="minorHAnsi"/>
          <w:lang w:val="en-US"/>
        </w:rPr>
        <w:t>g</w:t>
      </w:r>
      <w:r>
        <w:rPr>
          <w:rFonts w:cstheme="minorHAnsi"/>
          <w:lang w:val="en-US"/>
        </w:rPr>
        <w:t xml:space="preserve"> for 15 minutes </w:t>
      </w:r>
      <w:r>
        <w:rPr>
          <w:lang w:val="en-US"/>
        </w:rPr>
        <w:t>to remove leftover reactants and secondary nuclei</w:t>
      </w:r>
      <w:r>
        <w:rPr>
          <w:rFonts w:cstheme="minorHAnsi"/>
          <w:lang w:val="en-US"/>
        </w:rPr>
        <w:t xml:space="preserve">. The washed particles were stored in water. </w:t>
      </w:r>
    </w:p>
    <w:p w:rsidR="00AC2540" w:rsidRPr="00AC2540" w:rsidRDefault="00AC2540" w:rsidP="00FC7A2B">
      <w:pPr>
        <w:pStyle w:val="Heading2"/>
        <w:numPr>
          <w:ilvl w:val="1"/>
          <w:numId w:val="2"/>
        </w:numPr>
        <w:spacing w:line="240" w:lineRule="auto"/>
        <w:rPr>
          <w:rStyle w:val="Heading2Char"/>
          <w:b/>
          <w:i/>
          <w:iCs/>
          <w:color w:val="404040" w:themeColor="text1" w:themeTint="BF"/>
          <w:lang w:val="en-US"/>
        </w:rPr>
      </w:pPr>
      <w:r>
        <w:rPr>
          <w:rStyle w:val="Heading2Char"/>
          <w:lang w:val="en-US"/>
        </w:rPr>
        <w:t xml:space="preserve"> </w:t>
      </w:r>
      <w:bookmarkStart w:id="55" w:name="_Toc31892403"/>
      <w:r w:rsidR="00E74C8E" w:rsidRPr="00AC2540">
        <w:rPr>
          <w:rStyle w:val="Heading2Char"/>
          <w:b/>
          <w:color w:val="auto"/>
          <w:lang w:val="en-US"/>
        </w:rPr>
        <w:t>Surface modification of TPM with APTES</w:t>
      </w:r>
      <w:bookmarkEnd w:id="55"/>
    </w:p>
    <w:p w:rsidR="00AC2540" w:rsidRPr="00AC2540" w:rsidRDefault="00AC2540" w:rsidP="00FC7A2B">
      <w:pPr>
        <w:spacing w:line="240" w:lineRule="auto"/>
        <w:rPr>
          <w:i/>
          <w:iCs/>
          <w:color w:val="404040" w:themeColor="text1" w:themeTint="BF"/>
          <w:lang w:val="en-US"/>
        </w:rPr>
      </w:pPr>
      <w:r w:rsidRPr="00AC2540">
        <w:rPr>
          <w:lang w:val="en-US"/>
        </w:rPr>
        <w:t>In a 50 mL round bottom flask, ammonia (1.67 mL), ethanol (22.5 mL) and APTES (80 µL) were added to a TPM or dumbbell particle dispersion (1 mL) of any volume fraction</w:t>
      </w:r>
      <w:r w:rsidR="000E08F3" w:rsidRPr="00C2106A">
        <w:rPr>
          <w:b/>
          <w:lang w:val="en-US"/>
        </w:rPr>
        <w:t>*</w:t>
      </w:r>
      <w:r w:rsidR="00CF6EE4">
        <w:rPr>
          <w:lang w:val="en-US"/>
        </w:rPr>
        <w:fldChar w:fldCharType="begin" w:fldLock="1"/>
      </w:r>
      <w:r w:rsidR="00FB6101">
        <w:rPr>
          <w:lang w:val="en-US"/>
        </w:rPr>
        <w:instrText>ADDIN CSL_CITATION { "citationItems" : [ { "id" : "ITEM-1", "itemData" : { "DOI" : "10.1021/acs.macromol.8b01306", "ISSN" : "15205835", "abstract" : "The availability of catalytic/reducing sites at metallic Cu 0 sources during supplemental activator and reducing agent atom transfer radical polymerization (SARA ATRP) is regulated by the components of the polymerization mixture, including ligand (L), alkyl halide initiator (R-X), and Cu II -based deactivator. Their contributions were analyzed by quantifying the dissolution of Cu species within a quartz crystal microbalance with dissipation (QCM-D), subjecting a Cu 0 -coated sensor to different polymerization mixtures. The control of catalyst diffusion from Cu 0 was subsequently exploited to fabricate structured polymer brushes with diverse compositions, when ATRP was performed from surface-immobilized initiators in the presence of a Cu 0 plate, placed at a determined distance (d) from the substrate. Surface-initiated ATRP in the presence of Cu 0 (Cu 0 -SI-ATRP) is compatible with a broad variety of monomers, including oligo(ethylene glycol) acrylate (OEGA), methyl acrylate (MA), and acrylamide (AAm). The kinetics of brush growth is finely tuned by the independent variation of d, polymerization time, and concentration of added deactivator. Modulation of these parameters allowed us to generate homopolymer and multiblock copolymer brush gradients featuring a variety of morphologies and controlled interfacial properties, with unprecedented spatial resolution over the brush structure.", "author" : [ { "dropping-particle" : "", "family" : "Fantin", "given" : "Marco", "non-dropping-particle" : "", "parse-names" : false, "suffix" : "" }, { "dropping-particle" : "", "family" : "Ramakrishna", "given" : "Shivaprakash N.", "non-dropping-particle" : "", "parse-names" : false, "suffix" : "" }, { "dropping-particle" : "", "family" : "Yan", "given" : "Jiajun", "non-dropping-particle" : "", "parse-names" : false, "suffix" : "" }, { "dropping-particle" : "", "family" : "Yan", "given" : "Wenqing", "non-dropping-particle" : "", "parse-names" : false, "suffix" : "" }, { "dropping-particle" : "", "family" : "Divandari", "given" : "Mohammad", "non-dropping-particle" : "", "parse-names" : false, "suffix" : "" }, { "dropping-particle" : "", "family" : "Spencer", "given" : "Nicholas D.", "non-dropping-particle" : "", "parse-names" : false, "suffix" : "" }, { "dropping-particle" : "", "family" : "Matyjaszewski", "given" : "Krzysztof", "non-dropping-particle" : "", "parse-names" : false, "suffix" : "" }, { "dropping-particle" : "", "family" : "Benetti", "given" : "Edmondo M.", "non-dropping-particle" : "", "parse-names" : false, "suffix" : "" } ], "container-title" : "Macromolecules", "genre" : "research-article", "id" : "ITEM-1", "issue" : "17", "issued" : { "date-parts" : [ [ "2018" ] ] }, "page" : "6825-6835", "publisher" : "American Chemical Society", "title" : "The Role of Cu 0 in Surface-Initiated Atom Transfer Radical Polymerization: Tuning Catalyst Dissolution for Tailoring Polymer Interfaces", "type" : "article-journal", "volume" : "51" }, "uris" : [ "http://www.mendeley.com/documents/?uuid=16efecfe-f15c-49ae-8142-b745970f8598" ] } ], "mendeley" : { "formattedCitation" : "&lt;sup&gt;66&lt;/sup&gt;", "plainTextFormattedCitation" : "66", "previouslyFormattedCitation" : "&lt;sup&gt;66&lt;/sup&gt;" }, "properties" : { "noteIndex" : 0 }, "schema" : "https://github.com/citation-style-language/schema/raw/master/csl-citation.json" }</w:instrText>
      </w:r>
      <w:r w:rsidR="00CF6EE4">
        <w:rPr>
          <w:lang w:val="en-US"/>
        </w:rPr>
        <w:fldChar w:fldCharType="separate"/>
      </w:r>
      <w:r w:rsidR="00DE131C" w:rsidRPr="00DE131C">
        <w:rPr>
          <w:noProof/>
          <w:vertAlign w:val="superscript"/>
          <w:lang w:val="en-US"/>
        </w:rPr>
        <w:t>66</w:t>
      </w:r>
      <w:r w:rsidR="00CF6EE4">
        <w:rPr>
          <w:lang w:val="en-US"/>
        </w:rPr>
        <w:fldChar w:fldCharType="end"/>
      </w:r>
      <w:r w:rsidRPr="00AC2540">
        <w:rPr>
          <w:lang w:val="en-US"/>
        </w:rPr>
        <w:t>. This mixture was left to react overnight at 40</w:t>
      </w:r>
      <w:r w:rsidRPr="00AC2540">
        <w:rPr>
          <w:rFonts w:cstheme="minorHAnsi"/>
          <w:lang w:val="en-US"/>
        </w:rPr>
        <w:t>°</w:t>
      </w:r>
      <w:r w:rsidRPr="00AC2540">
        <w:rPr>
          <w:lang w:val="en-US"/>
        </w:rPr>
        <w:t xml:space="preserve">C while stirring using a magnetic stirrer. The morning after, the particles was washed once with ethanol at 1000 </w:t>
      </w:r>
      <w:r w:rsidR="00294D74">
        <w:rPr>
          <w:lang w:val="en-US"/>
        </w:rPr>
        <w:t>g</w:t>
      </w:r>
      <w:r w:rsidRPr="00AC2540">
        <w:rPr>
          <w:lang w:val="en-US"/>
        </w:rPr>
        <w:t xml:space="preserve"> for 5 minutes and three times with water at 3273 </w:t>
      </w:r>
      <w:r w:rsidR="00294D74">
        <w:rPr>
          <w:lang w:val="en-US"/>
        </w:rPr>
        <w:t>g</w:t>
      </w:r>
      <w:r w:rsidRPr="00AC2540">
        <w:rPr>
          <w:lang w:val="en-US"/>
        </w:rPr>
        <w:t xml:space="preserve"> for 15 minutes to remove leftover reactants. Afterwards, the washed particles were stored in water. Later on, the particles were washed three times only with ethanol after centrifuging at 1000 </w:t>
      </w:r>
      <w:r w:rsidR="00294D74">
        <w:rPr>
          <w:lang w:val="en-US"/>
        </w:rPr>
        <w:t>g</w:t>
      </w:r>
      <w:r w:rsidRPr="00AC2540">
        <w:rPr>
          <w:lang w:val="en-US"/>
        </w:rPr>
        <w:t xml:space="preserve"> for 5 minutes, as it was found that these particles were unstable in water. The washed particles were then stored in ethanol.</w:t>
      </w:r>
    </w:p>
    <w:p w:rsidR="00E74C8E" w:rsidRDefault="00CF6EE4" w:rsidP="00FC7A2B">
      <w:pPr>
        <w:spacing w:line="240" w:lineRule="auto"/>
        <w:rPr>
          <w:i/>
          <w:lang w:val="en-US"/>
        </w:rPr>
      </w:pPr>
      <w:r w:rsidRPr="00C2106A">
        <w:rPr>
          <w:b/>
          <w:i/>
          <w:lang w:val="en-US"/>
        </w:rPr>
        <w:t>*</w:t>
      </w:r>
      <w:r w:rsidRPr="00C2106A">
        <w:rPr>
          <w:i/>
          <w:lang w:val="en-US"/>
        </w:rPr>
        <w:t>: Any volume fraction</w:t>
      </w:r>
      <w:r w:rsidR="005E4A14" w:rsidRPr="00C2106A">
        <w:rPr>
          <w:i/>
          <w:lang w:val="en-US"/>
        </w:rPr>
        <w:t xml:space="preserve"> under 30 wt%</w:t>
      </w:r>
      <w:r w:rsidRPr="00C2106A">
        <w:rPr>
          <w:i/>
          <w:lang w:val="en-US"/>
        </w:rPr>
        <w:t xml:space="preserve"> can be used, as the paper uses these volume ratios for a 1mL dispersion of</w:t>
      </w:r>
      <w:r w:rsidR="005E4A14" w:rsidRPr="00C2106A">
        <w:rPr>
          <w:i/>
          <w:lang w:val="en-US"/>
        </w:rPr>
        <w:t xml:space="preserve"> </w:t>
      </w:r>
      <w:r w:rsidRPr="00C2106A">
        <w:rPr>
          <w:i/>
          <w:lang w:val="en-US"/>
        </w:rPr>
        <w:t>30 wt% Ludox silica dispersion.</w:t>
      </w:r>
      <w:r w:rsidR="005E4A14" w:rsidRPr="00C2106A">
        <w:rPr>
          <w:i/>
          <w:lang w:val="en-US"/>
        </w:rPr>
        <w:t xml:space="preserve"> In other words, as long as weight percent of the </w:t>
      </w:r>
      <w:r w:rsidR="00C2106A">
        <w:rPr>
          <w:i/>
          <w:lang w:val="en-US"/>
        </w:rPr>
        <w:t xml:space="preserve">TPM </w:t>
      </w:r>
      <w:r w:rsidR="005E4A14" w:rsidRPr="00C2106A">
        <w:rPr>
          <w:i/>
          <w:lang w:val="en-US"/>
        </w:rPr>
        <w:t xml:space="preserve">dispersion is lower than or equal to 30 wt%, the APTES will be in excess. </w:t>
      </w:r>
    </w:p>
    <w:p w:rsidR="00BC69AE" w:rsidRPr="00E87FD6" w:rsidRDefault="00BC69AE" w:rsidP="00FC7A2B">
      <w:pPr>
        <w:spacing w:line="240" w:lineRule="auto"/>
        <w:rPr>
          <w:rStyle w:val="SubtleEmphasis"/>
          <w:iCs w:val="0"/>
          <w:color w:val="auto"/>
          <w:lang w:val="en-US"/>
        </w:rPr>
      </w:pPr>
    </w:p>
    <w:p w:rsidR="00E74C8E" w:rsidRPr="0012395A" w:rsidRDefault="0012395A" w:rsidP="00FC7A2B">
      <w:pPr>
        <w:pStyle w:val="Heading2"/>
        <w:numPr>
          <w:ilvl w:val="1"/>
          <w:numId w:val="2"/>
        </w:numPr>
        <w:spacing w:line="240" w:lineRule="auto"/>
        <w:rPr>
          <w:rStyle w:val="SubtleEmphasis"/>
          <w:b/>
          <w:i w:val="0"/>
          <w:iCs w:val="0"/>
          <w:color w:val="auto"/>
        </w:rPr>
      </w:pPr>
      <w:r w:rsidRPr="00294D74">
        <w:rPr>
          <w:rStyle w:val="SubtleEmphasis"/>
          <w:b/>
          <w:i w:val="0"/>
          <w:iCs w:val="0"/>
          <w:color w:val="auto"/>
          <w:lang w:val="en-US"/>
        </w:rPr>
        <w:lastRenderedPageBreak/>
        <w:t xml:space="preserve"> </w:t>
      </w:r>
      <w:bookmarkStart w:id="56" w:name="_Toc31892404"/>
      <w:r w:rsidR="00E74C8E" w:rsidRPr="0012395A">
        <w:rPr>
          <w:rStyle w:val="SubtleEmphasis"/>
          <w:b/>
          <w:i w:val="0"/>
          <w:iCs w:val="0"/>
          <w:color w:val="auto"/>
        </w:rPr>
        <w:t>Encapsulation experiments</w:t>
      </w:r>
      <w:bookmarkEnd w:id="56"/>
    </w:p>
    <w:p w:rsidR="00E74C8E" w:rsidRPr="00176A60" w:rsidRDefault="00E74C8E" w:rsidP="00FC7A2B">
      <w:pPr>
        <w:spacing w:line="240" w:lineRule="auto"/>
        <w:rPr>
          <w:lang w:val="en-US"/>
        </w:rPr>
      </w:pPr>
      <w:r w:rsidRPr="00176A60">
        <w:rPr>
          <w:lang w:val="en-US"/>
        </w:rPr>
        <w:t xml:space="preserve">A typical procedure for the encapsulation experiments was as follows: a dispersion of nPS (588 µL, 0.032 wt %) or pPS (588 µL, 0.032 wt %) was added to a dispersion of pH-PS (500 µL, 0.02 wt%) in an eppendorf tube at the desired pH, resulting in a particle number excess of nPS or pPS relative to pH-PS of 100. To acquire the desired acidic pH (between 2.5 and 3.5), a solution of 0.01 M HCl (10 µL) was added to the dispersion in the eppendorf tube. To acquire the desired basic pH (between 9.5 and 10.5), a solution of 0.01 M KOH (10 µL) was added to the dispersion in the eppendorf tube. </w:t>
      </w:r>
      <w:r w:rsidR="00C2106A" w:rsidRPr="00C2106A">
        <w:rPr>
          <w:lang w:val="en-US"/>
        </w:rPr>
        <w:t>The</w:t>
      </w:r>
      <w:r w:rsidR="00C2106A">
        <w:rPr>
          <w:lang w:val="en-US"/>
        </w:rPr>
        <w:t xml:space="preserve"> pH was measured afterwards to confirm the correct value. </w:t>
      </w:r>
      <w:r w:rsidRPr="00C2106A">
        <w:rPr>
          <w:lang w:val="en-US"/>
        </w:rPr>
        <w:t>Then, the eppendorf was shaken by hand and a small droplet from the cluster dispersion was used to directly view the clusters under the optical microscope. Similarly, a small droplet was taken from the cluster dispersion to prepare an SEM sample</w:t>
      </w:r>
      <w:r w:rsidR="00C2106A" w:rsidRPr="00C2106A">
        <w:rPr>
          <w:lang w:val="en-US"/>
        </w:rPr>
        <w:t>.</w:t>
      </w:r>
      <w:r w:rsidRPr="00E74C8E">
        <w:rPr>
          <w:rStyle w:val="SubtleEmphasis"/>
          <w:i w:val="0"/>
          <w:lang w:val="en-US"/>
        </w:rPr>
        <w:t xml:space="preserve"> </w:t>
      </w:r>
      <w:r w:rsidRPr="00E74C8E">
        <w:rPr>
          <w:i/>
          <w:lang w:val="en-US"/>
        </w:rPr>
        <w:br/>
      </w:r>
      <w:r w:rsidRPr="00176A60">
        <w:rPr>
          <w:lang w:val="en-US"/>
        </w:rPr>
        <w:t xml:space="preserve">To probe the reversibility of the cluster formation from acidic conditions, a 0.01 M KOH solution (20µL) was added to the acidic dispersion to obtain a basic pH (between 9.5 and 10.5). Then, the resulting dispersion was shaken by hand and a small droplet from the particle dispersion was directly used to view under the optical microscope. </w:t>
      </w:r>
    </w:p>
    <w:p w:rsidR="00E74C8E" w:rsidRPr="004F172D" w:rsidRDefault="004F172D" w:rsidP="00FC7A2B">
      <w:pPr>
        <w:pStyle w:val="Heading2"/>
        <w:numPr>
          <w:ilvl w:val="1"/>
          <w:numId w:val="2"/>
        </w:numPr>
        <w:spacing w:line="240" w:lineRule="auto"/>
        <w:rPr>
          <w:rFonts w:eastAsia="Times New Roman"/>
          <w:b/>
          <w:color w:val="auto"/>
          <w:lang w:val="en-US"/>
        </w:rPr>
      </w:pPr>
      <w:r w:rsidRPr="004F172D">
        <w:rPr>
          <w:rFonts w:eastAsia="Times New Roman"/>
          <w:b/>
          <w:color w:val="auto"/>
          <w:lang w:val="en-US"/>
        </w:rPr>
        <w:t xml:space="preserve"> </w:t>
      </w:r>
      <w:bookmarkStart w:id="57" w:name="_Toc31892405"/>
      <w:r w:rsidRPr="004F172D">
        <w:rPr>
          <w:rFonts w:eastAsia="Times New Roman"/>
          <w:b/>
          <w:color w:val="auto"/>
          <w:lang w:val="en-US"/>
        </w:rPr>
        <w:t>Characterization</w:t>
      </w:r>
      <w:bookmarkEnd w:id="57"/>
    </w:p>
    <w:p w:rsidR="00B43F0A" w:rsidRDefault="00763002" w:rsidP="00FC7A2B">
      <w:pPr>
        <w:spacing w:line="240" w:lineRule="auto"/>
        <w:rPr>
          <w:lang w:val="en-US"/>
        </w:rPr>
      </w:pPr>
      <w:r w:rsidRPr="00763002">
        <w:rPr>
          <w:lang w:val="en-US"/>
        </w:rPr>
        <w:t xml:space="preserve">Optical microscopy images were taken with a Nikon Ti-E inverted microscope. The microscope was </w:t>
      </w:r>
      <w:r>
        <w:rPr>
          <w:lang w:val="en-US"/>
        </w:rPr>
        <w:t xml:space="preserve">equipped with </w:t>
      </w:r>
      <w:r w:rsidRPr="00763002">
        <w:rPr>
          <w:lang w:val="en-US"/>
        </w:rPr>
        <w:t xml:space="preserve">a Hamamatsu </w:t>
      </w:r>
      <w:r>
        <w:rPr>
          <w:lang w:val="en-US"/>
        </w:rPr>
        <w:t>C1140</w:t>
      </w:r>
      <w:r w:rsidRPr="00763002">
        <w:rPr>
          <w:lang w:val="en-US"/>
        </w:rPr>
        <w:t xml:space="preserve"> Flash camera.</w:t>
      </w:r>
      <w:r>
        <w:rPr>
          <w:lang w:val="en-US"/>
        </w:rPr>
        <w:t xml:space="preserve"> The objectives used are </w:t>
      </w:r>
      <w:r w:rsidRPr="00763002">
        <w:rPr>
          <w:lang w:val="en-US"/>
        </w:rPr>
        <w:t>Nikon TIRF NA 1.49 100× oil immersion objective</w:t>
      </w:r>
      <w:r>
        <w:rPr>
          <w:lang w:val="en-US"/>
        </w:rPr>
        <w:t>, Nikon 40x 0.75 Plan Fluor and Nikon 10x 0.30 Plan Fluor. The samples were prepared by placing a droplet from the imaged dispersion on a glass slider onto which a glass cover slip is placed. The suitable filter cube is used to obtain the desired fluorescent wavelengths.</w:t>
      </w:r>
    </w:p>
    <w:p w:rsidR="00765FDF" w:rsidRDefault="00765FDF" w:rsidP="00FC7A2B">
      <w:pPr>
        <w:spacing w:line="240" w:lineRule="auto"/>
        <w:rPr>
          <w:lang w:val="en-US"/>
        </w:rPr>
      </w:pPr>
      <w:r>
        <w:rPr>
          <w:lang w:val="en-US"/>
        </w:rPr>
        <w:t>Scanning electron</w:t>
      </w:r>
      <w:r w:rsidR="00775982">
        <w:rPr>
          <w:lang w:val="en-US"/>
        </w:rPr>
        <w:t xml:space="preserve"> microscopy images were taken with the Phenom Pro-X</w:t>
      </w:r>
      <w:r w:rsidR="00626814">
        <w:rPr>
          <w:lang w:val="en-US"/>
        </w:rPr>
        <w:t xml:space="preserve"> microscope. The samples were prepared on a silica wafer, which was glow discharged beforehand using the Cressington Power Unit 208. A small droplet was put on the wafer, which was vacuum dried in the Cressington Sputter Coater 208 HR.</w:t>
      </w:r>
    </w:p>
    <w:p w:rsidR="00C31DE6" w:rsidRDefault="00B43F0A" w:rsidP="00FC7A2B">
      <w:pPr>
        <w:spacing w:line="240" w:lineRule="auto"/>
        <w:rPr>
          <w:lang w:val="en-US"/>
        </w:rPr>
      </w:pPr>
      <w:r>
        <w:rPr>
          <w:lang w:val="en-US"/>
        </w:rPr>
        <w:t xml:space="preserve">pH measurements were performed </w:t>
      </w:r>
      <w:r w:rsidR="00BF28AF">
        <w:rPr>
          <w:lang w:val="en-US"/>
        </w:rPr>
        <w:t>using the Metler Toledo Inlab</w:t>
      </w:r>
      <w:r w:rsidR="00BF28AF" w:rsidRPr="00500207">
        <w:rPr>
          <w:lang w:val="en-US"/>
        </w:rPr>
        <w:t>®</w:t>
      </w:r>
      <w:r w:rsidR="00BF28AF">
        <w:rPr>
          <w:lang w:val="en-US"/>
        </w:rPr>
        <w:t>Micro pH meter. The pH meter was calibrated using commercially available pH 4.01, pH 7.01 and pH 10.01 buffer solutions.</w:t>
      </w:r>
    </w:p>
    <w:p w:rsidR="005A20E7" w:rsidRDefault="005A20E7" w:rsidP="00FC7A2B">
      <w:pPr>
        <w:spacing w:line="240" w:lineRule="auto"/>
        <w:rPr>
          <w:lang w:val="en-US"/>
        </w:rPr>
      </w:pPr>
      <w:r w:rsidRPr="00763002">
        <w:rPr>
          <w:lang w:val="en-US"/>
        </w:rPr>
        <w:t xml:space="preserve">Zeta potentials were determined by laser Doppler electrophoresis using </w:t>
      </w:r>
      <w:r>
        <w:rPr>
          <w:lang w:val="en-US"/>
        </w:rPr>
        <w:t xml:space="preserve">the </w:t>
      </w:r>
      <w:r w:rsidRPr="00763002">
        <w:rPr>
          <w:lang w:val="en-US"/>
        </w:rPr>
        <w:t>Malvern Zetasizer Nano instrument. Highly diluted, aqueous samples were prepared at various pH values. The radii of particles were approximately</w:t>
      </w:r>
      <w:r>
        <w:rPr>
          <w:lang w:val="en-US"/>
        </w:rPr>
        <w:t xml:space="preserve"> 850</w:t>
      </w:r>
      <w:r w:rsidRPr="00763002">
        <w:rPr>
          <w:lang w:val="en-US"/>
        </w:rPr>
        <w:t xml:space="preserve"> nm</w:t>
      </w:r>
      <w:r>
        <w:rPr>
          <w:lang w:val="en-US"/>
        </w:rPr>
        <w:t xml:space="preserve"> and 3</w:t>
      </w:r>
      <w:r>
        <w:rPr>
          <w:rFonts w:cstheme="minorHAnsi"/>
          <w:lang w:val="en-US"/>
        </w:rPr>
        <w:t>μ</w:t>
      </w:r>
      <w:r>
        <w:rPr>
          <w:lang w:val="en-US"/>
        </w:rPr>
        <w:t>m</w:t>
      </w:r>
      <w:r w:rsidRPr="00763002">
        <w:rPr>
          <w:lang w:val="en-US"/>
        </w:rPr>
        <w:t>, while the Debye length (</w:t>
      </w:r>
      <w:r>
        <w:t>κ</w:t>
      </w:r>
      <w:r w:rsidRPr="00763002">
        <w:rPr>
          <w:vertAlign w:val="superscript"/>
          <w:lang w:val="en-US"/>
        </w:rPr>
        <w:t>−1</w:t>
      </w:r>
      <w:r w:rsidRPr="00763002">
        <w:rPr>
          <w:lang w:val="en-US"/>
        </w:rPr>
        <w:t xml:space="preserve">) is </w:t>
      </w:r>
      <w:r>
        <w:rPr>
          <w:lang w:val="en-US"/>
        </w:rPr>
        <w:t>approximately 10</w:t>
      </w:r>
      <w:r w:rsidRPr="00763002">
        <w:rPr>
          <w:lang w:val="en-US"/>
        </w:rPr>
        <w:t xml:space="preserve"> nm </w:t>
      </w:r>
      <w:r>
        <w:rPr>
          <w:lang w:val="en-US"/>
        </w:rPr>
        <w:t>at the lowest or highest pH (either pH 3 or pH 10) at which</w:t>
      </w:r>
      <w:r w:rsidRPr="00763002">
        <w:rPr>
          <w:lang w:val="en-US"/>
        </w:rPr>
        <w:t xml:space="preserve"> the electrophoresis measurements were conducted. Hence, </w:t>
      </w:r>
      <w:r>
        <w:t>κ</w:t>
      </w:r>
      <w:r w:rsidRPr="00763002">
        <w:rPr>
          <w:lang w:val="en-US"/>
        </w:rPr>
        <w:t xml:space="preserve">R </w:t>
      </w:r>
      <w:r w:rsidRPr="00763002">
        <w:rPr>
          <w:rFonts w:ascii="Cambria Math" w:hAnsi="Cambria Math" w:cs="Cambria Math"/>
          <w:lang w:val="en-US"/>
        </w:rPr>
        <w:t>≫</w:t>
      </w:r>
      <w:r w:rsidRPr="00763002">
        <w:rPr>
          <w:lang w:val="en-US"/>
        </w:rPr>
        <w:t xml:space="preserve"> 1, justifying the use of the Smoluchowski limit of the Henry equation to convert the measured electrophoretic mobilit</w:t>
      </w:r>
      <w:r>
        <w:rPr>
          <w:lang w:val="en-US"/>
        </w:rPr>
        <w:t>i</w:t>
      </w:r>
      <w:r w:rsidRPr="00763002">
        <w:rPr>
          <w:lang w:val="en-US"/>
        </w:rPr>
        <w:t>es into the reported zeta potentials</w:t>
      </w:r>
      <w:r>
        <w:rPr>
          <w:lang w:val="en-US"/>
        </w:rPr>
        <w:t xml:space="preserve"> (equation 8 in section 2.3).</w:t>
      </w:r>
    </w:p>
    <w:p w:rsidR="004F172D" w:rsidRPr="004F172D" w:rsidRDefault="00763002" w:rsidP="00FC7A2B">
      <w:pPr>
        <w:spacing w:line="240" w:lineRule="auto"/>
        <w:rPr>
          <w:lang w:val="en-US"/>
        </w:rPr>
      </w:pPr>
      <w:r w:rsidRPr="00763002">
        <w:rPr>
          <w:lang w:val="en-US"/>
        </w:rPr>
        <w:t>The hydrodynamic diameters of the particles were measured using dynamic light scatt</w:t>
      </w:r>
      <w:r w:rsidR="00B43F0A">
        <w:rPr>
          <w:lang w:val="en-US"/>
        </w:rPr>
        <w:t>er</w:t>
      </w:r>
      <w:r w:rsidRPr="00763002">
        <w:rPr>
          <w:lang w:val="en-US"/>
        </w:rPr>
        <w:t>ing</w:t>
      </w:r>
      <w:r w:rsidR="00B43F0A">
        <w:rPr>
          <w:lang w:val="en-US"/>
        </w:rPr>
        <w:t xml:space="preserve">. </w:t>
      </w:r>
      <w:r w:rsidRPr="00763002">
        <w:rPr>
          <w:lang w:val="en-US"/>
        </w:rPr>
        <w:t>Measurements were performed on a Malvern Zetasizer Nano instrument. Highly diluted, aqueous samples were</w:t>
      </w:r>
      <w:r>
        <w:rPr>
          <w:lang w:val="en-US"/>
        </w:rPr>
        <w:t xml:space="preserve"> prepared, after which measurements were taken at a scattering angle of</w:t>
      </w:r>
      <w:r w:rsidRPr="00763002">
        <w:rPr>
          <w:lang w:val="en-US"/>
        </w:rPr>
        <w:t xml:space="preserve"> 173°. </w:t>
      </w:r>
    </w:p>
    <w:p w:rsidR="00E74C8E" w:rsidRDefault="00E74C8E" w:rsidP="00FC7A2B">
      <w:pPr>
        <w:numPr>
          <w:ilvl w:val="1"/>
          <w:numId w:val="0"/>
        </w:numPr>
        <w:spacing w:after="160" w:line="240" w:lineRule="auto"/>
        <w:rPr>
          <w:rFonts w:ascii="Calibri" w:eastAsia="Times New Roman" w:hAnsi="Calibri" w:cs="Times New Roman"/>
          <w:spacing w:val="15"/>
          <w:sz w:val="28"/>
          <w:szCs w:val="28"/>
          <w:lang w:val="en-US"/>
        </w:rPr>
      </w:pPr>
    </w:p>
    <w:p w:rsidR="00E74C8E" w:rsidRDefault="00E74C8E" w:rsidP="00FC7A2B">
      <w:pPr>
        <w:numPr>
          <w:ilvl w:val="1"/>
          <w:numId w:val="0"/>
        </w:numPr>
        <w:spacing w:after="160" w:line="240" w:lineRule="auto"/>
        <w:rPr>
          <w:rFonts w:ascii="Calibri" w:eastAsia="Times New Roman" w:hAnsi="Calibri" w:cs="Times New Roman"/>
          <w:spacing w:val="15"/>
          <w:sz w:val="28"/>
          <w:szCs w:val="28"/>
          <w:lang w:val="en-US"/>
        </w:rPr>
      </w:pPr>
    </w:p>
    <w:p w:rsidR="00BC69AE" w:rsidRDefault="00BC69AE" w:rsidP="00FC7A2B">
      <w:pPr>
        <w:numPr>
          <w:ilvl w:val="1"/>
          <w:numId w:val="0"/>
        </w:numPr>
        <w:spacing w:after="160" w:line="240" w:lineRule="auto"/>
        <w:rPr>
          <w:rFonts w:ascii="Calibri" w:eastAsia="Times New Roman" w:hAnsi="Calibri" w:cs="Times New Roman"/>
          <w:spacing w:val="15"/>
          <w:sz w:val="28"/>
          <w:szCs w:val="28"/>
          <w:lang w:val="en-US"/>
        </w:rPr>
      </w:pPr>
    </w:p>
    <w:p w:rsidR="00BC69AE" w:rsidRDefault="00BC69AE" w:rsidP="00FC7A2B">
      <w:pPr>
        <w:numPr>
          <w:ilvl w:val="1"/>
          <w:numId w:val="0"/>
        </w:numPr>
        <w:spacing w:after="160" w:line="240" w:lineRule="auto"/>
        <w:rPr>
          <w:rFonts w:ascii="Calibri" w:eastAsia="Times New Roman" w:hAnsi="Calibri" w:cs="Times New Roman"/>
          <w:spacing w:val="15"/>
          <w:sz w:val="28"/>
          <w:szCs w:val="28"/>
          <w:lang w:val="en-US"/>
        </w:rPr>
      </w:pPr>
    </w:p>
    <w:p w:rsidR="00BC69AE" w:rsidRDefault="00BC69AE" w:rsidP="00FC7A2B">
      <w:pPr>
        <w:numPr>
          <w:ilvl w:val="1"/>
          <w:numId w:val="0"/>
        </w:numPr>
        <w:spacing w:after="160" w:line="240" w:lineRule="auto"/>
        <w:rPr>
          <w:rFonts w:ascii="Calibri" w:eastAsia="Times New Roman" w:hAnsi="Calibri" w:cs="Times New Roman"/>
          <w:spacing w:val="15"/>
          <w:sz w:val="28"/>
          <w:szCs w:val="28"/>
          <w:lang w:val="en-US"/>
        </w:rPr>
      </w:pPr>
    </w:p>
    <w:p w:rsidR="00BC69AE" w:rsidRPr="00BE40FA" w:rsidRDefault="00BC69AE" w:rsidP="00FC7A2B">
      <w:pPr>
        <w:numPr>
          <w:ilvl w:val="1"/>
          <w:numId w:val="0"/>
        </w:numPr>
        <w:spacing w:after="160" w:line="240" w:lineRule="auto"/>
        <w:rPr>
          <w:rFonts w:ascii="Calibri" w:eastAsia="Times New Roman" w:hAnsi="Calibri" w:cs="Times New Roman"/>
          <w:spacing w:val="15"/>
          <w:sz w:val="28"/>
          <w:szCs w:val="28"/>
          <w:lang w:val="en-US"/>
        </w:rPr>
      </w:pPr>
    </w:p>
    <w:p w:rsidR="00E74C8E" w:rsidRPr="0012395A" w:rsidRDefault="0012395A" w:rsidP="00FC7A2B">
      <w:pPr>
        <w:pStyle w:val="Heading1"/>
        <w:numPr>
          <w:ilvl w:val="0"/>
          <w:numId w:val="2"/>
        </w:numPr>
        <w:spacing w:line="240" w:lineRule="auto"/>
        <w:rPr>
          <w:rFonts w:eastAsia="Times New Roman"/>
          <w:b/>
          <w:color w:val="auto"/>
          <w:lang w:val="fr-FR"/>
        </w:rPr>
      </w:pPr>
      <w:bookmarkStart w:id="58" w:name="_Toc31892406"/>
      <w:r w:rsidRPr="0012395A">
        <w:rPr>
          <w:rFonts w:eastAsia="Times New Roman"/>
          <w:b/>
          <w:color w:val="auto"/>
          <w:lang w:val="fr-FR"/>
        </w:rPr>
        <w:lastRenderedPageBreak/>
        <w:t>Results &amp; Discussion</w:t>
      </w:r>
      <w:bookmarkEnd w:id="58"/>
    </w:p>
    <w:p w:rsidR="0012395A" w:rsidRPr="0012395A" w:rsidRDefault="0012395A" w:rsidP="00FC7A2B">
      <w:pPr>
        <w:pStyle w:val="Heading2"/>
        <w:numPr>
          <w:ilvl w:val="1"/>
          <w:numId w:val="2"/>
        </w:numPr>
        <w:spacing w:line="240" w:lineRule="auto"/>
        <w:rPr>
          <w:b/>
          <w:color w:val="auto"/>
          <w:lang w:val="fr-FR"/>
        </w:rPr>
      </w:pPr>
      <w:bookmarkStart w:id="59" w:name="_Toc31892407"/>
      <w:r w:rsidRPr="0012395A">
        <w:rPr>
          <w:b/>
          <w:color w:val="auto"/>
          <w:lang w:val="fr-FR"/>
        </w:rPr>
        <w:t>Particle Synthesis</w:t>
      </w:r>
      <w:bookmarkEnd w:id="59"/>
    </w:p>
    <w:p w:rsidR="00E74C8E" w:rsidRPr="0012395A" w:rsidRDefault="00E74C8E" w:rsidP="00FC7A2B">
      <w:pPr>
        <w:pStyle w:val="Heading3"/>
        <w:numPr>
          <w:ilvl w:val="2"/>
          <w:numId w:val="2"/>
        </w:numPr>
        <w:spacing w:line="240" w:lineRule="auto"/>
        <w:rPr>
          <w:rFonts w:eastAsia="Calibri"/>
          <w:b/>
          <w:color w:val="auto"/>
          <w:lang w:val="fr-FR"/>
        </w:rPr>
      </w:pPr>
      <w:bookmarkStart w:id="60" w:name="_Toc31892408"/>
      <w:r w:rsidRPr="0012395A">
        <w:rPr>
          <w:rFonts w:eastAsia="Calibri"/>
          <w:b/>
          <w:color w:val="auto"/>
          <w:lang w:val="fr-FR"/>
        </w:rPr>
        <w:t>pH responsive polystyrene particles (pH-PS)</w:t>
      </w:r>
      <w:bookmarkEnd w:id="60"/>
    </w:p>
    <w:p w:rsidR="00E74C8E" w:rsidRDefault="00E74C8E" w:rsidP="00FC7A2B">
      <w:pPr>
        <w:spacing w:line="240" w:lineRule="auto"/>
        <w:rPr>
          <w:rFonts w:ascii="Calibri" w:eastAsia="Calibri" w:hAnsi="Calibri" w:cs="Times New Roman"/>
          <w:iCs/>
          <w:lang w:val="en-US"/>
        </w:rPr>
      </w:pPr>
      <w:r w:rsidRPr="00E74C8E">
        <w:rPr>
          <w:rFonts w:ascii="Calibri" w:eastAsia="Calibri" w:hAnsi="Calibri" w:cs="Times New Roman"/>
          <w:iCs/>
          <w:lang w:val="en-US"/>
        </w:rPr>
        <w:t>The synthesis of pH-PS is not exactly known, as a batch was bought from the company Thermo Fischer Scientific. They describe the particle as being synthesized without the use of surfactant</w:t>
      </w:r>
      <w:r w:rsidR="00272647">
        <w:rPr>
          <w:rFonts w:ascii="Calibri" w:eastAsia="Calibri" w:hAnsi="Calibri" w:cs="Times New Roman"/>
          <w:iCs/>
          <w:lang w:val="en-US"/>
        </w:rPr>
        <w:t>s</w:t>
      </w:r>
      <w:r w:rsidRPr="00E74C8E">
        <w:rPr>
          <w:rFonts w:ascii="Calibri" w:eastAsia="Calibri" w:hAnsi="Calibri" w:cs="Times New Roman"/>
          <w:iCs/>
          <w:lang w:val="en-US"/>
        </w:rPr>
        <w:t>. The stabilization of the particle in neutral pH, as this is how the particles are delivered, arises from the co-functionalization of the particle with a carboxylic acid and an amine co-monomer. Interestingly, the zeta potential of the dispersion in neutral pH is equal to 0, which is in contrast with the stability of the dispersion. This could be due to the co-existence of both charged groups at this neutral pH, effectively canceling each other’s charge. Nevertheless, charges on the particle are present, preventing aggregation. The average diameter of the particle is 3</w:t>
      </w:r>
      <w:r w:rsidRPr="00E74C8E">
        <w:rPr>
          <w:rFonts w:ascii="Calibri" w:eastAsia="Calibri" w:hAnsi="Calibri" w:cs="Calibri"/>
          <w:iCs/>
          <w:lang w:val="en-US"/>
        </w:rPr>
        <w:t>µ</w:t>
      </w:r>
      <w:r w:rsidRPr="00E74C8E">
        <w:rPr>
          <w:rFonts w:ascii="Calibri" w:eastAsia="Calibri" w:hAnsi="Calibri" w:cs="Times New Roman"/>
          <w:iCs/>
          <w:lang w:val="en-US"/>
        </w:rPr>
        <w:t>m</w:t>
      </w:r>
      <w:r w:rsidR="009571F0">
        <w:rPr>
          <w:rFonts w:ascii="Calibri" w:eastAsia="Calibri" w:hAnsi="Calibri" w:cs="Times New Roman"/>
          <w:iCs/>
          <w:lang w:val="en-US"/>
        </w:rPr>
        <w:t>, w</w:t>
      </w:r>
      <w:r w:rsidRPr="00E74C8E">
        <w:rPr>
          <w:rFonts w:ascii="Calibri" w:eastAsia="Calibri" w:hAnsi="Calibri" w:cs="Times New Roman"/>
          <w:iCs/>
          <w:lang w:val="en-US"/>
        </w:rPr>
        <w:t>h</w:t>
      </w:r>
      <w:r w:rsidR="00AF58E5">
        <w:rPr>
          <w:rFonts w:ascii="Calibri" w:eastAsia="Calibri" w:hAnsi="Calibri" w:cs="Times New Roman"/>
          <w:iCs/>
          <w:lang w:val="en-US"/>
        </w:rPr>
        <w:t>ich</w:t>
      </w:r>
      <w:r w:rsidRPr="00E74C8E">
        <w:rPr>
          <w:rFonts w:ascii="Calibri" w:eastAsia="Calibri" w:hAnsi="Calibri" w:cs="Times New Roman"/>
          <w:iCs/>
          <w:lang w:val="en-US"/>
        </w:rPr>
        <w:t xml:space="preserve"> was confirmed by optical and </w:t>
      </w:r>
      <w:r w:rsidRPr="001416B3">
        <w:rPr>
          <w:rFonts w:ascii="Calibri" w:eastAsia="Calibri" w:hAnsi="Calibri" w:cs="Times New Roman"/>
          <w:iCs/>
          <w:lang w:val="en-US"/>
        </w:rPr>
        <w:t>scanning electron microscopy</w:t>
      </w:r>
      <w:r w:rsidR="009571F0" w:rsidRPr="001416B3">
        <w:rPr>
          <w:rFonts w:ascii="Calibri" w:eastAsia="Calibri" w:hAnsi="Calibri" w:cs="Times New Roman"/>
          <w:iCs/>
          <w:lang w:val="en-US"/>
        </w:rPr>
        <w:t>.</w:t>
      </w:r>
      <w:r w:rsidRPr="001416B3">
        <w:rPr>
          <w:rFonts w:ascii="Calibri" w:eastAsia="Calibri" w:hAnsi="Calibri" w:cs="Times New Roman"/>
          <w:iCs/>
          <w:lang w:val="en-US"/>
        </w:rPr>
        <w:t xml:space="preserve"> </w:t>
      </w:r>
      <w:r w:rsidR="009571F0" w:rsidRPr="001416B3">
        <w:rPr>
          <w:rFonts w:ascii="Calibri" w:eastAsia="Calibri" w:hAnsi="Calibri" w:cs="Times New Roman"/>
          <w:iCs/>
          <w:lang w:val="en-US"/>
        </w:rPr>
        <w:t xml:space="preserve">An optical micrograph of the particles at neutral pH is shown in </w:t>
      </w:r>
      <w:r w:rsidR="00FD41D8" w:rsidRPr="001416B3">
        <w:rPr>
          <w:rFonts w:ascii="Calibri" w:eastAsia="Calibri" w:hAnsi="Calibri" w:cs="Times New Roman"/>
          <w:iCs/>
          <w:lang w:val="en-US"/>
        </w:rPr>
        <w:fldChar w:fldCharType="begin"/>
      </w:r>
      <w:r w:rsidR="00FD41D8" w:rsidRPr="001416B3">
        <w:rPr>
          <w:rFonts w:ascii="Calibri" w:eastAsia="Calibri" w:hAnsi="Calibri" w:cs="Times New Roman"/>
          <w:iCs/>
          <w:lang w:val="en-US"/>
        </w:rPr>
        <w:instrText xml:space="preserve"> REF _Ref29912733 \h  \* MERGEFORMAT </w:instrText>
      </w:r>
      <w:r w:rsidR="00FD41D8" w:rsidRPr="001416B3">
        <w:rPr>
          <w:rFonts w:ascii="Calibri" w:eastAsia="Calibri" w:hAnsi="Calibri" w:cs="Times New Roman"/>
          <w:iCs/>
          <w:lang w:val="en-US"/>
        </w:rPr>
      </w:r>
      <w:r w:rsidR="00FD41D8" w:rsidRPr="001416B3">
        <w:rPr>
          <w:rFonts w:ascii="Calibri" w:eastAsia="Calibri" w:hAnsi="Calibri" w:cs="Times New Roman"/>
          <w:iCs/>
          <w:lang w:val="en-US"/>
        </w:rPr>
        <w:fldChar w:fldCharType="separate"/>
      </w:r>
      <w:r w:rsidR="00C52506" w:rsidRPr="00C52506">
        <w:rPr>
          <w:lang w:val="en-US"/>
        </w:rPr>
        <w:t xml:space="preserve">Figure </w:t>
      </w:r>
      <w:r w:rsidR="00C52506" w:rsidRPr="00C52506">
        <w:rPr>
          <w:noProof/>
          <w:lang w:val="en-US"/>
        </w:rPr>
        <w:t>13</w:t>
      </w:r>
      <w:r w:rsidR="00FD41D8" w:rsidRPr="001416B3">
        <w:rPr>
          <w:rFonts w:ascii="Calibri" w:eastAsia="Calibri" w:hAnsi="Calibri" w:cs="Times New Roman"/>
          <w:iCs/>
          <w:lang w:val="en-US"/>
        </w:rPr>
        <w:fldChar w:fldCharType="end"/>
      </w:r>
      <w:r w:rsidR="009571F0" w:rsidRPr="001416B3">
        <w:rPr>
          <w:rFonts w:ascii="Calibri" w:eastAsia="Calibri" w:hAnsi="Calibri" w:cs="Times New Roman"/>
          <w:iCs/>
          <w:lang w:val="en-US"/>
        </w:rPr>
        <w:t>.</w:t>
      </w:r>
      <w:r w:rsidR="009571F0">
        <w:rPr>
          <w:rFonts w:ascii="Calibri" w:eastAsia="Calibri" w:hAnsi="Calibri" w:cs="Times New Roman"/>
          <w:iCs/>
          <w:lang w:val="en-US"/>
        </w:rPr>
        <w:t xml:space="preserve"> </w:t>
      </w:r>
    </w:p>
    <w:p w:rsidR="009571F0" w:rsidRDefault="009571F0" w:rsidP="00FC7A2B">
      <w:pPr>
        <w:spacing w:line="240" w:lineRule="auto"/>
        <w:jc w:val="center"/>
        <w:rPr>
          <w:rFonts w:ascii="Calibri" w:eastAsia="Calibri" w:hAnsi="Calibri" w:cs="Times New Roman"/>
          <w:iCs/>
          <w:lang w:val="en-US"/>
        </w:rPr>
      </w:pPr>
      <w:r>
        <w:rPr>
          <w:rFonts w:ascii="Calibri" w:eastAsia="Calibri" w:hAnsi="Calibri" w:cs="Times New Roman"/>
          <w:iCs/>
          <w:noProof/>
          <w:lang w:val="en-US"/>
        </w:rPr>
        <w:drawing>
          <wp:inline distT="0" distB="0" distL="0" distR="0">
            <wp:extent cx="2482234" cy="24773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PS aci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4956" cy="2480102"/>
                    </a:xfrm>
                    <a:prstGeom prst="rect">
                      <a:avLst/>
                    </a:prstGeom>
                  </pic:spPr>
                </pic:pic>
              </a:graphicData>
            </a:graphic>
          </wp:inline>
        </w:drawing>
      </w:r>
    </w:p>
    <w:p w:rsidR="007D780D" w:rsidRPr="007D780D" w:rsidRDefault="00C82962" w:rsidP="00FC7A2B">
      <w:pPr>
        <w:pStyle w:val="Caption"/>
        <w:jc w:val="center"/>
        <w:rPr>
          <w:rFonts w:ascii="Calibri" w:eastAsia="Calibri" w:hAnsi="Calibri" w:cs="Times New Roman"/>
          <w:iCs w:val="0"/>
          <w:color w:val="auto"/>
          <w:sz w:val="20"/>
          <w:szCs w:val="20"/>
          <w:lang w:val="en-US"/>
        </w:rPr>
      </w:pPr>
      <w:bookmarkStart w:id="61" w:name="_Ref29912733"/>
      <w:r>
        <w:rPr>
          <w:color w:val="auto"/>
          <w:sz w:val="20"/>
          <w:szCs w:val="20"/>
          <w:lang w:val="en-US"/>
        </w:rPr>
        <w:t>Figure</w:t>
      </w:r>
      <w:r w:rsidR="007D780D" w:rsidRPr="00DB51D6">
        <w:rPr>
          <w:color w:val="auto"/>
          <w:sz w:val="20"/>
          <w:szCs w:val="20"/>
          <w:lang w:val="en-US"/>
        </w:rPr>
        <w:t xml:space="preserve"> </w:t>
      </w:r>
      <w:r w:rsidR="007D780D" w:rsidRPr="007D780D">
        <w:rPr>
          <w:color w:val="auto"/>
          <w:sz w:val="20"/>
          <w:szCs w:val="20"/>
        </w:rPr>
        <w:fldChar w:fldCharType="begin"/>
      </w:r>
      <w:r w:rsidR="007D780D" w:rsidRPr="00DB51D6">
        <w:rPr>
          <w:color w:val="auto"/>
          <w:sz w:val="20"/>
          <w:szCs w:val="20"/>
          <w:lang w:val="en-US"/>
        </w:rPr>
        <w:instrText xml:space="preserve"> SEQ Figure \* ARABIC </w:instrText>
      </w:r>
      <w:r w:rsidR="007D780D" w:rsidRPr="007D780D">
        <w:rPr>
          <w:color w:val="auto"/>
          <w:sz w:val="20"/>
          <w:szCs w:val="20"/>
        </w:rPr>
        <w:fldChar w:fldCharType="separate"/>
      </w:r>
      <w:r w:rsidR="00C52506">
        <w:rPr>
          <w:noProof/>
          <w:color w:val="auto"/>
          <w:sz w:val="20"/>
          <w:szCs w:val="20"/>
          <w:lang w:val="en-US"/>
        </w:rPr>
        <w:t>13</w:t>
      </w:r>
      <w:r w:rsidR="007D780D" w:rsidRPr="007D780D">
        <w:rPr>
          <w:color w:val="auto"/>
          <w:sz w:val="20"/>
          <w:szCs w:val="20"/>
        </w:rPr>
        <w:fldChar w:fldCharType="end"/>
      </w:r>
      <w:bookmarkEnd w:id="61"/>
      <w:r w:rsidR="007D780D" w:rsidRPr="00DB51D6">
        <w:rPr>
          <w:color w:val="auto"/>
          <w:sz w:val="20"/>
          <w:szCs w:val="20"/>
          <w:lang w:val="en-US"/>
        </w:rPr>
        <w:t xml:space="preserve">: </w:t>
      </w:r>
      <w:r w:rsidR="009571F0">
        <w:rPr>
          <w:color w:val="auto"/>
          <w:sz w:val="20"/>
          <w:szCs w:val="20"/>
          <w:lang w:val="en-US"/>
        </w:rPr>
        <w:t>Optical micrograph of pH-PS at neutral pH.</w:t>
      </w:r>
    </w:p>
    <w:p w:rsidR="00E74C8E" w:rsidRDefault="00E74C8E" w:rsidP="00FC7A2B">
      <w:pPr>
        <w:pStyle w:val="Heading3"/>
        <w:numPr>
          <w:ilvl w:val="2"/>
          <w:numId w:val="2"/>
        </w:numPr>
        <w:spacing w:line="240" w:lineRule="auto"/>
        <w:rPr>
          <w:rFonts w:eastAsia="Calibri"/>
          <w:b/>
          <w:color w:val="auto"/>
          <w:lang w:val="en-US"/>
        </w:rPr>
      </w:pPr>
      <w:bookmarkStart w:id="62" w:name="_Toc31892409"/>
      <w:r w:rsidRPr="0012395A">
        <w:rPr>
          <w:rFonts w:eastAsia="Calibri"/>
          <w:b/>
          <w:color w:val="auto"/>
          <w:lang w:val="en-US"/>
        </w:rPr>
        <w:t xml:space="preserve">Permanently negatively charged polystyrene particles (nPS) </w:t>
      </w:r>
      <w:r w:rsidR="00A32FE8">
        <w:rPr>
          <w:rFonts w:eastAsia="Calibri"/>
          <w:b/>
          <w:color w:val="auto"/>
          <w:lang w:val="en-US"/>
        </w:rPr>
        <w:t xml:space="preserve">and </w:t>
      </w:r>
      <w:r w:rsidRPr="0012395A">
        <w:rPr>
          <w:rFonts w:eastAsia="Calibri"/>
          <w:b/>
          <w:color w:val="auto"/>
          <w:lang w:val="en-US"/>
        </w:rPr>
        <w:t>permanently positively charged polystyrene particles (pPS)</w:t>
      </w:r>
      <w:bookmarkEnd w:id="62"/>
    </w:p>
    <w:p w:rsidR="00577625" w:rsidRDefault="00577625" w:rsidP="00FC7A2B">
      <w:pPr>
        <w:spacing w:line="240" w:lineRule="auto"/>
        <w:rPr>
          <w:rFonts w:eastAsiaTheme="minorEastAsia"/>
          <w:lang w:val="en-US"/>
        </w:rPr>
      </w:pPr>
      <w:r w:rsidRPr="00577625">
        <w:rPr>
          <w:rFonts w:eastAsiaTheme="minorEastAsia"/>
          <w:lang w:val="en-US"/>
        </w:rPr>
        <w:t>Both syntheses are carried out as a single batch process using the dispersion polymerization method</w:t>
      </w:r>
      <w:r w:rsidRPr="00577625">
        <w:rPr>
          <w:rFonts w:eastAsiaTheme="minorEastAsia"/>
          <w:lang w:val="en-US"/>
        </w:rPr>
        <w:fldChar w:fldCharType="begin" w:fldLock="1"/>
      </w:r>
      <w:r w:rsidR="00FB6101">
        <w:rPr>
          <w:rFonts w:eastAsiaTheme="minorEastAsia"/>
          <w:lang w:val="en-US"/>
        </w:rPr>
        <w:instrText>ADDIN CSL_CITATION { "citationItems" : [ { "id" : "ITEM-1", "itemData" : { "DOI" : "10.1007/b100118", "ISBN" : "978-3-540-31565-0", "abstract" : "Dispersion polymerization is an attractive method for producing micron-size monodisperse polymer particles in a single batch process. Great progress in this field has been achieved over the past two decades. This article presents an overview of the recent progress in the preparation of polymeric microspheres via dispersion polymerization in organic media, focusing on the preparation of novel functional particles, the design of microspheres using macromonomers, and on understanding mechanisms for the control of particle size. Examples of functional microspheres obtained by dispersion polymerization in the presence of linear polymers, block polymers, and macromonomers are tabulated, and new developments are highlighted. Particle size control in dispersion polymerization in the presence of macromonomers is discussed, and experimental results for poly(ethylene oxide)-grafted particles are compared with theoretical expectations for ideal core-shell particles.", "author" : [ { "dropping-particle" : "", "family" : "Kawaguchi", "given" : "Seigou", "non-dropping-particle" : "", "parse-names" : false, "suffix" : "" }, { "dropping-particle" : "", "family" : "Ito", "given" : "Koichi", "non-dropping-particle" : "", "parse-names" : false, "suffix" : "" } ], "container-title" : "Polymer Particles: -/-", "editor" : [ { "dropping-particle" : "", "family" : "Okubo", "given" : "Masayoshi", "non-dropping-particle" : "", "parse-names" : false, "suffix" : "" } ], "id" : "ITEM-1", "issued" : { "date-parts" : [ [ "2005" ] ] }, "page" : "299-328", "publisher" : "Springer Berlin Heidelberg", "publisher-place" : "Berlin, Heidelberg", "title" : "Dispersion Polymerization", "type" : "chapter" }, "uris" : [ "http://www.mendeley.com/documents/?uuid=49a692bf-9528-4c31-846a-684b72f8ea6c" ] } ], "mendeley" : { "formattedCitation" : "&lt;sup&gt;67&lt;/sup&gt;", "plainTextFormattedCitation" : "67", "previouslyFormattedCitation" : "&lt;sup&gt;67&lt;/sup&gt;" }, "properties" : { "noteIndex" : 0 }, "schema" : "https://github.com/citation-style-language/schema/raw/master/csl-citation.json" }</w:instrText>
      </w:r>
      <w:r w:rsidRPr="00577625">
        <w:rPr>
          <w:rFonts w:eastAsiaTheme="minorEastAsia"/>
          <w:lang w:val="en-US"/>
        </w:rPr>
        <w:fldChar w:fldCharType="separate"/>
      </w:r>
      <w:r w:rsidR="00DE131C" w:rsidRPr="00DE131C">
        <w:rPr>
          <w:rFonts w:eastAsiaTheme="minorEastAsia"/>
          <w:noProof/>
          <w:vertAlign w:val="superscript"/>
          <w:lang w:val="en-US"/>
        </w:rPr>
        <w:t>67</w:t>
      </w:r>
      <w:r w:rsidRPr="00577625">
        <w:rPr>
          <w:rFonts w:eastAsiaTheme="minorEastAsia"/>
          <w:lang w:val="en-US"/>
        </w:rPr>
        <w:fldChar w:fldCharType="end"/>
      </w:r>
      <w:r w:rsidRPr="00577625">
        <w:rPr>
          <w:rFonts w:eastAsiaTheme="minorEastAsia"/>
          <w:lang w:val="en-US"/>
        </w:rPr>
        <w:t>. Before polymerization, the initiator and all monomers are dissolved completely in an organic solvent. After increasing the temperature, the initiator starts the polymerization and multiple small polymers start to form. When these polymers have reached their critical molecular weight, the</w:t>
      </w:r>
      <w:r w:rsidR="00272647">
        <w:rPr>
          <w:rFonts w:eastAsiaTheme="minorEastAsia"/>
          <w:lang w:val="en-US"/>
        </w:rPr>
        <w:t>se</w:t>
      </w:r>
      <w:r w:rsidRPr="00577625">
        <w:rPr>
          <w:rFonts w:eastAsiaTheme="minorEastAsia"/>
          <w:lang w:val="en-US"/>
        </w:rPr>
        <w:t xml:space="preserve"> will not be soluble in the respective organic solvent. If no stabilizer is present, all polymers will completely coagulate. In our case, the charged co-monomer that is present in the polystyrene polymer chain will migrate to the interface between the hydrophobic polystyrene bead and the more polar organic </w:t>
      </w:r>
      <w:r w:rsidRPr="005A3A5A">
        <w:rPr>
          <w:rFonts w:eastAsiaTheme="minorEastAsia"/>
          <w:lang w:val="en-US"/>
        </w:rPr>
        <w:t>solvent</w:t>
      </w:r>
      <w:r w:rsidR="00272647">
        <w:rPr>
          <w:rFonts w:eastAsiaTheme="minorEastAsia"/>
          <w:lang w:val="en-US"/>
        </w:rPr>
        <w:t xml:space="preserve">, which </w:t>
      </w:r>
      <w:r w:rsidRPr="005A3A5A">
        <w:rPr>
          <w:rFonts w:eastAsiaTheme="minorEastAsia"/>
          <w:lang w:val="en-US"/>
        </w:rPr>
        <w:t>stabil</w:t>
      </w:r>
      <w:r w:rsidR="00272647">
        <w:rPr>
          <w:rFonts w:eastAsiaTheme="minorEastAsia"/>
          <w:lang w:val="en-US"/>
        </w:rPr>
        <w:t>izes</w:t>
      </w:r>
      <w:r w:rsidRPr="005A3A5A">
        <w:rPr>
          <w:rFonts w:eastAsiaTheme="minorEastAsia"/>
          <w:lang w:val="en-US"/>
        </w:rPr>
        <w:t xml:space="preserve"> the formed particle. Additionally, a non-polar fluorophore can be added to the monomer mixture, which migrates into the hydrophobic pocket of the formed polystyrene particles, away from the polar solvent.  A schematic overview of the synthesis steps is shown in </w:t>
      </w:r>
      <w:r w:rsidRPr="005A3A5A">
        <w:rPr>
          <w:rFonts w:eastAsiaTheme="minorEastAsia"/>
          <w:lang w:val="en-US"/>
        </w:rPr>
        <w:fldChar w:fldCharType="begin"/>
      </w:r>
      <w:r w:rsidRPr="005A3A5A">
        <w:rPr>
          <w:rFonts w:eastAsiaTheme="minorEastAsia"/>
          <w:lang w:val="en-US"/>
        </w:rPr>
        <w:instrText xml:space="preserve"> REF _Ref29912644 \h  \* MERGEFORMAT </w:instrText>
      </w:r>
      <w:r w:rsidRPr="005A3A5A">
        <w:rPr>
          <w:rFonts w:eastAsiaTheme="minorEastAsia"/>
          <w:lang w:val="en-US"/>
        </w:rPr>
      </w:r>
      <w:r w:rsidRPr="005A3A5A">
        <w:rPr>
          <w:rFonts w:eastAsiaTheme="minorEastAsia"/>
          <w:lang w:val="en-US"/>
        </w:rPr>
        <w:fldChar w:fldCharType="separate"/>
      </w:r>
      <w:r w:rsidR="00C52506" w:rsidRPr="00C52506">
        <w:rPr>
          <w:lang w:val="en-US"/>
        </w:rPr>
        <w:t xml:space="preserve">Figure </w:t>
      </w:r>
      <w:r w:rsidR="00C52506" w:rsidRPr="00C52506">
        <w:rPr>
          <w:noProof/>
          <w:lang w:val="en-US"/>
        </w:rPr>
        <w:t>14</w:t>
      </w:r>
      <w:r w:rsidRPr="005A3A5A">
        <w:rPr>
          <w:rFonts w:eastAsiaTheme="minorEastAsia"/>
          <w:lang w:val="en-US"/>
        </w:rPr>
        <w:fldChar w:fldCharType="end"/>
      </w:r>
      <w:r w:rsidRPr="005A3A5A">
        <w:rPr>
          <w:rFonts w:eastAsiaTheme="minorEastAsia"/>
          <w:lang w:val="en-US"/>
        </w:rPr>
        <w:t>, where</w:t>
      </w:r>
      <w:r>
        <w:rPr>
          <w:rFonts w:eastAsiaTheme="minorEastAsia"/>
          <w:lang w:val="en-US"/>
        </w:rPr>
        <w:t xml:space="preserve"> a negatively charged co-monomer is used as an example.</w:t>
      </w:r>
    </w:p>
    <w:p w:rsidR="00BC69AE" w:rsidRDefault="00BC69AE" w:rsidP="00BC69AE">
      <w:pPr>
        <w:spacing w:line="240" w:lineRule="auto"/>
        <w:rPr>
          <w:rFonts w:ascii="Calibri" w:eastAsia="Calibri" w:hAnsi="Calibri" w:cs="Times New Roman"/>
          <w:iCs/>
          <w:lang w:val="en-US"/>
        </w:rPr>
      </w:pPr>
      <w:r w:rsidRPr="00E74C8E">
        <w:rPr>
          <w:rFonts w:ascii="Calibri" w:eastAsia="Calibri" w:hAnsi="Calibri" w:cs="Times New Roman"/>
          <w:iCs/>
          <w:lang w:val="en-US"/>
        </w:rPr>
        <w:t>Dispersion polymerization was used to synthesize nPS</w:t>
      </w:r>
      <w:r w:rsidRPr="00E74C8E">
        <w:rPr>
          <w:rFonts w:ascii="Calibri" w:eastAsia="Calibri" w:hAnsi="Calibri" w:cs="Times New Roman"/>
          <w:iCs/>
          <w:lang w:val="en-US"/>
        </w:rPr>
        <w:fldChar w:fldCharType="begin" w:fldLock="1"/>
      </w:r>
      <w:r w:rsidR="00FB6101">
        <w:rPr>
          <w:rFonts w:ascii="Calibri" w:eastAsia="Calibri" w:hAnsi="Calibri" w:cs="Times New Roman"/>
          <w:iCs/>
          <w:lang w:val="en-US"/>
        </w:rPr>
        <w:instrText>ADDIN CSL_CITATION { "citationItems" : [ { "id" : "ITEM-1", "itemData" : { "DOI" : "10.1002/macp.200900573", "ISSN" : "10221352", "abstract" : "A novel dispersion polymerization system to produce \u201cclean\u201d polystyrene (PS) particles, using a polymerizable sodium styrene sulfonate (NaSS) as stabilizer, and a mixture of methanol/water (MeOH/H2O) as the reaction medium was investigated. The effects of the polymerization parameters, such as the methanol/water ratio in the medium, the concentration of the stabilizer, the initiator and the monomer on the resulting particles were studied. By observing the morphological changes of the PS particles by SEM and analyzing the surface chemical composition of these particles by XPS, it is found that this system had the following unique features: as little as 0.05 wt.-% of NaSS (based on styrene as opposed to 5 wt.-% for a routine dispersion polymerization system) was enough to prepare stable latex with monodisperse particles; as high as 20 vol.-% of monomer (as opposed to 5 wt.-% for polymerization system in the absence of surfactants) could be added into the polymerization system to produce monodisperse particles; surface-charged and monodisperse particles with average diameters of approximately 470\u20131600 nm could be directly obtained.", "author" : [ { "dropping-particle" : "", "family" : "Zhang", "given" : "Fen", "non-dropping-particle" : "", "parse-names" : false, "suffix" : "" }, { "dropping-particle" : "", "family" : "Cao", "given" : "Le", "non-dropping-particle" : "", "parse-names" : false, "suffix" : "" }, { "dropping-particle" : "", "family" : "Yang", "given" : "Wantai", "non-dropping-particle" : "", "parse-names" : false, "suffix" : "" } ], "container-title" : "Macromolecular Chemistry and Physics", "id" : "ITEM-1", "issue" : "7", "issued" : { "date-parts" : [ [ "2010" ] ] }, "page" : "744-751", "title" : "Preparation of monodisperse and anion-charged polystyrene microspheres stabilized with polymerizable sodium styrene sulfonate by dispersion polymerization", "type" : "article-journal", "volume" : "211" }, "uris" : [ "http://www.mendeley.com/documents/?uuid=0b7440e9-4949-4267-b2d0-25c35ff15360" ] } ], "mendeley" : { "formattedCitation" : "&lt;sup&gt;50&lt;/sup&gt;", "plainTextFormattedCitation" : "50", "previouslyFormattedCitation" : "&lt;sup&gt;50&lt;/sup&gt;" }, "properties" : { "noteIndex" : 0 }, "schema" : "https://github.com/citation-style-language/schema/raw/master/csl-citation.json" }</w:instrText>
      </w:r>
      <w:r w:rsidRPr="00E74C8E">
        <w:rPr>
          <w:rFonts w:ascii="Calibri" w:eastAsia="Calibri" w:hAnsi="Calibri" w:cs="Times New Roman"/>
          <w:iCs/>
          <w:lang w:val="en-US"/>
        </w:rPr>
        <w:fldChar w:fldCharType="separate"/>
      </w:r>
      <w:r w:rsidR="00DE131C" w:rsidRPr="00DE131C">
        <w:rPr>
          <w:rFonts w:ascii="Calibri" w:eastAsia="Calibri" w:hAnsi="Calibri" w:cs="Times New Roman"/>
          <w:iCs/>
          <w:noProof/>
          <w:vertAlign w:val="superscript"/>
          <w:lang w:val="en-US"/>
        </w:rPr>
        <w:t>50</w:t>
      </w:r>
      <w:r w:rsidRPr="00E74C8E">
        <w:rPr>
          <w:rFonts w:ascii="Calibri" w:eastAsia="Calibri" w:hAnsi="Calibri" w:cs="Times New Roman"/>
          <w:iCs/>
          <w:lang w:val="en-US"/>
        </w:rPr>
        <w:fldChar w:fldCharType="end"/>
      </w:r>
      <w:r w:rsidRPr="00E74C8E">
        <w:rPr>
          <w:rFonts w:ascii="Calibri" w:eastAsia="Calibri" w:hAnsi="Calibri" w:cs="Times New Roman"/>
          <w:iCs/>
          <w:lang w:val="en-US"/>
        </w:rPr>
        <w:t xml:space="preserve">, where the sulfonated styrene co-monomer NaSS was used to introduce the negative charge. The NaSS co-monomer has highly hydrophilic sulfon group, </w:t>
      </w:r>
      <w:r w:rsidR="00272647">
        <w:rPr>
          <w:rFonts w:ascii="Calibri" w:eastAsia="Calibri" w:hAnsi="Calibri" w:cs="Times New Roman"/>
          <w:iCs/>
          <w:lang w:val="en-US"/>
        </w:rPr>
        <w:t>which drives</w:t>
      </w:r>
      <w:r w:rsidRPr="00E74C8E">
        <w:rPr>
          <w:rFonts w:ascii="Calibri" w:eastAsia="Calibri" w:hAnsi="Calibri" w:cs="Times New Roman"/>
          <w:iCs/>
          <w:lang w:val="en-US"/>
        </w:rPr>
        <w:t xml:space="preserve"> in the migration of these charged groups to the surface of the particle. This surface charge then ensures the colloidal stability, preventing aggregation. Measuring the zeta potential of the washed dispersion in water indicated the successful incorporation of the NaSS co-monomer on the particle surface, as the zeta potential was measured to be -75 </w:t>
      </w:r>
      <w:r w:rsidRPr="00E74C8E">
        <w:rPr>
          <w:rFonts w:ascii="Calibri" w:eastAsia="Calibri" w:hAnsi="Calibri" w:cs="Calibri"/>
          <w:iCs/>
          <w:lang w:val="en-US"/>
        </w:rPr>
        <w:t xml:space="preserve">± 12 </w:t>
      </w:r>
      <w:r w:rsidRPr="00E74C8E">
        <w:rPr>
          <w:rFonts w:ascii="Calibri" w:eastAsia="Calibri" w:hAnsi="Calibri" w:cs="Times New Roman"/>
          <w:iCs/>
          <w:lang w:val="en-US"/>
        </w:rPr>
        <w:t xml:space="preserve">mV. The zeta potential of -75mV for these particles remained stable for months. </w:t>
      </w:r>
    </w:p>
    <w:p w:rsidR="00BC69AE" w:rsidRPr="00577625" w:rsidRDefault="00BC69AE" w:rsidP="00FC7A2B">
      <w:pPr>
        <w:spacing w:line="240" w:lineRule="auto"/>
        <w:rPr>
          <w:rFonts w:eastAsiaTheme="minorEastAsia"/>
          <w:lang w:val="en-US"/>
        </w:rPr>
      </w:pPr>
    </w:p>
    <w:p w:rsidR="00577625" w:rsidRDefault="00577625" w:rsidP="00FC7A2B">
      <w:pPr>
        <w:keepNext/>
        <w:spacing w:line="240" w:lineRule="auto"/>
        <w:jc w:val="center"/>
      </w:pPr>
      <w:r>
        <w:rPr>
          <w:rFonts w:eastAsiaTheme="minorEastAsia"/>
          <w:noProof/>
          <w:lang w:val="en-US"/>
        </w:rPr>
        <w:drawing>
          <wp:inline distT="0" distB="0" distL="0" distR="0" wp14:anchorId="739449BC" wp14:editId="1ADDA583">
            <wp:extent cx="5755005" cy="2025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005" cy="2025015"/>
                    </a:xfrm>
                    <a:prstGeom prst="rect">
                      <a:avLst/>
                    </a:prstGeom>
                    <a:noFill/>
                    <a:ln>
                      <a:noFill/>
                    </a:ln>
                  </pic:spPr>
                </pic:pic>
              </a:graphicData>
            </a:graphic>
          </wp:inline>
        </w:drawing>
      </w:r>
    </w:p>
    <w:p w:rsidR="00577625" w:rsidRDefault="00C82962" w:rsidP="00FC7A2B">
      <w:pPr>
        <w:pStyle w:val="Caption"/>
        <w:jc w:val="center"/>
        <w:rPr>
          <w:color w:val="auto"/>
          <w:sz w:val="20"/>
          <w:szCs w:val="20"/>
          <w:lang w:val="en-US"/>
        </w:rPr>
      </w:pPr>
      <w:bookmarkStart w:id="63" w:name="_Ref29912644"/>
      <w:r>
        <w:rPr>
          <w:color w:val="auto"/>
          <w:sz w:val="20"/>
          <w:szCs w:val="20"/>
          <w:lang w:val="en-US"/>
        </w:rPr>
        <w:t>Figure</w:t>
      </w:r>
      <w:r w:rsidR="00577625" w:rsidRPr="00FA64A5">
        <w:rPr>
          <w:color w:val="auto"/>
          <w:sz w:val="20"/>
          <w:szCs w:val="20"/>
          <w:lang w:val="en-US"/>
        </w:rPr>
        <w:t xml:space="preserve"> </w:t>
      </w:r>
      <w:r w:rsidR="00577625" w:rsidRPr="00FA64A5">
        <w:rPr>
          <w:color w:val="auto"/>
          <w:sz w:val="20"/>
          <w:szCs w:val="20"/>
        </w:rPr>
        <w:fldChar w:fldCharType="begin"/>
      </w:r>
      <w:r w:rsidR="00577625" w:rsidRPr="00FA64A5">
        <w:rPr>
          <w:color w:val="auto"/>
          <w:sz w:val="20"/>
          <w:szCs w:val="20"/>
          <w:lang w:val="en-US"/>
        </w:rPr>
        <w:instrText xml:space="preserve"> SEQ Figure \* ARABIC </w:instrText>
      </w:r>
      <w:r w:rsidR="00577625" w:rsidRPr="00FA64A5">
        <w:rPr>
          <w:color w:val="auto"/>
          <w:sz w:val="20"/>
          <w:szCs w:val="20"/>
        </w:rPr>
        <w:fldChar w:fldCharType="separate"/>
      </w:r>
      <w:r w:rsidR="00C52506">
        <w:rPr>
          <w:noProof/>
          <w:color w:val="auto"/>
          <w:sz w:val="20"/>
          <w:szCs w:val="20"/>
          <w:lang w:val="en-US"/>
        </w:rPr>
        <w:t>14</w:t>
      </w:r>
      <w:r w:rsidR="00577625" w:rsidRPr="00FA64A5">
        <w:rPr>
          <w:color w:val="auto"/>
          <w:sz w:val="20"/>
          <w:szCs w:val="20"/>
        </w:rPr>
        <w:fldChar w:fldCharType="end"/>
      </w:r>
      <w:bookmarkEnd w:id="63"/>
      <w:r w:rsidR="00577625" w:rsidRPr="00FA64A5">
        <w:rPr>
          <w:color w:val="auto"/>
          <w:sz w:val="20"/>
          <w:szCs w:val="20"/>
          <w:lang w:val="en-US"/>
        </w:rPr>
        <w:t xml:space="preserve">: Schematic overview of dispersion polymerization. </w:t>
      </w:r>
      <w:r w:rsidR="00577625" w:rsidRPr="00FA64A5">
        <w:rPr>
          <w:b/>
          <w:color w:val="auto"/>
          <w:sz w:val="20"/>
          <w:szCs w:val="20"/>
          <w:lang w:val="en-US"/>
        </w:rPr>
        <w:t>M</w:t>
      </w:r>
      <w:r w:rsidR="00577625" w:rsidRPr="00FA64A5">
        <w:rPr>
          <w:color w:val="auto"/>
          <w:sz w:val="20"/>
          <w:szCs w:val="20"/>
          <w:lang w:val="en-US"/>
        </w:rPr>
        <w:t xml:space="preserve">: Monomer (styrene), </w:t>
      </w:r>
      <w:r w:rsidR="00577625" w:rsidRPr="00FA64A5">
        <w:rPr>
          <w:b/>
          <w:color w:val="auto"/>
          <w:sz w:val="20"/>
          <w:szCs w:val="20"/>
          <w:lang w:val="en-US"/>
        </w:rPr>
        <w:t>I</w:t>
      </w:r>
      <w:r w:rsidR="00577625" w:rsidRPr="00FA64A5">
        <w:rPr>
          <w:color w:val="auto"/>
          <w:sz w:val="20"/>
          <w:szCs w:val="20"/>
          <w:lang w:val="en-US"/>
        </w:rPr>
        <w:t xml:space="preserve">: Initiator, </w:t>
      </w:r>
      <w:r w:rsidR="00577625" w:rsidRPr="00FA64A5">
        <w:rPr>
          <w:b/>
          <w:color w:val="auto"/>
          <w:sz w:val="20"/>
          <w:szCs w:val="20"/>
          <w:lang w:val="en-US"/>
        </w:rPr>
        <w:t>-</w:t>
      </w:r>
      <w:r w:rsidR="00577625" w:rsidRPr="00FA64A5">
        <w:rPr>
          <w:color w:val="auto"/>
          <w:sz w:val="20"/>
          <w:szCs w:val="20"/>
          <w:lang w:val="en-US"/>
        </w:rPr>
        <w:t>: negatively charged co-monomer, squiggly line: small polymers, grey circles: formed particles.</w:t>
      </w:r>
    </w:p>
    <w:p w:rsidR="00272647" w:rsidRDefault="00BC69AE" w:rsidP="00FC7A2B">
      <w:pPr>
        <w:spacing w:line="240" w:lineRule="auto"/>
        <w:rPr>
          <w:rFonts w:ascii="Calibri" w:eastAsia="Calibri" w:hAnsi="Calibri" w:cs="Times New Roman"/>
          <w:iCs/>
          <w:lang w:val="en-US"/>
        </w:rPr>
      </w:pPr>
      <w:r w:rsidRPr="00E74C8E">
        <w:rPr>
          <w:rFonts w:ascii="Calibri" w:eastAsia="Calibri" w:hAnsi="Calibri" w:cs="Times New Roman"/>
          <w:iCs/>
          <w:lang w:val="en-US"/>
        </w:rPr>
        <w:t xml:space="preserve">For the particles to be used for the encapsulation experiments, they should be visible under the </w:t>
      </w:r>
      <w:r w:rsidRPr="00577625">
        <w:rPr>
          <w:rFonts w:ascii="Calibri" w:eastAsia="Calibri" w:hAnsi="Calibri" w:cs="Times New Roman"/>
          <w:iCs/>
          <w:lang w:val="en-US"/>
        </w:rPr>
        <w:t xml:space="preserve">optical microscope, meaning that their size should be sufficiently large. The diameter of these particles was determined by SEM to be 800nm and were clearly visible under the optical microscope, as shown in </w:t>
      </w:r>
      <w:r w:rsidRPr="00577625">
        <w:rPr>
          <w:rFonts w:ascii="Calibri" w:eastAsia="Calibri" w:hAnsi="Calibri" w:cs="Times New Roman"/>
          <w:iCs/>
          <w:lang w:val="en-US"/>
        </w:rPr>
        <w:fldChar w:fldCharType="begin"/>
      </w:r>
      <w:r w:rsidRPr="00577625">
        <w:rPr>
          <w:rFonts w:ascii="Calibri" w:eastAsia="Calibri" w:hAnsi="Calibri" w:cs="Times New Roman"/>
          <w:iCs/>
          <w:lang w:val="en-US"/>
        </w:rPr>
        <w:instrText xml:space="preserve"> REF _Ref29912752 \h  \* MERGEFORMAT </w:instrText>
      </w:r>
      <w:r w:rsidRPr="00577625">
        <w:rPr>
          <w:rFonts w:ascii="Calibri" w:eastAsia="Calibri" w:hAnsi="Calibri" w:cs="Times New Roman"/>
          <w:iCs/>
          <w:lang w:val="en-US"/>
        </w:rPr>
      </w:r>
      <w:r w:rsidRPr="00577625">
        <w:rPr>
          <w:rFonts w:ascii="Calibri" w:eastAsia="Calibri" w:hAnsi="Calibri" w:cs="Times New Roman"/>
          <w:iCs/>
          <w:lang w:val="en-US"/>
        </w:rPr>
        <w:fldChar w:fldCharType="separate"/>
      </w:r>
      <w:r w:rsidR="00C52506" w:rsidRPr="00C52506">
        <w:rPr>
          <w:lang w:val="en-US"/>
        </w:rPr>
        <w:t xml:space="preserve">Figure </w:t>
      </w:r>
      <w:r w:rsidR="00C52506" w:rsidRPr="00C52506">
        <w:rPr>
          <w:noProof/>
          <w:lang w:val="en-US"/>
        </w:rPr>
        <w:t>15</w:t>
      </w:r>
      <w:r w:rsidRPr="00577625">
        <w:rPr>
          <w:rFonts w:ascii="Calibri" w:eastAsia="Calibri" w:hAnsi="Calibri" w:cs="Times New Roman"/>
          <w:iCs/>
          <w:lang w:val="en-US"/>
        </w:rPr>
        <w:fldChar w:fldCharType="end"/>
      </w:r>
      <w:r w:rsidRPr="00577625">
        <w:rPr>
          <w:rFonts w:ascii="Calibri" w:eastAsia="Calibri" w:hAnsi="Calibri" w:cs="Times New Roman"/>
          <w:b/>
          <w:iCs/>
          <w:lang w:val="en-US"/>
        </w:rPr>
        <w:t xml:space="preserve">. </w:t>
      </w:r>
      <w:r w:rsidRPr="00577625">
        <w:rPr>
          <w:rFonts w:ascii="Calibri" w:eastAsia="Calibri" w:hAnsi="Calibri" w:cs="Times New Roman"/>
          <w:iCs/>
          <w:lang w:val="en-US"/>
        </w:rPr>
        <w:t>Also, a non-covalently</w:t>
      </w:r>
      <w:r w:rsidRPr="00E74C8E">
        <w:rPr>
          <w:rFonts w:ascii="Calibri" w:eastAsia="Calibri" w:hAnsi="Calibri" w:cs="Times New Roman"/>
          <w:iCs/>
          <w:lang w:val="en-US"/>
        </w:rPr>
        <w:t xml:space="preserve"> bound fluorophore Bodipy was added to the particle, allowing for precise distinction between these and</w:t>
      </w:r>
      <w:r>
        <w:rPr>
          <w:rFonts w:ascii="Calibri" w:eastAsia="Calibri" w:hAnsi="Calibri" w:cs="Times New Roman"/>
          <w:iCs/>
          <w:lang w:val="en-US"/>
        </w:rPr>
        <w:t xml:space="preserve"> other</w:t>
      </w:r>
      <w:r w:rsidRPr="00E74C8E">
        <w:rPr>
          <w:rFonts w:ascii="Calibri" w:eastAsia="Calibri" w:hAnsi="Calibri" w:cs="Times New Roman"/>
          <w:iCs/>
          <w:lang w:val="en-US"/>
        </w:rPr>
        <w:t xml:space="preserve"> particles. </w:t>
      </w:r>
      <w:r w:rsidR="00E74C8E" w:rsidRPr="00E74C8E">
        <w:rPr>
          <w:rFonts w:ascii="Calibri" w:eastAsia="Calibri" w:hAnsi="Calibri" w:cs="Times New Roman"/>
          <w:iCs/>
          <w:lang w:val="en-US"/>
        </w:rPr>
        <w:t>The Bodipy fluorophore is highly hydrophobic in character</w:t>
      </w:r>
      <w:r w:rsidR="00272647">
        <w:rPr>
          <w:rFonts w:ascii="Calibri" w:eastAsia="Calibri" w:hAnsi="Calibri" w:cs="Times New Roman"/>
          <w:iCs/>
          <w:lang w:val="en-US"/>
        </w:rPr>
        <w:t>. This means that Bodipy is</w:t>
      </w:r>
      <w:r w:rsidR="00E74C8E" w:rsidRPr="00E74C8E">
        <w:rPr>
          <w:rFonts w:ascii="Calibri" w:eastAsia="Calibri" w:hAnsi="Calibri" w:cs="Times New Roman"/>
          <w:iCs/>
          <w:lang w:val="en-US"/>
        </w:rPr>
        <w:t xml:space="preserve"> dissolved in DMSO or styrene, it migrates into the hydrophobic pocket of the polystyrene particles</w:t>
      </w:r>
      <w:r w:rsidR="00272647">
        <w:rPr>
          <w:rFonts w:ascii="Calibri" w:eastAsia="Calibri" w:hAnsi="Calibri" w:cs="Times New Roman"/>
          <w:iCs/>
          <w:lang w:val="en-US"/>
        </w:rPr>
        <w:t>.</w:t>
      </w:r>
      <w:r w:rsidR="00E74C8E" w:rsidRPr="00E74C8E">
        <w:rPr>
          <w:rFonts w:ascii="Calibri" w:eastAsia="Calibri" w:hAnsi="Calibri" w:cs="Times New Roman"/>
          <w:iCs/>
          <w:lang w:val="en-US"/>
        </w:rPr>
        <w:t xml:space="preserve"> </w:t>
      </w:r>
    </w:p>
    <w:p w:rsidR="00E74C8E" w:rsidRPr="00E74C8E" w:rsidRDefault="00E74C8E" w:rsidP="00FC7A2B">
      <w:pPr>
        <w:spacing w:line="240" w:lineRule="auto"/>
        <w:rPr>
          <w:rFonts w:ascii="Calibri" w:eastAsia="Calibri" w:hAnsi="Calibri" w:cs="Times New Roman"/>
          <w:iCs/>
          <w:lang w:val="en-US"/>
        </w:rPr>
      </w:pPr>
      <w:r w:rsidRPr="00E74C8E">
        <w:rPr>
          <w:rFonts w:ascii="Calibri" w:eastAsia="Calibri" w:hAnsi="Calibri" w:cs="Times New Roman"/>
          <w:iCs/>
          <w:lang w:val="en-US"/>
        </w:rPr>
        <w:t xml:space="preserve">Afterwards, a part of these particles </w:t>
      </w:r>
      <w:r w:rsidR="0066726E" w:rsidRPr="00E74C8E">
        <w:rPr>
          <w:rFonts w:ascii="Calibri" w:eastAsia="Calibri" w:hAnsi="Calibri" w:cs="Times New Roman"/>
          <w:iCs/>
          <w:lang w:val="en-US"/>
        </w:rPr>
        <w:t>was</w:t>
      </w:r>
      <w:r w:rsidRPr="00E74C8E">
        <w:rPr>
          <w:rFonts w:ascii="Calibri" w:eastAsia="Calibri" w:hAnsi="Calibri" w:cs="Times New Roman"/>
          <w:iCs/>
          <w:lang w:val="en-US"/>
        </w:rPr>
        <w:t xml:space="preserve"> post-modified with a bromine acrylate group BIEA. This was done in the presence of styrene, DVB and NaSS, to quantitively simulate the monomer mixture of the nPS particles. This functionalization was performed to further modify the nPS particles with a </w:t>
      </w:r>
      <w:r w:rsidR="00272647">
        <w:rPr>
          <w:rFonts w:ascii="Calibri" w:eastAsia="Calibri" w:hAnsi="Calibri" w:cs="Times New Roman"/>
          <w:iCs/>
          <w:lang w:val="en-US"/>
        </w:rPr>
        <w:t>bromine</w:t>
      </w:r>
      <w:r w:rsidRPr="00E74C8E">
        <w:rPr>
          <w:rFonts w:ascii="Calibri" w:eastAsia="Calibri" w:hAnsi="Calibri" w:cs="Times New Roman"/>
          <w:iCs/>
          <w:lang w:val="en-US"/>
        </w:rPr>
        <w:t xml:space="preserve"> shell around the core, using atom transfer radical polymerization. However, this </w:t>
      </w:r>
      <w:r w:rsidR="00272647">
        <w:rPr>
          <w:rFonts w:ascii="Calibri" w:eastAsia="Calibri" w:hAnsi="Calibri" w:cs="Times New Roman"/>
          <w:iCs/>
          <w:lang w:val="en-US"/>
        </w:rPr>
        <w:t>modification is</w:t>
      </w:r>
      <w:r w:rsidRPr="00E74C8E">
        <w:rPr>
          <w:rFonts w:ascii="Calibri" w:eastAsia="Calibri" w:hAnsi="Calibri" w:cs="Times New Roman"/>
          <w:iCs/>
          <w:lang w:val="en-US"/>
        </w:rPr>
        <w:t xml:space="preserve"> not</w:t>
      </w:r>
      <w:r w:rsidR="00272647">
        <w:rPr>
          <w:rFonts w:ascii="Calibri" w:eastAsia="Calibri" w:hAnsi="Calibri" w:cs="Times New Roman"/>
          <w:iCs/>
          <w:lang w:val="en-US"/>
        </w:rPr>
        <w:t xml:space="preserve"> relevant to the system we wish to investigate, but was performed nonetheless.</w:t>
      </w:r>
      <w:r w:rsidRPr="00E74C8E">
        <w:rPr>
          <w:rFonts w:ascii="Calibri" w:eastAsia="Calibri" w:hAnsi="Calibri" w:cs="Times New Roman"/>
          <w:iCs/>
          <w:lang w:val="en-US"/>
        </w:rPr>
        <w:t xml:space="preserve"> </w:t>
      </w:r>
      <w:r w:rsidR="00272647">
        <w:rPr>
          <w:rFonts w:ascii="Calibri" w:eastAsia="Calibri" w:hAnsi="Calibri" w:cs="Times New Roman"/>
          <w:iCs/>
          <w:lang w:val="en-US"/>
        </w:rPr>
        <w:t>It</w:t>
      </w:r>
      <w:r w:rsidRPr="00E74C8E">
        <w:rPr>
          <w:rFonts w:ascii="Calibri" w:eastAsia="Calibri" w:hAnsi="Calibri" w:cs="Times New Roman"/>
          <w:iCs/>
          <w:lang w:val="en-US"/>
        </w:rPr>
        <w:t xml:space="preserve"> is assumed that the bromine functionalization does not hamper the charge interactions between colloidal particles. The zeta potential remained the same (</w:t>
      </w:r>
      <w:r w:rsidRPr="00E74C8E">
        <w:rPr>
          <w:rFonts w:ascii="Calibri" w:eastAsia="Calibri" w:hAnsi="Calibri" w:cs="Calibri"/>
          <w:iCs/>
          <w:lang w:val="en-US"/>
        </w:rPr>
        <w:t xml:space="preserve">ζ = </w:t>
      </w:r>
      <w:r w:rsidRPr="00E74C8E">
        <w:rPr>
          <w:rFonts w:ascii="Calibri" w:eastAsia="Calibri" w:hAnsi="Calibri" w:cs="Times New Roman"/>
          <w:iCs/>
          <w:lang w:val="en-US"/>
        </w:rPr>
        <w:t xml:space="preserve">-75mV), however, the size increased from 800nm to 860nm, as determined by SEM. </w:t>
      </w:r>
    </w:p>
    <w:p w:rsidR="000C1C03" w:rsidRDefault="00E74C8E" w:rsidP="00FC7A2B">
      <w:pPr>
        <w:keepNext/>
        <w:spacing w:line="240" w:lineRule="auto"/>
        <w:jc w:val="center"/>
      </w:pPr>
      <w:r w:rsidRPr="00E74C8E">
        <w:rPr>
          <w:rFonts w:ascii="Calibri" w:eastAsia="Calibri" w:hAnsi="Calibri" w:cs="Times New Roman"/>
          <w:iCs/>
          <w:noProof/>
          <w:lang w:val="en-US"/>
        </w:rPr>
        <w:drawing>
          <wp:inline distT="0" distB="0" distL="0" distR="0" wp14:anchorId="42A0E5DD" wp14:editId="319F266E">
            <wp:extent cx="4206790" cy="1998133"/>
            <wp:effectExtent l="0" t="0" r="381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PS OM en SE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53364" cy="2020255"/>
                    </a:xfrm>
                    <a:prstGeom prst="rect">
                      <a:avLst/>
                    </a:prstGeom>
                  </pic:spPr>
                </pic:pic>
              </a:graphicData>
            </a:graphic>
          </wp:inline>
        </w:drawing>
      </w:r>
    </w:p>
    <w:p w:rsidR="00BC69AE" w:rsidRPr="00272647" w:rsidRDefault="00C82962" w:rsidP="00272647">
      <w:pPr>
        <w:pStyle w:val="Caption"/>
        <w:jc w:val="center"/>
        <w:rPr>
          <w:color w:val="auto"/>
          <w:sz w:val="20"/>
          <w:szCs w:val="20"/>
          <w:lang w:val="en-US"/>
        </w:rPr>
      </w:pPr>
      <w:bookmarkStart w:id="64" w:name="_Ref29912752"/>
      <w:r>
        <w:rPr>
          <w:color w:val="auto"/>
          <w:sz w:val="20"/>
          <w:szCs w:val="20"/>
          <w:lang w:val="en-US"/>
        </w:rPr>
        <w:t>Figure</w:t>
      </w:r>
      <w:r w:rsidR="000C1C03" w:rsidRPr="000C1C03">
        <w:rPr>
          <w:color w:val="auto"/>
          <w:sz w:val="20"/>
          <w:szCs w:val="20"/>
          <w:lang w:val="en-US"/>
        </w:rPr>
        <w:t xml:space="preserve"> </w:t>
      </w:r>
      <w:r w:rsidR="000C1C03" w:rsidRPr="000C1C03">
        <w:rPr>
          <w:color w:val="auto"/>
          <w:sz w:val="20"/>
          <w:szCs w:val="20"/>
        </w:rPr>
        <w:fldChar w:fldCharType="begin"/>
      </w:r>
      <w:r w:rsidR="000C1C03" w:rsidRPr="000C1C03">
        <w:rPr>
          <w:color w:val="auto"/>
          <w:sz w:val="20"/>
          <w:szCs w:val="20"/>
          <w:lang w:val="en-US"/>
        </w:rPr>
        <w:instrText xml:space="preserve"> SEQ Figure \* ARABIC </w:instrText>
      </w:r>
      <w:r w:rsidR="000C1C03" w:rsidRPr="000C1C03">
        <w:rPr>
          <w:color w:val="auto"/>
          <w:sz w:val="20"/>
          <w:szCs w:val="20"/>
        </w:rPr>
        <w:fldChar w:fldCharType="separate"/>
      </w:r>
      <w:r w:rsidR="00C52506">
        <w:rPr>
          <w:noProof/>
          <w:color w:val="auto"/>
          <w:sz w:val="20"/>
          <w:szCs w:val="20"/>
          <w:lang w:val="en-US"/>
        </w:rPr>
        <w:t>15</w:t>
      </w:r>
      <w:r w:rsidR="000C1C03" w:rsidRPr="000C1C03">
        <w:rPr>
          <w:color w:val="auto"/>
          <w:sz w:val="20"/>
          <w:szCs w:val="20"/>
        </w:rPr>
        <w:fldChar w:fldCharType="end"/>
      </w:r>
      <w:bookmarkEnd w:id="64"/>
      <w:r w:rsidR="000C1C03" w:rsidRPr="000C1C03">
        <w:rPr>
          <w:color w:val="auto"/>
          <w:sz w:val="20"/>
          <w:szCs w:val="20"/>
          <w:lang w:val="en-US"/>
        </w:rPr>
        <w:t xml:space="preserve">: </w:t>
      </w:r>
      <w:r w:rsidR="000C1C03" w:rsidRPr="000C1C03">
        <w:rPr>
          <w:b/>
          <w:color w:val="auto"/>
          <w:sz w:val="20"/>
          <w:szCs w:val="20"/>
          <w:lang w:val="en-US"/>
        </w:rPr>
        <w:t>A</w:t>
      </w:r>
      <w:r w:rsidR="000C1C03" w:rsidRPr="000C1C03">
        <w:rPr>
          <w:color w:val="auto"/>
          <w:sz w:val="20"/>
          <w:szCs w:val="20"/>
          <w:lang w:val="en-US"/>
        </w:rPr>
        <w:t xml:space="preserve">: Optical micrograph of nPS. </w:t>
      </w:r>
      <w:r w:rsidR="000C1C03" w:rsidRPr="000C1C03">
        <w:rPr>
          <w:b/>
          <w:color w:val="auto"/>
          <w:sz w:val="20"/>
          <w:szCs w:val="20"/>
          <w:lang w:val="en-US"/>
        </w:rPr>
        <w:t>B</w:t>
      </w:r>
      <w:r w:rsidR="000C1C03" w:rsidRPr="000C1C03">
        <w:rPr>
          <w:color w:val="auto"/>
          <w:sz w:val="20"/>
          <w:szCs w:val="20"/>
          <w:lang w:val="en-US"/>
        </w:rPr>
        <w:t>: Scanning electron micrograph of nPS.</w:t>
      </w:r>
    </w:p>
    <w:p w:rsidR="00272647" w:rsidRDefault="00E74C8E" w:rsidP="00FC7A2B">
      <w:pPr>
        <w:spacing w:line="240" w:lineRule="auto"/>
        <w:rPr>
          <w:rFonts w:ascii="Calibri" w:eastAsia="Calibri" w:hAnsi="Calibri" w:cs="Times New Roman"/>
          <w:iCs/>
          <w:lang w:val="en-US"/>
        </w:rPr>
      </w:pPr>
      <w:r w:rsidRPr="00E74C8E">
        <w:rPr>
          <w:rFonts w:ascii="Calibri" w:eastAsia="Calibri" w:hAnsi="Calibri" w:cs="Times New Roman"/>
          <w:iCs/>
          <w:lang w:val="en-US"/>
        </w:rPr>
        <w:t xml:space="preserve">The synthesis of pPS was inspired by the dispersion polymerization synthesis method used for nPS. Only for pPS, the co-monomer that is introduced during the synthesis is the permanently positively charged METMAC. This molecule consists of a polymerizable acrylate group and a permanently positively charged quaternary nitrogen atom, which introduces the positive charge on the particle surface. </w:t>
      </w:r>
    </w:p>
    <w:p w:rsidR="00C21CF9" w:rsidRDefault="00E74C8E" w:rsidP="00FC7A2B">
      <w:pPr>
        <w:spacing w:line="240" w:lineRule="auto"/>
        <w:rPr>
          <w:rFonts w:ascii="Calibri" w:eastAsia="Calibri" w:hAnsi="Calibri" w:cs="Times New Roman"/>
          <w:iCs/>
          <w:lang w:val="en-US"/>
        </w:rPr>
      </w:pPr>
      <w:r w:rsidRPr="00E74C8E">
        <w:rPr>
          <w:rFonts w:ascii="Calibri" w:eastAsia="Calibri" w:hAnsi="Calibri" w:cs="Times New Roman"/>
          <w:iCs/>
          <w:lang w:val="en-US"/>
        </w:rPr>
        <w:lastRenderedPageBreak/>
        <w:t xml:space="preserve">The same molar ratio of styrene and co-monomer as was used for nPS, yielded particles with a similar size and an inverted charge. The </w:t>
      </w:r>
      <w:r w:rsidR="00763002">
        <w:rPr>
          <w:rFonts w:ascii="Calibri" w:eastAsia="Calibri" w:hAnsi="Calibri" w:cs="Times New Roman"/>
          <w:iCs/>
          <w:lang w:val="en-US"/>
        </w:rPr>
        <w:t>hydrodynamic radius</w:t>
      </w:r>
      <w:r w:rsidRPr="00E74C8E">
        <w:rPr>
          <w:rFonts w:ascii="Calibri" w:eastAsia="Calibri" w:hAnsi="Calibri" w:cs="Times New Roman"/>
          <w:iCs/>
          <w:lang w:val="en-US"/>
        </w:rPr>
        <w:t xml:space="preserve"> of pPS was determined by DLS to be 725 </w:t>
      </w:r>
      <w:r w:rsidRPr="00E74C8E">
        <w:rPr>
          <w:rFonts w:ascii="Calibri" w:eastAsia="Calibri" w:hAnsi="Calibri" w:cs="Calibri"/>
          <w:iCs/>
          <w:lang w:val="en-US"/>
        </w:rPr>
        <w:t>±</w:t>
      </w:r>
      <w:r w:rsidRPr="00E74C8E">
        <w:rPr>
          <w:rFonts w:ascii="Calibri" w:eastAsia="Calibri" w:hAnsi="Calibri" w:cs="Times New Roman"/>
          <w:iCs/>
          <w:lang w:val="en-US"/>
        </w:rPr>
        <w:t xml:space="preserve"> 108nm</w:t>
      </w:r>
      <w:r w:rsidRPr="00E74C8E">
        <w:rPr>
          <w:rFonts w:ascii="Calibri" w:eastAsia="Calibri" w:hAnsi="Calibri" w:cs="Times New Roman"/>
          <w:b/>
          <w:iCs/>
          <w:lang w:val="en-US"/>
        </w:rPr>
        <w:t xml:space="preserve"> </w:t>
      </w:r>
      <w:r w:rsidRPr="00E74C8E">
        <w:rPr>
          <w:rFonts w:ascii="Calibri" w:eastAsia="Calibri" w:hAnsi="Calibri" w:cs="Times New Roman"/>
          <w:iCs/>
          <w:lang w:val="en-US"/>
        </w:rPr>
        <w:t xml:space="preserve">and were clearly visible under the optical microscope </w:t>
      </w:r>
      <w:r w:rsidR="00272647">
        <w:rPr>
          <w:rFonts w:ascii="Calibri" w:eastAsia="Calibri" w:hAnsi="Calibri" w:cs="Times New Roman"/>
          <w:iCs/>
          <w:lang w:val="en-US"/>
        </w:rPr>
        <w:t>(</w:t>
      </w:r>
      <w:r w:rsidR="007C6D98" w:rsidRPr="00272647">
        <w:rPr>
          <w:rFonts w:ascii="Calibri" w:eastAsia="Calibri" w:hAnsi="Calibri" w:cs="Times New Roman"/>
          <w:iCs/>
          <w:lang w:val="en-US"/>
        </w:rPr>
        <w:fldChar w:fldCharType="begin"/>
      </w:r>
      <w:r w:rsidR="007C6D98" w:rsidRPr="00272647">
        <w:rPr>
          <w:rFonts w:ascii="Calibri" w:eastAsia="Calibri" w:hAnsi="Calibri" w:cs="Times New Roman"/>
          <w:iCs/>
          <w:lang w:val="en-US"/>
        </w:rPr>
        <w:instrText xml:space="preserve"> REF _Ref29912865 \h  \* MERGEFORMAT </w:instrText>
      </w:r>
      <w:r w:rsidR="007C6D98" w:rsidRPr="00272647">
        <w:rPr>
          <w:rFonts w:ascii="Calibri" w:eastAsia="Calibri" w:hAnsi="Calibri" w:cs="Times New Roman"/>
          <w:iCs/>
          <w:lang w:val="en-US"/>
        </w:rPr>
      </w:r>
      <w:r w:rsidR="007C6D98" w:rsidRPr="00272647">
        <w:rPr>
          <w:rFonts w:ascii="Calibri" w:eastAsia="Calibri" w:hAnsi="Calibri" w:cs="Times New Roman"/>
          <w:iCs/>
          <w:lang w:val="en-US"/>
        </w:rPr>
        <w:fldChar w:fldCharType="separate"/>
      </w:r>
      <w:r w:rsidR="00C52506" w:rsidRPr="00272647">
        <w:rPr>
          <w:lang w:val="en-US"/>
        </w:rPr>
        <w:t xml:space="preserve">Figure </w:t>
      </w:r>
      <w:r w:rsidR="00C52506" w:rsidRPr="00272647">
        <w:rPr>
          <w:noProof/>
          <w:lang w:val="en-US"/>
        </w:rPr>
        <w:t>16</w:t>
      </w:r>
      <w:r w:rsidR="007C6D98" w:rsidRPr="00272647">
        <w:rPr>
          <w:rFonts w:ascii="Calibri" w:eastAsia="Calibri" w:hAnsi="Calibri" w:cs="Times New Roman"/>
          <w:iCs/>
          <w:lang w:val="en-US"/>
        </w:rPr>
        <w:fldChar w:fldCharType="end"/>
      </w:r>
      <w:r w:rsidR="00272647">
        <w:rPr>
          <w:rFonts w:ascii="Calibri" w:eastAsia="Calibri" w:hAnsi="Calibri" w:cs="Times New Roman"/>
          <w:iCs/>
          <w:lang w:val="en-US"/>
        </w:rPr>
        <w:t>)</w:t>
      </w:r>
      <w:r w:rsidRPr="00272647">
        <w:rPr>
          <w:rFonts w:ascii="Calibri" w:eastAsia="Calibri" w:hAnsi="Calibri" w:cs="Times New Roman"/>
          <w:iCs/>
          <w:lang w:val="en-US"/>
        </w:rPr>
        <w:t>. Just</w:t>
      </w:r>
      <w:r w:rsidRPr="00E74C8E">
        <w:rPr>
          <w:rFonts w:ascii="Calibri" w:eastAsia="Calibri" w:hAnsi="Calibri" w:cs="Times New Roman"/>
          <w:iCs/>
          <w:lang w:val="en-US"/>
        </w:rPr>
        <w:t xml:space="preserve"> as for the nPS synthesis, the non-covalently bound fluorophore Bodipy was successfully incorporated into the particle. The zeta potential of pPS was measured to be +41 </w:t>
      </w:r>
      <w:r w:rsidRPr="00E74C8E">
        <w:rPr>
          <w:rFonts w:ascii="Calibri" w:eastAsia="Calibri" w:hAnsi="Calibri" w:cs="Calibri"/>
          <w:iCs/>
          <w:lang w:val="en-US"/>
        </w:rPr>
        <w:t>±</w:t>
      </w:r>
      <w:r w:rsidRPr="00E74C8E">
        <w:rPr>
          <w:rFonts w:ascii="Calibri" w:eastAsia="Calibri" w:hAnsi="Calibri" w:cs="Times New Roman"/>
          <w:iCs/>
          <w:lang w:val="en-US"/>
        </w:rPr>
        <w:t xml:space="preserve"> 12mV, indicating successful incorporation of the METMAC co-monomer. The zeta potential of +41mV for these particles remained stable for months</w:t>
      </w:r>
      <w:r w:rsidR="00C21CF9">
        <w:rPr>
          <w:rFonts w:ascii="Calibri" w:eastAsia="Calibri" w:hAnsi="Calibri" w:cs="Times New Roman"/>
          <w:iCs/>
          <w:lang w:val="en-US"/>
        </w:rPr>
        <w:t>.</w:t>
      </w:r>
    </w:p>
    <w:p w:rsidR="009571F0" w:rsidRDefault="00340244" w:rsidP="00FC7A2B">
      <w:pPr>
        <w:spacing w:line="240" w:lineRule="auto"/>
        <w:jc w:val="center"/>
        <w:rPr>
          <w:rFonts w:ascii="Calibri" w:eastAsia="Calibri" w:hAnsi="Calibri" w:cs="Times New Roman"/>
          <w:iCs/>
          <w:lang w:val="en-US"/>
        </w:rPr>
      </w:pPr>
      <w:r>
        <w:rPr>
          <w:rFonts w:ascii="Calibri" w:eastAsia="Calibri" w:hAnsi="Calibri" w:cs="Times New Roman"/>
          <w:iCs/>
          <w:noProof/>
          <w:lang w:val="en-US"/>
        </w:rPr>
        <w:drawing>
          <wp:inline distT="0" distB="0" distL="0" distR="0">
            <wp:extent cx="2418388" cy="2413590"/>
            <wp:effectExtent l="0" t="0" r="127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PS O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1499" cy="2466596"/>
                    </a:xfrm>
                    <a:prstGeom prst="rect">
                      <a:avLst/>
                    </a:prstGeom>
                  </pic:spPr>
                </pic:pic>
              </a:graphicData>
            </a:graphic>
          </wp:inline>
        </w:drawing>
      </w:r>
    </w:p>
    <w:p w:rsidR="00577625" w:rsidRDefault="00C82962" w:rsidP="00BC69AE">
      <w:pPr>
        <w:pStyle w:val="Caption"/>
        <w:jc w:val="center"/>
        <w:rPr>
          <w:rFonts w:eastAsia="Calibri"/>
          <w:b/>
          <w:lang w:val="en-US"/>
        </w:rPr>
      </w:pPr>
      <w:bookmarkStart w:id="65" w:name="_Ref29912865"/>
      <w:r>
        <w:rPr>
          <w:color w:val="auto"/>
          <w:sz w:val="20"/>
          <w:szCs w:val="20"/>
          <w:lang w:val="en-US"/>
        </w:rPr>
        <w:t>Figure</w:t>
      </w:r>
      <w:r w:rsidR="00DB51D6" w:rsidRPr="00EB2B37">
        <w:rPr>
          <w:color w:val="auto"/>
          <w:sz w:val="20"/>
          <w:szCs w:val="20"/>
          <w:lang w:val="en-US"/>
        </w:rPr>
        <w:t xml:space="preserve"> </w:t>
      </w:r>
      <w:r w:rsidR="00DB51D6" w:rsidRPr="00DB51D6">
        <w:rPr>
          <w:color w:val="auto"/>
          <w:sz w:val="20"/>
          <w:szCs w:val="20"/>
        </w:rPr>
        <w:fldChar w:fldCharType="begin"/>
      </w:r>
      <w:r w:rsidR="00DB51D6" w:rsidRPr="00EB2B37">
        <w:rPr>
          <w:color w:val="auto"/>
          <w:sz w:val="20"/>
          <w:szCs w:val="20"/>
          <w:lang w:val="en-US"/>
        </w:rPr>
        <w:instrText xml:space="preserve"> SEQ Figure \* ARABIC </w:instrText>
      </w:r>
      <w:r w:rsidR="00DB51D6" w:rsidRPr="00DB51D6">
        <w:rPr>
          <w:color w:val="auto"/>
          <w:sz w:val="20"/>
          <w:szCs w:val="20"/>
        </w:rPr>
        <w:fldChar w:fldCharType="separate"/>
      </w:r>
      <w:r w:rsidR="00C52506">
        <w:rPr>
          <w:noProof/>
          <w:color w:val="auto"/>
          <w:sz w:val="20"/>
          <w:szCs w:val="20"/>
          <w:lang w:val="en-US"/>
        </w:rPr>
        <w:t>16</w:t>
      </w:r>
      <w:r w:rsidR="00DB51D6" w:rsidRPr="00DB51D6">
        <w:rPr>
          <w:color w:val="auto"/>
          <w:sz w:val="20"/>
          <w:szCs w:val="20"/>
        </w:rPr>
        <w:fldChar w:fldCharType="end"/>
      </w:r>
      <w:bookmarkEnd w:id="65"/>
      <w:r w:rsidR="00DB51D6" w:rsidRPr="00EB2B37">
        <w:rPr>
          <w:color w:val="auto"/>
          <w:sz w:val="20"/>
          <w:szCs w:val="20"/>
          <w:lang w:val="en-US"/>
        </w:rPr>
        <w:t xml:space="preserve">: </w:t>
      </w:r>
      <w:r w:rsidR="00EB2B37" w:rsidRPr="00EB2B37">
        <w:rPr>
          <w:color w:val="auto"/>
          <w:sz w:val="20"/>
          <w:szCs w:val="20"/>
          <w:lang w:val="en-US"/>
        </w:rPr>
        <w:t>Optical micrograph of p</w:t>
      </w:r>
      <w:r w:rsidR="00EB2B37">
        <w:rPr>
          <w:color w:val="auto"/>
          <w:sz w:val="20"/>
          <w:szCs w:val="20"/>
          <w:lang w:val="en-US"/>
        </w:rPr>
        <w:t>PS.</w:t>
      </w:r>
    </w:p>
    <w:p w:rsidR="00E74C8E" w:rsidRPr="0012395A" w:rsidRDefault="00E74C8E" w:rsidP="00FC7A2B">
      <w:pPr>
        <w:pStyle w:val="Heading3"/>
        <w:numPr>
          <w:ilvl w:val="2"/>
          <w:numId w:val="2"/>
        </w:numPr>
        <w:spacing w:line="240" w:lineRule="auto"/>
        <w:rPr>
          <w:rFonts w:eastAsia="Calibri"/>
          <w:b/>
          <w:lang w:val="en-US"/>
        </w:rPr>
      </w:pPr>
      <w:bookmarkStart w:id="66" w:name="_Toc31892410"/>
      <w:r w:rsidRPr="0012395A">
        <w:rPr>
          <w:rFonts w:eastAsia="Calibri"/>
          <w:b/>
          <w:color w:val="auto"/>
          <w:lang w:val="en-US"/>
        </w:rPr>
        <w:t>Synthesis of the biphasic TPM-PS zwitterionic dumbbells</w:t>
      </w:r>
      <w:bookmarkEnd w:id="66"/>
      <w:r w:rsidRPr="0012395A">
        <w:rPr>
          <w:rFonts w:eastAsia="Calibri"/>
          <w:b/>
          <w:color w:val="auto"/>
          <w:lang w:val="en-US"/>
        </w:rPr>
        <w:t xml:space="preserve"> </w:t>
      </w:r>
    </w:p>
    <w:p w:rsidR="00272647" w:rsidRDefault="00E74C8E" w:rsidP="00BC69AE">
      <w:pPr>
        <w:spacing w:line="240" w:lineRule="auto"/>
        <w:rPr>
          <w:rFonts w:eastAsiaTheme="minorEastAsia"/>
          <w:lang w:val="en-US"/>
        </w:rPr>
      </w:pPr>
      <w:r w:rsidRPr="00E74C8E">
        <w:rPr>
          <w:rFonts w:ascii="Calibri" w:eastAsia="Calibri" w:hAnsi="Calibri" w:cs="Times New Roman"/>
          <w:iCs/>
          <w:lang w:val="en-US"/>
        </w:rPr>
        <w:t>The method of Sacanna et al.</w:t>
      </w:r>
      <w:r w:rsidRPr="00E74C8E">
        <w:rPr>
          <w:rFonts w:ascii="Calibri" w:eastAsia="Calibri" w:hAnsi="Calibri" w:cs="Times New Roman"/>
          <w:iCs/>
          <w:lang w:val="en-US"/>
        </w:rPr>
        <w:fldChar w:fldCharType="begin" w:fldLock="1"/>
      </w:r>
      <w:r w:rsidR="00BA64A2">
        <w:rPr>
          <w:rFonts w:ascii="Calibri" w:eastAsia="Calibri" w:hAnsi="Calibri" w:cs="Times New Roman"/>
          <w:iCs/>
          <w:lang w:val="en-US"/>
        </w:rPr>
        <w:instrText>ADDIN CSL_CITATION { "citationItems" : [ { "id" : "ITEM-1", "itemData" : { "DOI" : "10.1038/ncomms2694", "ISSN" : "20411723", "abstract" : "The creation of a new material often starts from the design of its constituent building blocks at a smaller scale. From macromolecules to colloidal architectures, to granular systems, the interactions between basic units of matter can dictate the macroscopic behaviour of the resulting engineered material and even regulate its genesis. Information can be imparted to the building units by altering their physical and chemical properties. In particular, the shape of building blocks has a fundamental role at the colloidal scale, as it can govern the self-organization of particles into hierarchical structures and ultimately into the desired material. Herein we report a simple and general approach to generate an entire zoo of new anisotropic colloids. Our method is based on a controlled deformation of multiphase colloidal particles that can be selectively liquified, polymerized, dissolved and functionalized in bulk. We further demonstrate control over the particle functionalization and coating by realizing patchy and Janus colloids. \u00a9 2013 Macmillan Publishers Limited. All rights reserved.", "author" : [ { "dropping-particle" : "", "family" : "Sacanna", "given" : "Stefano", "non-dropping-particle" : "", "parse-names" : false, "suffix" : "" }, { "dropping-particle" : "", "family" : "Korpics", "given" : "Mark", "non-dropping-particle" : "", "parse-names" : false, "suffix" : "" }, { "dropping-particle" : "", "family" : "Rodriguez", "given" : "Kelvin", "non-dropping-particle" : "", "parse-names" : false, "suffix" : "" }, { "dropping-particle" : "", "family" : "Col\u00f3n-Mel\u00e9ndez", "given" : "Laura", "non-dropping-particle" : "", "parse-names" : false, "suffix" : "" }, { "dropping-particle" : "", "family" : "Kim", "given" : "Seung Hyun", "non-dropping-particle" : "", "parse-names" : false, "suffix" : "" }, { "dropping-particle" : "", "family" : "Pine", "given" : "David J.", "non-dropping-particle" : "", "parse-names" : false, "suffix" : "" }, { "dropping-particle" : "", "family" : "Yi", "given" : "Gi Ra", "non-dropping-particle" : "", "parse-names" : false, "suffix" : "" } ], "container-title" : "Nature Communications", "id" : "ITEM-1", "issued" : { "date-parts" : [ [ "2013" ] ] }, "page" : "2-7", "title" : "Shaping colloids for self-assembly", "type" : "article-journal", "volume" : "4" }, "uris" : [ "http://www.mendeley.com/documents/?uuid=a831627c-b179-4d54-8931-b4b9e65fa549" ] } ], "mendeley" : { "formattedCitation" : "&lt;sup&gt;12&lt;/sup&gt;", "plainTextFormattedCitation" : "12", "previouslyFormattedCitation" : "&lt;sup&gt;12&lt;/sup&gt;" }, "properties" : { "noteIndex" : 0 }, "schema" : "https://github.com/citation-style-language/schema/raw/master/csl-citation.json" }</w:instrText>
      </w:r>
      <w:r w:rsidRPr="00E74C8E">
        <w:rPr>
          <w:rFonts w:ascii="Calibri" w:eastAsia="Calibri" w:hAnsi="Calibri" w:cs="Times New Roman"/>
          <w:iCs/>
          <w:lang w:val="en-US"/>
        </w:rPr>
        <w:fldChar w:fldCharType="separate"/>
      </w:r>
      <w:r w:rsidR="005F77FF" w:rsidRPr="005F77FF">
        <w:rPr>
          <w:rFonts w:ascii="Calibri" w:eastAsia="Calibri" w:hAnsi="Calibri" w:cs="Times New Roman"/>
          <w:iCs/>
          <w:noProof/>
          <w:vertAlign w:val="superscript"/>
          <w:lang w:val="en-US"/>
        </w:rPr>
        <w:t>12</w:t>
      </w:r>
      <w:r w:rsidRPr="00E74C8E">
        <w:rPr>
          <w:rFonts w:ascii="Calibri" w:eastAsia="Calibri" w:hAnsi="Calibri" w:cs="Times New Roman"/>
          <w:iCs/>
          <w:lang w:val="en-US"/>
        </w:rPr>
        <w:fldChar w:fldCharType="end"/>
      </w:r>
      <w:r w:rsidRPr="00E74C8E">
        <w:rPr>
          <w:rFonts w:ascii="Calibri" w:eastAsia="Calibri" w:hAnsi="Calibri" w:cs="Times New Roman"/>
          <w:iCs/>
          <w:lang w:val="en-US"/>
        </w:rPr>
        <w:t xml:space="preserve"> was used to synthesize </w:t>
      </w:r>
      <w:r w:rsidR="00C82962">
        <w:rPr>
          <w:rFonts w:ascii="Calibri" w:eastAsia="Calibri" w:hAnsi="Calibri" w:cs="Times New Roman"/>
          <w:iCs/>
          <w:lang w:val="en-US"/>
        </w:rPr>
        <w:t>biphasic dumbbells</w:t>
      </w:r>
      <w:r w:rsidRPr="00E74C8E">
        <w:rPr>
          <w:rFonts w:ascii="Calibri" w:eastAsia="Calibri" w:hAnsi="Calibri" w:cs="Times New Roman"/>
          <w:iCs/>
          <w:lang w:val="en-US"/>
        </w:rPr>
        <w:t xml:space="preserve"> in two different size ratios. The dumbbell consists of a strongly negatively charged PS particle, around which a TPM lobe is condensed and polymerized.</w:t>
      </w:r>
      <w:r w:rsidRPr="00E74C8E">
        <w:rPr>
          <w:rFonts w:ascii="Calibri" w:eastAsia="Calibri" w:hAnsi="Calibri" w:cs="Times New Roman"/>
          <w:b/>
          <w:iCs/>
          <w:lang w:val="en-US"/>
        </w:rPr>
        <w:t xml:space="preserve"> </w:t>
      </w:r>
      <w:r w:rsidRPr="00E74C8E">
        <w:rPr>
          <w:rFonts w:ascii="Calibri" w:eastAsia="Calibri" w:hAnsi="Calibri" w:cs="Times New Roman"/>
          <w:iCs/>
          <w:lang w:val="en-US"/>
        </w:rPr>
        <w:t xml:space="preserve">The nPS particles mentioned before are used as a substrate for the dumbbell synthesis. </w:t>
      </w:r>
      <w:r w:rsidR="00577625">
        <w:rPr>
          <w:rFonts w:eastAsiaTheme="minorEastAsia"/>
          <w:lang w:val="en-US"/>
        </w:rPr>
        <w:t>This method is called seeded emulsion polymerization</w:t>
      </w:r>
      <w:r w:rsidR="00F06A40">
        <w:rPr>
          <w:rFonts w:eastAsiaTheme="minorEastAsia"/>
          <w:lang w:val="en-US"/>
        </w:rPr>
        <w:t xml:space="preserve"> (scheme 4)</w:t>
      </w:r>
      <w:r w:rsidR="00577625">
        <w:rPr>
          <w:rFonts w:eastAsiaTheme="minorEastAsia"/>
          <w:lang w:val="en-US"/>
        </w:rPr>
        <w:t>.</w:t>
      </w:r>
      <w:r w:rsidR="00577625">
        <w:rPr>
          <w:rFonts w:eastAsiaTheme="minorEastAsia"/>
          <w:lang w:val="en-US"/>
        </w:rPr>
        <w:br/>
        <w:t xml:space="preserve">The </w:t>
      </w:r>
      <w:r w:rsidR="00272647">
        <w:rPr>
          <w:rFonts w:eastAsiaTheme="minorEastAsia"/>
          <w:lang w:val="en-US"/>
        </w:rPr>
        <w:t>nPS particles</w:t>
      </w:r>
      <w:r w:rsidR="00577625">
        <w:rPr>
          <w:rFonts w:eastAsiaTheme="minorEastAsia"/>
          <w:lang w:val="en-US"/>
        </w:rPr>
        <w:t xml:space="preserve"> are dispersed in water, to which an amount of separately hydrolyzed TPM is added. The negative charge on the </w:t>
      </w:r>
      <w:r w:rsidR="00272647">
        <w:rPr>
          <w:rFonts w:eastAsiaTheme="minorEastAsia"/>
          <w:lang w:val="en-US"/>
        </w:rPr>
        <w:t>PS</w:t>
      </w:r>
      <w:r w:rsidR="00577625">
        <w:rPr>
          <w:rFonts w:eastAsiaTheme="minorEastAsia"/>
          <w:lang w:val="en-US"/>
        </w:rPr>
        <w:t xml:space="preserve"> seed is necessary to facilitate the</w:t>
      </w:r>
      <w:r w:rsidR="00272647">
        <w:rPr>
          <w:rFonts w:eastAsiaTheme="minorEastAsia"/>
          <w:lang w:val="en-US"/>
        </w:rPr>
        <w:t xml:space="preserve"> stable</w:t>
      </w:r>
      <w:r w:rsidR="00577625">
        <w:rPr>
          <w:rFonts w:eastAsiaTheme="minorEastAsia"/>
          <w:lang w:val="en-US"/>
        </w:rPr>
        <w:t xml:space="preserve"> formation of </w:t>
      </w:r>
      <w:r w:rsidR="00272647">
        <w:rPr>
          <w:rFonts w:eastAsiaTheme="minorEastAsia"/>
          <w:lang w:val="en-US"/>
        </w:rPr>
        <w:t xml:space="preserve">the TPM </w:t>
      </w:r>
      <w:r w:rsidR="00577625">
        <w:rPr>
          <w:rFonts w:eastAsiaTheme="minorEastAsia"/>
          <w:lang w:val="en-US"/>
        </w:rPr>
        <w:t xml:space="preserve">lobe. Otherwise, when the </w:t>
      </w:r>
      <w:r w:rsidR="00272647">
        <w:rPr>
          <w:rFonts w:eastAsiaTheme="minorEastAsia"/>
          <w:lang w:val="en-US"/>
        </w:rPr>
        <w:t xml:space="preserve">PS </w:t>
      </w:r>
      <w:r w:rsidR="00577625">
        <w:rPr>
          <w:rFonts w:eastAsiaTheme="minorEastAsia"/>
          <w:lang w:val="en-US"/>
        </w:rPr>
        <w:t>is positively charged, the TPM oil spreads over the PS surface, forming a core-shell particle</w:t>
      </w:r>
      <w:r w:rsidR="00675AD5">
        <w:rPr>
          <w:rFonts w:eastAsiaTheme="minorEastAsia"/>
          <w:lang w:val="en-US"/>
        </w:rPr>
        <w:fldChar w:fldCharType="begin" w:fldLock="1"/>
      </w:r>
      <w:r w:rsidR="00E4304F">
        <w:rPr>
          <w:rFonts w:eastAsiaTheme="minorEastAsia"/>
          <w:lang w:val="en-US"/>
        </w:rPr>
        <w:instrText>ADDIN CSL_CITATION { "citationItems" : [ { "id" : "ITEM-1", "itemData" : { "DOI" : "10.1038/ncomms2694", "ISSN" : "20411723", "abstract" : "The creation of a new material often starts from the design of its constituent building blocks at a smaller scale. From macromolecules to colloidal architectures, to granular systems, the interactions between basic units of matter can dictate the macroscopic behaviour of the resulting engineered material and even regulate its genesis. Information can be imparted to the building units by altering their physical and chemical properties. In particular, the shape of building blocks has a fundamental role at the colloidal scale, as it can govern the self-organization of particles into hierarchical structures and ultimately into the desired material. Herein we report a simple and general approach to generate an entire zoo of new anisotropic colloids. Our method is based on a controlled deformation of multiphase colloidal particles that can be selectively liquified, polymerized, dissolved and functionalized in bulk. We further demonstrate control over the particle functionalization and coating by realizing patchy and Janus colloids. \u00a9 2013 Macmillan Publishers Limited. All rights reserved.", "author" : [ { "dropping-particle" : "", "family" : "Sacanna", "given" : "Stefano", "non-dropping-particle" : "", "parse-names" : false, "suffix" : "" }, { "dropping-particle" : "", "family" : "Korpics", "given" : "Mark", "non-dropping-particle" : "", "parse-names" : false, "suffix" : "" }, { "dropping-particle" : "", "family" : "Rodriguez", "given" : "Kelvin", "non-dropping-particle" : "", "parse-names" : false, "suffix" : "" }, { "dropping-particle" : "", "family" : "Col\u00f3n-Mel\u00e9ndez", "given" : "Laura", "non-dropping-particle" : "", "parse-names" : false, "suffix" : "" }, { "dropping-particle" : "", "family" : "Kim", "given" : "Seung Hyun", "non-dropping-particle" : "", "parse-names" : false, "suffix" : "" }, { "dropping-particle" : "", "family" : "Pine", "given" : "David J.", "non-dropping-particle" : "", "parse-names" : false, "suffix" : "" }, { "dropping-particle" : "", "family" : "Yi", "given" : "Gi Ra", "non-dropping-particle" : "", "parse-names" : false, "suffix" : "" } ], "container-title" : "Nature Communications", "id" : "ITEM-1", "issued" : { "date-parts" : [ [ "2013" ] ] }, "page" : "2-7", "title" : "Shaping colloids for self-assembly", "type" : "article-journal", "volume" : "4" }, "uris" : [ "http://www.mendeley.com/documents/?uuid=a831627c-b179-4d54-8931-b4b9e65fa549" ] } ], "mendeley" : { "formattedCitation" : "&lt;sup&gt;12&lt;/sup&gt;", "plainTextFormattedCitation" : "12", "previouslyFormattedCitation" : "&lt;sup&gt;12&lt;/sup&gt;" }, "properties" : { "noteIndex" : 0 }, "schema" : "https://github.com/citation-style-language/schema/raw/master/csl-citation.json" }</w:instrText>
      </w:r>
      <w:r w:rsidR="00675AD5">
        <w:rPr>
          <w:rFonts w:eastAsiaTheme="minorEastAsia"/>
          <w:lang w:val="en-US"/>
        </w:rPr>
        <w:fldChar w:fldCharType="separate"/>
      </w:r>
      <w:r w:rsidR="00675AD5" w:rsidRPr="00675AD5">
        <w:rPr>
          <w:rFonts w:eastAsiaTheme="minorEastAsia"/>
          <w:noProof/>
          <w:vertAlign w:val="superscript"/>
          <w:lang w:val="en-US"/>
        </w:rPr>
        <w:t>12</w:t>
      </w:r>
      <w:r w:rsidR="00675AD5">
        <w:rPr>
          <w:rFonts w:eastAsiaTheme="minorEastAsia"/>
          <w:lang w:val="en-US"/>
        </w:rPr>
        <w:fldChar w:fldCharType="end"/>
      </w:r>
      <w:r w:rsidR="00577625">
        <w:rPr>
          <w:rFonts w:eastAsiaTheme="minorEastAsia"/>
          <w:lang w:val="en-US"/>
        </w:rPr>
        <w:t>. The dispersion is given some time to equilibrate, so that the TPM droplets will nucleate on the polystyrene seed (</w:t>
      </w:r>
      <w:r w:rsidR="00577625">
        <w:rPr>
          <w:rFonts w:eastAsiaTheme="minorEastAsia"/>
          <w:b/>
          <w:lang w:val="en-US"/>
        </w:rPr>
        <w:t>1</w:t>
      </w:r>
      <w:r w:rsidR="00577625">
        <w:rPr>
          <w:rFonts w:eastAsiaTheme="minorEastAsia"/>
          <w:lang w:val="en-US"/>
        </w:rPr>
        <w:t>).</w:t>
      </w:r>
      <w:r w:rsidR="00577625">
        <w:rPr>
          <w:rFonts w:eastAsiaTheme="minorEastAsia"/>
          <w:b/>
          <w:lang w:val="en-US"/>
        </w:rPr>
        <w:t xml:space="preserve"> </w:t>
      </w:r>
      <w:r w:rsidR="00577625">
        <w:rPr>
          <w:rFonts w:eastAsiaTheme="minorEastAsia"/>
          <w:lang w:val="en-US"/>
        </w:rPr>
        <w:t>To this mixture, an initiator is added and the temperature is increased to solidify the TPM oil droplet (</w:t>
      </w:r>
      <w:r w:rsidR="00577625">
        <w:rPr>
          <w:rFonts w:eastAsiaTheme="minorEastAsia"/>
          <w:b/>
          <w:lang w:val="en-US"/>
        </w:rPr>
        <w:t>2</w:t>
      </w:r>
      <w:r w:rsidR="00577625">
        <w:rPr>
          <w:rFonts w:eastAsiaTheme="minorEastAsia"/>
          <w:lang w:val="en-US"/>
        </w:rPr>
        <w:t xml:space="preserve">). During this polymerization, a silane functionalized fluorophore is added that selectively binds to the silane surface. The result is a biphasic dumbbell particle with two </w:t>
      </w:r>
      <w:r w:rsidR="005630B3">
        <w:rPr>
          <w:rFonts w:eastAsiaTheme="minorEastAsia"/>
          <w:lang w:val="en-US"/>
        </w:rPr>
        <w:t xml:space="preserve">different </w:t>
      </w:r>
      <w:r w:rsidR="00577625">
        <w:rPr>
          <w:rFonts w:eastAsiaTheme="minorEastAsia"/>
          <w:lang w:val="en-US"/>
        </w:rPr>
        <w:t>chemical identities that can be separately functionalized. The solid TPM lobe can now be selectively modified with silane derived moieties, as its surface is decorated with silanol groups. This way, (3-aminopropyl)triethoxysilane (APTES) can form a monolayer around the TPM lobe, which introduces a positive charge on the now APTES TPM lobe (</w:t>
      </w:r>
      <w:r w:rsidR="00577625">
        <w:rPr>
          <w:rFonts w:eastAsiaTheme="minorEastAsia"/>
          <w:b/>
          <w:lang w:val="en-US"/>
        </w:rPr>
        <w:t>3</w:t>
      </w:r>
      <w:r w:rsidR="00577625">
        <w:rPr>
          <w:rFonts w:eastAsiaTheme="minorEastAsia"/>
          <w:lang w:val="en-US"/>
        </w:rPr>
        <w:t xml:space="preserve">). This positive charge arises from the protonation of the amine groups that are present on the surface of the TPM lobe. The result is a dumbbell that has both a negative charge from the </w:t>
      </w:r>
      <w:r w:rsidR="005630B3">
        <w:rPr>
          <w:rFonts w:eastAsiaTheme="minorEastAsia"/>
          <w:lang w:val="en-US"/>
        </w:rPr>
        <w:t>nPS</w:t>
      </w:r>
      <w:r w:rsidR="00577625">
        <w:rPr>
          <w:rFonts w:eastAsiaTheme="minorEastAsia"/>
          <w:lang w:val="en-US"/>
        </w:rPr>
        <w:t xml:space="preserve"> and a positive charge from the APTES TPM. </w:t>
      </w:r>
    </w:p>
    <w:p w:rsidR="00BC69AE" w:rsidRPr="00272647" w:rsidRDefault="00BC69AE" w:rsidP="00BC69AE">
      <w:pPr>
        <w:spacing w:line="240" w:lineRule="auto"/>
        <w:rPr>
          <w:rFonts w:eastAsiaTheme="minorEastAsia"/>
          <w:lang w:val="en-US"/>
        </w:rPr>
      </w:pPr>
      <w:r w:rsidRPr="00E74C8E">
        <w:rPr>
          <w:rFonts w:ascii="Calibri" w:eastAsia="Calibri" w:hAnsi="Calibri" w:cs="Times New Roman"/>
          <w:iCs/>
          <w:lang w:val="en-US"/>
        </w:rPr>
        <w:t xml:space="preserve">This synthesis requires a delicate control of a set of parameters, of which an overview, including particle synthesis results, is shown in table </w:t>
      </w:r>
      <w:r>
        <w:rPr>
          <w:rFonts w:ascii="Calibri" w:eastAsia="Calibri" w:hAnsi="Calibri" w:cs="Times New Roman"/>
          <w:iCs/>
          <w:lang w:val="en-US"/>
        </w:rPr>
        <w:t>2</w:t>
      </w:r>
      <w:r w:rsidRPr="00E74C8E">
        <w:rPr>
          <w:rFonts w:ascii="Calibri" w:eastAsia="Calibri" w:hAnsi="Calibri" w:cs="Times New Roman"/>
          <w:iCs/>
          <w:lang w:val="en-US"/>
        </w:rPr>
        <w:t xml:space="preserve">. </w:t>
      </w:r>
    </w:p>
    <w:p w:rsidR="00BC69AE" w:rsidRDefault="00BC69AE" w:rsidP="00FC7A2B">
      <w:pPr>
        <w:spacing w:line="240" w:lineRule="auto"/>
        <w:rPr>
          <w:rFonts w:eastAsiaTheme="minorEastAsia"/>
          <w:lang w:val="en-US"/>
        </w:rPr>
      </w:pPr>
    </w:p>
    <w:p w:rsidR="00577625" w:rsidRDefault="00577625" w:rsidP="00FC7A2B">
      <w:pPr>
        <w:keepNext/>
        <w:spacing w:line="240" w:lineRule="auto"/>
        <w:jc w:val="center"/>
      </w:pPr>
      <w:r>
        <w:rPr>
          <w:noProof/>
          <w:lang w:val="en-US"/>
        </w:rPr>
        <w:lastRenderedPageBreak/>
        <w:drawing>
          <wp:inline distT="0" distB="0" distL="0" distR="0" wp14:anchorId="4DB0CE20" wp14:editId="12E0800A">
            <wp:extent cx="3538618" cy="364223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0029" cy="3643684"/>
                    </a:xfrm>
                    <a:prstGeom prst="rect">
                      <a:avLst/>
                    </a:prstGeom>
                    <a:noFill/>
                    <a:ln>
                      <a:noFill/>
                    </a:ln>
                  </pic:spPr>
                </pic:pic>
              </a:graphicData>
            </a:graphic>
          </wp:inline>
        </w:drawing>
      </w:r>
    </w:p>
    <w:p w:rsidR="00FC7A2B" w:rsidRDefault="00577625" w:rsidP="00BC69AE">
      <w:pPr>
        <w:pStyle w:val="Caption"/>
        <w:jc w:val="center"/>
        <w:rPr>
          <w:color w:val="auto"/>
          <w:sz w:val="20"/>
          <w:szCs w:val="20"/>
          <w:lang w:val="en-US"/>
        </w:rPr>
      </w:pPr>
      <w:r w:rsidRPr="00302DE1">
        <w:rPr>
          <w:color w:val="auto"/>
          <w:sz w:val="20"/>
          <w:szCs w:val="20"/>
          <w:lang w:val="en-US"/>
        </w:rPr>
        <w:t xml:space="preserve">Scheme </w:t>
      </w:r>
      <w:r w:rsidRPr="00381325">
        <w:rPr>
          <w:color w:val="auto"/>
          <w:sz w:val="20"/>
          <w:szCs w:val="20"/>
        </w:rPr>
        <w:fldChar w:fldCharType="begin"/>
      </w:r>
      <w:r w:rsidRPr="00302DE1">
        <w:rPr>
          <w:color w:val="auto"/>
          <w:sz w:val="20"/>
          <w:szCs w:val="20"/>
          <w:lang w:val="en-US"/>
        </w:rPr>
        <w:instrText xml:space="preserve"> SEQ Scheme \* ARABIC </w:instrText>
      </w:r>
      <w:r w:rsidRPr="00381325">
        <w:rPr>
          <w:color w:val="auto"/>
          <w:sz w:val="20"/>
          <w:szCs w:val="20"/>
        </w:rPr>
        <w:fldChar w:fldCharType="separate"/>
      </w:r>
      <w:r w:rsidR="00C52506">
        <w:rPr>
          <w:noProof/>
          <w:color w:val="auto"/>
          <w:sz w:val="20"/>
          <w:szCs w:val="20"/>
          <w:lang w:val="en-US"/>
        </w:rPr>
        <w:t>4</w:t>
      </w:r>
      <w:r w:rsidRPr="00381325">
        <w:rPr>
          <w:color w:val="auto"/>
          <w:sz w:val="20"/>
          <w:szCs w:val="20"/>
        </w:rPr>
        <w:fldChar w:fldCharType="end"/>
      </w:r>
      <w:r w:rsidRPr="00302DE1">
        <w:rPr>
          <w:color w:val="auto"/>
          <w:sz w:val="20"/>
          <w:szCs w:val="20"/>
          <w:lang w:val="en-US"/>
        </w:rPr>
        <w:t>: Schematic overview of the synthesis of the dumbbell shaped particles.</w:t>
      </w:r>
    </w:p>
    <w:tbl>
      <w:tblPr>
        <w:tblStyle w:val="TableGrid"/>
        <w:tblW w:w="0" w:type="auto"/>
        <w:jc w:val="center"/>
        <w:tblLook w:val="04A0" w:firstRow="1" w:lastRow="0" w:firstColumn="1" w:lastColumn="0" w:noHBand="0" w:noVBand="1"/>
      </w:tblPr>
      <w:tblGrid>
        <w:gridCol w:w="1374"/>
        <w:gridCol w:w="1374"/>
        <w:gridCol w:w="1366"/>
        <w:gridCol w:w="1366"/>
      </w:tblGrid>
      <w:tr w:rsidR="00BC69AE" w:rsidRPr="00E74C8E" w:rsidTr="00BC69AE">
        <w:trPr>
          <w:trHeight w:val="428"/>
          <w:jc w:val="center"/>
        </w:trPr>
        <w:tc>
          <w:tcPr>
            <w:tcW w:w="1374" w:type="dxa"/>
          </w:tcPr>
          <w:p w:rsidR="00BC69AE" w:rsidRPr="00E74C8E" w:rsidRDefault="00BC69AE" w:rsidP="00BC69AE">
            <w:pPr>
              <w:spacing w:after="0" w:line="240" w:lineRule="auto"/>
              <w:contextualSpacing/>
              <w:rPr>
                <w:rFonts w:ascii="Calibri" w:eastAsia="Calibri" w:hAnsi="Calibri" w:cs="Times New Roman"/>
                <w:iCs/>
                <w:lang w:val="en-US"/>
              </w:rPr>
            </w:pPr>
            <w:r w:rsidRPr="00E74C8E">
              <w:rPr>
                <w:rFonts w:ascii="Calibri" w:eastAsia="Calibri" w:hAnsi="Calibri" w:cs="Times New Roman"/>
                <w:iCs/>
                <w:lang w:val="en-US"/>
              </w:rPr>
              <w:t>Particle</w:t>
            </w:r>
          </w:p>
        </w:tc>
        <w:tc>
          <w:tcPr>
            <w:tcW w:w="1374" w:type="dxa"/>
          </w:tcPr>
          <w:p w:rsidR="00BC69AE" w:rsidRPr="00E74C8E" w:rsidRDefault="00BC69AE" w:rsidP="00BC69AE">
            <w:pPr>
              <w:spacing w:after="0" w:line="240" w:lineRule="auto"/>
              <w:contextualSpacing/>
              <w:rPr>
                <w:rFonts w:ascii="Calibri" w:eastAsia="Calibri" w:hAnsi="Calibri" w:cs="Times New Roman"/>
                <w:iCs/>
                <w:vertAlign w:val="subscript"/>
                <w:lang w:val="en-US"/>
              </w:rPr>
            </w:pPr>
            <w:r w:rsidRPr="00E74C8E">
              <w:rPr>
                <w:rFonts w:ascii="Calibri" w:eastAsia="Calibri" w:hAnsi="Calibri" w:cs="Times New Roman"/>
                <w:iCs/>
                <w:lang w:val="en-US"/>
              </w:rPr>
              <w:t>[PS] (np/mL)</w:t>
            </w:r>
          </w:p>
        </w:tc>
        <w:tc>
          <w:tcPr>
            <w:tcW w:w="1366" w:type="dxa"/>
          </w:tcPr>
          <w:p w:rsidR="00BC69AE" w:rsidRPr="00E74C8E" w:rsidRDefault="00BC69AE" w:rsidP="00BC69AE">
            <w:pPr>
              <w:spacing w:after="0" w:line="240" w:lineRule="auto"/>
              <w:contextualSpacing/>
              <w:rPr>
                <w:rFonts w:ascii="Calibri" w:eastAsia="Calibri" w:hAnsi="Calibri" w:cs="Times New Roman"/>
                <w:iCs/>
                <w:lang w:val="en-US"/>
              </w:rPr>
            </w:pPr>
            <w:r w:rsidRPr="00E74C8E">
              <w:rPr>
                <w:rFonts w:ascii="Calibri" w:eastAsia="Calibri" w:hAnsi="Calibri" w:cs="Times New Roman"/>
                <w:iCs/>
                <w:lang w:val="en-US"/>
              </w:rPr>
              <w:t>D</w:t>
            </w:r>
            <w:r w:rsidRPr="00E74C8E">
              <w:rPr>
                <w:rFonts w:ascii="Calibri" w:eastAsia="Calibri" w:hAnsi="Calibri" w:cs="Times New Roman"/>
                <w:iCs/>
                <w:vertAlign w:val="subscript"/>
                <w:lang w:val="en-US"/>
              </w:rPr>
              <w:t>TPM</w:t>
            </w:r>
            <w:r w:rsidRPr="00E74C8E">
              <w:rPr>
                <w:rFonts w:ascii="Calibri" w:eastAsia="Calibri" w:hAnsi="Calibri" w:cs="Times New Roman"/>
                <w:iCs/>
                <w:lang w:val="en-US"/>
              </w:rPr>
              <w:t xml:space="preserve"> (</w:t>
            </w:r>
            <w:r w:rsidRPr="00E74C8E">
              <w:rPr>
                <w:rFonts w:ascii="Calibri" w:eastAsia="Calibri" w:hAnsi="Calibri" w:cs="Calibri"/>
                <w:iCs/>
                <w:lang w:val="en-US"/>
              </w:rPr>
              <w:t>µ</w:t>
            </w:r>
            <w:r w:rsidRPr="00E74C8E">
              <w:rPr>
                <w:rFonts w:ascii="Calibri" w:eastAsia="Calibri" w:hAnsi="Calibri" w:cs="Times New Roman"/>
                <w:iCs/>
                <w:lang w:val="en-US"/>
              </w:rPr>
              <w:t>m)</w:t>
            </w:r>
          </w:p>
        </w:tc>
        <w:tc>
          <w:tcPr>
            <w:tcW w:w="1366" w:type="dxa"/>
          </w:tcPr>
          <w:p w:rsidR="00BC69AE" w:rsidRPr="00E74C8E" w:rsidRDefault="00BC69AE" w:rsidP="00BC69AE">
            <w:pPr>
              <w:spacing w:after="0" w:line="240" w:lineRule="auto"/>
              <w:contextualSpacing/>
              <w:rPr>
                <w:rFonts w:ascii="Calibri" w:eastAsia="Calibri" w:hAnsi="Calibri" w:cs="Times New Roman"/>
                <w:iCs/>
                <w:lang w:val="en-US"/>
              </w:rPr>
            </w:pPr>
            <w:r w:rsidRPr="00E74C8E">
              <w:rPr>
                <w:rFonts w:ascii="Calibri" w:eastAsia="Calibri" w:hAnsi="Calibri" w:cs="Times New Roman"/>
                <w:iCs/>
                <w:lang w:val="en-US"/>
              </w:rPr>
              <w:t>Size ratio</w:t>
            </w:r>
          </w:p>
        </w:tc>
      </w:tr>
      <w:tr w:rsidR="00BC69AE" w:rsidRPr="00E74C8E" w:rsidTr="00BC69AE">
        <w:trPr>
          <w:trHeight w:val="312"/>
          <w:jc w:val="center"/>
        </w:trPr>
        <w:tc>
          <w:tcPr>
            <w:tcW w:w="1374" w:type="dxa"/>
          </w:tcPr>
          <w:p w:rsidR="00BC69AE" w:rsidRPr="00E74C8E" w:rsidRDefault="00BC69AE" w:rsidP="00BC69AE">
            <w:pPr>
              <w:spacing w:after="0" w:line="240" w:lineRule="auto"/>
              <w:contextualSpacing/>
              <w:rPr>
                <w:rFonts w:ascii="Calibri" w:eastAsia="Calibri" w:hAnsi="Calibri" w:cs="Times New Roman"/>
                <w:iCs/>
                <w:lang w:val="en-US"/>
              </w:rPr>
            </w:pPr>
            <w:r w:rsidRPr="00E74C8E">
              <w:rPr>
                <w:rFonts w:ascii="Calibri" w:eastAsia="Calibri" w:hAnsi="Calibri" w:cs="Times New Roman"/>
                <w:iCs/>
                <w:lang w:val="en-US"/>
              </w:rPr>
              <w:t>DB-1</w:t>
            </w:r>
          </w:p>
        </w:tc>
        <w:tc>
          <w:tcPr>
            <w:tcW w:w="1374" w:type="dxa"/>
          </w:tcPr>
          <w:p w:rsidR="00BC69AE" w:rsidRPr="00E74C8E" w:rsidRDefault="00BC69AE" w:rsidP="00BC69AE">
            <w:pPr>
              <w:spacing w:after="0" w:line="240" w:lineRule="auto"/>
              <w:contextualSpacing/>
              <w:rPr>
                <w:rFonts w:ascii="Calibri" w:eastAsia="Calibri" w:hAnsi="Calibri" w:cs="Times New Roman"/>
                <w:iCs/>
                <w:lang w:val="en-US"/>
              </w:rPr>
            </w:pPr>
            <w:r w:rsidRPr="00E74C8E">
              <w:rPr>
                <w:rFonts w:ascii="Calibri" w:eastAsia="Calibri" w:hAnsi="Calibri" w:cs="Times New Roman"/>
                <w:iCs/>
                <w:lang w:val="en-US"/>
              </w:rPr>
              <w:t>2x10</w:t>
            </w:r>
            <w:r w:rsidRPr="00E74C8E">
              <w:rPr>
                <w:rFonts w:ascii="Calibri" w:eastAsia="Calibri" w:hAnsi="Calibri" w:cs="Times New Roman"/>
                <w:iCs/>
                <w:vertAlign w:val="superscript"/>
                <w:lang w:val="en-US"/>
              </w:rPr>
              <w:t>13</w:t>
            </w:r>
            <w:r w:rsidRPr="00E74C8E">
              <w:rPr>
                <w:rFonts w:ascii="Calibri" w:eastAsia="Calibri" w:hAnsi="Calibri" w:cs="Times New Roman"/>
                <w:iCs/>
                <w:lang w:val="en-US"/>
              </w:rPr>
              <w:t xml:space="preserve"> </w:t>
            </w:r>
          </w:p>
        </w:tc>
        <w:tc>
          <w:tcPr>
            <w:tcW w:w="1366" w:type="dxa"/>
          </w:tcPr>
          <w:p w:rsidR="00BC69AE" w:rsidRPr="00E74C8E" w:rsidRDefault="00BC69AE" w:rsidP="00BC69AE">
            <w:pPr>
              <w:spacing w:after="0" w:line="240" w:lineRule="auto"/>
              <w:contextualSpacing/>
              <w:rPr>
                <w:rFonts w:ascii="Calibri" w:eastAsia="Calibri" w:hAnsi="Calibri" w:cs="Times New Roman"/>
                <w:iCs/>
                <w:lang w:val="en-US"/>
              </w:rPr>
            </w:pPr>
            <w:r w:rsidRPr="00E74C8E">
              <w:rPr>
                <w:rFonts w:ascii="Calibri" w:eastAsia="Calibri" w:hAnsi="Calibri" w:cs="Times New Roman"/>
                <w:iCs/>
                <w:lang w:val="en-US"/>
              </w:rPr>
              <w:t>1.0</w:t>
            </w:r>
          </w:p>
        </w:tc>
        <w:tc>
          <w:tcPr>
            <w:tcW w:w="1366" w:type="dxa"/>
          </w:tcPr>
          <w:p w:rsidR="00BC69AE" w:rsidRPr="00E74C8E" w:rsidRDefault="00BC69AE" w:rsidP="00BC69AE">
            <w:pPr>
              <w:spacing w:after="0" w:line="240" w:lineRule="auto"/>
              <w:contextualSpacing/>
              <w:rPr>
                <w:rFonts w:ascii="Calibri" w:eastAsia="Calibri" w:hAnsi="Calibri" w:cs="Times New Roman"/>
                <w:iCs/>
                <w:lang w:val="en-US"/>
              </w:rPr>
            </w:pPr>
            <w:r w:rsidRPr="00E74C8E">
              <w:rPr>
                <w:rFonts w:ascii="Calibri" w:eastAsia="Calibri" w:hAnsi="Calibri" w:cs="Times New Roman"/>
                <w:iCs/>
                <w:lang w:val="en-US"/>
              </w:rPr>
              <w:t>1.17</w:t>
            </w:r>
          </w:p>
        </w:tc>
      </w:tr>
      <w:tr w:rsidR="00BC69AE" w:rsidRPr="00E74C8E" w:rsidTr="00BC69AE">
        <w:trPr>
          <w:trHeight w:val="303"/>
          <w:jc w:val="center"/>
        </w:trPr>
        <w:tc>
          <w:tcPr>
            <w:tcW w:w="1374" w:type="dxa"/>
          </w:tcPr>
          <w:p w:rsidR="00BC69AE" w:rsidRPr="00E74C8E" w:rsidRDefault="00BC69AE" w:rsidP="00BC69AE">
            <w:pPr>
              <w:spacing w:after="0" w:line="240" w:lineRule="auto"/>
              <w:contextualSpacing/>
              <w:rPr>
                <w:rFonts w:ascii="Calibri" w:eastAsia="Calibri" w:hAnsi="Calibri" w:cs="Times New Roman"/>
                <w:iCs/>
                <w:lang w:val="en-US"/>
              </w:rPr>
            </w:pPr>
            <w:r w:rsidRPr="00E74C8E">
              <w:rPr>
                <w:rFonts w:ascii="Calibri" w:eastAsia="Calibri" w:hAnsi="Calibri" w:cs="Times New Roman"/>
                <w:iCs/>
                <w:lang w:val="en-US"/>
              </w:rPr>
              <w:t>DB-2</w:t>
            </w:r>
          </w:p>
        </w:tc>
        <w:tc>
          <w:tcPr>
            <w:tcW w:w="1374" w:type="dxa"/>
          </w:tcPr>
          <w:p w:rsidR="00BC69AE" w:rsidRPr="00E74C8E" w:rsidRDefault="00BC69AE" w:rsidP="00BC69AE">
            <w:pPr>
              <w:spacing w:after="0" w:line="240" w:lineRule="auto"/>
              <w:contextualSpacing/>
              <w:rPr>
                <w:rFonts w:ascii="Calibri" w:eastAsia="Calibri" w:hAnsi="Calibri" w:cs="Times New Roman"/>
                <w:iCs/>
                <w:lang w:val="en-US"/>
              </w:rPr>
            </w:pPr>
            <w:r w:rsidRPr="00E74C8E">
              <w:rPr>
                <w:rFonts w:ascii="Calibri" w:eastAsia="Calibri" w:hAnsi="Calibri" w:cs="Times New Roman"/>
                <w:iCs/>
                <w:lang w:val="en-US"/>
              </w:rPr>
              <w:t>3x10</w:t>
            </w:r>
            <w:r w:rsidRPr="00E74C8E">
              <w:rPr>
                <w:rFonts w:ascii="Calibri" w:eastAsia="Calibri" w:hAnsi="Calibri" w:cs="Times New Roman"/>
                <w:iCs/>
                <w:vertAlign w:val="superscript"/>
                <w:lang w:val="en-US"/>
              </w:rPr>
              <w:t>11</w:t>
            </w:r>
            <w:r w:rsidRPr="00E74C8E">
              <w:rPr>
                <w:rFonts w:ascii="Calibri" w:eastAsia="Calibri" w:hAnsi="Calibri" w:cs="Times New Roman"/>
                <w:iCs/>
                <w:lang w:val="en-US"/>
              </w:rPr>
              <w:t xml:space="preserve"> </w:t>
            </w:r>
          </w:p>
        </w:tc>
        <w:tc>
          <w:tcPr>
            <w:tcW w:w="1366" w:type="dxa"/>
          </w:tcPr>
          <w:p w:rsidR="00BC69AE" w:rsidRPr="00E74C8E" w:rsidRDefault="00BC69AE" w:rsidP="00BC69AE">
            <w:pPr>
              <w:spacing w:after="0" w:line="240" w:lineRule="auto"/>
              <w:contextualSpacing/>
              <w:rPr>
                <w:rFonts w:ascii="Calibri" w:eastAsia="Calibri" w:hAnsi="Calibri" w:cs="Times New Roman"/>
                <w:iCs/>
                <w:lang w:val="en-US"/>
              </w:rPr>
            </w:pPr>
            <w:r w:rsidRPr="00E74C8E">
              <w:rPr>
                <w:rFonts w:ascii="Calibri" w:eastAsia="Calibri" w:hAnsi="Calibri" w:cs="Times New Roman"/>
                <w:iCs/>
                <w:lang w:val="en-US"/>
              </w:rPr>
              <w:t>2.4</w:t>
            </w:r>
          </w:p>
        </w:tc>
        <w:tc>
          <w:tcPr>
            <w:tcW w:w="1366" w:type="dxa"/>
          </w:tcPr>
          <w:p w:rsidR="00BC69AE" w:rsidRPr="00E74C8E" w:rsidRDefault="00BC69AE" w:rsidP="00BC69AE">
            <w:pPr>
              <w:spacing w:after="0" w:line="240" w:lineRule="auto"/>
              <w:contextualSpacing/>
              <w:rPr>
                <w:rFonts w:ascii="Calibri" w:eastAsia="Calibri" w:hAnsi="Calibri" w:cs="Times New Roman"/>
                <w:iCs/>
                <w:lang w:val="en-US"/>
              </w:rPr>
            </w:pPr>
            <w:r w:rsidRPr="00E74C8E">
              <w:rPr>
                <w:rFonts w:ascii="Calibri" w:eastAsia="Calibri" w:hAnsi="Calibri" w:cs="Times New Roman"/>
                <w:iCs/>
                <w:lang w:val="en-US"/>
              </w:rPr>
              <w:t>2.79</w:t>
            </w:r>
          </w:p>
        </w:tc>
      </w:tr>
    </w:tbl>
    <w:p w:rsidR="00BC69AE" w:rsidRPr="00BC69AE" w:rsidRDefault="00BC69AE" w:rsidP="00BC69AE">
      <w:pPr>
        <w:pStyle w:val="Caption"/>
        <w:keepNext/>
        <w:jc w:val="center"/>
        <w:rPr>
          <w:lang w:val="en-US"/>
        </w:rPr>
      </w:pPr>
      <w:r w:rsidRPr="000C1C03">
        <w:rPr>
          <w:color w:val="auto"/>
          <w:sz w:val="20"/>
          <w:szCs w:val="20"/>
          <w:lang w:val="en-US"/>
        </w:rPr>
        <w:t xml:space="preserve">Table </w:t>
      </w:r>
      <w:r w:rsidRPr="000C1C03">
        <w:rPr>
          <w:color w:val="auto"/>
          <w:sz w:val="20"/>
          <w:szCs w:val="20"/>
        </w:rPr>
        <w:fldChar w:fldCharType="begin"/>
      </w:r>
      <w:r w:rsidRPr="000C1C03">
        <w:rPr>
          <w:color w:val="auto"/>
          <w:sz w:val="20"/>
          <w:szCs w:val="20"/>
          <w:lang w:val="en-US"/>
        </w:rPr>
        <w:instrText xml:space="preserve"> SEQ Table \* ARABIC </w:instrText>
      </w:r>
      <w:r w:rsidRPr="000C1C03">
        <w:rPr>
          <w:color w:val="auto"/>
          <w:sz w:val="20"/>
          <w:szCs w:val="20"/>
        </w:rPr>
        <w:fldChar w:fldCharType="separate"/>
      </w:r>
      <w:r w:rsidR="00C52506">
        <w:rPr>
          <w:noProof/>
          <w:color w:val="auto"/>
          <w:sz w:val="20"/>
          <w:szCs w:val="20"/>
          <w:lang w:val="en-US"/>
        </w:rPr>
        <w:t>2</w:t>
      </w:r>
      <w:r w:rsidRPr="000C1C03">
        <w:rPr>
          <w:color w:val="auto"/>
          <w:sz w:val="20"/>
          <w:szCs w:val="20"/>
        </w:rPr>
        <w:fldChar w:fldCharType="end"/>
      </w:r>
      <w:r w:rsidRPr="000C1C03">
        <w:rPr>
          <w:color w:val="auto"/>
          <w:sz w:val="20"/>
          <w:szCs w:val="20"/>
          <w:lang w:val="en-US"/>
        </w:rPr>
        <w:t>: Synthesis summary of DB-1 and DB-2, each differing in lobe size ratio.</w:t>
      </w:r>
    </w:p>
    <w:p w:rsidR="005630B3" w:rsidRDefault="00E74C8E" w:rsidP="00FC7A2B">
      <w:pPr>
        <w:spacing w:line="240" w:lineRule="auto"/>
        <w:contextualSpacing/>
        <w:rPr>
          <w:rFonts w:ascii="Calibri" w:eastAsia="Calibri" w:hAnsi="Calibri" w:cs="Times New Roman"/>
          <w:iCs/>
          <w:lang w:val="en-US"/>
        </w:rPr>
      </w:pPr>
      <w:r w:rsidRPr="00E74C8E">
        <w:rPr>
          <w:rFonts w:ascii="Calibri" w:eastAsia="Calibri" w:hAnsi="Calibri" w:cs="Times New Roman"/>
          <w:iCs/>
          <w:lang w:val="en-US"/>
        </w:rPr>
        <w:t xml:space="preserve">Two different size ratios between the lobes of the dumbbells were synthesized by changing the nPS nanoparticle concentration, while keeping the other parameters constant. These parameters are for example the total amount of added hydrolyzed TPM and the injection rate of hydrolyzed TPM into the </w:t>
      </w:r>
      <w:r w:rsidR="005630B3">
        <w:rPr>
          <w:rFonts w:ascii="Calibri" w:eastAsia="Calibri" w:hAnsi="Calibri" w:cs="Times New Roman"/>
          <w:iCs/>
          <w:lang w:val="en-US"/>
        </w:rPr>
        <w:t>n</w:t>
      </w:r>
      <w:r w:rsidRPr="00E74C8E">
        <w:rPr>
          <w:rFonts w:ascii="Calibri" w:eastAsia="Calibri" w:hAnsi="Calibri" w:cs="Times New Roman"/>
          <w:iCs/>
          <w:lang w:val="en-US"/>
        </w:rPr>
        <w:t xml:space="preserve">PS dispersion. The amount of ammonia added to control the pH is kept constant, so that for all syntheses the nPS dispersion had a pH around 10.5. The use of hydrolyzed TPM will be explained in the next paragraph. </w:t>
      </w:r>
    </w:p>
    <w:p w:rsidR="005630B3" w:rsidRDefault="005630B3" w:rsidP="00FC7A2B">
      <w:pPr>
        <w:spacing w:line="240" w:lineRule="auto"/>
        <w:contextualSpacing/>
        <w:rPr>
          <w:rFonts w:ascii="Calibri" w:eastAsia="Calibri" w:hAnsi="Calibri" w:cs="Times New Roman"/>
          <w:iCs/>
          <w:lang w:val="en-US"/>
        </w:rPr>
      </w:pPr>
    </w:p>
    <w:p w:rsidR="00E74C8E" w:rsidRPr="00E74C8E" w:rsidRDefault="00E74C8E" w:rsidP="00FC7A2B">
      <w:pPr>
        <w:spacing w:line="240" w:lineRule="auto"/>
        <w:contextualSpacing/>
        <w:rPr>
          <w:rFonts w:ascii="Calibri" w:eastAsia="Calibri" w:hAnsi="Calibri" w:cs="Times New Roman"/>
          <w:iCs/>
          <w:lang w:val="en-US"/>
        </w:rPr>
      </w:pPr>
      <w:r w:rsidRPr="00E74C8E">
        <w:rPr>
          <w:rFonts w:ascii="Calibri" w:eastAsia="Calibri" w:hAnsi="Calibri" w:cs="Times New Roman"/>
          <w:iCs/>
          <w:lang w:val="en-US"/>
        </w:rPr>
        <w:t>A nanoparticle concentration of 2x10</w:t>
      </w:r>
      <w:r w:rsidRPr="00E74C8E">
        <w:rPr>
          <w:rFonts w:ascii="Calibri" w:eastAsia="Calibri" w:hAnsi="Calibri" w:cs="Times New Roman"/>
          <w:iCs/>
          <w:vertAlign w:val="superscript"/>
          <w:lang w:val="en-US"/>
        </w:rPr>
        <w:t>13</w:t>
      </w:r>
      <w:r w:rsidRPr="00E74C8E">
        <w:rPr>
          <w:rFonts w:ascii="Calibri" w:eastAsia="Calibri" w:hAnsi="Calibri" w:cs="Times New Roman"/>
          <w:iCs/>
          <w:lang w:val="en-US"/>
        </w:rPr>
        <w:t xml:space="preserve"> np/mL resulted in the formation of dumbbells with a lobe size ratio of 1.17, of which the scanning electron micrograph is </w:t>
      </w:r>
      <w:r w:rsidRPr="00577625">
        <w:rPr>
          <w:rFonts w:ascii="Calibri" w:eastAsia="Calibri" w:hAnsi="Calibri" w:cs="Times New Roman"/>
          <w:iCs/>
          <w:lang w:val="en-US"/>
        </w:rPr>
        <w:t xml:space="preserve">shown in </w:t>
      </w:r>
      <w:r w:rsidR="007C6D98" w:rsidRPr="00577625">
        <w:rPr>
          <w:rFonts w:ascii="Calibri" w:eastAsia="Calibri" w:hAnsi="Calibri" w:cs="Times New Roman"/>
          <w:iCs/>
          <w:lang w:val="en-US"/>
        </w:rPr>
        <w:fldChar w:fldCharType="begin"/>
      </w:r>
      <w:r w:rsidR="007C6D98" w:rsidRPr="00577625">
        <w:rPr>
          <w:rFonts w:ascii="Calibri" w:eastAsia="Calibri" w:hAnsi="Calibri" w:cs="Times New Roman"/>
          <w:iCs/>
          <w:lang w:val="en-US"/>
        </w:rPr>
        <w:instrText xml:space="preserve"> REF _Ref29912959 \h  \* MERGEFORMAT </w:instrText>
      </w:r>
      <w:r w:rsidR="007C6D98" w:rsidRPr="00577625">
        <w:rPr>
          <w:rFonts w:ascii="Calibri" w:eastAsia="Calibri" w:hAnsi="Calibri" w:cs="Times New Roman"/>
          <w:iCs/>
          <w:lang w:val="en-US"/>
        </w:rPr>
      </w:r>
      <w:r w:rsidR="007C6D98" w:rsidRPr="00577625">
        <w:rPr>
          <w:rFonts w:ascii="Calibri" w:eastAsia="Calibri" w:hAnsi="Calibri" w:cs="Times New Roman"/>
          <w:iCs/>
          <w:lang w:val="en-US"/>
        </w:rPr>
        <w:fldChar w:fldCharType="separate"/>
      </w:r>
      <w:r w:rsidR="00C52506" w:rsidRPr="00C52506">
        <w:rPr>
          <w:lang w:val="en-US"/>
        </w:rPr>
        <w:t xml:space="preserve">Figure </w:t>
      </w:r>
      <w:r w:rsidR="00C52506" w:rsidRPr="00C52506">
        <w:rPr>
          <w:noProof/>
          <w:lang w:val="en-US"/>
        </w:rPr>
        <w:t>17</w:t>
      </w:r>
      <w:r w:rsidR="007C6D98" w:rsidRPr="00577625">
        <w:rPr>
          <w:rFonts w:ascii="Calibri" w:eastAsia="Calibri" w:hAnsi="Calibri" w:cs="Times New Roman"/>
          <w:iCs/>
          <w:lang w:val="en-US"/>
        </w:rPr>
        <w:fldChar w:fldCharType="end"/>
      </w:r>
      <w:r w:rsidR="007D780D" w:rsidRPr="00577625">
        <w:rPr>
          <w:rFonts w:ascii="Calibri" w:eastAsia="Calibri" w:hAnsi="Calibri" w:cs="Times New Roman"/>
          <w:iCs/>
          <w:lang w:val="en-US"/>
        </w:rPr>
        <w:t>A</w:t>
      </w:r>
      <w:r w:rsidRPr="00577625">
        <w:rPr>
          <w:rFonts w:ascii="Calibri" w:eastAsia="Calibri" w:hAnsi="Calibri" w:cs="Times New Roman"/>
          <w:iCs/>
          <w:lang w:val="en-US"/>
        </w:rPr>
        <w:t>.</w:t>
      </w:r>
      <w:r w:rsidRPr="00E74C8E">
        <w:rPr>
          <w:rFonts w:ascii="Calibri" w:eastAsia="Calibri" w:hAnsi="Calibri" w:cs="Times New Roman"/>
          <w:iCs/>
          <w:lang w:val="en-US"/>
        </w:rPr>
        <w:t xml:space="preserve"> From this micrograph, it was determined that the average diameter of the TPM lobe that is grown around the nPS substrate is 1.0 </w:t>
      </w:r>
      <w:r w:rsidRPr="00E74C8E">
        <w:rPr>
          <w:rFonts w:ascii="Calibri" w:eastAsia="Calibri" w:hAnsi="Calibri" w:cs="Calibri"/>
          <w:iCs/>
          <w:lang w:val="en-US"/>
        </w:rPr>
        <w:t>µ</w:t>
      </w:r>
      <w:r w:rsidRPr="00E74C8E">
        <w:rPr>
          <w:rFonts w:ascii="Calibri" w:eastAsia="Calibri" w:hAnsi="Calibri" w:cs="Times New Roman"/>
          <w:iCs/>
          <w:lang w:val="en-US"/>
        </w:rPr>
        <w:t xml:space="preserve">m. </w:t>
      </w:r>
    </w:p>
    <w:p w:rsidR="00E74C8E" w:rsidRDefault="00E74C8E" w:rsidP="00FC7A2B">
      <w:pPr>
        <w:spacing w:line="240" w:lineRule="auto"/>
        <w:contextualSpacing/>
        <w:rPr>
          <w:rFonts w:ascii="Calibri" w:eastAsia="Calibri" w:hAnsi="Calibri" w:cs="Times New Roman"/>
          <w:iCs/>
          <w:lang w:val="en-US"/>
        </w:rPr>
      </w:pPr>
      <w:r w:rsidRPr="00E74C8E">
        <w:rPr>
          <w:rFonts w:ascii="Calibri" w:eastAsia="Calibri" w:hAnsi="Calibri" w:cs="Times New Roman"/>
          <w:iCs/>
          <w:lang w:val="en-US"/>
        </w:rPr>
        <w:t>A nanoparticle concentration of 3x10</w:t>
      </w:r>
      <w:r w:rsidRPr="00E74C8E">
        <w:rPr>
          <w:rFonts w:ascii="Calibri" w:eastAsia="Calibri" w:hAnsi="Calibri" w:cs="Times New Roman"/>
          <w:iCs/>
          <w:vertAlign w:val="superscript"/>
          <w:lang w:val="en-US"/>
        </w:rPr>
        <w:t>11</w:t>
      </w:r>
      <w:r w:rsidRPr="00E74C8E">
        <w:rPr>
          <w:rFonts w:ascii="Calibri" w:eastAsia="Calibri" w:hAnsi="Calibri" w:cs="Times New Roman"/>
          <w:iCs/>
          <w:lang w:val="en-US"/>
        </w:rPr>
        <w:t xml:space="preserve"> np/mL resulte</w:t>
      </w:r>
      <w:r w:rsidRPr="00577625">
        <w:rPr>
          <w:rFonts w:ascii="Calibri" w:eastAsia="Calibri" w:hAnsi="Calibri" w:cs="Times New Roman"/>
          <w:iCs/>
          <w:lang w:val="en-US"/>
        </w:rPr>
        <w:t xml:space="preserve">d in the formation of dumbbells with a lobe size ratio of 2.79, of which the scanning electron micrograph is shown in </w:t>
      </w:r>
      <w:r w:rsidR="007C6D98" w:rsidRPr="00577625">
        <w:rPr>
          <w:rFonts w:ascii="Calibri" w:eastAsia="Calibri" w:hAnsi="Calibri" w:cs="Times New Roman"/>
          <w:iCs/>
          <w:lang w:val="en-US"/>
        </w:rPr>
        <w:fldChar w:fldCharType="begin"/>
      </w:r>
      <w:r w:rsidR="007C6D98" w:rsidRPr="00577625">
        <w:rPr>
          <w:rFonts w:ascii="Calibri" w:eastAsia="Calibri" w:hAnsi="Calibri" w:cs="Times New Roman"/>
          <w:iCs/>
          <w:lang w:val="en-US"/>
        </w:rPr>
        <w:instrText xml:space="preserve"> REF _Ref29912959 \h  \* MERGEFORMAT </w:instrText>
      </w:r>
      <w:r w:rsidR="007C6D98" w:rsidRPr="00577625">
        <w:rPr>
          <w:rFonts w:ascii="Calibri" w:eastAsia="Calibri" w:hAnsi="Calibri" w:cs="Times New Roman"/>
          <w:iCs/>
          <w:lang w:val="en-US"/>
        </w:rPr>
      </w:r>
      <w:r w:rsidR="007C6D98" w:rsidRPr="00577625">
        <w:rPr>
          <w:rFonts w:ascii="Calibri" w:eastAsia="Calibri" w:hAnsi="Calibri" w:cs="Times New Roman"/>
          <w:iCs/>
          <w:lang w:val="en-US"/>
        </w:rPr>
        <w:fldChar w:fldCharType="separate"/>
      </w:r>
      <w:r w:rsidR="00C52506" w:rsidRPr="00C52506">
        <w:rPr>
          <w:lang w:val="en-US"/>
        </w:rPr>
        <w:t xml:space="preserve">Figure </w:t>
      </w:r>
      <w:r w:rsidR="00C52506" w:rsidRPr="00C52506">
        <w:rPr>
          <w:noProof/>
          <w:lang w:val="en-US"/>
        </w:rPr>
        <w:t>17</w:t>
      </w:r>
      <w:r w:rsidR="007C6D98" w:rsidRPr="00577625">
        <w:rPr>
          <w:rFonts w:ascii="Calibri" w:eastAsia="Calibri" w:hAnsi="Calibri" w:cs="Times New Roman"/>
          <w:iCs/>
          <w:lang w:val="en-US"/>
        </w:rPr>
        <w:fldChar w:fldCharType="end"/>
      </w:r>
      <w:r w:rsidR="007D780D" w:rsidRPr="00577625">
        <w:rPr>
          <w:rFonts w:ascii="Calibri" w:eastAsia="Calibri" w:hAnsi="Calibri" w:cs="Times New Roman"/>
          <w:iCs/>
          <w:lang w:val="en-US"/>
        </w:rPr>
        <w:t>B</w:t>
      </w:r>
      <w:r w:rsidRPr="00577625">
        <w:rPr>
          <w:rFonts w:ascii="Calibri" w:eastAsia="Calibri" w:hAnsi="Calibri" w:cs="Times New Roman"/>
          <w:iCs/>
          <w:lang w:val="en-US"/>
        </w:rPr>
        <w:t>. Similarly</w:t>
      </w:r>
      <w:r w:rsidRPr="00E74C8E">
        <w:rPr>
          <w:rFonts w:ascii="Calibri" w:eastAsia="Calibri" w:hAnsi="Calibri" w:cs="Times New Roman"/>
          <w:iCs/>
          <w:lang w:val="en-US"/>
        </w:rPr>
        <w:t>, the average diameter of the TPM lobe was determined using this micrograph, being 2.4</w:t>
      </w:r>
      <w:r w:rsidRPr="00E74C8E">
        <w:rPr>
          <w:rFonts w:ascii="Calibri" w:eastAsia="Calibri" w:hAnsi="Calibri" w:cs="Calibri"/>
          <w:iCs/>
          <w:lang w:val="en-US"/>
        </w:rPr>
        <w:t xml:space="preserve"> µ</w:t>
      </w:r>
      <w:r w:rsidRPr="00E74C8E">
        <w:rPr>
          <w:rFonts w:ascii="Calibri" w:eastAsia="Calibri" w:hAnsi="Calibri" w:cs="Times New Roman"/>
          <w:iCs/>
          <w:lang w:val="en-US"/>
        </w:rPr>
        <w:t>m.</w:t>
      </w:r>
    </w:p>
    <w:p w:rsidR="00E87FD6" w:rsidRDefault="00E87FD6" w:rsidP="00FC7A2B">
      <w:pPr>
        <w:spacing w:line="240" w:lineRule="auto"/>
        <w:contextualSpacing/>
        <w:rPr>
          <w:rFonts w:ascii="Calibri" w:eastAsia="Calibri" w:hAnsi="Calibri" w:cs="Times New Roman"/>
          <w:iCs/>
          <w:lang w:val="en-US"/>
        </w:rPr>
      </w:pPr>
    </w:p>
    <w:p w:rsidR="007C6D98" w:rsidRPr="00E74C8E" w:rsidRDefault="007C6D98" w:rsidP="00FC7A2B">
      <w:pPr>
        <w:spacing w:line="240" w:lineRule="auto"/>
        <w:contextualSpacing/>
        <w:jc w:val="center"/>
        <w:rPr>
          <w:rFonts w:ascii="Calibri" w:eastAsia="Calibri" w:hAnsi="Calibri" w:cs="Times New Roman"/>
          <w:iCs/>
          <w:lang w:val="en-US"/>
        </w:rPr>
      </w:pPr>
      <w:r w:rsidRPr="00E74C8E">
        <w:rPr>
          <w:rFonts w:ascii="Calibri" w:eastAsia="Calibri" w:hAnsi="Calibri" w:cs="Times New Roman"/>
          <w:i/>
          <w:iCs/>
          <w:noProof/>
          <w:lang w:val="en-US"/>
        </w:rPr>
        <w:lastRenderedPageBreak/>
        <w:drawing>
          <wp:inline distT="0" distB="0" distL="0" distR="0" wp14:anchorId="48121A9C" wp14:editId="7993B114">
            <wp:extent cx="4261680" cy="1988501"/>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B-1 en DB-2 SEM.jpg"/>
                    <pic:cNvPicPr/>
                  </pic:nvPicPr>
                  <pic:blipFill>
                    <a:blip r:embed="rId34">
                      <a:extLst>
                        <a:ext uri="{28A0092B-C50C-407E-A947-70E740481C1C}">
                          <a14:useLocalDpi xmlns:a14="http://schemas.microsoft.com/office/drawing/2010/main" val="0"/>
                        </a:ext>
                      </a:extLst>
                    </a:blip>
                    <a:stretch>
                      <a:fillRect/>
                    </a:stretch>
                  </pic:blipFill>
                  <pic:spPr>
                    <a:xfrm>
                      <a:off x="0" y="0"/>
                      <a:ext cx="4287554" cy="2000574"/>
                    </a:xfrm>
                    <a:prstGeom prst="rect">
                      <a:avLst/>
                    </a:prstGeom>
                  </pic:spPr>
                </pic:pic>
              </a:graphicData>
            </a:graphic>
          </wp:inline>
        </w:drawing>
      </w:r>
    </w:p>
    <w:p w:rsidR="00E74C8E" w:rsidRPr="007C6D98" w:rsidRDefault="00C82962" w:rsidP="00FC7A2B">
      <w:pPr>
        <w:pStyle w:val="Caption"/>
        <w:jc w:val="center"/>
        <w:rPr>
          <w:rFonts w:ascii="Calibri" w:eastAsia="Calibri" w:hAnsi="Calibri" w:cs="Times New Roman"/>
          <w:i w:val="0"/>
          <w:iCs w:val="0"/>
          <w:color w:val="auto"/>
          <w:sz w:val="20"/>
          <w:szCs w:val="20"/>
          <w:lang w:val="en-US"/>
        </w:rPr>
      </w:pPr>
      <w:bookmarkStart w:id="67" w:name="_Ref29912959"/>
      <w:r>
        <w:rPr>
          <w:color w:val="auto"/>
          <w:sz w:val="20"/>
          <w:szCs w:val="20"/>
          <w:lang w:val="en-US"/>
        </w:rPr>
        <w:t>Figure</w:t>
      </w:r>
      <w:r w:rsidR="007C6D98" w:rsidRPr="000C1C03">
        <w:rPr>
          <w:color w:val="auto"/>
          <w:sz w:val="20"/>
          <w:szCs w:val="20"/>
          <w:lang w:val="en-US"/>
        </w:rPr>
        <w:t xml:space="preserve"> </w:t>
      </w:r>
      <w:r w:rsidR="007C6D98" w:rsidRPr="000C1C03">
        <w:rPr>
          <w:color w:val="auto"/>
          <w:sz w:val="20"/>
          <w:szCs w:val="20"/>
        </w:rPr>
        <w:fldChar w:fldCharType="begin"/>
      </w:r>
      <w:r w:rsidR="007C6D98" w:rsidRPr="000C1C03">
        <w:rPr>
          <w:color w:val="auto"/>
          <w:sz w:val="20"/>
          <w:szCs w:val="20"/>
          <w:lang w:val="en-US"/>
        </w:rPr>
        <w:instrText xml:space="preserve"> SEQ Figure \* ARABIC </w:instrText>
      </w:r>
      <w:r w:rsidR="007C6D98" w:rsidRPr="000C1C03">
        <w:rPr>
          <w:color w:val="auto"/>
          <w:sz w:val="20"/>
          <w:szCs w:val="20"/>
        </w:rPr>
        <w:fldChar w:fldCharType="separate"/>
      </w:r>
      <w:r w:rsidR="00C52506">
        <w:rPr>
          <w:noProof/>
          <w:color w:val="auto"/>
          <w:sz w:val="20"/>
          <w:szCs w:val="20"/>
          <w:lang w:val="en-US"/>
        </w:rPr>
        <w:t>17</w:t>
      </w:r>
      <w:r w:rsidR="007C6D98" w:rsidRPr="000C1C03">
        <w:rPr>
          <w:color w:val="auto"/>
          <w:sz w:val="20"/>
          <w:szCs w:val="20"/>
        </w:rPr>
        <w:fldChar w:fldCharType="end"/>
      </w:r>
      <w:bookmarkEnd w:id="67"/>
      <w:r w:rsidR="007C6D98" w:rsidRPr="000C1C03">
        <w:rPr>
          <w:color w:val="auto"/>
          <w:sz w:val="20"/>
          <w:szCs w:val="20"/>
          <w:lang w:val="en-US"/>
        </w:rPr>
        <w:t xml:space="preserve">: </w:t>
      </w:r>
      <w:r w:rsidR="007C6D98" w:rsidRPr="000C1C03">
        <w:rPr>
          <w:b/>
          <w:color w:val="auto"/>
          <w:sz w:val="20"/>
          <w:szCs w:val="20"/>
          <w:lang w:val="en-US"/>
        </w:rPr>
        <w:t>A</w:t>
      </w:r>
      <w:r w:rsidR="007C6D98" w:rsidRPr="000C1C03">
        <w:rPr>
          <w:color w:val="auto"/>
          <w:sz w:val="20"/>
          <w:szCs w:val="20"/>
          <w:lang w:val="en-US"/>
        </w:rPr>
        <w:t xml:space="preserve">: Scanning electron micrograph of DB-1. </w:t>
      </w:r>
      <w:r w:rsidR="007C6D98" w:rsidRPr="000C1C03">
        <w:rPr>
          <w:b/>
          <w:color w:val="auto"/>
          <w:sz w:val="20"/>
          <w:szCs w:val="20"/>
          <w:lang w:val="en-US"/>
        </w:rPr>
        <w:t>B</w:t>
      </w:r>
      <w:r w:rsidR="007C6D98" w:rsidRPr="000C1C03">
        <w:rPr>
          <w:color w:val="auto"/>
          <w:sz w:val="20"/>
          <w:szCs w:val="20"/>
          <w:lang w:val="en-US"/>
        </w:rPr>
        <w:t>: Scanning electron micrograph of DB-2.</w:t>
      </w:r>
    </w:p>
    <w:p w:rsidR="00E74C8E" w:rsidRPr="00E74C8E" w:rsidRDefault="005630B3" w:rsidP="00FC7A2B">
      <w:pPr>
        <w:spacing w:line="240" w:lineRule="auto"/>
        <w:contextualSpacing/>
        <w:rPr>
          <w:rFonts w:ascii="Calibri" w:eastAsia="Calibri" w:hAnsi="Calibri" w:cs="Times New Roman"/>
          <w:iCs/>
          <w:lang w:val="en-US"/>
        </w:rPr>
      </w:pPr>
      <w:r>
        <w:rPr>
          <w:rFonts w:ascii="Calibri" w:eastAsia="Calibri" w:hAnsi="Calibri" w:cs="Times New Roman"/>
          <w:iCs/>
          <w:lang w:val="en-US"/>
        </w:rPr>
        <w:t>During</w:t>
      </w:r>
      <w:r w:rsidR="00E74C8E" w:rsidRPr="00E74C8E">
        <w:rPr>
          <w:rFonts w:ascii="Calibri" w:eastAsia="Calibri" w:hAnsi="Calibri" w:cs="Times New Roman"/>
          <w:iCs/>
          <w:lang w:val="en-US"/>
        </w:rPr>
        <w:t xml:space="preserve"> </w:t>
      </w:r>
      <w:r w:rsidR="00AF58E5">
        <w:rPr>
          <w:rFonts w:ascii="Calibri" w:eastAsia="Calibri" w:hAnsi="Calibri" w:cs="Times New Roman"/>
          <w:iCs/>
          <w:lang w:val="en-US"/>
        </w:rPr>
        <w:t>step (</w:t>
      </w:r>
      <w:r w:rsidR="00AF58E5">
        <w:rPr>
          <w:rFonts w:ascii="Calibri" w:eastAsia="Calibri" w:hAnsi="Calibri" w:cs="Times New Roman"/>
          <w:b/>
          <w:bCs/>
          <w:iCs/>
          <w:lang w:val="en-US"/>
        </w:rPr>
        <w:t>2</w:t>
      </w:r>
      <w:r w:rsidR="00AF58E5">
        <w:rPr>
          <w:rFonts w:ascii="Calibri" w:eastAsia="Calibri" w:hAnsi="Calibri" w:cs="Times New Roman"/>
          <w:iCs/>
          <w:lang w:val="en-US"/>
        </w:rPr>
        <w:t>)</w:t>
      </w:r>
      <w:r w:rsidR="00E74C8E" w:rsidRPr="00E74C8E">
        <w:rPr>
          <w:rFonts w:ascii="Calibri" w:eastAsia="Calibri" w:hAnsi="Calibri" w:cs="Times New Roman"/>
          <w:iCs/>
          <w:lang w:val="en-US"/>
        </w:rPr>
        <w:t xml:space="preserve">, the acrylate groups on the TPM molecules are connected, effectively cross-linking the TPM droplet into a rigid particle. During this step, a Rhod-B derived fluorophore is selectively introduced to the TPM lobe. This fluorophore, APTES-RITC, is synthesized by reaction of the isothiocyanate group on the RITC molecule with the amine group on the silane APTES, as shown in scheme </w:t>
      </w:r>
      <w:r w:rsidR="007D780D">
        <w:rPr>
          <w:rFonts w:ascii="Calibri" w:eastAsia="Calibri" w:hAnsi="Calibri" w:cs="Times New Roman"/>
          <w:iCs/>
          <w:lang w:val="en-US"/>
        </w:rPr>
        <w:t>5</w:t>
      </w:r>
      <w:r w:rsidR="00E74C8E" w:rsidRPr="00E74C8E">
        <w:rPr>
          <w:rFonts w:ascii="Calibri" w:eastAsia="Calibri" w:hAnsi="Calibri" w:cs="Times New Roman"/>
          <w:iCs/>
          <w:lang w:val="en-US"/>
        </w:rPr>
        <w:fldChar w:fldCharType="begin" w:fldLock="1"/>
      </w:r>
      <w:r w:rsidR="00FB6101">
        <w:rPr>
          <w:rFonts w:ascii="Calibri" w:eastAsia="Calibri" w:hAnsi="Calibri" w:cs="Times New Roman"/>
          <w:iCs/>
          <w:lang w:val="en-US"/>
        </w:rPr>
        <w:instrText>ADDIN CSL_CITATION { "citationItems" : [ { "id" : "ITEM-1", "itemData" : { "DOI" : "10.1021/la00048a013", "ISSN" : "15205827", "abstract" : "Stable dispersions of monodisperse colloidal silica spheres containing a dye or fluorophore have been synthesized according to a general procedure and dispersed in polar and apolar liquids. The procedure consists of the coupling of the dye to a silane coupling agent, (3-aminopropyl)triethoxysilane, and the controllable incorporation of the reaction product into the silica sphere. The silica spheres are prepared from tetraethoxysilane in mixtures of ammonia, water, and ethanol. The composition of the silica spheres can be controlled in such a way that the organic groups can be placed on the surface, in a thin shell inside the particle or distributed through the volume of an inner core. Fluorescein isothiocyanate was used to make easily bleachable, fluorescent silica spheres. Hydrophilic charge stabilized and organophilic sterically stabilized 1-octadecanol-coated dyed silica systems were synthesized and dispersed in several solvents. All the particles were characterized after the several reaction steps by static and dynamic light scattering and transmission electron microscopy. The fluorescent spheres were further characterized by fluorescence spectroscopy and confocal scanning laser fluorescence microscopy. Great effort was taken to prepare monodisperse dispersions free of clusters of particles. Such model dispersions are required for (scattering) studies of interparticle interactions in (concentrated) systems. Therefore, the several steps of the synthesis and optical characterization are described in detail. \u00a9 1992, American Chemical Society. All rights reserved.", "author" : [ { "dropping-particle" : "", "family" : "Blaaderen", "given" : "A.", "non-dropping-particle" : "van", "parse-names" : false, "suffix" : "" }, { "dropping-particle" : "", "family" : "Vrij", "given" : "A.", "non-dropping-particle" : "", "parse-names" : false, "suffix" : "" } ], "container-title" : "Langmuir", "id" : "ITEM-1", "issue" : "12", "issued" : { "date-parts" : [ [ "1992" ] ] }, "page" : "2921-2931", "title" : "Synthesis and Characterization of Colloidal Dispersions of Fluorescent, Monodisperse Silica Spheres", "type" : "article-journal", "volume" : "8" }, "uris" : [ "http://www.mendeley.com/documents/?uuid=0997a5de-a965-4fce-99c3-8a4d6ab65760", "http://www.mendeley.com/documents/?uuid=40d7e93b-bca6-4b2c-a860-e79a3dd5cbee" ] } ], "mendeley" : { "formattedCitation" : "&lt;sup&gt;68&lt;/sup&gt;", "plainTextFormattedCitation" : "68", "previouslyFormattedCitation" : "&lt;sup&gt;68&lt;/sup&gt;" }, "properties" : { "noteIndex" : 0 }, "schema" : "https://github.com/citation-style-language/schema/raw/master/csl-citation.json" }</w:instrText>
      </w:r>
      <w:r w:rsidR="00E74C8E" w:rsidRPr="00E74C8E">
        <w:rPr>
          <w:rFonts w:ascii="Calibri" w:eastAsia="Calibri" w:hAnsi="Calibri" w:cs="Times New Roman"/>
          <w:iCs/>
          <w:lang w:val="en-US"/>
        </w:rPr>
        <w:fldChar w:fldCharType="separate"/>
      </w:r>
      <w:r w:rsidR="00DE131C" w:rsidRPr="00DE131C">
        <w:rPr>
          <w:rFonts w:ascii="Calibri" w:eastAsia="Calibri" w:hAnsi="Calibri" w:cs="Times New Roman"/>
          <w:iCs/>
          <w:noProof/>
          <w:vertAlign w:val="superscript"/>
          <w:lang w:val="en-US"/>
        </w:rPr>
        <w:t>68</w:t>
      </w:r>
      <w:r w:rsidR="00E74C8E" w:rsidRPr="00E74C8E">
        <w:rPr>
          <w:rFonts w:ascii="Calibri" w:eastAsia="Calibri" w:hAnsi="Calibri" w:cs="Times New Roman"/>
          <w:iCs/>
          <w:lang w:val="en-US"/>
        </w:rPr>
        <w:fldChar w:fldCharType="end"/>
      </w:r>
      <w:r w:rsidR="00E74C8E" w:rsidRPr="00E74C8E">
        <w:rPr>
          <w:rFonts w:ascii="Calibri" w:eastAsia="Calibri" w:hAnsi="Calibri" w:cs="Times New Roman"/>
          <w:iCs/>
          <w:lang w:val="en-US"/>
        </w:rPr>
        <w:t xml:space="preserve">. </w:t>
      </w:r>
    </w:p>
    <w:p w:rsidR="000C1C03" w:rsidRDefault="00E74C8E" w:rsidP="00FC7A2B">
      <w:pPr>
        <w:keepNext/>
        <w:spacing w:line="240" w:lineRule="auto"/>
        <w:contextualSpacing/>
        <w:jc w:val="center"/>
      </w:pPr>
      <w:r w:rsidRPr="00E74C8E">
        <w:rPr>
          <w:rFonts w:ascii="Calibri" w:eastAsia="Calibri" w:hAnsi="Calibri" w:cs="Times New Roman"/>
          <w:i/>
          <w:iCs/>
          <w:noProof/>
          <w:lang w:val="en-US"/>
        </w:rPr>
        <w:drawing>
          <wp:inline distT="0" distB="0" distL="0" distR="0" wp14:anchorId="150EC1EE" wp14:editId="72327889">
            <wp:extent cx="5689264" cy="1674420"/>
            <wp:effectExtent l="0" t="0" r="6985" b="2540"/>
            <wp:docPr id="40" name="Picture 4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TES Rhod-B modificati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77115" cy="1700276"/>
                    </a:xfrm>
                    <a:prstGeom prst="rect">
                      <a:avLst/>
                    </a:prstGeom>
                  </pic:spPr>
                </pic:pic>
              </a:graphicData>
            </a:graphic>
          </wp:inline>
        </w:drawing>
      </w:r>
    </w:p>
    <w:p w:rsidR="00C74B90" w:rsidRDefault="000C1C03" w:rsidP="00FC7A2B">
      <w:pPr>
        <w:pStyle w:val="Caption"/>
        <w:jc w:val="center"/>
        <w:rPr>
          <w:rFonts w:ascii="Calibri" w:eastAsia="Calibri" w:hAnsi="Calibri" w:cs="Times New Roman"/>
          <w:iCs w:val="0"/>
          <w:lang w:val="en-US"/>
        </w:rPr>
      </w:pPr>
      <w:r w:rsidRPr="000C1C03">
        <w:rPr>
          <w:color w:val="auto"/>
          <w:sz w:val="20"/>
          <w:szCs w:val="20"/>
          <w:lang w:val="en-US"/>
        </w:rPr>
        <w:t xml:space="preserve">Scheme </w:t>
      </w:r>
      <w:r w:rsidRPr="000C1C03">
        <w:rPr>
          <w:color w:val="auto"/>
          <w:sz w:val="20"/>
          <w:szCs w:val="20"/>
        </w:rPr>
        <w:fldChar w:fldCharType="begin"/>
      </w:r>
      <w:r w:rsidRPr="000C1C03">
        <w:rPr>
          <w:color w:val="auto"/>
          <w:sz w:val="20"/>
          <w:szCs w:val="20"/>
          <w:lang w:val="en-US"/>
        </w:rPr>
        <w:instrText xml:space="preserve"> SEQ Scheme \* ARABIC </w:instrText>
      </w:r>
      <w:r w:rsidRPr="000C1C03">
        <w:rPr>
          <w:color w:val="auto"/>
          <w:sz w:val="20"/>
          <w:szCs w:val="20"/>
        </w:rPr>
        <w:fldChar w:fldCharType="separate"/>
      </w:r>
      <w:r w:rsidR="00C52506">
        <w:rPr>
          <w:noProof/>
          <w:color w:val="auto"/>
          <w:sz w:val="20"/>
          <w:szCs w:val="20"/>
          <w:lang w:val="en-US"/>
        </w:rPr>
        <w:t>5</w:t>
      </w:r>
      <w:r w:rsidRPr="000C1C03">
        <w:rPr>
          <w:color w:val="auto"/>
          <w:sz w:val="20"/>
          <w:szCs w:val="20"/>
        </w:rPr>
        <w:fldChar w:fldCharType="end"/>
      </w:r>
      <w:r w:rsidRPr="000C1C03">
        <w:rPr>
          <w:color w:val="auto"/>
          <w:sz w:val="20"/>
          <w:szCs w:val="20"/>
          <w:lang w:val="en-US"/>
        </w:rPr>
        <w:t>: Reaction scheme of RITC with APTES.</w:t>
      </w:r>
    </w:p>
    <w:p w:rsidR="00E74C8E" w:rsidRPr="00E74C8E" w:rsidRDefault="00E74C8E" w:rsidP="00FC7A2B">
      <w:pPr>
        <w:spacing w:line="240" w:lineRule="auto"/>
        <w:contextualSpacing/>
        <w:rPr>
          <w:rFonts w:ascii="Calibri" w:eastAsia="Calibri" w:hAnsi="Calibri" w:cs="Times New Roman"/>
          <w:iCs/>
          <w:lang w:val="en-US"/>
        </w:rPr>
      </w:pPr>
      <w:r w:rsidRPr="00E74C8E">
        <w:rPr>
          <w:rFonts w:ascii="Calibri" w:eastAsia="Calibri" w:hAnsi="Calibri" w:cs="Times New Roman"/>
          <w:iCs/>
          <w:lang w:val="en-US"/>
        </w:rPr>
        <w:t xml:space="preserve">The APTES-RITC fluorophore then selectively condensates on the silane surface of the TPM lobe. Now, each lobe is fluorescent </w:t>
      </w:r>
      <w:r w:rsidR="00E87FD6">
        <w:rPr>
          <w:rFonts w:ascii="Calibri" w:eastAsia="Calibri" w:hAnsi="Calibri" w:cs="Times New Roman"/>
          <w:iCs/>
          <w:lang w:val="en-US"/>
        </w:rPr>
        <w:t>with</w:t>
      </w:r>
      <w:r w:rsidRPr="00E74C8E">
        <w:rPr>
          <w:rFonts w:ascii="Calibri" w:eastAsia="Calibri" w:hAnsi="Calibri" w:cs="Times New Roman"/>
          <w:iCs/>
          <w:lang w:val="en-US"/>
        </w:rPr>
        <w:t xml:space="preserve"> a different wave length light, as shown in </w:t>
      </w:r>
      <w:r w:rsidR="007C6D98" w:rsidRPr="00E87FD6">
        <w:rPr>
          <w:rFonts w:ascii="Calibri" w:eastAsia="Calibri" w:hAnsi="Calibri" w:cs="Times New Roman"/>
          <w:iCs/>
          <w:lang w:val="en-US"/>
        </w:rPr>
        <w:fldChar w:fldCharType="begin"/>
      </w:r>
      <w:r w:rsidR="007C6D98" w:rsidRPr="00E87FD6">
        <w:rPr>
          <w:rFonts w:ascii="Calibri" w:eastAsia="Calibri" w:hAnsi="Calibri" w:cs="Times New Roman"/>
          <w:iCs/>
          <w:lang w:val="en-US"/>
        </w:rPr>
        <w:instrText xml:space="preserve"> REF _Ref29913039 \h  \* MERGEFORMAT </w:instrText>
      </w:r>
      <w:r w:rsidR="007C6D98" w:rsidRPr="00E87FD6">
        <w:rPr>
          <w:rFonts w:ascii="Calibri" w:eastAsia="Calibri" w:hAnsi="Calibri" w:cs="Times New Roman"/>
          <w:iCs/>
          <w:lang w:val="en-US"/>
        </w:rPr>
      </w:r>
      <w:r w:rsidR="007C6D98" w:rsidRPr="00E87FD6">
        <w:rPr>
          <w:rFonts w:ascii="Calibri" w:eastAsia="Calibri" w:hAnsi="Calibri" w:cs="Times New Roman"/>
          <w:iCs/>
          <w:lang w:val="en-US"/>
        </w:rPr>
        <w:fldChar w:fldCharType="separate"/>
      </w:r>
      <w:r w:rsidR="00C52506" w:rsidRPr="00C52506">
        <w:rPr>
          <w:lang w:val="en-US"/>
        </w:rPr>
        <w:t xml:space="preserve">Figure </w:t>
      </w:r>
      <w:r w:rsidR="00C52506" w:rsidRPr="00C52506">
        <w:rPr>
          <w:noProof/>
          <w:lang w:val="en-US"/>
        </w:rPr>
        <w:t>18</w:t>
      </w:r>
      <w:r w:rsidR="007C6D98" w:rsidRPr="00E87FD6">
        <w:rPr>
          <w:rFonts w:ascii="Calibri" w:eastAsia="Calibri" w:hAnsi="Calibri" w:cs="Times New Roman"/>
          <w:iCs/>
          <w:lang w:val="en-US"/>
        </w:rPr>
        <w:fldChar w:fldCharType="end"/>
      </w:r>
      <w:r w:rsidR="00B71D21">
        <w:rPr>
          <w:rFonts w:ascii="Calibri" w:eastAsia="Calibri" w:hAnsi="Calibri" w:cs="Times New Roman"/>
          <w:iCs/>
          <w:lang w:val="en-US"/>
        </w:rPr>
        <w:t>.</w:t>
      </w:r>
      <w:r w:rsidRPr="00E87FD6">
        <w:rPr>
          <w:rFonts w:ascii="Calibri" w:eastAsia="Calibri" w:hAnsi="Calibri" w:cs="Times New Roman"/>
          <w:iCs/>
          <w:lang w:val="en-US"/>
        </w:rPr>
        <w:t xml:space="preserve"> </w:t>
      </w:r>
      <w:r w:rsidR="00B71D21">
        <w:rPr>
          <w:rFonts w:ascii="Calibri" w:eastAsia="Calibri" w:hAnsi="Calibri" w:cs="Times New Roman"/>
          <w:iCs/>
          <w:lang w:val="en-US"/>
        </w:rPr>
        <w:t>This shows the</w:t>
      </w:r>
      <w:r w:rsidRPr="00E74C8E">
        <w:rPr>
          <w:rFonts w:ascii="Calibri" w:eastAsia="Calibri" w:hAnsi="Calibri" w:cs="Times New Roman"/>
          <w:iCs/>
          <w:lang w:val="en-US"/>
        </w:rPr>
        <w:t xml:space="preserve"> precise chemical distinction between the two lobes under a fluorescent microscope. </w:t>
      </w:r>
    </w:p>
    <w:p w:rsidR="00E74C8E" w:rsidRPr="00E74C8E" w:rsidRDefault="00E74C8E" w:rsidP="00FC7A2B">
      <w:pPr>
        <w:spacing w:line="240" w:lineRule="auto"/>
        <w:contextualSpacing/>
        <w:rPr>
          <w:rFonts w:ascii="Calibri" w:eastAsia="Calibri" w:hAnsi="Calibri" w:cs="Times New Roman"/>
          <w:iCs/>
          <w:lang w:val="en-US"/>
        </w:rPr>
      </w:pPr>
    </w:p>
    <w:p w:rsidR="000C1C03" w:rsidRDefault="00E74C8E" w:rsidP="00FC7A2B">
      <w:pPr>
        <w:keepNext/>
        <w:spacing w:line="240" w:lineRule="auto"/>
        <w:contextualSpacing/>
        <w:jc w:val="center"/>
      </w:pPr>
      <w:r w:rsidRPr="00E74C8E">
        <w:rPr>
          <w:rFonts w:ascii="Calibri" w:eastAsia="Calibri" w:hAnsi="Calibri" w:cs="Times New Roman"/>
          <w:iCs/>
          <w:noProof/>
          <w:lang w:val="en-US"/>
        </w:rPr>
        <w:drawing>
          <wp:inline distT="0" distB="0" distL="0" distR="0" wp14:anchorId="15471F00" wp14:editId="647D06F5">
            <wp:extent cx="4226742" cy="1941066"/>
            <wp:effectExtent l="0" t="0"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B-1 DB-2 Fluoresecent.jpg"/>
                    <pic:cNvPicPr/>
                  </pic:nvPicPr>
                  <pic:blipFill>
                    <a:blip r:embed="rId36">
                      <a:extLst>
                        <a:ext uri="{28A0092B-C50C-407E-A947-70E740481C1C}">
                          <a14:useLocalDpi xmlns:a14="http://schemas.microsoft.com/office/drawing/2010/main" val="0"/>
                        </a:ext>
                      </a:extLst>
                    </a:blip>
                    <a:stretch>
                      <a:fillRect/>
                    </a:stretch>
                  </pic:blipFill>
                  <pic:spPr>
                    <a:xfrm>
                      <a:off x="0" y="0"/>
                      <a:ext cx="4250211" cy="1951844"/>
                    </a:xfrm>
                    <a:prstGeom prst="rect">
                      <a:avLst/>
                    </a:prstGeom>
                  </pic:spPr>
                </pic:pic>
              </a:graphicData>
            </a:graphic>
          </wp:inline>
        </w:drawing>
      </w:r>
    </w:p>
    <w:p w:rsidR="00E74C8E" w:rsidRPr="000C1C03" w:rsidRDefault="00C82962" w:rsidP="00FC7A2B">
      <w:pPr>
        <w:pStyle w:val="Caption"/>
        <w:jc w:val="center"/>
        <w:rPr>
          <w:rFonts w:ascii="Calibri" w:eastAsia="Calibri" w:hAnsi="Calibri" w:cs="Times New Roman"/>
          <w:i w:val="0"/>
          <w:iCs w:val="0"/>
          <w:color w:val="auto"/>
          <w:sz w:val="20"/>
          <w:szCs w:val="20"/>
          <w:lang w:val="en-US"/>
        </w:rPr>
      </w:pPr>
      <w:bookmarkStart w:id="68" w:name="_Ref29913039"/>
      <w:r>
        <w:rPr>
          <w:color w:val="auto"/>
          <w:sz w:val="20"/>
          <w:szCs w:val="20"/>
          <w:lang w:val="en-US"/>
        </w:rPr>
        <w:t>Figure</w:t>
      </w:r>
      <w:r w:rsidR="000C1C03" w:rsidRPr="000C1C03">
        <w:rPr>
          <w:color w:val="auto"/>
          <w:sz w:val="20"/>
          <w:szCs w:val="20"/>
          <w:lang w:val="en-US"/>
        </w:rPr>
        <w:t xml:space="preserve"> </w:t>
      </w:r>
      <w:r w:rsidR="000C1C03" w:rsidRPr="000C1C03">
        <w:rPr>
          <w:color w:val="auto"/>
          <w:sz w:val="20"/>
          <w:szCs w:val="20"/>
        </w:rPr>
        <w:fldChar w:fldCharType="begin"/>
      </w:r>
      <w:r w:rsidR="000C1C03" w:rsidRPr="000C1C03">
        <w:rPr>
          <w:color w:val="auto"/>
          <w:sz w:val="20"/>
          <w:szCs w:val="20"/>
          <w:lang w:val="en-US"/>
        </w:rPr>
        <w:instrText xml:space="preserve"> SEQ Figure \* ARABIC </w:instrText>
      </w:r>
      <w:r w:rsidR="000C1C03" w:rsidRPr="000C1C03">
        <w:rPr>
          <w:color w:val="auto"/>
          <w:sz w:val="20"/>
          <w:szCs w:val="20"/>
        </w:rPr>
        <w:fldChar w:fldCharType="separate"/>
      </w:r>
      <w:r w:rsidR="00C52506">
        <w:rPr>
          <w:noProof/>
          <w:color w:val="auto"/>
          <w:sz w:val="20"/>
          <w:szCs w:val="20"/>
          <w:lang w:val="en-US"/>
        </w:rPr>
        <w:t>18</w:t>
      </w:r>
      <w:r w:rsidR="000C1C03" w:rsidRPr="000C1C03">
        <w:rPr>
          <w:color w:val="auto"/>
          <w:sz w:val="20"/>
          <w:szCs w:val="20"/>
        </w:rPr>
        <w:fldChar w:fldCharType="end"/>
      </w:r>
      <w:bookmarkEnd w:id="68"/>
      <w:r w:rsidR="000C1C03" w:rsidRPr="000C1C03">
        <w:rPr>
          <w:color w:val="auto"/>
          <w:sz w:val="20"/>
          <w:szCs w:val="20"/>
          <w:lang w:val="en-US"/>
        </w:rPr>
        <w:t>: Layered fluorescence images, yellow: Bodipy</w:t>
      </w:r>
      <w:r w:rsidR="00C11F2B">
        <w:rPr>
          <w:color w:val="auto"/>
          <w:sz w:val="20"/>
          <w:szCs w:val="20"/>
          <w:lang w:val="en-US"/>
        </w:rPr>
        <w:t xml:space="preserve"> </w:t>
      </w:r>
      <w:r w:rsidR="000C1C03" w:rsidRPr="000C1C03">
        <w:rPr>
          <w:color w:val="auto"/>
          <w:sz w:val="20"/>
          <w:szCs w:val="20"/>
          <w:lang w:val="en-US"/>
        </w:rPr>
        <w:t xml:space="preserve">fluorescence, red: RITC fluorescence. </w:t>
      </w:r>
      <w:r w:rsidR="000C1C03" w:rsidRPr="000C1C03">
        <w:rPr>
          <w:b/>
          <w:color w:val="auto"/>
          <w:sz w:val="20"/>
          <w:szCs w:val="20"/>
          <w:lang w:val="en-US"/>
        </w:rPr>
        <w:t>A</w:t>
      </w:r>
      <w:r w:rsidR="000C1C03" w:rsidRPr="000C1C03">
        <w:rPr>
          <w:color w:val="auto"/>
          <w:sz w:val="20"/>
          <w:szCs w:val="20"/>
          <w:lang w:val="en-US"/>
        </w:rPr>
        <w:t xml:space="preserve">: DB-1, </w:t>
      </w:r>
      <w:r w:rsidR="000C1C03" w:rsidRPr="000C1C03">
        <w:rPr>
          <w:b/>
          <w:color w:val="auto"/>
          <w:sz w:val="20"/>
          <w:szCs w:val="20"/>
          <w:lang w:val="en-US"/>
        </w:rPr>
        <w:t>B</w:t>
      </w:r>
      <w:r w:rsidR="000C1C03" w:rsidRPr="000C1C03">
        <w:rPr>
          <w:color w:val="auto"/>
          <w:sz w:val="20"/>
          <w:szCs w:val="20"/>
          <w:lang w:val="en-US"/>
        </w:rPr>
        <w:t>: DB-2.</w:t>
      </w:r>
    </w:p>
    <w:p w:rsidR="005630B3" w:rsidRDefault="00E74C8E" w:rsidP="00FC7A2B">
      <w:pPr>
        <w:spacing w:line="240" w:lineRule="auto"/>
        <w:contextualSpacing/>
        <w:rPr>
          <w:rFonts w:ascii="Calibri" w:eastAsia="Calibri" w:hAnsi="Calibri" w:cs="Times New Roman"/>
          <w:iCs/>
          <w:lang w:val="en-US"/>
        </w:rPr>
      </w:pPr>
      <w:r w:rsidRPr="00E74C8E">
        <w:rPr>
          <w:rFonts w:ascii="Calibri" w:eastAsia="Calibri" w:hAnsi="Calibri" w:cs="Times New Roman"/>
          <w:iCs/>
          <w:lang w:val="en-US"/>
        </w:rPr>
        <w:t xml:space="preserve">As can be seen from </w:t>
      </w:r>
      <w:r w:rsidR="007C6D98">
        <w:rPr>
          <w:rFonts w:ascii="Calibri" w:eastAsia="Calibri" w:hAnsi="Calibri" w:cs="Times New Roman"/>
          <w:iCs/>
          <w:lang w:val="en-US"/>
        </w:rPr>
        <w:fldChar w:fldCharType="begin"/>
      </w:r>
      <w:r w:rsidR="007C6D98" w:rsidRPr="007C6D98">
        <w:rPr>
          <w:rFonts w:ascii="Calibri" w:eastAsia="Calibri" w:hAnsi="Calibri" w:cs="Times New Roman"/>
          <w:iCs/>
          <w:lang w:val="en-US"/>
        </w:rPr>
        <w:instrText xml:space="preserve"> REF _Ref29912959 \h </w:instrText>
      </w:r>
      <w:r w:rsidR="007C6D98">
        <w:rPr>
          <w:rFonts w:ascii="Calibri" w:eastAsia="Calibri" w:hAnsi="Calibri" w:cs="Times New Roman"/>
          <w:iCs/>
          <w:lang w:val="en-US"/>
        </w:rPr>
        <w:instrText xml:space="preserve"> \* MERGEFORMAT </w:instrText>
      </w:r>
      <w:r w:rsidR="007C6D98">
        <w:rPr>
          <w:rFonts w:ascii="Calibri" w:eastAsia="Calibri" w:hAnsi="Calibri" w:cs="Times New Roman"/>
          <w:iCs/>
          <w:lang w:val="en-US"/>
        </w:rPr>
      </w:r>
      <w:r w:rsidR="007C6D98">
        <w:rPr>
          <w:rFonts w:ascii="Calibri" w:eastAsia="Calibri" w:hAnsi="Calibri" w:cs="Times New Roman"/>
          <w:iCs/>
          <w:lang w:val="en-US"/>
        </w:rPr>
        <w:fldChar w:fldCharType="separate"/>
      </w:r>
      <w:r w:rsidR="00C52506" w:rsidRPr="00C52506">
        <w:rPr>
          <w:lang w:val="en-US"/>
        </w:rPr>
        <w:t>Figure</w:t>
      </w:r>
      <w:r w:rsidR="00C52506" w:rsidRPr="000C1C03">
        <w:rPr>
          <w:sz w:val="20"/>
          <w:szCs w:val="20"/>
          <w:lang w:val="en-US"/>
        </w:rPr>
        <w:t xml:space="preserve"> </w:t>
      </w:r>
      <w:r w:rsidR="00C52506">
        <w:rPr>
          <w:noProof/>
          <w:sz w:val="20"/>
          <w:szCs w:val="20"/>
          <w:lang w:val="en-US"/>
        </w:rPr>
        <w:t>17</w:t>
      </w:r>
      <w:r w:rsidR="007C6D98">
        <w:rPr>
          <w:rFonts w:ascii="Calibri" w:eastAsia="Calibri" w:hAnsi="Calibri" w:cs="Times New Roman"/>
          <w:iCs/>
          <w:lang w:val="en-US"/>
        </w:rPr>
        <w:fldChar w:fldCharType="end"/>
      </w:r>
      <w:r w:rsidRPr="00E74C8E">
        <w:rPr>
          <w:rFonts w:ascii="Calibri" w:eastAsia="Calibri" w:hAnsi="Calibri" w:cs="Times New Roman"/>
          <w:iCs/>
          <w:lang w:val="en-US"/>
        </w:rPr>
        <w:t xml:space="preserve">, other morphologies than just </w:t>
      </w:r>
      <w:r w:rsidRPr="00E87FD6">
        <w:rPr>
          <w:rFonts w:ascii="Calibri" w:eastAsia="Calibri" w:hAnsi="Calibri" w:cs="Times New Roman"/>
          <w:iCs/>
          <w:lang w:val="en-US"/>
        </w:rPr>
        <w:t xml:space="preserve">dumbbells have formed during the synthesis. For DB1, the main three other morphologies that have formed are spherical TPM particles, mickey mouse like particles and deformed trimers, which are highlighted in </w:t>
      </w:r>
      <w:r w:rsidR="007C6D98" w:rsidRPr="00E87FD6">
        <w:rPr>
          <w:rFonts w:ascii="Calibri" w:eastAsia="Calibri" w:hAnsi="Calibri" w:cs="Times New Roman"/>
          <w:iCs/>
          <w:lang w:val="en-US"/>
        </w:rPr>
        <w:fldChar w:fldCharType="begin"/>
      </w:r>
      <w:r w:rsidR="007C6D98" w:rsidRPr="00E87FD6">
        <w:rPr>
          <w:rFonts w:ascii="Calibri" w:eastAsia="Calibri" w:hAnsi="Calibri" w:cs="Times New Roman"/>
          <w:iCs/>
          <w:lang w:val="en-US"/>
        </w:rPr>
        <w:instrText xml:space="preserve"> REF _Ref29913062 \h  \* MERGEFORMAT </w:instrText>
      </w:r>
      <w:r w:rsidR="007C6D98" w:rsidRPr="00E87FD6">
        <w:rPr>
          <w:rFonts w:ascii="Calibri" w:eastAsia="Calibri" w:hAnsi="Calibri" w:cs="Times New Roman"/>
          <w:iCs/>
          <w:lang w:val="en-US"/>
        </w:rPr>
      </w:r>
      <w:r w:rsidR="007C6D98" w:rsidRPr="00E87FD6">
        <w:rPr>
          <w:rFonts w:ascii="Calibri" w:eastAsia="Calibri" w:hAnsi="Calibri" w:cs="Times New Roman"/>
          <w:iCs/>
          <w:lang w:val="en-US"/>
        </w:rPr>
        <w:fldChar w:fldCharType="separate"/>
      </w:r>
      <w:r w:rsidR="00C52506" w:rsidRPr="00C52506">
        <w:rPr>
          <w:lang w:val="en-US"/>
        </w:rPr>
        <w:t xml:space="preserve">Figure </w:t>
      </w:r>
      <w:r w:rsidR="00C52506" w:rsidRPr="00C52506">
        <w:rPr>
          <w:noProof/>
          <w:lang w:val="en-US"/>
        </w:rPr>
        <w:t>19</w:t>
      </w:r>
      <w:r w:rsidR="007C6D98" w:rsidRPr="00E87FD6">
        <w:rPr>
          <w:rFonts w:ascii="Calibri" w:eastAsia="Calibri" w:hAnsi="Calibri" w:cs="Times New Roman"/>
          <w:iCs/>
          <w:lang w:val="en-US"/>
        </w:rPr>
        <w:fldChar w:fldCharType="end"/>
      </w:r>
      <w:r w:rsidRPr="00E87FD6">
        <w:rPr>
          <w:rFonts w:ascii="Calibri" w:eastAsia="Calibri" w:hAnsi="Calibri" w:cs="Times New Roman"/>
          <w:iCs/>
          <w:lang w:val="en-US"/>
        </w:rPr>
        <w:t xml:space="preserve">. </w:t>
      </w:r>
    </w:p>
    <w:p w:rsidR="00C3272A" w:rsidRDefault="00E74C8E" w:rsidP="00FC7A2B">
      <w:pPr>
        <w:spacing w:line="240" w:lineRule="auto"/>
        <w:contextualSpacing/>
        <w:rPr>
          <w:rFonts w:ascii="Calibri" w:eastAsia="Calibri" w:hAnsi="Calibri" w:cs="Times New Roman"/>
          <w:iCs/>
          <w:lang w:val="en-US"/>
        </w:rPr>
      </w:pPr>
      <w:r w:rsidRPr="00E87FD6">
        <w:rPr>
          <w:rFonts w:ascii="Calibri" w:eastAsia="Calibri" w:hAnsi="Calibri" w:cs="Times New Roman"/>
          <w:iCs/>
          <w:lang w:val="en-US"/>
        </w:rPr>
        <w:lastRenderedPageBreak/>
        <w:t>It is assumed that a spherical TPM particle is formed from homonucleation of a h</w:t>
      </w:r>
      <w:r w:rsidR="005630B3">
        <w:rPr>
          <w:rFonts w:ascii="Calibri" w:eastAsia="Calibri" w:hAnsi="Calibri" w:cs="Times New Roman"/>
          <w:iCs/>
          <w:lang w:val="en-US"/>
        </w:rPr>
        <w:t xml:space="preserve">ydrolyzed </w:t>
      </w:r>
      <w:r w:rsidRPr="00E87FD6">
        <w:rPr>
          <w:rFonts w:ascii="Calibri" w:eastAsia="Calibri" w:hAnsi="Calibri" w:cs="Times New Roman"/>
          <w:iCs/>
          <w:lang w:val="en-US"/>
        </w:rPr>
        <w:t xml:space="preserve">TPM droplet in the </w:t>
      </w:r>
      <w:r w:rsidR="005630B3">
        <w:rPr>
          <w:rFonts w:ascii="Calibri" w:eastAsia="Calibri" w:hAnsi="Calibri" w:cs="Times New Roman"/>
          <w:iCs/>
          <w:lang w:val="en-US"/>
        </w:rPr>
        <w:t>n</w:t>
      </w:r>
      <w:r w:rsidRPr="00E87FD6">
        <w:rPr>
          <w:rFonts w:ascii="Calibri" w:eastAsia="Calibri" w:hAnsi="Calibri" w:cs="Times New Roman"/>
          <w:iCs/>
          <w:lang w:val="en-US"/>
        </w:rPr>
        <w:t xml:space="preserve">PS dispersion, which is then polymerized into the rigid TPM particle. </w:t>
      </w:r>
    </w:p>
    <w:p w:rsidR="00A40284" w:rsidRDefault="00A40284" w:rsidP="00FC7A2B">
      <w:pPr>
        <w:spacing w:line="240" w:lineRule="auto"/>
        <w:contextualSpacing/>
        <w:rPr>
          <w:rFonts w:ascii="Calibri" w:eastAsia="Calibri" w:hAnsi="Calibri" w:cs="Times New Roman"/>
          <w:iCs/>
          <w:lang w:val="en-US"/>
        </w:rPr>
      </w:pPr>
    </w:p>
    <w:p w:rsidR="00A40284" w:rsidRPr="00E87FD6" w:rsidRDefault="00A40284" w:rsidP="00A40284">
      <w:pPr>
        <w:spacing w:line="240" w:lineRule="auto"/>
        <w:contextualSpacing/>
        <w:rPr>
          <w:rFonts w:ascii="Calibri" w:eastAsia="Calibri" w:hAnsi="Calibri" w:cs="Times New Roman"/>
          <w:iCs/>
          <w:lang w:val="en-US"/>
        </w:rPr>
      </w:pPr>
      <w:r w:rsidRPr="00E87FD6">
        <w:rPr>
          <w:rFonts w:ascii="Calibri" w:eastAsia="Calibri" w:hAnsi="Calibri" w:cs="Times New Roman"/>
          <w:iCs/>
          <w:lang w:val="en-US"/>
        </w:rPr>
        <w:t xml:space="preserve">The trimers that are observed in the dispersion are presumably formed when two h-TPM droplets nucleate on one </w:t>
      </w:r>
      <w:r w:rsidR="005630B3">
        <w:rPr>
          <w:rFonts w:ascii="Calibri" w:eastAsia="Calibri" w:hAnsi="Calibri" w:cs="Times New Roman"/>
          <w:iCs/>
          <w:lang w:val="en-US"/>
        </w:rPr>
        <w:t>n</w:t>
      </w:r>
      <w:r w:rsidRPr="00E87FD6">
        <w:rPr>
          <w:rFonts w:ascii="Calibri" w:eastAsia="Calibri" w:hAnsi="Calibri" w:cs="Times New Roman"/>
          <w:iCs/>
          <w:lang w:val="en-US"/>
        </w:rPr>
        <w:t xml:space="preserve">PS particle, which are then polymerized into a rigid particle. </w:t>
      </w:r>
    </w:p>
    <w:p w:rsidR="00C3272A" w:rsidRDefault="00C3272A" w:rsidP="00FC7A2B">
      <w:pPr>
        <w:spacing w:line="240" w:lineRule="auto"/>
        <w:contextualSpacing/>
        <w:rPr>
          <w:rFonts w:ascii="Calibri" w:eastAsia="Calibri" w:hAnsi="Calibri" w:cs="Times New Roman"/>
          <w:iCs/>
          <w:lang w:val="en-US"/>
        </w:rPr>
      </w:pPr>
    </w:p>
    <w:p w:rsidR="00BC69AE" w:rsidRDefault="00E74C8E" w:rsidP="00370DE3">
      <w:pPr>
        <w:spacing w:line="240" w:lineRule="auto"/>
        <w:contextualSpacing/>
        <w:rPr>
          <w:rFonts w:ascii="Calibri" w:eastAsia="Calibri" w:hAnsi="Calibri" w:cs="Times New Roman"/>
          <w:iCs/>
          <w:lang w:val="en-US"/>
        </w:rPr>
      </w:pPr>
      <w:r w:rsidRPr="00E87FD6">
        <w:rPr>
          <w:rFonts w:ascii="Calibri" w:eastAsia="Calibri" w:hAnsi="Calibri" w:cs="Times New Roman"/>
          <w:iCs/>
          <w:lang w:val="en-US"/>
        </w:rPr>
        <w:t>The mickey mouse like particle is thought to have formed when the h</w:t>
      </w:r>
      <w:r w:rsidR="005630B3">
        <w:rPr>
          <w:rFonts w:ascii="Calibri" w:eastAsia="Calibri" w:hAnsi="Calibri" w:cs="Times New Roman"/>
          <w:iCs/>
          <w:lang w:val="en-US"/>
        </w:rPr>
        <w:t xml:space="preserve">ydrolyzed </w:t>
      </w:r>
      <w:r w:rsidRPr="00E87FD6">
        <w:rPr>
          <w:rFonts w:ascii="Calibri" w:eastAsia="Calibri" w:hAnsi="Calibri" w:cs="Times New Roman"/>
          <w:iCs/>
          <w:lang w:val="en-US"/>
        </w:rPr>
        <w:t>TPM droplets of two dumbbells have fused before polymerization, resulting in a large h</w:t>
      </w:r>
      <w:r w:rsidR="005630B3">
        <w:rPr>
          <w:rFonts w:ascii="Calibri" w:eastAsia="Calibri" w:hAnsi="Calibri" w:cs="Times New Roman"/>
          <w:iCs/>
          <w:lang w:val="en-US"/>
        </w:rPr>
        <w:t xml:space="preserve">ydrolyzed </w:t>
      </w:r>
      <w:r w:rsidRPr="00E87FD6">
        <w:rPr>
          <w:rFonts w:ascii="Calibri" w:eastAsia="Calibri" w:hAnsi="Calibri" w:cs="Times New Roman"/>
          <w:iCs/>
          <w:lang w:val="en-US"/>
        </w:rPr>
        <w:t xml:space="preserve">TPM droplet and two </w:t>
      </w:r>
      <w:r w:rsidR="005630B3">
        <w:rPr>
          <w:rFonts w:ascii="Calibri" w:eastAsia="Calibri" w:hAnsi="Calibri" w:cs="Times New Roman"/>
          <w:iCs/>
          <w:lang w:val="en-US"/>
        </w:rPr>
        <w:t>nPS</w:t>
      </w:r>
      <w:r w:rsidRPr="00E87FD6">
        <w:rPr>
          <w:rFonts w:ascii="Calibri" w:eastAsia="Calibri" w:hAnsi="Calibri" w:cs="Times New Roman"/>
          <w:iCs/>
          <w:lang w:val="en-US"/>
        </w:rPr>
        <w:t xml:space="preserve"> lobes in one particle. Interestingly, of all possible geometries that can form from such a fusing of h</w:t>
      </w:r>
      <w:r w:rsidR="005630B3">
        <w:rPr>
          <w:rFonts w:ascii="Calibri" w:eastAsia="Calibri" w:hAnsi="Calibri" w:cs="Times New Roman"/>
          <w:iCs/>
          <w:lang w:val="en-US"/>
        </w:rPr>
        <w:t xml:space="preserve">ydrolyzed </w:t>
      </w:r>
      <w:r w:rsidRPr="00E87FD6">
        <w:rPr>
          <w:rFonts w:ascii="Calibri" w:eastAsia="Calibri" w:hAnsi="Calibri" w:cs="Times New Roman"/>
          <w:iCs/>
          <w:lang w:val="en-US"/>
        </w:rPr>
        <w:t xml:space="preserve">TPM droplets, only the mickey mouse like geometry is observed. </w:t>
      </w:r>
      <w:r w:rsidR="00C3272A">
        <w:rPr>
          <w:rFonts w:ascii="Calibri" w:eastAsia="Calibri" w:hAnsi="Calibri" w:cs="Times New Roman"/>
          <w:iCs/>
          <w:lang w:val="en-US"/>
        </w:rPr>
        <w:t xml:space="preserve">This result is rather counter intuitive, as the strong negative charge on the </w:t>
      </w:r>
      <w:r w:rsidR="005630B3">
        <w:rPr>
          <w:rFonts w:ascii="Calibri" w:eastAsia="Calibri" w:hAnsi="Calibri" w:cs="Times New Roman"/>
          <w:iCs/>
          <w:lang w:val="en-US"/>
        </w:rPr>
        <w:t>n</w:t>
      </w:r>
      <w:r w:rsidR="00C3272A">
        <w:rPr>
          <w:rFonts w:ascii="Calibri" w:eastAsia="Calibri" w:hAnsi="Calibri" w:cs="Times New Roman"/>
          <w:iCs/>
          <w:lang w:val="en-US"/>
        </w:rPr>
        <w:t xml:space="preserve">PS seeds should drive the seeds to be at a maximum distance from one another. </w:t>
      </w:r>
      <w:r w:rsidR="00E4304F">
        <w:rPr>
          <w:rFonts w:ascii="Calibri" w:eastAsia="Calibri" w:hAnsi="Calibri" w:cs="Times New Roman"/>
          <w:iCs/>
          <w:lang w:val="en-US"/>
        </w:rPr>
        <w:t>Similar experimental results were observed by Kraft</w:t>
      </w:r>
      <w:r w:rsidR="00E4304F">
        <w:rPr>
          <w:rFonts w:ascii="Calibri" w:eastAsia="Calibri" w:hAnsi="Calibri" w:cs="Times New Roman"/>
          <w:iCs/>
          <w:lang w:val="en-US"/>
        </w:rPr>
        <w:fldChar w:fldCharType="begin" w:fldLock="1"/>
      </w:r>
      <w:r w:rsidR="00FB6101">
        <w:rPr>
          <w:rFonts w:ascii="Calibri" w:eastAsia="Calibri" w:hAnsi="Calibri" w:cs="Times New Roman"/>
          <w:iCs/>
          <w:lang w:val="en-US"/>
        </w:rPr>
        <w:instrText>ADDIN CSL_CITATION { "citationItems" : [ { "id" : "ITEM-1", "itemData" : { "author" : [ { "dropping-particle" : "", "family" : "Kraft", "given" : "Daniela J.", "non-dropping-particle" : "", "parse-names" : false, "suffix" : "" } ], "id" : "ITEM-1", "issued" : { "date-parts" : [ [ "2010" ] ] }, "number-of-pages" : "30-34", "publisher" : "Utrecht University", "title" : "Model Systems for Self-Assembly", "type" : "thesis" }, "uris" : [ "http://www.mendeley.com/documents/?uuid=f35fcb95-8edd-4e10-994d-b49ac4b67ab1" ] } ], "mendeley" : { "formattedCitation" : "&lt;sup&gt;69&lt;/sup&gt;", "plainTextFormattedCitation" : "69", "previouslyFormattedCitation" : "&lt;sup&gt;69&lt;/sup&gt;" }, "properties" : { "noteIndex" : 0 }, "schema" : "https://github.com/citation-style-language/schema/raw/master/csl-citation.json" }</w:instrText>
      </w:r>
      <w:r w:rsidR="00E4304F">
        <w:rPr>
          <w:rFonts w:ascii="Calibri" w:eastAsia="Calibri" w:hAnsi="Calibri" w:cs="Times New Roman"/>
          <w:iCs/>
          <w:lang w:val="en-US"/>
        </w:rPr>
        <w:fldChar w:fldCharType="separate"/>
      </w:r>
      <w:r w:rsidR="00DE131C" w:rsidRPr="00DE131C">
        <w:rPr>
          <w:rFonts w:ascii="Calibri" w:eastAsia="Calibri" w:hAnsi="Calibri" w:cs="Times New Roman"/>
          <w:iCs/>
          <w:noProof/>
          <w:vertAlign w:val="superscript"/>
          <w:lang w:val="en-US"/>
        </w:rPr>
        <w:t>69</w:t>
      </w:r>
      <w:r w:rsidR="00E4304F">
        <w:rPr>
          <w:rFonts w:ascii="Calibri" w:eastAsia="Calibri" w:hAnsi="Calibri" w:cs="Times New Roman"/>
          <w:iCs/>
          <w:lang w:val="en-US"/>
        </w:rPr>
        <w:fldChar w:fldCharType="end"/>
      </w:r>
      <w:r w:rsidR="00E4304F">
        <w:rPr>
          <w:rFonts w:ascii="Calibri" w:eastAsia="Calibri" w:hAnsi="Calibri" w:cs="Times New Roman"/>
          <w:iCs/>
          <w:lang w:val="en-US"/>
        </w:rPr>
        <w:t xml:space="preserve">, where </w:t>
      </w:r>
      <w:r w:rsidR="00C3272A">
        <w:rPr>
          <w:rFonts w:ascii="Calibri" w:eastAsia="Calibri" w:hAnsi="Calibri" w:cs="Times New Roman"/>
          <w:iCs/>
          <w:lang w:val="en-US"/>
        </w:rPr>
        <w:t>dumbbells</w:t>
      </w:r>
      <w:r w:rsidR="00E4304F">
        <w:rPr>
          <w:rFonts w:ascii="Calibri" w:eastAsia="Calibri" w:hAnsi="Calibri" w:cs="Times New Roman"/>
          <w:iCs/>
          <w:lang w:val="en-US"/>
        </w:rPr>
        <w:t xml:space="preserve"> were synthesized by swelling PS particles with styrene to form liquid protrusions</w:t>
      </w:r>
      <w:r w:rsidR="00C3272A">
        <w:rPr>
          <w:rFonts w:ascii="Calibri" w:eastAsia="Calibri" w:hAnsi="Calibri" w:cs="Times New Roman"/>
          <w:iCs/>
          <w:lang w:val="en-US"/>
        </w:rPr>
        <w:t>, after which these liquid protrusions were polymerized into a solid particle</w:t>
      </w:r>
      <w:r w:rsidR="00E4304F">
        <w:rPr>
          <w:rFonts w:ascii="Calibri" w:eastAsia="Calibri" w:hAnsi="Calibri" w:cs="Times New Roman"/>
          <w:iCs/>
          <w:lang w:val="en-US"/>
        </w:rPr>
        <w:t xml:space="preserve">. </w:t>
      </w:r>
      <w:r w:rsidR="00C3272A">
        <w:rPr>
          <w:rFonts w:ascii="Calibri" w:eastAsia="Calibri" w:hAnsi="Calibri" w:cs="Times New Roman"/>
          <w:iCs/>
          <w:lang w:val="en-US"/>
        </w:rPr>
        <w:t>These oil protrusions can fuse together</w:t>
      </w:r>
      <w:r w:rsidR="00370DE3">
        <w:rPr>
          <w:rFonts w:ascii="Calibri" w:eastAsia="Calibri" w:hAnsi="Calibri" w:cs="Times New Roman"/>
          <w:iCs/>
          <w:lang w:val="en-US"/>
        </w:rPr>
        <w:t xml:space="preserve"> before polymerization </w:t>
      </w:r>
      <w:r w:rsidR="00C3272A">
        <w:rPr>
          <w:rFonts w:ascii="Calibri" w:eastAsia="Calibri" w:hAnsi="Calibri" w:cs="Times New Roman"/>
          <w:iCs/>
          <w:lang w:val="en-US"/>
        </w:rPr>
        <w:t xml:space="preserve">to form a single </w:t>
      </w:r>
      <w:r w:rsidR="005630B3">
        <w:rPr>
          <w:rFonts w:ascii="Calibri" w:eastAsia="Calibri" w:hAnsi="Calibri" w:cs="Times New Roman"/>
          <w:iCs/>
          <w:lang w:val="en-US"/>
        </w:rPr>
        <w:t xml:space="preserve">(mickey mouse) </w:t>
      </w:r>
      <w:r w:rsidR="00C3272A">
        <w:rPr>
          <w:rFonts w:ascii="Calibri" w:eastAsia="Calibri" w:hAnsi="Calibri" w:cs="Times New Roman"/>
          <w:iCs/>
          <w:lang w:val="en-US"/>
        </w:rPr>
        <w:t>particle</w:t>
      </w:r>
      <w:r w:rsidR="00370DE3">
        <w:rPr>
          <w:rFonts w:ascii="Calibri" w:eastAsia="Calibri" w:hAnsi="Calibri" w:cs="Times New Roman"/>
          <w:iCs/>
          <w:lang w:val="en-US"/>
        </w:rPr>
        <w:t>. This mechanism is</w:t>
      </w:r>
      <w:r w:rsidR="00C3272A">
        <w:rPr>
          <w:rFonts w:ascii="Calibri" w:eastAsia="Calibri" w:hAnsi="Calibri" w:cs="Times New Roman"/>
          <w:iCs/>
          <w:lang w:val="en-US"/>
        </w:rPr>
        <w:t xml:space="preserve"> similar to the</w:t>
      </w:r>
      <w:r w:rsidR="004E4284">
        <w:rPr>
          <w:rFonts w:ascii="Calibri" w:eastAsia="Calibri" w:hAnsi="Calibri" w:cs="Times New Roman"/>
          <w:iCs/>
          <w:lang w:val="en-US"/>
        </w:rPr>
        <w:t xml:space="preserve"> proposed</w:t>
      </w:r>
      <w:r w:rsidR="00C3272A">
        <w:rPr>
          <w:rFonts w:ascii="Calibri" w:eastAsia="Calibri" w:hAnsi="Calibri" w:cs="Times New Roman"/>
          <w:iCs/>
          <w:lang w:val="en-US"/>
        </w:rPr>
        <w:t xml:space="preserve"> fusion of two TPM oil droplets</w:t>
      </w:r>
      <w:r w:rsidR="004E4284">
        <w:rPr>
          <w:rFonts w:ascii="Calibri" w:eastAsia="Calibri" w:hAnsi="Calibri" w:cs="Times New Roman"/>
          <w:iCs/>
          <w:lang w:val="en-US"/>
        </w:rPr>
        <w:t xml:space="preserve"> in our system</w:t>
      </w:r>
      <w:r w:rsidR="00C3272A">
        <w:rPr>
          <w:rFonts w:ascii="Calibri" w:eastAsia="Calibri" w:hAnsi="Calibri" w:cs="Times New Roman"/>
          <w:iCs/>
          <w:lang w:val="en-US"/>
        </w:rPr>
        <w:t xml:space="preserve">. In their work, </w:t>
      </w:r>
      <w:r w:rsidR="004E4284">
        <w:rPr>
          <w:rFonts w:ascii="Calibri" w:eastAsia="Calibri" w:hAnsi="Calibri" w:cs="Times New Roman"/>
          <w:iCs/>
          <w:lang w:val="en-US"/>
        </w:rPr>
        <w:t xml:space="preserve">also </w:t>
      </w:r>
      <w:r w:rsidR="00C3272A">
        <w:rPr>
          <w:rFonts w:ascii="Calibri" w:eastAsia="Calibri" w:hAnsi="Calibri" w:cs="Times New Roman"/>
          <w:iCs/>
          <w:lang w:val="en-US"/>
        </w:rPr>
        <w:t>only fused particles where the seeds are at a minimal distance from one another are</w:t>
      </w:r>
      <w:r w:rsidR="00370DE3">
        <w:rPr>
          <w:rFonts w:ascii="Calibri" w:eastAsia="Calibri" w:hAnsi="Calibri" w:cs="Times New Roman"/>
          <w:iCs/>
          <w:lang w:val="en-US"/>
        </w:rPr>
        <w:t xml:space="preserve"> observed</w:t>
      </w:r>
      <w:r w:rsidR="00C3272A">
        <w:rPr>
          <w:rFonts w:ascii="Calibri" w:eastAsia="Calibri" w:hAnsi="Calibri" w:cs="Times New Roman"/>
          <w:iCs/>
          <w:lang w:val="en-US"/>
        </w:rPr>
        <w:t xml:space="preserve">. What was proposed is that </w:t>
      </w:r>
      <w:r w:rsidR="00E21DA0">
        <w:rPr>
          <w:rFonts w:ascii="Calibri" w:eastAsia="Calibri" w:hAnsi="Calibri" w:cs="Times New Roman"/>
          <w:iCs/>
          <w:lang w:val="en-US"/>
        </w:rPr>
        <w:t>depletion forces that are present inside the fused oil droplet during polymerization</w:t>
      </w:r>
      <w:r w:rsidR="004E4284">
        <w:rPr>
          <w:rFonts w:ascii="Calibri" w:eastAsia="Calibri" w:hAnsi="Calibri" w:cs="Times New Roman"/>
          <w:iCs/>
          <w:lang w:val="en-US"/>
        </w:rPr>
        <w:t>,</w:t>
      </w:r>
      <w:r w:rsidR="00E669C2">
        <w:rPr>
          <w:rFonts w:ascii="Calibri" w:eastAsia="Calibri" w:hAnsi="Calibri" w:cs="Times New Roman"/>
          <w:iCs/>
          <w:lang w:val="en-US"/>
        </w:rPr>
        <w:t xml:space="preserve"> </w:t>
      </w:r>
      <w:r w:rsidR="00E21DA0">
        <w:rPr>
          <w:rFonts w:ascii="Calibri" w:eastAsia="Calibri" w:hAnsi="Calibri" w:cs="Times New Roman"/>
          <w:iCs/>
          <w:lang w:val="en-US"/>
        </w:rPr>
        <w:t xml:space="preserve">forces the PS seeds on the </w:t>
      </w:r>
      <w:r w:rsidR="00370DE3">
        <w:rPr>
          <w:rFonts w:ascii="Calibri" w:eastAsia="Calibri" w:hAnsi="Calibri" w:cs="Times New Roman"/>
          <w:iCs/>
          <w:lang w:val="en-US"/>
        </w:rPr>
        <w:t>oil-water interface</w:t>
      </w:r>
      <w:r w:rsidR="00E21DA0">
        <w:rPr>
          <w:rFonts w:ascii="Calibri" w:eastAsia="Calibri" w:hAnsi="Calibri" w:cs="Times New Roman"/>
          <w:iCs/>
          <w:lang w:val="en-US"/>
        </w:rPr>
        <w:t xml:space="preserve"> towards one another.</w:t>
      </w:r>
      <w:r w:rsidR="00E669C2">
        <w:rPr>
          <w:rFonts w:ascii="Calibri" w:eastAsia="Calibri" w:hAnsi="Calibri" w:cs="Times New Roman"/>
          <w:iCs/>
          <w:lang w:val="en-US"/>
        </w:rPr>
        <w:t xml:space="preserve"> </w:t>
      </w:r>
    </w:p>
    <w:p w:rsidR="00E4304F" w:rsidRDefault="00E669C2" w:rsidP="00370DE3">
      <w:pPr>
        <w:spacing w:line="240" w:lineRule="auto"/>
        <w:contextualSpacing/>
        <w:rPr>
          <w:rFonts w:ascii="Calibri" w:eastAsia="Calibri" w:hAnsi="Calibri" w:cs="Times New Roman"/>
          <w:iCs/>
          <w:lang w:val="en-US"/>
        </w:rPr>
      </w:pPr>
      <w:r>
        <w:rPr>
          <w:rFonts w:ascii="Calibri" w:eastAsia="Calibri" w:hAnsi="Calibri" w:cs="Times New Roman"/>
          <w:iCs/>
          <w:lang w:val="en-US"/>
        </w:rPr>
        <w:t xml:space="preserve">The timescale at which this process occurs was compared to the timescale at which diffusion of the seed particles diffuse from one end to the other inside the liquid protrusion. </w:t>
      </w:r>
      <w:r w:rsidR="00370DE3">
        <w:rPr>
          <w:rFonts w:ascii="Calibri" w:eastAsia="Calibri" w:hAnsi="Calibri" w:cs="Times New Roman"/>
          <w:iCs/>
          <w:lang w:val="en-US"/>
        </w:rPr>
        <w:t>What was concluded was that for the given size ratios of the seed and the protrusions of the dumbbell, the seed particles will not have enough time</w:t>
      </w:r>
      <w:r w:rsidR="005630B3">
        <w:rPr>
          <w:rFonts w:ascii="Calibri" w:eastAsia="Calibri" w:hAnsi="Calibri" w:cs="Times New Roman"/>
          <w:iCs/>
          <w:lang w:val="en-US"/>
        </w:rPr>
        <w:t xml:space="preserve"> to</w:t>
      </w:r>
      <w:r w:rsidR="00370DE3">
        <w:rPr>
          <w:rFonts w:ascii="Calibri" w:eastAsia="Calibri" w:hAnsi="Calibri" w:cs="Times New Roman"/>
          <w:iCs/>
          <w:lang w:val="en-US"/>
        </w:rPr>
        <w:t xml:space="preserve"> randomly </w:t>
      </w:r>
      <w:r w:rsidR="004E4284">
        <w:rPr>
          <w:rFonts w:ascii="Calibri" w:eastAsia="Calibri" w:hAnsi="Calibri" w:cs="Times New Roman"/>
          <w:iCs/>
          <w:lang w:val="en-US"/>
        </w:rPr>
        <w:t xml:space="preserve">rearrange </w:t>
      </w:r>
      <w:r w:rsidR="00370DE3">
        <w:rPr>
          <w:rFonts w:ascii="Calibri" w:eastAsia="Calibri" w:hAnsi="Calibri" w:cs="Times New Roman"/>
          <w:iCs/>
          <w:lang w:val="en-US"/>
        </w:rPr>
        <w:t xml:space="preserve">during polymerization. The result is a depletion interaction driven formation of the particle. Because of the strong similarity of our system </w:t>
      </w:r>
      <w:r w:rsidR="004E4284">
        <w:rPr>
          <w:rFonts w:ascii="Calibri" w:eastAsia="Calibri" w:hAnsi="Calibri" w:cs="Times New Roman"/>
          <w:iCs/>
          <w:lang w:val="en-US"/>
        </w:rPr>
        <w:t>to</w:t>
      </w:r>
      <w:r w:rsidR="00370DE3">
        <w:rPr>
          <w:rFonts w:ascii="Calibri" w:eastAsia="Calibri" w:hAnsi="Calibri" w:cs="Times New Roman"/>
          <w:iCs/>
          <w:lang w:val="en-US"/>
        </w:rPr>
        <w:t xml:space="preserve"> that of Kraft, we propose that a similar mechanism occurs for the formation of</w:t>
      </w:r>
      <w:r w:rsidR="005630B3">
        <w:rPr>
          <w:rFonts w:ascii="Calibri" w:eastAsia="Calibri" w:hAnsi="Calibri" w:cs="Times New Roman"/>
          <w:iCs/>
          <w:lang w:val="en-US"/>
        </w:rPr>
        <w:t xml:space="preserve"> our</w:t>
      </w:r>
      <w:r w:rsidR="00370DE3">
        <w:rPr>
          <w:rFonts w:ascii="Calibri" w:eastAsia="Calibri" w:hAnsi="Calibri" w:cs="Times New Roman"/>
          <w:iCs/>
          <w:lang w:val="en-US"/>
        </w:rPr>
        <w:t xml:space="preserve"> mickey mouse like particles. </w:t>
      </w:r>
    </w:p>
    <w:p w:rsidR="00370DE3" w:rsidRDefault="00370DE3" w:rsidP="00370DE3">
      <w:pPr>
        <w:spacing w:line="240" w:lineRule="auto"/>
        <w:contextualSpacing/>
        <w:rPr>
          <w:rFonts w:ascii="Calibri" w:eastAsia="Calibri" w:hAnsi="Calibri" w:cs="Times New Roman"/>
          <w:lang w:val="en-US"/>
        </w:rPr>
      </w:pPr>
    </w:p>
    <w:p w:rsidR="007D780D" w:rsidRDefault="007D780D" w:rsidP="00FC7A2B">
      <w:pPr>
        <w:keepNext/>
        <w:spacing w:line="240" w:lineRule="auto"/>
        <w:jc w:val="center"/>
      </w:pPr>
      <w:r w:rsidRPr="00E74C8E">
        <w:rPr>
          <w:rFonts w:ascii="Calibri" w:eastAsia="Calibri" w:hAnsi="Calibri" w:cs="Times New Roman"/>
          <w:iCs/>
          <w:noProof/>
          <w:lang w:val="en-US"/>
        </w:rPr>
        <w:drawing>
          <wp:inline distT="0" distB="0" distL="0" distR="0" wp14:anchorId="620B28E4" wp14:editId="612C8FBD">
            <wp:extent cx="4220883" cy="2457040"/>
            <wp:effectExtent l="0" t="0" r="825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fferent morphologies DB dispers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40247" cy="2468312"/>
                    </a:xfrm>
                    <a:prstGeom prst="rect">
                      <a:avLst/>
                    </a:prstGeom>
                  </pic:spPr>
                </pic:pic>
              </a:graphicData>
            </a:graphic>
          </wp:inline>
        </w:drawing>
      </w:r>
    </w:p>
    <w:p w:rsidR="00FC7A2B" w:rsidRPr="00C3272A" w:rsidRDefault="00C82962" w:rsidP="00C3272A">
      <w:pPr>
        <w:pStyle w:val="Caption"/>
        <w:jc w:val="center"/>
        <w:rPr>
          <w:color w:val="auto"/>
          <w:sz w:val="20"/>
          <w:szCs w:val="20"/>
          <w:lang w:val="en-US"/>
        </w:rPr>
      </w:pPr>
      <w:bookmarkStart w:id="69" w:name="_Ref29913062"/>
      <w:r>
        <w:rPr>
          <w:color w:val="auto"/>
          <w:sz w:val="20"/>
          <w:szCs w:val="20"/>
          <w:lang w:val="en-US"/>
        </w:rPr>
        <w:t>Figure</w:t>
      </w:r>
      <w:r w:rsidR="007D780D" w:rsidRPr="007D780D">
        <w:rPr>
          <w:color w:val="auto"/>
          <w:sz w:val="20"/>
          <w:szCs w:val="20"/>
          <w:lang w:val="en-US"/>
        </w:rPr>
        <w:t xml:space="preserve"> </w:t>
      </w:r>
      <w:r w:rsidR="007D780D" w:rsidRPr="007D780D">
        <w:rPr>
          <w:color w:val="auto"/>
          <w:sz w:val="20"/>
          <w:szCs w:val="20"/>
        </w:rPr>
        <w:fldChar w:fldCharType="begin"/>
      </w:r>
      <w:r w:rsidR="007D780D" w:rsidRPr="007D780D">
        <w:rPr>
          <w:color w:val="auto"/>
          <w:sz w:val="20"/>
          <w:szCs w:val="20"/>
          <w:lang w:val="en-US"/>
        </w:rPr>
        <w:instrText xml:space="preserve"> SEQ Figure \* ARABIC </w:instrText>
      </w:r>
      <w:r w:rsidR="007D780D" w:rsidRPr="007D780D">
        <w:rPr>
          <w:color w:val="auto"/>
          <w:sz w:val="20"/>
          <w:szCs w:val="20"/>
        </w:rPr>
        <w:fldChar w:fldCharType="separate"/>
      </w:r>
      <w:r w:rsidR="00C52506">
        <w:rPr>
          <w:noProof/>
          <w:color w:val="auto"/>
          <w:sz w:val="20"/>
          <w:szCs w:val="20"/>
          <w:lang w:val="en-US"/>
        </w:rPr>
        <w:t>19</w:t>
      </w:r>
      <w:r w:rsidR="007D780D" w:rsidRPr="007D780D">
        <w:rPr>
          <w:color w:val="auto"/>
          <w:sz w:val="20"/>
          <w:szCs w:val="20"/>
        </w:rPr>
        <w:fldChar w:fldCharType="end"/>
      </w:r>
      <w:bookmarkEnd w:id="69"/>
      <w:r w:rsidR="007D780D" w:rsidRPr="007D780D">
        <w:rPr>
          <w:color w:val="auto"/>
          <w:sz w:val="20"/>
          <w:szCs w:val="20"/>
          <w:lang w:val="en-US"/>
        </w:rPr>
        <w:t>: Different deformations that can form during dumbbell synthesis.</w:t>
      </w:r>
    </w:p>
    <w:p w:rsidR="005630B3" w:rsidRDefault="005630B3" w:rsidP="005630B3">
      <w:pPr>
        <w:spacing w:line="240" w:lineRule="auto"/>
        <w:contextualSpacing/>
        <w:rPr>
          <w:rFonts w:ascii="Calibri" w:eastAsia="Calibri" w:hAnsi="Calibri" w:cs="Times New Roman"/>
          <w:iCs/>
          <w:lang w:val="en-US"/>
        </w:rPr>
      </w:pPr>
      <w:r w:rsidRPr="00E87FD6">
        <w:rPr>
          <w:rFonts w:ascii="Calibri" w:eastAsia="Calibri" w:hAnsi="Calibri" w:cs="Times New Roman"/>
          <w:iCs/>
          <w:lang w:val="en-US"/>
        </w:rPr>
        <w:t>For DB2, mainly spherical TPM and trimer particles have formed in the dispersion in a similar fashion</w:t>
      </w:r>
      <w:r w:rsidRPr="00E74C8E">
        <w:rPr>
          <w:rFonts w:ascii="Calibri" w:eastAsia="Calibri" w:hAnsi="Calibri" w:cs="Times New Roman"/>
          <w:iCs/>
          <w:lang w:val="en-US"/>
        </w:rPr>
        <w:t xml:space="preserve"> as for the DB1 synthesis. </w:t>
      </w:r>
    </w:p>
    <w:p w:rsidR="005630B3" w:rsidRDefault="005630B3" w:rsidP="005630B3">
      <w:pPr>
        <w:spacing w:line="240" w:lineRule="auto"/>
        <w:contextualSpacing/>
        <w:rPr>
          <w:rFonts w:ascii="Calibri" w:eastAsia="Calibri" w:hAnsi="Calibri" w:cs="Times New Roman"/>
          <w:iCs/>
          <w:lang w:val="en-US"/>
        </w:rPr>
      </w:pPr>
    </w:p>
    <w:p w:rsidR="000C1C03" w:rsidRDefault="00E74C8E" w:rsidP="00FC7A2B">
      <w:pPr>
        <w:spacing w:line="240" w:lineRule="auto"/>
        <w:contextualSpacing/>
        <w:rPr>
          <w:rFonts w:ascii="Calibri" w:eastAsia="Calibri" w:hAnsi="Calibri" w:cs="Times New Roman"/>
          <w:iCs/>
          <w:lang w:val="en-US"/>
        </w:rPr>
      </w:pPr>
      <w:r w:rsidRPr="00E74C8E">
        <w:rPr>
          <w:rFonts w:ascii="Calibri" w:eastAsia="Calibri" w:hAnsi="Calibri" w:cs="Times New Roman"/>
          <w:iCs/>
          <w:lang w:val="en-US"/>
        </w:rPr>
        <w:t xml:space="preserve">Also, it was observed that during syntheses, multiple smaller nucleation sites of TPM were present on a </w:t>
      </w:r>
      <w:r w:rsidR="005630B3">
        <w:rPr>
          <w:rFonts w:ascii="Calibri" w:eastAsia="Calibri" w:hAnsi="Calibri" w:cs="Times New Roman"/>
          <w:iCs/>
          <w:lang w:val="en-US"/>
        </w:rPr>
        <w:t>n</w:t>
      </w:r>
      <w:r w:rsidRPr="00E74C8E">
        <w:rPr>
          <w:rFonts w:ascii="Calibri" w:eastAsia="Calibri" w:hAnsi="Calibri" w:cs="Times New Roman"/>
          <w:iCs/>
          <w:lang w:val="en-US"/>
        </w:rPr>
        <w:t xml:space="preserve">PS particle surface, in addition to the desired larger single lobe, as shown in </w:t>
      </w:r>
      <w:r w:rsidR="007C6D98" w:rsidRPr="005630B3">
        <w:rPr>
          <w:rFonts w:ascii="Calibri" w:eastAsia="Calibri" w:hAnsi="Calibri" w:cs="Times New Roman"/>
          <w:iCs/>
          <w:lang w:val="en-US"/>
        </w:rPr>
        <w:fldChar w:fldCharType="begin"/>
      </w:r>
      <w:r w:rsidR="007C6D98" w:rsidRPr="005630B3">
        <w:rPr>
          <w:rFonts w:ascii="Calibri" w:eastAsia="Calibri" w:hAnsi="Calibri" w:cs="Times New Roman"/>
          <w:iCs/>
          <w:lang w:val="en-US"/>
        </w:rPr>
        <w:instrText xml:space="preserve"> REF _Ref29913099 \h  \* MERGEFORMAT </w:instrText>
      </w:r>
      <w:r w:rsidR="007C6D98" w:rsidRPr="005630B3">
        <w:rPr>
          <w:rFonts w:ascii="Calibri" w:eastAsia="Calibri" w:hAnsi="Calibri" w:cs="Times New Roman"/>
          <w:iCs/>
          <w:lang w:val="en-US"/>
        </w:rPr>
      </w:r>
      <w:r w:rsidR="007C6D98" w:rsidRPr="005630B3">
        <w:rPr>
          <w:rFonts w:ascii="Calibri" w:eastAsia="Calibri" w:hAnsi="Calibri" w:cs="Times New Roman"/>
          <w:iCs/>
          <w:lang w:val="en-US"/>
        </w:rPr>
        <w:fldChar w:fldCharType="separate"/>
      </w:r>
      <w:r w:rsidR="00C52506" w:rsidRPr="005630B3">
        <w:rPr>
          <w:lang w:val="en-US"/>
        </w:rPr>
        <w:t xml:space="preserve">Figure </w:t>
      </w:r>
      <w:r w:rsidR="00C52506" w:rsidRPr="005630B3">
        <w:rPr>
          <w:noProof/>
          <w:lang w:val="en-US"/>
        </w:rPr>
        <w:t>20</w:t>
      </w:r>
      <w:r w:rsidR="007C6D98" w:rsidRPr="005630B3">
        <w:rPr>
          <w:rFonts w:ascii="Calibri" w:eastAsia="Calibri" w:hAnsi="Calibri" w:cs="Times New Roman"/>
          <w:iCs/>
          <w:lang w:val="en-US"/>
        </w:rPr>
        <w:fldChar w:fldCharType="end"/>
      </w:r>
      <w:r w:rsidR="00DB51D6" w:rsidRPr="005630B3">
        <w:rPr>
          <w:rFonts w:ascii="Calibri" w:eastAsia="Calibri" w:hAnsi="Calibri" w:cs="Times New Roman"/>
          <w:iCs/>
          <w:lang w:val="en-US"/>
        </w:rPr>
        <w:t>A</w:t>
      </w:r>
      <w:r w:rsidRPr="005630B3">
        <w:rPr>
          <w:rFonts w:ascii="Calibri" w:eastAsia="Calibri" w:hAnsi="Calibri" w:cs="Times New Roman"/>
          <w:iCs/>
          <w:lang w:val="en-US"/>
        </w:rPr>
        <w:t>. These</w:t>
      </w:r>
      <w:r w:rsidRPr="00E74C8E">
        <w:rPr>
          <w:rFonts w:ascii="Calibri" w:eastAsia="Calibri" w:hAnsi="Calibri" w:cs="Times New Roman"/>
          <w:iCs/>
          <w:lang w:val="en-US"/>
        </w:rPr>
        <w:t xml:space="preserve"> small hetero-nuclei pollute chemical properties of the </w:t>
      </w:r>
      <w:r w:rsidR="00FB6101">
        <w:rPr>
          <w:rFonts w:ascii="Calibri" w:eastAsia="Calibri" w:hAnsi="Calibri" w:cs="Times New Roman"/>
          <w:iCs/>
          <w:lang w:val="en-US"/>
        </w:rPr>
        <w:t>n</w:t>
      </w:r>
      <w:r w:rsidRPr="00E74C8E">
        <w:rPr>
          <w:rFonts w:ascii="Calibri" w:eastAsia="Calibri" w:hAnsi="Calibri" w:cs="Times New Roman"/>
          <w:iCs/>
          <w:lang w:val="en-US"/>
        </w:rPr>
        <w:t xml:space="preserve">PS surface and prevent growth of a single TPM lobe. </w:t>
      </w:r>
    </w:p>
    <w:p w:rsidR="00E74C8E" w:rsidRPr="005630B3" w:rsidRDefault="00E74C8E" w:rsidP="00FC7A2B">
      <w:pPr>
        <w:spacing w:line="240" w:lineRule="auto"/>
        <w:contextualSpacing/>
        <w:rPr>
          <w:rFonts w:ascii="Calibri" w:eastAsia="Calibri" w:hAnsi="Calibri" w:cs="Times New Roman"/>
          <w:iCs/>
          <w:lang w:val="en-US"/>
        </w:rPr>
      </w:pPr>
      <w:r w:rsidRPr="00E74C8E">
        <w:rPr>
          <w:rFonts w:ascii="Calibri" w:eastAsia="Calibri" w:hAnsi="Calibri" w:cs="Times New Roman"/>
          <w:iCs/>
          <w:lang w:val="en-US"/>
        </w:rPr>
        <w:t>To solve this, a minute amount of hydroquinone (0.0185 wt% compared to the weight of water) is added before radical polymerization. This compound is known as a radical scavenger, preventing additional free-radical reactions to occur</w:t>
      </w:r>
      <w:r w:rsidRPr="00E74C8E">
        <w:rPr>
          <w:rFonts w:ascii="Calibri" w:eastAsia="Calibri" w:hAnsi="Calibri" w:cs="Times New Roman"/>
          <w:iCs/>
          <w:lang w:val="en-US"/>
        </w:rPr>
        <w:fldChar w:fldCharType="begin" w:fldLock="1"/>
      </w:r>
      <w:r w:rsidR="00FB6101">
        <w:rPr>
          <w:rFonts w:ascii="Calibri" w:eastAsia="Calibri" w:hAnsi="Calibri" w:cs="Times New Roman"/>
          <w:iCs/>
          <w:lang w:val="en-US"/>
        </w:rPr>
        <w:instrText>ADDIN CSL_CITATION { "citationItems" : [ { "id" : "ITEM-1", "itemData" : { "abstract" : "The mechanism of free radical emulsion polymerization of butyl acrylate initiated by ammonium peroxodisulfate at 70 \u00b0C in the presence of a small amount of hydroqu\u00ednone has been studied. Over the stationary state the rate of polymerization decreases with increasing the hydroqu\u00ednone concentra-tion. The rate of polymerization is proportional to the emulsifier concentra-tion (without hydroqu\u00ednone) but in the presence of hydroqu\u00ednone it de-creases with increasing emulsifier concentration and the number of particles is proportional to the first power of the emulsifier concentration. The inhibition efficiency decreases with increasing hydroquinone con-centration. Hydroquinone aha products from its interaction with initiator, oxygen and quinone to some extent participate also in complex way in some other reactions which may lead to both partial regeneration and deactiva-tion of inhibitor. The radical scavenger was found to decrease the average particle size. This was discussed in terms of the suppression of polymerization within the large emulsified monomer droplets. \u0418\u0437\u0443\u0447\u0435\u043d \u043c\u0435\u0445\u0430\u043d\u0438\u0437\u043c \u0441\u0432\u043e\u0431\u043e\u0434\u043d\u043e-\u0440\u0430\u0434\u0438\u043a\u0430\u043b\u044c\u043d\u043e\u0439 \u044d\u043c\u0443\u043b\u044c\u0441\u0438\u043e\u043d\u043d\u043e\u0439 \u043f\u043e\u043b\u0438\u043c\u0435\u0440\u0438\u00ad \u0437\u0430\u0446\u0438\u0438 \u0431\u0443\u0442\u0438\u043b\u0430\u043a\u0440\u0438\u043b\u0430\u0442\u0430, \u0438\u043d\u0438\u0446\u0438\u0438\u0440\u0443\u0435\u043c\u043e\u0439 \u043f\u0435\u0440\u043e\u043a\u0441\u043e\u0434\u0438\u0441\u0443\u043b\u044c\u0444\u0430\u0442\u043e\u043c \u0430\u043c\u043c\u043e\u043d\u0438\u044f, \u043f\u0440\u0438 70 \u00b0\u0421 \u0432 \u043f\u0440\u0438\u0441\u0443\u0442\u0441\u0442\u0432\u0438\u0438 \u043d\u0435\u0431\u043e\u043b\u044c\u0448\u043e\u0433\u043e \u043a\u043e\u043b\u0438\u0447\u0435\u0441\u0442\u0432\u0430 \u0433\u0438\u0434\u0440\u043e\u0445\u0438\u043d\u043e\u043d\u0430. \u0412 \u0441\u0442\u0430\u00ad \u0446\u0438\u043e\u043d\u0430\u0440\u043d\u043e\u0439 \u0444\u0430\u0437\u0435 \u0441\u043a\u043e\u0440\u043e\u0441\u0442\u044c \u043f\u043e\u043b\u0438\u043c\u0435\u0440\u0438\u0437\u0430\u0446\u0438\u0438 \u0441\u043d\u0438\u0436\u0430\u0435\u0442\u0441\u044f \u043f\u0440\u0438 \u0432\u043e\u0437\u0440\u0430\u0441\u0442\u0430\u043d\u0438\u0438 \u043a\u043e\u043d\u0446\u0435\u043d\u0442\u0440\u0430\u0446\u0438\u0438 \u0433\u0438\u0434\u0440\u043e\u0445\u0438\u043d\u043e\u043d\u0430. \u0421\u043a\u043e\u0440\u043e\u0441\u0442\u044c \u043f\u043e\u043b\u0438\u043c\u0435\u0440\u0438\u0437\u0430\u0446\u0438\u0438 \u043f\u0440\u043e\u043f\u043e\u0440\u00ad \u0446\u0438\u043e\u043d\u0430\u043b\u044c\u043d\u0430 \u0441\u043e\u0434\u0435\u0440\u0436\u0430\u043d\u0438\u044e \u044d\u043c\u0443\u043b\u044c\u0433\u0430\u0442\u043e\u0440\u0430 (\u0432 \u043e\u0442\u0441\u0443\u0442\u0441\u0442\u0432\u0438\u0438 \u0433\u0438\u0434\u0440\u043e\u0445\u0438\u043d\u043e\u043d\u0430), \u043e\u0434\u00ad \u043d\u0430\u043a\u043e \u0432 \u043f\u0440\u0438\u0441\u0443\u0442\u0441\u0442\u0432\u0438\u0438 \u0433\u0438\u0434\u0440\u043e\u0445\u0438\u043d\u043e\u043d\u0430 \u043e\u043d\u0430 \u0441\u043d\u0438\u0436\u0430\u0435\u0442\u0441\u044f \u043f\u0440\u0438 \u043f\u043e\u0432\u044b\u0448\u0435\u043d\u0438\u0438 \u043a\u043e\u043d\u00ad \u0446\u0435\u043d\u0442\u0440\u0430\u0446\u0438\u0438 \u044d\u043c\u0443\u043b\u044c\u0433\u0430\u0442\u043e\u0440\u0430, \u0438 \u0447\u0438\u0441\u043b\u043e \u0447\u0430\u0441\u0442\u0438\u0446 \u043f\u0440\u043e\u043f\u043e\u0440\u0446\u0438\u043e\u043d\u0430\u043b\u044c\u043d\u043e \u043f\u0435\u0440\u0432\u043e\u043c\u0443 \u043f\u043e\u0440\u044f\u0434\u043a\u0443 \u043a\u043e\u043d\u0446\u0435\u043d\u0442\u0440\u0430\u0446\u0438\u0438 \u044d\u043c\u0443\u043b\u044c\u0433\u0430\u0442\u043e\u0440\u0430. \u042d\u0444\u0444\u0435\u043a\u0442\u0438\u0432\u043d\u043e\u0441\u0442\u044c \u0438\u043d\u0433\u0438\u0431\u0438\u0440\u043e\u0432\u0430\u043d\u0438\u044f \u0443\u043c\u0435\u043d\u044c\u0448\u0430\u0435\u0442\u0441\u044f \u043f\u0440\u0438 \u0443\u0432\u0435\u043b\u0438\u0447\u0435\u043d\u0438\u0438 \u043a\u043e\u043d\u00ad \u0446\u0435\u043d\u0442\u0440\u0430\u0446\u0438\u0438 \u0433\u0438\u0434\u0440\u043e\u0445\u0438\u043d\u043e\u043d\u0430. \u0413\u0438\u0434\u0440\u043e\u0445\u0438\u043d\u043e\u043d \u0438 \u043f\u0440\u043e\u0434\u0443\u043a\u0442\u044b \u0435\u0433\u043e \u0432\u0437\u0430\u0438\u043c\u043e\u0434\u0435\u0439\u0441\u0442\u0432\u0438\u044f \u0441 \u0438\u043d\u0438\u0446\u0438\u0430\u0442\u043e\u0440\u043e\u043c, \u043a\u0438\u0441\u043b\u043e\u0440\u043e\u0434 \u0438 \u0445\u0438\u043d\u043e\u043d \u0432 \u043d\u0435\u043a\u043e\u0442\u043e\u0440\u043e\u0439 \u0441\u0442\u0435\u043f\u0435\u043d\u0438, \u0441\u043b\u043e\u0436\u043d\u044b\u043c \u043f\u0443\u0442\u0435\u043c \u043f\u0440\u0438\u043d\u0438\u043c\u0430\u044e\u0442 \u0443\u0447\u0430\u0441\u0442\u0438\u0435 \u0432 \u043f\u0440\u043e\u0447\u0438\u0445 \u0440\u0435\u0430\u043a\u0446\u0438\u044f\u0445, \u043c\u043e\u0433\u0443\u0449\u0438\u0445 \u043f\u0440\u0438\u0432\u0435\u0441\u0442\u0438 \u043a\u0430\u043a \u043a \u0447\u0430\u0441\u0442\u0438\u0447\u043d\u043e\u0439 \u0440\u0435\u0433\u0435\u043d\u0435\u0440\u0430\u0446\u0438\u0438, \u0442\u0430\u043a \u0438 \u043a \u0434\u0435\u0437\u0430\u043a\u0442\u0438\u0432\u0430\u0446\u0438\u0438 \u0438\u043d\u0433\u0438\u0431\u0438\u0442\u043e\u0440\u0430. \u041e\u0431\u043d\u0430\u0440\u0443\u0436\u0435\u043d\u043e, \u0447\u0442\u043e \u043b\u043e\u0432\u0443\u0448\u043a\u0430 \u0440\u0430\u0434\u0438\u043a\u0430\u043b\u043e\u0432 \u043f\u0440\u0438\u0432\u043e\u0434\u0438\u0442 \u043a \u0443\u043c\u0435\u043d\u044c\u0448\u0435\u043d\u0438\u044e \u0441\u0440\u0435\u0434\u00ad \u043d\u0435\u0433\u043e \u0440\u0430\u0437\u043c\u0435\u0440\u0430 \u0447\u0430\u0441\u0442\u0438\u0446. \u042d\u0442\u043e \u044f\u0432\u043b\u0435\u043d\u0438\u0435 \u043e\u0431\u0441\u0443\u0436\u0434\u0430\u0435\u0442\u0441\u044f \u0432 \u0442\u0435\u0440\u043c\u0438\u043d\u0430\u0445 \u043f\u043e\u0434\u0430\u0432\u043b\u0435\u043d\u0438\u044f \u043f\u043e\u043b\u0438\u043c\u0435\u0440\u0438\u0437\u0430\u0446\u0438\u0438 \u0432\u043d\u0443\u0442\u0440\u0438 \u043e\u0431\u044a\u0435\u043c\u043d\u044b\u0445 \u044d\u043c\u0443\u043b\u044c\u0433\u0438\u0440\u043e\u0432\u0430\u043d\u043d\u044b\u0445 \u043a\u0430\u043f\u0435\u043b\u044c \u043c\u043e\u043d\u043e\u043c\u0435\u0440\u0430.", "author" : [ { "dropping-particle" : "", "family" : "Capek", "given" : "I", "non-dropping-particle" : "", "parse-names" : false, "suffix" : "" } ], "container-title" : "chem. Papers", "id" : "ITEM-1", "issue" : "4", "issued" : { "date-parts" : [ [ "1989" ] ] }, "page" : "527-535", "title" : "Effect of hydroqu\u00ednone on the kinetics of emulsion polymerization of butyl acrylate", "type" : "article-journal", "volume" : "43" }, "uris" : [ "http://www.mendeley.com/documents/?uuid=87351501-778b-4dd9-aef2-4960c5331ced" ] } ], "mendeley" : { "formattedCitation" : "&lt;sup&gt;70&lt;/sup&gt;", "plainTextFormattedCitation" : "70", "previouslyFormattedCitation" : "&lt;sup&gt;70&lt;/sup&gt;" }, "properties" : { "noteIndex" : 0 }, "schema" : "https://github.com/citation-style-language/schema/raw/master/csl-citation.json" }</w:instrText>
      </w:r>
      <w:r w:rsidRPr="00E74C8E">
        <w:rPr>
          <w:rFonts w:ascii="Calibri" w:eastAsia="Calibri" w:hAnsi="Calibri" w:cs="Times New Roman"/>
          <w:iCs/>
          <w:lang w:val="en-US"/>
        </w:rPr>
        <w:fldChar w:fldCharType="separate"/>
      </w:r>
      <w:r w:rsidR="00DE131C" w:rsidRPr="00DE131C">
        <w:rPr>
          <w:rFonts w:ascii="Calibri" w:eastAsia="Calibri" w:hAnsi="Calibri" w:cs="Times New Roman"/>
          <w:iCs/>
          <w:noProof/>
          <w:vertAlign w:val="superscript"/>
          <w:lang w:val="en-US"/>
        </w:rPr>
        <w:t>70</w:t>
      </w:r>
      <w:r w:rsidRPr="00E74C8E">
        <w:rPr>
          <w:rFonts w:ascii="Calibri" w:eastAsia="Calibri" w:hAnsi="Calibri" w:cs="Times New Roman"/>
          <w:iCs/>
          <w:lang w:val="en-US"/>
        </w:rPr>
        <w:fldChar w:fldCharType="end"/>
      </w:r>
      <w:r w:rsidRPr="00E74C8E">
        <w:rPr>
          <w:rFonts w:ascii="Calibri" w:eastAsia="Calibri" w:hAnsi="Calibri" w:cs="Times New Roman"/>
          <w:iCs/>
          <w:lang w:val="en-US"/>
        </w:rPr>
        <w:t xml:space="preserve">. After addition of this compound, the surface of the PS substrate is observed to be much smoother, as shown in </w:t>
      </w:r>
      <w:r w:rsidR="007C6D98" w:rsidRPr="005630B3">
        <w:rPr>
          <w:rFonts w:ascii="Calibri" w:eastAsia="Calibri" w:hAnsi="Calibri" w:cs="Times New Roman"/>
          <w:iCs/>
          <w:lang w:val="en-US"/>
        </w:rPr>
        <w:fldChar w:fldCharType="begin"/>
      </w:r>
      <w:r w:rsidR="007C6D98" w:rsidRPr="005630B3">
        <w:rPr>
          <w:rFonts w:ascii="Calibri" w:eastAsia="Calibri" w:hAnsi="Calibri" w:cs="Times New Roman"/>
          <w:iCs/>
          <w:lang w:val="en-US"/>
        </w:rPr>
        <w:instrText xml:space="preserve"> REF _Ref29913099 \h  \* MERGEFORMAT </w:instrText>
      </w:r>
      <w:r w:rsidR="007C6D98" w:rsidRPr="005630B3">
        <w:rPr>
          <w:rFonts w:ascii="Calibri" w:eastAsia="Calibri" w:hAnsi="Calibri" w:cs="Times New Roman"/>
          <w:iCs/>
          <w:lang w:val="en-US"/>
        </w:rPr>
      </w:r>
      <w:r w:rsidR="007C6D98" w:rsidRPr="005630B3">
        <w:rPr>
          <w:rFonts w:ascii="Calibri" w:eastAsia="Calibri" w:hAnsi="Calibri" w:cs="Times New Roman"/>
          <w:iCs/>
          <w:lang w:val="en-US"/>
        </w:rPr>
        <w:fldChar w:fldCharType="separate"/>
      </w:r>
      <w:r w:rsidR="00C52506" w:rsidRPr="005630B3">
        <w:rPr>
          <w:lang w:val="en-US"/>
        </w:rPr>
        <w:t xml:space="preserve">Figure </w:t>
      </w:r>
      <w:r w:rsidR="00C52506" w:rsidRPr="005630B3">
        <w:rPr>
          <w:noProof/>
          <w:lang w:val="en-US"/>
        </w:rPr>
        <w:t>20</w:t>
      </w:r>
      <w:r w:rsidR="007C6D98" w:rsidRPr="005630B3">
        <w:rPr>
          <w:rFonts w:ascii="Calibri" w:eastAsia="Calibri" w:hAnsi="Calibri" w:cs="Times New Roman"/>
          <w:iCs/>
          <w:lang w:val="en-US"/>
        </w:rPr>
        <w:fldChar w:fldCharType="end"/>
      </w:r>
      <w:r w:rsidR="00DB51D6" w:rsidRPr="005630B3">
        <w:rPr>
          <w:rFonts w:ascii="Calibri" w:eastAsia="Calibri" w:hAnsi="Calibri" w:cs="Times New Roman"/>
          <w:iCs/>
          <w:lang w:val="en-US"/>
        </w:rPr>
        <w:t>B</w:t>
      </w:r>
      <w:r w:rsidRPr="005630B3">
        <w:rPr>
          <w:rFonts w:ascii="Calibri" w:eastAsia="Calibri" w:hAnsi="Calibri" w:cs="Times New Roman"/>
          <w:iCs/>
          <w:lang w:val="en-US"/>
        </w:rPr>
        <w:t xml:space="preserve">. </w:t>
      </w:r>
    </w:p>
    <w:p w:rsidR="000C1C03" w:rsidRDefault="00E74C8E" w:rsidP="00FC7A2B">
      <w:pPr>
        <w:keepNext/>
        <w:spacing w:line="240" w:lineRule="auto"/>
        <w:contextualSpacing/>
        <w:jc w:val="center"/>
      </w:pPr>
      <w:r w:rsidRPr="00E74C8E">
        <w:rPr>
          <w:rFonts w:ascii="Calibri" w:eastAsia="Calibri" w:hAnsi="Calibri" w:cs="Times New Roman"/>
          <w:iCs/>
          <w:noProof/>
          <w:lang w:val="en-US"/>
        </w:rPr>
        <w:lastRenderedPageBreak/>
        <w:drawing>
          <wp:inline distT="0" distB="0" distL="0" distR="0" wp14:anchorId="2B80DB8B" wp14:editId="0973249D">
            <wp:extent cx="4055533" cy="1923160"/>
            <wp:effectExtent l="0" t="0" r="254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Q dumbbell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76011" cy="1932871"/>
                    </a:xfrm>
                    <a:prstGeom prst="rect">
                      <a:avLst/>
                    </a:prstGeom>
                  </pic:spPr>
                </pic:pic>
              </a:graphicData>
            </a:graphic>
          </wp:inline>
        </w:drawing>
      </w:r>
    </w:p>
    <w:p w:rsidR="00E74C8E" w:rsidRPr="000C1C03" w:rsidRDefault="00C82962" w:rsidP="00FC7A2B">
      <w:pPr>
        <w:pStyle w:val="Caption"/>
        <w:jc w:val="center"/>
        <w:rPr>
          <w:rFonts w:ascii="Calibri" w:eastAsia="Calibri" w:hAnsi="Calibri" w:cs="Times New Roman"/>
          <w:iCs w:val="0"/>
          <w:color w:val="auto"/>
          <w:sz w:val="20"/>
          <w:szCs w:val="20"/>
          <w:lang w:val="en-US"/>
        </w:rPr>
      </w:pPr>
      <w:bookmarkStart w:id="70" w:name="_Ref29913099"/>
      <w:r>
        <w:rPr>
          <w:color w:val="auto"/>
          <w:sz w:val="20"/>
          <w:szCs w:val="20"/>
          <w:lang w:val="en-US"/>
        </w:rPr>
        <w:t>Figure</w:t>
      </w:r>
      <w:r w:rsidR="000C1C03" w:rsidRPr="000C1C03">
        <w:rPr>
          <w:color w:val="auto"/>
          <w:sz w:val="20"/>
          <w:szCs w:val="20"/>
          <w:lang w:val="en-US"/>
        </w:rPr>
        <w:t xml:space="preserve"> </w:t>
      </w:r>
      <w:r w:rsidR="000C1C03" w:rsidRPr="000C1C03">
        <w:rPr>
          <w:color w:val="auto"/>
          <w:sz w:val="20"/>
          <w:szCs w:val="20"/>
        </w:rPr>
        <w:fldChar w:fldCharType="begin"/>
      </w:r>
      <w:r w:rsidR="000C1C03" w:rsidRPr="000C1C03">
        <w:rPr>
          <w:color w:val="auto"/>
          <w:sz w:val="20"/>
          <w:szCs w:val="20"/>
          <w:lang w:val="en-US"/>
        </w:rPr>
        <w:instrText xml:space="preserve"> SEQ Figure \* ARABIC </w:instrText>
      </w:r>
      <w:r w:rsidR="000C1C03" w:rsidRPr="000C1C03">
        <w:rPr>
          <w:color w:val="auto"/>
          <w:sz w:val="20"/>
          <w:szCs w:val="20"/>
        </w:rPr>
        <w:fldChar w:fldCharType="separate"/>
      </w:r>
      <w:r w:rsidR="00C52506">
        <w:rPr>
          <w:noProof/>
          <w:color w:val="auto"/>
          <w:sz w:val="20"/>
          <w:szCs w:val="20"/>
          <w:lang w:val="en-US"/>
        </w:rPr>
        <w:t>20</w:t>
      </w:r>
      <w:r w:rsidR="000C1C03" w:rsidRPr="000C1C03">
        <w:rPr>
          <w:color w:val="auto"/>
          <w:sz w:val="20"/>
          <w:szCs w:val="20"/>
        </w:rPr>
        <w:fldChar w:fldCharType="end"/>
      </w:r>
      <w:bookmarkEnd w:id="70"/>
      <w:r w:rsidR="000C1C03" w:rsidRPr="000C1C03">
        <w:rPr>
          <w:color w:val="auto"/>
          <w:sz w:val="20"/>
          <w:szCs w:val="20"/>
          <w:lang w:val="en-US"/>
        </w:rPr>
        <w:t xml:space="preserve">: </w:t>
      </w:r>
      <w:r w:rsidR="000C1C03">
        <w:rPr>
          <w:color w:val="auto"/>
          <w:sz w:val="20"/>
          <w:szCs w:val="20"/>
          <w:lang w:val="en-US"/>
        </w:rPr>
        <w:t xml:space="preserve">Scanning electron micrographs. </w:t>
      </w:r>
      <w:r w:rsidR="000C1C03" w:rsidRPr="000C1C03">
        <w:rPr>
          <w:b/>
          <w:color w:val="auto"/>
          <w:sz w:val="20"/>
          <w:szCs w:val="20"/>
          <w:lang w:val="en-US"/>
        </w:rPr>
        <w:t>A</w:t>
      </w:r>
      <w:r w:rsidR="000C1C03" w:rsidRPr="000C1C03">
        <w:rPr>
          <w:color w:val="auto"/>
          <w:sz w:val="20"/>
          <w:szCs w:val="20"/>
          <w:lang w:val="en-US"/>
        </w:rPr>
        <w:t xml:space="preserve">: DB-1 without HQ, </w:t>
      </w:r>
      <w:r w:rsidR="000C1C03" w:rsidRPr="000C1C03">
        <w:rPr>
          <w:b/>
          <w:color w:val="auto"/>
          <w:sz w:val="20"/>
          <w:szCs w:val="20"/>
          <w:lang w:val="en-US"/>
        </w:rPr>
        <w:t>B</w:t>
      </w:r>
      <w:r w:rsidR="000C1C03" w:rsidRPr="000C1C03">
        <w:rPr>
          <w:color w:val="auto"/>
          <w:sz w:val="20"/>
          <w:szCs w:val="20"/>
          <w:lang w:val="en-US"/>
        </w:rPr>
        <w:t>: DB-2 with HQ. Note the absence of smaller TPM nuclei on the PS seeds.</w:t>
      </w:r>
    </w:p>
    <w:p w:rsidR="00E87FD6" w:rsidRDefault="00E74C8E" w:rsidP="00FC7A2B">
      <w:pPr>
        <w:spacing w:line="240" w:lineRule="auto"/>
        <w:contextualSpacing/>
        <w:rPr>
          <w:rFonts w:ascii="Calibri" w:eastAsia="Calibri" w:hAnsi="Calibri" w:cs="Times New Roman"/>
          <w:iCs/>
          <w:lang w:val="en-US"/>
        </w:rPr>
      </w:pPr>
      <w:r w:rsidRPr="00E74C8E">
        <w:rPr>
          <w:rFonts w:ascii="Calibri" w:eastAsia="Calibri" w:hAnsi="Calibri" w:cs="Times New Roman"/>
          <w:iCs/>
          <w:lang w:val="en-US"/>
        </w:rPr>
        <w:t>Now that a particle with two chemically tunable surfaces is obtained, it can be selectively modified.  This is done in the third step of the synthesis, where the amine functionalized silane APTES is added to the silane surface of the TPM particle</w:t>
      </w:r>
      <w:r w:rsidRPr="00E74C8E">
        <w:rPr>
          <w:rFonts w:ascii="Calibri" w:eastAsia="Calibri" w:hAnsi="Calibri" w:cs="Times New Roman"/>
          <w:iCs/>
          <w:lang w:val="en-US"/>
        </w:rPr>
        <w:fldChar w:fldCharType="begin" w:fldLock="1"/>
      </w:r>
      <w:r w:rsidR="00FB6101">
        <w:rPr>
          <w:rFonts w:ascii="Calibri" w:eastAsia="Calibri" w:hAnsi="Calibri" w:cs="Times New Roman"/>
          <w:iCs/>
          <w:lang w:val="en-US"/>
        </w:rPr>
        <w:instrText>ADDIN CSL_CITATION { "citationItems" : [ { "id" : "ITEM-1", "itemData" : { "DOI" : "10.1021/acs.macromol.8b01306", "ISSN" : "15205835", "abstract" : "The availability of catalytic/reducing sites at metallic Cu 0 sources during supplemental activator and reducing agent atom transfer radical polymerization (SARA ATRP) is regulated by the components of the polymerization mixture, including ligand (L), alkyl halide initiator (R-X), and Cu II -based deactivator. Their contributions were analyzed by quantifying the dissolution of Cu species within a quartz crystal microbalance with dissipation (QCM-D), subjecting a Cu 0 -coated sensor to different polymerization mixtures. The control of catalyst diffusion from Cu 0 was subsequently exploited to fabricate structured polymer brushes with diverse compositions, when ATRP was performed from surface-immobilized initiators in the presence of a Cu 0 plate, placed at a determined distance (d) from the substrate. Surface-initiated ATRP in the presence of Cu 0 (Cu 0 -SI-ATRP) is compatible with a broad variety of monomers, including oligo(ethylene glycol) acrylate (OEGA), methyl acrylate (MA), and acrylamide (AAm). The kinetics of brush growth is finely tuned by the independent variation of d, polymerization time, and concentration of added deactivator. Modulation of these parameters allowed us to generate homopolymer and multiblock copolymer brush gradients featuring a variety of morphologies and controlled interfacial properties, with unprecedented spatial resolution over the brush structure.", "author" : [ { "dropping-particle" : "", "family" : "Fantin", "given" : "Marco", "non-dropping-particle" : "", "parse-names" : false, "suffix" : "" }, { "dropping-particle" : "", "family" : "Ramakrishna", "given" : "Shivaprakash N.", "non-dropping-particle" : "", "parse-names" : false, "suffix" : "" }, { "dropping-particle" : "", "family" : "Yan", "given" : "Jiajun", "non-dropping-particle" : "", "parse-names" : false, "suffix" : "" }, { "dropping-particle" : "", "family" : "Yan", "given" : "Wenqing", "non-dropping-particle" : "", "parse-names" : false, "suffix" : "" }, { "dropping-particle" : "", "family" : "Divandari", "given" : "Mohammad", "non-dropping-particle" : "", "parse-names" : false, "suffix" : "" }, { "dropping-particle" : "", "family" : "Spencer", "given" : "Nicholas D.", "non-dropping-particle" : "", "parse-names" : false, "suffix" : "" }, { "dropping-particle" : "", "family" : "Matyjaszewski", "given" : "Krzysztof", "non-dropping-particle" : "", "parse-names" : false, "suffix" : "" }, { "dropping-particle" : "", "family" : "Benetti", "given" : "Edmondo M.", "non-dropping-particle" : "", "parse-names" : false, "suffix" : "" } ], "container-title" : "Macromolecules", "genre" : "research-article", "id" : "ITEM-1", "issue" : "17", "issued" : { "date-parts" : [ [ "2018" ] ] }, "page" : "6825-6835", "publisher" : "American Chemical Society", "title" : "The Role of Cu 0 in Surface-Initiated Atom Transfer Radical Polymerization: Tuning Catalyst Dissolution for Tailoring Polymer Interfaces", "type" : "article-journal", "volume" : "51" }, "uris" : [ "http://www.mendeley.com/documents/?uuid=16efecfe-f15c-49ae-8142-b745970f8598" ] } ], "mendeley" : { "formattedCitation" : "&lt;sup&gt;66&lt;/sup&gt;", "plainTextFormattedCitation" : "66", "previouslyFormattedCitation" : "&lt;sup&gt;66&lt;/sup&gt;" }, "properties" : { "noteIndex" : 0 }, "schema" : "https://github.com/citation-style-language/schema/raw/master/csl-citation.json" }</w:instrText>
      </w:r>
      <w:r w:rsidRPr="00E74C8E">
        <w:rPr>
          <w:rFonts w:ascii="Calibri" w:eastAsia="Calibri" w:hAnsi="Calibri" w:cs="Times New Roman"/>
          <w:iCs/>
          <w:lang w:val="en-US"/>
        </w:rPr>
        <w:fldChar w:fldCharType="separate"/>
      </w:r>
      <w:r w:rsidR="00DE131C" w:rsidRPr="00DE131C">
        <w:rPr>
          <w:rFonts w:ascii="Calibri" w:eastAsia="Calibri" w:hAnsi="Calibri" w:cs="Times New Roman"/>
          <w:iCs/>
          <w:noProof/>
          <w:vertAlign w:val="superscript"/>
          <w:lang w:val="en-US"/>
        </w:rPr>
        <w:t>66</w:t>
      </w:r>
      <w:r w:rsidRPr="00E74C8E">
        <w:rPr>
          <w:rFonts w:ascii="Calibri" w:eastAsia="Calibri" w:hAnsi="Calibri" w:cs="Times New Roman"/>
          <w:iCs/>
          <w:lang w:val="en-US"/>
        </w:rPr>
        <w:fldChar w:fldCharType="end"/>
      </w:r>
      <w:r w:rsidRPr="00E74C8E">
        <w:rPr>
          <w:rFonts w:ascii="Calibri" w:eastAsia="Calibri" w:hAnsi="Calibri" w:cs="Times New Roman"/>
          <w:iCs/>
          <w:lang w:val="en-US"/>
        </w:rPr>
        <w:t>.</w:t>
      </w:r>
      <w:r w:rsidR="00EB61E6">
        <w:rPr>
          <w:rFonts w:ascii="Calibri" w:eastAsia="Calibri" w:hAnsi="Calibri" w:cs="Times New Roman"/>
          <w:iCs/>
          <w:lang w:val="en-US"/>
        </w:rPr>
        <w:t xml:space="preserve"> </w:t>
      </w:r>
    </w:p>
    <w:p w:rsidR="00A40284" w:rsidRPr="00E74C8E" w:rsidRDefault="00E74C8E" w:rsidP="00FC7A2B">
      <w:pPr>
        <w:spacing w:line="240" w:lineRule="auto"/>
        <w:contextualSpacing/>
        <w:rPr>
          <w:rFonts w:ascii="Calibri" w:eastAsia="Calibri" w:hAnsi="Calibri" w:cs="Times New Roman"/>
          <w:iCs/>
          <w:lang w:val="en-US"/>
        </w:rPr>
      </w:pPr>
      <w:r w:rsidRPr="00E74C8E">
        <w:rPr>
          <w:rFonts w:ascii="Calibri" w:eastAsia="Calibri" w:hAnsi="Calibri" w:cs="Times New Roman"/>
          <w:iCs/>
          <w:lang w:val="en-US"/>
        </w:rPr>
        <w:t>Unfortunately, most of the dumbbells have aggregated after this modification, leaving behind only a few single particles. The cause of this effect will be discussed in further detail later</w:t>
      </w:r>
      <w:r w:rsidR="00FB6101">
        <w:rPr>
          <w:rFonts w:ascii="Calibri" w:eastAsia="Calibri" w:hAnsi="Calibri" w:cs="Times New Roman"/>
          <w:iCs/>
          <w:lang w:val="en-US"/>
        </w:rPr>
        <w:t xml:space="preserve"> in paragraph 5.4.1</w:t>
      </w:r>
      <w:r w:rsidRPr="00E74C8E">
        <w:rPr>
          <w:rFonts w:ascii="Calibri" w:eastAsia="Calibri" w:hAnsi="Calibri" w:cs="Times New Roman"/>
          <w:iCs/>
          <w:lang w:val="en-US"/>
        </w:rPr>
        <w:t xml:space="preserve">. </w:t>
      </w:r>
    </w:p>
    <w:p w:rsidR="00E74C8E" w:rsidRPr="0066726E" w:rsidRDefault="00E74C8E" w:rsidP="00FC7A2B">
      <w:pPr>
        <w:pStyle w:val="Heading3"/>
        <w:numPr>
          <w:ilvl w:val="2"/>
          <w:numId w:val="2"/>
        </w:numPr>
        <w:spacing w:line="240" w:lineRule="auto"/>
        <w:rPr>
          <w:rFonts w:eastAsia="Calibri"/>
          <w:b/>
          <w:color w:val="auto"/>
          <w:lang w:val="en-US"/>
        </w:rPr>
      </w:pPr>
      <w:bookmarkStart w:id="71" w:name="_Toc31892411"/>
      <w:r w:rsidRPr="0066726E">
        <w:rPr>
          <w:rFonts w:eastAsia="Calibri"/>
          <w:b/>
          <w:color w:val="auto"/>
          <w:lang w:val="en-US"/>
        </w:rPr>
        <w:t>Density Gradient Centrifugation of unmodified dumbbell dispersion</w:t>
      </w:r>
      <w:bookmarkEnd w:id="71"/>
    </w:p>
    <w:p w:rsidR="00E74C8E" w:rsidRPr="00E74C8E" w:rsidRDefault="00E74C8E" w:rsidP="00FC7A2B">
      <w:pPr>
        <w:spacing w:line="240" w:lineRule="auto"/>
        <w:rPr>
          <w:rFonts w:ascii="Calibri" w:eastAsia="Calibri" w:hAnsi="Calibri" w:cs="Times New Roman"/>
          <w:iCs/>
          <w:lang w:val="en-US"/>
        </w:rPr>
      </w:pPr>
      <w:r w:rsidRPr="00E74C8E">
        <w:rPr>
          <w:rFonts w:ascii="Calibri" w:eastAsia="Calibri" w:hAnsi="Calibri" w:cs="Times New Roman"/>
          <w:iCs/>
          <w:lang w:val="en-US"/>
        </w:rPr>
        <w:t>As mentioned previously</w:t>
      </w:r>
      <w:r w:rsidR="001E37DF">
        <w:rPr>
          <w:rFonts w:ascii="Calibri" w:eastAsia="Calibri" w:hAnsi="Calibri" w:cs="Times New Roman"/>
          <w:iCs/>
          <w:lang w:val="en-US"/>
        </w:rPr>
        <w:t xml:space="preserve"> in paragraph 2.5</w:t>
      </w:r>
      <w:r w:rsidR="00036224">
        <w:rPr>
          <w:rFonts w:ascii="Calibri" w:eastAsia="Calibri" w:hAnsi="Calibri" w:cs="Times New Roman"/>
          <w:iCs/>
          <w:lang w:val="en-US"/>
        </w:rPr>
        <w:t xml:space="preserve"> and 4.1.3</w:t>
      </w:r>
      <w:r w:rsidRPr="00E74C8E">
        <w:rPr>
          <w:rFonts w:ascii="Calibri" w:eastAsia="Calibri" w:hAnsi="Calibri" w:cs="Times New Roman"/>
          <w:iCs/>
          <w:lang w:val="en-US"/>
        </w:rPr>
        <w:t>, the dumbbell synthesis procedure inherently causes polymorphic mixtures of particles to form. Aside from dumbbells, also homonuclei, mickey mouses and other deformed particles have formed, as sho</w:t>
      </w:r>
      <w:r w:rsidRPr="000E2117">
        <w:rPr>
          <w:rFonts w:ascii="Calibri" w:eastAsia="Calibri" w:hAnsi="Calibri" w:cs="Times New Roman"/>
          <w:iCs/>
          <w:lang w:val="en-US"/>
        </w:rPr>
        <w:t xml:space="preserve">wn in </w:t>
      </w:r>
      <w:r w:rsidR="007C6D98" w:rsidRPr="000E2117">
        <w:rPr>
          <w:rFonts w:ascii="Calibri" w:eastAsia="Calibri" w:hAnsi="Calibri" w:cs="Times New Roman"/>
          <w:iCs/>
          <w:lang w:val="en-US"/>
        </w:rPr>
        <w:fldChar w:fldCharType="begin"/>
      </w:r>
      <w:r w:rsidR="007C6D98" w:rsidRPr="000E2117">
        <w:rPr>
          <w:rFonts w:ascii="Calibri" w:eastAsia="Calibri" w:hAnsi="Calibri" w:cs="Times New Roman"/>
          <w:iCs/>
          <w:lang w:val="en-US"/>
        </w:rPr>
        <w:instrText xml:space="preserve"> REF _Ref29913062 \h  \* MERGEFORMAT </w:instrText>
      </w:r>
      <w:r w:rsidR="007C6D98" w:rsidRPr="000E2117">
        <w:rPr>
          <w:rFonts w:ascii="Calibri" w:eastAsia="Calibri" w:hAnsi="Calibri" w:cs="Times New Roman"/>
          <w:iCs/>
          <w:lang w:val="en-US"/>
        </w:rPr>
      </w:r>
      <w:r w:rsidR="007C6D98" w:rsidRPr="000E2117">
        <w:rPr>
          <w:rFonts w:ascii="Calibri" w:eastAsia="Calibri" w:hAnsi="Calibri" w:cs="Times New Roman"/>
          <w:iCs/>
          <w:lang w:val="en-US"/>
        </w:rPr>
        <w:fldChar w:fldCharType="separate"/>
      </w:r>
      <w:r w:rsidR="00C52506" w:rsidRPr="00C52506">
        <w:rPr>
          <w:lang w:val="en-US"/>
        </w:rPr>
        <w:t xml:space="preserve">Figure </w:t>
      </w:r>
      <w:r w:rsidR="00C52506" w:rsidRPr="00C52506">
        <w:rPr>
          <w:noProof/>
          <w:lang w:val="en-US"/>
        </w:rPr>
        <w:t>19</w:t>
      </w:r>
      <w:r w:rsidR="007C6D98" w:rsidRPr="000E2117">
        <w:rPr>
          <w:rFonts w:ascii="Calibri" w:eastAsia="Calibri" w:hAnsi="Calibri" w:cs="Times New Roman"/>
          <w:iCs/>
          <w:lang w:val="en-US"/>
        </w:rPr>
        <w:fldChar w:fldCharType="end"/>
      </w:r>
      <w:r w:rsidRPr="000E2117">
        <w:rPr>
          <w:rFonts w:ascii="Calibri" w:eastAsia="Calibri" w:hAnsi="Calibri" w:cs="Times New Roman"/>
          <w:iCs/>
          <w:lang w:val="en-US"/>
        </w:rPr>
        <w:t>.</w:t>
      </w:r>
      <w:r w:rsidRPr="00E74C8E">
        <w:rPr>
          <w:rFonts w:ascii="Calibri" w:eastAsia="Calibri" w:hAnsi="Calibri" w:cs="Times New Roman"/>
          <w:iCs/>
          <w:lang w:val="en-US"/>
        </w:rPr>
        <w:t xml:space="preserve"> </w:t>
      </w:r>
    </w:p>
    <w:p w:rsidR="00E4304F" w:rsidRDefault="00E74C8E" w:rsidP="00FC7A2B">
      <w:pPr>
        <w:spacing w:line="240" w:lineRule="auto"/>
        <w:rPr>
          <w:rFonts w:ascii="Calibri" w:eastAsia="Calibri" w:hAnsi="Calibri" w:cs="Times New Roman"/>
          <w:iCs/>
          <w:lang w:val="en-US"/>
        </w:rPr>
      </w:pPr>
      <w:r w:rsidRPr="00E74C8E">
        <w:rPr>
          <w:rFonts w:ascii="Calibri" w:eastAsia="Calibri" w:hAnsi="Calibri" w:cs="Times New Roman"/>
          <w:iCs/>
          <w:lang w:val="en-US"/>
        </w:rPr>
        <w:t xml:space="preserve">The synthesis of these dumbbells is a very delicate process, so preventing other deformed particles from forming is very challenging. Separating these deformations from the desired dumbbells is then desired, which is made possible by </w:t>
      </w:r>
      <w:r w:rsidR="00FB6101">
        <w:rPr>
          <w:rFonts w:ascii="Calibri" w:eastAsia="Calibri" w:hAnsi="Calibri" w:cs="Times New Roman"/>
          <w:iCs/>
          <w:lang w:val="en-US"/>
        </w:rPr>
        <w:t>density gradient centrifugation</w:t>
      </w:r>
      <w:r w:rsidRPr="00E74C8E">
        <w:rPr>
          <w:rFonts w:ascii="Calibri" w:eastAsia="Calibri" w:hAnsi="Calibri" w:cs="Times New Roman"/>
          <w:iCs/>
          <w:lang w:val="en-US"/>
        </w:rPr>
        <w:t xml:space="preserve">. </w:t>
      </w:r>
      <w:r w:rsidR="00D16077">
        <w:rPr>
          <w:rFonts w:ascii="Calibri" w:eastAsia="Calibri" w:hAnsi="Calibri" w:cs="Times New Roman"/>
          <w:iCs/>
          <w:lang w:val="en-US"/>
        </w:rPr>
        <w:t>This</w:t>
      </w:r>
      <w:r w:rsidRPr="00E74C8E">
        <w:rPr>
          <w:rFonts w:ascii="Calibri" w:eastAsia="Calibri" w:hAnsi="Calibri" w:cs="Times New Roman"/>
          <w:iCs/>
          <w:lang w:val="en-US"/>
        </w:rPr>
        <w:t xml:space="preserve"> technique separates particles based on their individual buoyant mass over a columnal gradient of either sucrose or </w:t>
      </w:r>
      <w:r w:rsidR="00BA64A2">
        <w:rPr>
          <w:rFonts w:ascii="Calibri" w:eastAsia="Calibri" w:hAnsi="Calibri" w:cs="Times New Roman"/>
          <w:iCs/>
          <w:lang w:val="en-US"/>
        </w:rPr>
        <w:t>ficoll</w:t>
      </w:r>
      <w:r w:rsidRPr="00E74C8E">
        <w:rPr>
          <w:rFonts w:ascii="Calibri" w:eastAsia="Calibri" w:hAnsi="Calibri" w:cs="Times New Roman"/>
          <w:iCs/>
          <w:lang w:val="en-US"/>
        </w:rPr>
        <w:t xml:space="preserve">. For facile reproduction of this method, it would be ideal for the procedure to be performed by an automated process. For this reason, using a continuous gradient of either sucrose or </w:t>
      </w:r>
      <w:r w:rsidR="00BA64A2">
        <w:rPr>
          <w:rFonts w:ascii="Calibri" w:eastAsia="Calibri" w:hAnsi="Calibri" w:cs="Times New Roman"/>
          <w:iCs/>
          <w:lang w:val="en-US"/>
        </w:rPr>
        <w:t>ficoll</w:t>
      </w:r>
      <w:r w:rsidRPr="00E74C8E">
        <w:rPr>
          <w:rFonts w:ascii="Calibri" w:eastAsia="Calibri" w:hAnsi="Calibri" w:cs="Times New Roman"/>
          <w:iCs/>
          <w:lang w:val="en-US"/>
        </w:rPr>
        <w:t xml:space="preserve"> generated by an automated peristaltic pump would be a suitable method. </w:t>
      </w:r>
    </w:p>
    <w:p w:rsidR="00E74C8E" w:rsidRPr="0012395A" w:rsidRDefault="00E74C8E" w:rsidP="00FC7A2B">
      <w:pPr>
        <w:pStyle w:val="Heading3"/>
        <w:numPr>
          <w:ilvl w:val="2"/>
          <w:numId w:val="2"/>
        </w:numPr>
        <w:spacing w:line="240" w:lineRule="auto"/>
        <w:rPr>
          <w:rFonts w:eastAsia="Calibri"/>
          <w:b/>
          <w:color w:val="auto"/>
          <w:lang w:val="en-US"/>
        </w:rPr>
      </w:pPr>
      <w:bookmarkStart w:id="72" w:name="_Toc31892412"/>
      <w:r w:rsidRPr="0012395A">
        <w:rPr>
          <w:rFonts w:eastAsia="Calibri"/>
          <w:b/>
          <w:color w:val="auto"/>
          <w:lang w:val="en-US"/>
        </w:rPr>
        <w:t>Density Gradient Centrifugation of DB-1</w:t>
      </w:r>
      <w:bookmarkEnd w:id="72"/>
    </w:p>
    <w:p w:rsidR="00C74B90" w:rsidRDefault="00FB6101" w:rsidP="00FC7A2B">
      <w:pPr>
        <w:spacing w:line="240" w:lineRule="auto"/>
        <w:rPr>
          <w:rFonts w:ascii="Calibri" w:eastAsia="Calibri" w:hAnsi="Calibri" w:cs="Times New Roman"/>
          <w:iCs/>
          <w:lang w:val="en-US"/>
        </w:rPr>
      </w:pPr>
      <w:r>
        <w:rPr>
          <w:rFonts w:ascii="Calibri" w:eastAsia="Calibri" w:hAnsi="Calibri" w:cs="Times New Roman"/>
          <w:iCs/>
          <w:lang w:val="en-US"/>
        </w:rPr>
        <w:t>For</w:t>
      </w:r>
      <w:r w:rsidR="00E74C8E" w:rsidRPr="00E74C8E">
        <w:rPr>
          <w:rFonts w:ascii="Calibri" w:eastAsia="Calibri" w:hAnsi="Calibri" w:cs="Times New Roman"/>
          <w:iCs/>
          <w:lang w:val="en-US"/>
        </w:rPr>
        <w:t xml:space="preserve"> facile reproduction of the </w:t>
      </w:r>
      <w:r>
        <w:rPr>
          <w:rFonts w:ascii="Calibri" w:eastAsia="Calibri" w:hAnsi="Calibri" w:cs="Times New Roman"/>
          <w:iCs/>
          <w:lang w:val="en-US"/>
        </w:rPr>
        <w:t>density gradient centrifugation</w:t>
      </w:r>
      <w:r w:rsidR="00E74C8E" w:rsidRPr="00E74C8E">
        <w:rPr>
          <w:rFonts w:ascii="Calibri" w:eastAsia="Calibri" w:hAnsi="Calibri" w:cs="Times New Roman"/>
          <w:iCs/>
          <w:lang w:val="en-US"/>
        </w:rPr>
        <w:t xml:space="preserve"> procedure</w:t>
      </w:r>
      <w:r>
        <w:rPr>
          <w:rFonts w:ascii="Calibri" w:eastAsia="Calibri" w:hAnsi="Calibri" w:cs="Times New Roman"/>
          <w:iCs/>
          <w:lang w:val="en-US"/>
        </w:rPr>
        <w:t>,</w:t>
      </w:r>
      <w:r w:rsidR="00E74C8E" w:rsidRPr="00E74C8E">
        <w:rPr>
          <w:rFonts w:ascii="Calibri" w:eastAsia="Calibri" w:hAnsi="Calibri" w:cs="Times New Roman"/>
          <w:iCs/>
          <w:lang w:val="en-US"/>
        </w:rPr>
        <w:t xml:space="preserve"> it is desired that sufficient separation of the different species occurs using a continuous gradient. First, a continuous gradient ranging from 1 wt% to 9 wt% of </w:t>
      </w:r>
      <w:r w:rsidR="00BA64A2">
        <w:rPr>
          <w:rFonts w:ascii="Calibri" w:eastAsia="Calibri" w:hAnsi="Calibri" w:cs="Times New Roman"/>
          <w:iCs/>
          <w:lang w:val="en-US"/>
        </w:rPr>
        <w:t>ficoll</w:t>
      </w:r>
      <w:r w:rsidR="00E74C8E" w:rsidRPr="00E74C8E">
        <w:rPr>
          <w:rFonts w:ascii="Calibri" w:eastAsia="Calibri" w:hAnsi="Calibri" w:cs="Times New Roman"/>
          <w:iCs/>
          <w:lang w:val="en-US"/>
        </w:rPr>
        <w:t xml:space="preserve"> was used as density gradient column. </w:t>
      </w:r>
      <w:r w:rsidR="00D710E2">
        <w:rPr>
          <w:rFonts w:ascii="Calibri" w:eastAsia="Calibri" w:hAnsi="Calibri" w:cs="Times New Roman"/>
          <w:iCs/>
          <w:lang w:val="en-US"/>
        </w:rPr>
        <w:t xml:space="preserve">Normally, a </w:t>
      </w:r>
      <w:r w:rsidR="00BA64A2">
        <w:rPr>
          <w:rFonts w:ascii="Calibri" w:eastAsia="Calibri" w:hAnsi="Calibri" w:cs="Times New Roman"/>
          <w:iCs/>
          <w:lang w:val="en-US"/>
        </w:rPr>
        <w:t>ficoll</w:t>
      </w:r>
      <w:r w:rsidR="00D710E2">
        <w:rPr>
          <w:rFonts w:ascii="Calibri" w:eastAsia="Calibri" w:hAnsi="Calibri" w:cs="Times New Roman"/>
          <w:iCs/>
          <w:lang w:val="en-US"/>
        </w:rPr>
        <w:t xml:space="preserve"> gradient is combined with addition of </w:t>
      </w:r>
      <w:r w:rsidR="00755273">
        <w:rPr>
          <w:rFonts w:ascii="Calibri" w:eastAsia="Calibri" w:hAnsi="Calibri" w:cs="Times New Roman"/>
          <w:iCs/>
          <w:lang w:val="en-US"/>
        </w:rPr>
        <w:t>the surface active polymer Pluronic f127. However, this polymer is known to adsorb on the surface of our particles, even after washing</w:t>
      </w:r>
      <w:r>
        <w:rPr>
          <w:rFonts w:ascii="Calibri" w:eastAsia="Calibri" w:hAnsi="Calibri" w:cs="Times New Roman"/>
          <w:iCs/>
          <w:lang w:val="en-US"/>
        </w:rPr>
        <w:fldChar w:fldCharType="begin" w:fldLock="1"/>
      </w:r>
      <w:r>
        <w:rPr>
          <w:rFonts w:ascii="Calibri" w:eastAsia="Calibri" w:hAnsi="Calibri" w:cs="Times New Roman"/>
          <w:iCs/>
          <w:lang w:val="en-US"/>
        </w:rPr>
        <w:instrText>ADDIN CSL_CITATION { "citationItems" : [ { "id" : "ITEM-1", "itemData" : { "author" : [ { "dropping-particle" : "", "family" : "Thies-Weesie", "given" : "Dominique", "non-dropping-particle" : "", "parse-names" : false, "suffix" : "" } ], "id" : "ITEM-1", "issued" : { "date-parts" : [ [ "0" ] ] }, "title" : "Private Communication", "type" : "speech" }, "uris" : [ "http://www.mendeley.com/documents/?uuid=8bf529a1-5713-4f7b-aa5c-5b77b279bbc0" ] } ], "mendeley" : { "formattedCitation" : "&lt;sup&gt;71&lt;/sup&gt;", "plainTextFormattedCitation" : "71" }, "properties" : { "noteIndex" : 0 }, "schema" : "https://github.com/citation-style-language/schema/raw/master/csl-citation.json" }</w:instrText>
      </w:r>
      <w:r>
        <w:rPr>
          <w:rFonts w:ascii="Calibri" w:eastAsia="Calibri" w:hAnsi="Calibri" w:cs="Times New Roman"/>
          <w:iCs/>
          <w:lang w:val="en-US"/>
        </w:rPr>
        <w:fldChar w:fldCharType="separate"/>
      </w:r>
      <w:r w:rsidRPr="00FB6101">
        <w:rPr>
          <w:rFonts w:ascii="Calibri" w:eastAsia="Calibri" w:hAnsi="Calibri" w:cs="Times New Roman"/>
          <w:iCs/>
          <w:noProof/>
          <w:vertAlign w:val="superscript"/>
          <w:lang w:val="en-US"/>
        </w:rPr>
        <w:t>71</w:t>
      </w:r>
      <w:r>
        <w:rPr>
          <w:rFonts w:ascii="Calibri" w:eastAsia="Calibri" w:hAnsi="Calibri" w:cs="Times New Roman"/>
          <w:iCs/>
          <w:lang w:val="en-US"/>
        </w:rPr>
        <w:fldChar w:fldCharType="end"/>
      </w:r>
      <w:r w:rsidR="00755273">
        <w:rPr>
          <w:rFonts w:ascii="Calibri" w:eastAsia="Calibri" w:hAnsi="Calibri" w:cs="Times New Roman"/>
          <w:iCs/>
          <w:lang w:val="en-US"/>
        </w:rPr>
        <w:t xml:space="preserve">. </w:t>
      </w:r>
      <w:r w:rsidR="000E2117">
        <w:rPr>
          <w:rFonts w:ascii="Calibri" w:eastAsia="Calibri" w:hAnsi="Calibri" w:cs="Times New Roman"/>
          <w:iCs/>
          <w:lang w:val="en-US"/>
        </w:rPr>
        <w:t xml:space="preserve">In this project, we want to use the particles that are separated with </w:t>
      </w:r>
      <w:r>
        <w:rPr>
          <w:rFonts w:ascii="Calibri" w:eastAsia="Calibri" w:hAnsi="Calibri" w:cs="Times New Roman"/>
          <w:iCs/>
          <w:lang w:val="en-US"/>
        </w:rPr>
        <w:t>density gradient centrifugation</w:t>
      </w:r>
      <w:r w:rsidR="000E2117">
        <w:rPr>
          <w:rFonts w:ascii="Calibri" w:eastAsia="Calibri" w:hAnsi="Calibri" w:cs="Times New Roman"/>
          <w:iCs/>
          <w:lang w:val="en-US"/>
        </w:rPr>
        <w:t xml:space="preserve"> in further experiments, for which the surface properties of the particles are very important. For this reason, the Pluronic f127 is not used when making the </w:t>
      </w:r>
      <w:r w:rsidR="00BA64A2">
        <w:rPr>
          <w:rFonts w:ascii="Calibri" w:eastAsia="Calibri" w:hAnsi="Calibri" w:cs="Times New Roman"/>
          <w:iCs/>
          <w:lang w:val="en-US"/>
        </w:rPr>
        <w:t>ficoll</w:t>
      </w:r>
      <w:r w:rsidR="000E2117">
        <w:rPr>
          <w:rFonts w:ascii="Calibri" w:eastAsia="Calibri" w:hAnsi="Calibri" w:cs="Times New Roman"/>
          <w:iCs/>
          <w:lang w:val="en-US"/>
        </w:rPr>
        <w:t xml:space="preserve"> gradient. </w:t>
      </w:r>
      <w:r w:rsidR="00E74C8E" w:rsidRPr="00E74C8E">
        <w:rPr>
          <w:rFonts w:ascii="Calibri" w:eastAsia="Calibri" w:hAnsi="Calibri" w:cs="Times New Roman"/>
          <w:iCs/>
          <w:lang w:val="en-US"/>
        </w:rPr>
        <w:t xml:space="preserve">Stacking the dumbbell dispersion on top of the gradient and centrifuging the sample resulted in a continuous distribution of particles over the whole gradient, as shown in </w:t>
      </w:r>
      <w:r w:rsidR="007C6D98" w:rsidRPr="00541751">
        <w:rPr>
          <w:rFonts w:ascii="Calibri" w:eastAsia="Calibri" w:hAnsi="Calibri" w:cs="Times New Roman"/>
          <w:iCs/>
          <w:lang w:val="en-US"/>
        </w:rPr>
        <w:fldChar w:fldCharType="begin"/>
      </w:r>
      <w:r w:rsidR="007C6D98" w:rsidRPr="00541751">
        <w:rPr>
          <w:rFonts w:ascii="Calibri" w:eastAsia="Calibri" w:hAnsi="Calibri" w:cs="Times New Roman"/>
          <w:iCs/>
          <w:lang w:val="en-US"/>
        </w:rPr>
        <w:instrText xml:space="preserve"> REF _Ref29913177 \h  \* MERGEFORMAT </w:instrText>
      </w:r>
      <w:r w:rsidR="007C6D98" w:rsidRPr="00541751">
        <w:rPr>
          <w:rFonts w:ascii="Calibri" w:eastAsia="Calibri" w:hAnsi="Calibri" w:cs="Times New Roman"/>
          <w:iCs/>
          <w:lang w:val="en-US"/>
        </w:rPr>
      </w:r>
      <w:r w:rsidR="007C6D98" w:rsidRPr="00541751">
        <w:rPr>
          <w:rFonts w:ascii="Calibri" w:eastAsia="Calibri" w:hAnsi="Calibri" w:cs="Times New Roman"/>
          <w:iCs/>
          <w:lang w:val="en-US"/>
        </w:rPr>
        <w:fldChar w:fldCharType="separate"/>
      </w:r>
      <w:r w:rsidR="00C52506" w:rsidRPr="00C52506">
        <w:rPr>
          <w:lang w:val="en-US"/>
        </w:rPr>
        <w:t xml:space="preserve">Figure </w:t>
      </w:r>
      <w:r w:rsidR="00C52506" w:rsidRPr="00C52506">
        <w:rPr>
          <w:noProof/>
          <w:lang w:val="en-US"/>
        </w:rPr>
        <w:t>21</w:t>
      </w:r>
      <w:r w:rsidR="007C6D98" w:rsidRPr="00541751">
        <w:rPr>
          <w:rFonts w:ascii="Calibri" w:eastAsia="Calibri" w:hAnsi="Calibri" w:cs="Times New Roman"/>
          <w:iCs/>
          <w:lang w:val="en-US"/>
        </w:rPr>
        <w:fldChar w:fldCharType="end"/>
      </w:r>
      <w:r w:rsidR="00EB61E6" w:rsidRPr="00541751">
        <w:rPr>
          <w:rFonts w:ascii="Calibri" w:eastAsia="Calibri" w:hAnsi="Calibri" w:cs="Times New Roman"/>
          <w:iCs/>
          <w:lang w:val="en-US"/>
        </w:rPr>
        <w:t>A</w:t>
      </w:r>
      <w:r w:rsidR="00E74C8E" w:rsidRPr="00541751">
        <w:rPr>
          <w:rFonts w:ascii="Calibri" w:eastAsia="Calibri" w:hAnsi="Calibri" w:cs="Times New Roman"/>
          <w:iCs/>
          <w:lang w:val="en-US"/>
        </w:rPr>
        <w:t>. The</w:t>
      </w:r>
      <w:r w:rsidR="00E74C8E" w:rsidRPr="00E74C8E">
        <w:rPr>
          <w:rFonts w:ascii="Calibri" w:eastAsia="Calibri" w:hAnsi="Calibri" w:cs="Times New Roman"/>
          <w:iCs/>
          <w:lang w:val="en-US"/>
        </w:rPr>
        <w:t xml:space="preserve"> absence of discrete bands </w:t>
      </w:r>
      <w:r w:rsidR="00475DE1">
        <w:rPr>
          <w:rFonts w:ascii="Calibri" w:eastAsia="Calibri" w:hAnsi="Calibri" w:cs="Times New Roman"/>
          <w:iCs/>
          <w:lang w:val="en-US"/>
        </w:rPr>
        <w:t xml:space="preserve">could be attributed to overall low density of the </w:t>
      </w:r>
      <w:r w:rsidR="00BA64A2">
        <w:rPr>
          <w:rFonts w:ascii="Calibri" w:eastAsia="Calibri" w:hAnsi="Calibri" w:cs="Times New Roman"/>
          <w:iCs/>
          <w:lang w:val="en-US"/>
        </w:rPr>
        <w:t>ficoll</w:t>
      </w:r>
      <w:r w:rsidR="00475DE1">
        <w:rPr>
          <w:rFonts w:ascii="Calibri" w:eastAsia="Calibri" w:hAnsi="Calibri" w:cs="Times New Roman"/>
          <w:iCs/>
          <w:lang w:val="en-US"/>
        </w:rPr>
        <w:t xml:space="preserve"> gradient. As can be seen in A1, the highest density at 9</w:t>
      </w:r>
      <w:r w:rsidR="00094F52">
        <w:rPr>
          <w:rFonts w:ascii="Calibri" w:eastAsia="Calibri" w:hAnsi="Calibri" w:cs="Times New Roman"/>
          <w:iCs/>
          <w:lang w:val="en-US"/>
        </w:rPr>
        <w:t xml:space="preserve"> </w:t>
      </w:r>
      <w:r w:rsidR="00475DE1">
        <w:rPr>
          <w:rFonts w:ascii="Calibri" w:eastAsia="Calibri" w:hAnsi="Calibri" w:cs="Times New Roman"/>
          <w:iCs/>
          <w:lang w:val="en-US"/>
        </w:rPr>
        <w:t>wt% is only slightly higher than</w:t>
      </w:r>
      <w:r w:rsidR="008131B7">
        <w:rPr>
          <w:rFonts w:ascii="Calibri" w:eastAsia="Calibri" w:hAnsi="Calibri" w:cs="Times New Roman"/>
          <w:iCs/>
          <w:lang w:val="en-US"/>
        </w:rPr>
        <w:t xml:space="preserve"> that of</w:t>
      </w:r>
      <w:r w:rsidR="00475DE1">
        <w:rPr>
          <w:rFonts w:ascii="Calibri" w:eastAsia="Calibri" w:hAnsi="Calibri" w:cs="Times New Roman"/>
          <w:iCs/>
          <w:lang w:val="en-US"/>
        </w:rPr>
        <w:t xml:space="preserve"> water. </w:t>
      </w:r>
      <w:r w:rsidR="008131B7">
        <w:rPr>
          <w:rFonts w:ascii="Calibri" w:eastAsia="Calibri" w:hAnsi="Calibri" w:cs="Times New Roman"/>
          <w:iCs/>
          <w:lang w:val="en-US"/>
        </w:rPr>
        <w:t xml:space="preserve">It is unclear how the </w:t>
      </w:r>
      <w:r>
        <w:rPr>
          <w:rFonts w:ascii="Calibri" w:eastAsia="Calibri" w:hAnsi="Calibri" w:cs="Times New Roman"/>
          <w:iCs/>
          <w:lang w:val="en-US"/>
        </w:rPr>
        <w:t>density gradient centrifugation</w:t>
      </w:r>
      <w:r w:rsidR="008131B7">
        <w:rPr>
          <w:rFonts w:ascii="Calibri" w:eastAsia="Calibri" w:hAnsi="Calibri" w:cs="Times New Roman"/>
          <w:iCs/>
          <w:lang w:val="en-US"/>
        </w:rPr>
        <w:t xml:space="preserve"> method exactly operates, though it is assumed that a larger difference in density of the whole gradient is necessary to obtain a better separation</w:t>
      </w:r>
      <w:r w:rsidR="00BA64A2">
        <w:rPr>
          <w:rFonts w:ascii="Calibri" w:eastAsia="Calibri" w:hAnsi="Calibri" w:cs="Times New Roman"/>
          <w:iCs/>
          <w:lang w:val="en-US"/>
        </w:rPr>
        <w:fldChar w:fldCharType="begin" w:fldLock="1"/>
      </w:r>
      <w:r>
        <w:rPr>
          <w:rFonts w:ascii="Calibri" w:eastAsia="Calibri" w:hAnsi="Calibri" w:cs="Times New Roman"/>
          <w:iCs/>
          <w:lang w:val="en-US"/>
        </w:rPr>
        <w:instrText>ADDIN CSL_CITATION { "citationItems" : [ { "id" : "ITEM-1", "itemData" : { "author" : [ { "dropping-particle" : "", "family" : "Thies-Weesie", "given" : "Dominique", "non-dropping-particle" : "", "parse-names" : false, "suffix" : "" } ], "id" : "ITEM-1", "issued" : { "date-parts" : [ [ "0" ] ] }, "title" : "Private Communication", "type" : "speech" }, "uris" : [ "http://www.mendeley.com/documents/?uuid=8bf529a1-5713-4f7b-aa5c-5b77b279bbc0" ] } ], "mendeley" : { "formattedCitation" : "&lt;sup&gt;71&lt;/sup&gt;", "plainTextFormattedCitation" : "71", "previouslyFormattedCitation" : "&lt;sup&gt;71&lt;/sup&gt;" }, "properties" : { "noteIndex" : 0 }, "schema" : "https://github.com/citation-style-language/schema/raw/master/csl-citation.json" }</w:instrText>
      </w:r>
      <w:r w:rsidR="00BA64A2">
        <w:rPr>
          <w:rFonts w:ascii="Calibri" w:eastAsia="Calibri" w:hAnsi="Calibri" w:cs="Times New Roman"/>
          <w:iCs/>
          <w:lang w:val="en-US"/>
        </w:rPr>
        <w:fldChar w:fldCharType="separate"/>
      </w:r>
      <w:r w:rsidR="00DE131C" w:rsidRPr="00DE131C">
        <w:rPr>
          <w:rFonts w:ascii="Calibri" w:eastAsia="Calibri" w:hAnsi="Calibri" w:cs="Times New Roman"/>
          <w:iCs/>
          <w:noProof/>
          <w:vertAlign w:val="superscript"/>
          <w:lang w:val="en-US"/>
        </w:rPr>
        <w:t>71</w:t>
      </w:r>
      <w:r w:rsidR="00BA64A2">
        <w:rPr>
          <w:rFonts w:ascii="Calibri" w:eastAsia="Calibri" w:hAnsi="Calibri" w:cs="Times New Roman"/>
          <w:iCs/>
          <w:lang w:val="en-US"/>
        </w:rPr>
        <w:fldChar w:fldCharType="end"/>
      </w:r>
      <w:r w:rsidR="008131B7">
        <w:rPr>
          <w:rFonts w:ascii="Calibri" w:eastAsia="Calibri" w:hAnsi="Calibri" w:cs="Times New Roman"/>
          <w:iCs/>
          <w:lang w:val="en-US"/>
        </w:rPr>
        <w:t xml:space="preserve">. </w:t>
      </w:r>
      <w:r w:rsidR="00E74C8E" w:rsidRPr="00E74C8E">
        <w:rPr>
          <w:rFonts w:ascii="Calibri" w:eastAsia="Calibri" w:hAnsi="Calibri" w:cs="Times New Roman"/>
          <w:iCs/>
          <w:lang w:val="en-US"/>
        </w:rPr>
        <w:br/>
      </w:r>
      <w:r w:rsidR="00E74C8E" w:rsidRPr="00E74C8E">
        <w:rPr>
          <w:rFonts w:ascii="Calibri" w:eastAsia="Calibri" w:hAnsi="Calibri" w:cs="Times New Roman"/>
          <w:iCs/>
          <w:lang w:val="en-US"/>
        </w:rPr>
        <w:br/>
        <w:t xml:space="preserve">Moving to </w:t>
      </w:r>
      <w:r w:rsidR="00E74C8E" w:rsidRPr="000E2117">
        <w:rPr>
          <w:rFonts w:ascii="Calibri" w:eastAsia="Calibri" w:hAnsi="Calibri" w:cs="Times New Roman"/>
          <w:iCs/>
          <w:lang w:val="en-US"/>
        </w:rPr>
        <w:t xml:space="preserve">a sucrose gradient from 1 wt% to 30 wt% resulted in the formation of two discrete bands, as shown in </w:t>
      </w:r>
      <w:r w:rsidR="007C6D98" w:rsidRPr="000E2117">
        <w:rPr>
          <w:rFonts w:ascii="Calibri" w:eastAsia="Calibri" w:hAnsi="Calibri" w:cs="Times New Roman"/>
          <w:iCs/>
          <w:lang w:val="en-US"/>
        </w:rPr>
        <w:fldChar w:fldCharType="begin"/>
      </w:r>
      <w:r w:rsidR="007C6D98" w:rsidRPr="000E2117">
        <w:rPr>
          <w:rFonts w:ascii="Calibri" w:eastAsia="Calibri" w:hAnsi="Calibri" w:cs="Times New Roman"/>
          <w:iCs/>
          <w:lang w:val="en-US"/>
        </w:rPr>
        <w:instrText xml:space="preserve"> REF _Ref29913177 \h  \* MERGEFORMAT </w:instrText>
      </w:r>
      <w:r w:rsidR="007C6D98" w:rsidRPr="000E2117">
        <w:rPr>
          <w:rFonts w:ascii="Calibri" w:eastAsia="Calibri" w:hAnsi="Calibri" w:cs="Times New Roman"/>
          <w:iCs/>
          <w:lang w:val="en-US"/>
        </w:rPr>
      </w:r>
      <w:r w:rsidR="007C6D98" w:rsidRPr="000E2117">
        <w:rPr>
          <w:rFonts w:ascii="Calibri" w:eastAsia="Calibri" w:hAnsi="Calibri" w:cs="Times New Roman"/>
          <w:iCs/>
          <w:lang w:val="en-US"/>
        </w:rPr>
        <w:fldChar w:fldCharType="separate"/>
      </w:r>
      <w:r w:rsidR="00C52506" w:rsidRPr="00C52506">
        <w:rPr>
          <w:lang w:val="en-US"/>
        </w:rPr>
        <w:t xml:space="preserve">Figure </w:t>
      </w:r>
      <w:r w:rsidR="00C52506" w:rsidRPr="00C52506">
        <w:rPr>
          <w:noProof/>
          <w:lang w:val="en-US"/>
        </w:rPr>
        <w:t>21</w:t>
      </w:r>
      <w:r w:rsidR="007C6D98" w:rsidRPr="000E2117">
        <w:rPr>
          <w:rFonts w:ascii="Calibri" w:eastAsia="Calibri" w:hAnsi="Calibri" w:cs="Times New Roman"/>
          <w:iCs/>
          <w:lang w:val="en-US"/>
        </w:rPr>
        <w:fldChar w:fldCharType="end"/>
      </w:r>
      <w:r w:rsidR="007C6D98" w:rsidRPr="000E2117">
        <w:rPr>
          <w:rFonts w:ascii="Calibri" w:eastAsia="Calibri" w:hAnsi="Calibri" w:cs="Times New Roman"/>
          <w:iCs/>
          <w:lang w:val="en-US"/>
        </w:rPr>
        <w:t>B</w:t>
      </w:r>
      <w:r w:rsidR="00E74C8E" w:rsidRPr="000E2117">
        <w:rPr>
          <w:rFonts w:ascii="Calibri" w:eastAsia="Calibri" w:hAnsi="Calibri" w:cs="Times New Roman"/>
          <w:iCs/>
          <w:lang w:val="en-US"/>
        </w:rPr>
        <w:t>. Separating these bands from the gradient and looking under the optical microscope showed that the</w:t>
      </w:r>
      <w:r w:rsidR="00E74C8E" w:rsidRPr="00E74C8E">
        <w:rPr>
          <w:rFonts w:ascii="Calibri" w:eastAsia="Calibri" w:hAnsi="Calibri" w:cs="Times New Roman"/>
          <w:iCs/>
          <w:lang w:val="en-US"/>
        </w:rPr>
        <w:t xml:space="preserve"> top layer mainly contained homonuclei, while the bottom layer contained mainly dumbbells </w:t>
      </w:r>
      <w:r w:rsidR="00E74C8E" w:rsidRPr="00E74C8E">
        <w:rPr>
          <w:rFonts w:ascii="Calibri" w:eastAsia="Calibri" w:hAnsi="Calibri" w:cs="Times New Roman"/>
          <w:iCs/>
          <w:lang w:val="en-US"/>
        </w:rPr>
        <w:lastRenderedPageBreak/>
        <w:t>and other deformed particles</w:t>
      </w:r>
      <w:r w:rsidR="007C6D98">
        <w:rPr>
          <w:rFonts w:ascii="Calibri" w:eastAsia="Calibri" w:hAnsi="Calibri" w:cs="Times New Roman"/>
          <w:iCs/>
          <w:lang w:val="en-US"/>
        </w:rPr>
        <w:t xml:space="preserve">. </w:t>
      </w:r>
      <w:r w:rsidR="00E87FD6">
        <w:rPr>
          <w:rFonts w:ascii="Calibri" w:eastAsia="Calibri" w:hAnsi="Calibri" w:cs="Times New Roman"/>
          <w:iCs/>
          <w:lang w:val="en-US"/>
        </w:rPr>
        <w:t>Unfortunately, the</w:t>
      </w:r>
      <w:r w:rsidR="007C6D98">
        <w:rPr>
          <w:rFonts w:ascii="Calibri" w:eastAsia="Calibri" w:hAnsi="Calibri" w:cs="Times New Roman"/>
          <w:iCs/>
          <w:lang w:val="en-US"/>
        </w:rPr>
        <w:t xml:space="preserve"> microscopic images of the fractions are lost. </w:t>
      </w:r>
      <w:r w:rsidR="00E74C8E" w:rsidRPr="00E74C8E">
        <w:rPr>
          <w:rFonts w:ascii="Calibri" w:eastAsia="Calibri" w:hAnsi="Calibri" w:cs="Times New Roman"/>
          <w:iCs/>
          <w:lang w:val="en-US"/>
        </w:rPr>
        <w:t xml:space="preserve">In an attempt to enhance the separation between the different fractions, an incremented continuous gradient of sucrose ranging from </w:t>
      </w:r>
      <w:r w:rsidR="00E74C8E" w:rsidRPr="00E87FD6">
        <w:rPr>
          <w:rFonts w:ascii="Calibri" w:eastAsia="Calibri" w:hAnsi="Calibri" w:cs="Times New Roman"/>
          <w:iCs/>
          <w:lang w:val="en-US"/>
        </w:rPr>
        <w:t xml:space="preserve">5 wt% to 35 wt% was prepared. This resulted in the formation of two additional bands, as shown in </w:t>
      </w:r>
      <w:r w:rsidR="007C6D98" w:rsidRPr="00E87FD6">
        <w:rPr>
          <w:rFonts w:ascii="Calibri" w:eastAsia="Calibri" w:hAnsi="Calibri" w:cs="Times New Roman"/>
          <w:iCs/>
          <w:lang w:val="en-US"/>
        </w:rPr>
        <w:fldChar w:fldCharType="begin"/>
      </w:r>
      <w:r w:rsidR="007C6D98" w:rsidRPr="00E87FD6">
        <w:rPr>
          <w:rFonts w:ascii="Calibri" w:eastAsia="Calibri" w:hAnsi="Calibri" w:cs="Times New Roman"/>
          <w:iCs/>
          <w:lang w:val="en-US"/>
        </w:rPr>
        <w:instrText xml:space="preserve"> REF _Ref29913177 \h  \* MERGEFORMAT </w:instrText>
      </w:r>
      <w:r w:rsidR="007C6D98" w:rsidRPr="00E87FD6">
        <w:rPr>
          <w:rFonts w:ascii="Calibri" w:eastAsia="Calibri" w:hAnsi="Calibri" w:cs="Times New Roman"/>
          <w:iCs/>
          <w:lang w:val="en-US"/>
        </w:rPr>
      </w:r>
      <w:r w:rsidR="007C6D98" w:rsidRPr="00E87FD6">
        <w:rPr>
          <w:rFonts w:ascii="Calibri" w:eastAsia="Calibri" w:hAnsi="Calibri" w:cs="Times New Roman"/>
          <w:iCs/>
          <w:lang w:val="en-US"/>
        </w:rPr>
        <w:fldChar w:fldCharType="separate"/>
      </w:r>
      <w:r w:rsidR="00C52506" w:rsidRPr="00C52506">
        <w:rPr>
          <w:lang w:val="en-US"/>
        </w:rPr>
        <w:t xml:space="preserve">Figure </w:t>
      </w:r>
      <w:r w:rsidR="00C52506" w:rsidRPr="00C52506">
        <w:rPr>
          <w:noProof/>
          <w:lang w:val="en-US"/>
        </w:rPr>
        <w:t>21</w:t>
      </w:r>
      <w:r w:rsidR="007C6D98" w:rsidRPr="00E87FD6">
        <w:rPr>
          <w:rFonts w:ascii="Calibri" w:eastAsia="Calibri" w:hAnsi="Calibri" w:cs="Times New Roman"/>
          <w:iCs/>
          <w:lang w:val="en-US"/>
        </w:rPr>
        <w:fldChar w:fldCharType="end"/>
      </w:r>
      <w:r w:rsidR="007C6D98" w:rsidRPr="00E87FD6">
        <w:rPr>
          <w:rFonts w:ascii="Calibri" w:eastAsia="Calibri" w:hAnsi="Calibri" w:cs="Times New Roman"/>
          <w:iCs/>
          <w:lang w:val="en-US"/>
        </w:rPr>
        <w:t>C</w:t>
      </w:r>
      <w:r w:rsidR="00E74C8E" w:rsidRPr="00E87FD6">
        <w:rPr>
          <w:rFonts w:ascii="Calibri" w:eastAsia="Calibri" w:hAnsi="Calibri" w:cs="Times New Roman"/>
          <w:iCs/>
          <w:lang w:val="en-US"/>
        </w:rPr>
        <w:t>.</w:t>
      </w:r>
    </w:p>
    <w:p w:rsidR="00E74C8E" w:rsidRPr="00E74C8E" w:rsidRDefault="00E74C8E" w:rsidP="00FC7A2B">
      <w:pPr>
        <w:spacing w:line="240" w:lineRule="auto"/>
        <w:rPr>
          <w:rFonts w:ascii="Calibri" w:eastAsia="Calibri" w:hAnsi="Calibri" w:cs="Times New Roman"/>
          <w:iCs/>
          <w:lang w:val="en-US"/>
        </w:rPr>
      </w:pPr>
      <w:r w:rsidRPr="00E74C8E">
        <w:rPr>
          <w:rFonts w:ascii="Calibri" w:eastAsia="Calibri" w:hAnsi="Calibri" w:cs="Times New Roman"/>
          <w:iCs/>
          <w:lang w:val="en-US"/>
        </w:rPr>
        <w:t>Taking samples of the bands and viewing them under the optical microscope showed that all samples were very similar, with all bands still containing many different morphologies of particles. Unfortunately, separation of these bands proved to be quite challenging. A needle is carefully put in the dispersion to separate the different bands, starting from bottom to top. This automatically slightly mixes the separate bands, causing them to pollute one another.</w:t>
      </w:r>
    </w:p>
    <w:p w:rsidR="00302DE1" w:rsidRDefault="00E74C8E" w:rsidP="00FC7A2B">
      <w:pPr>
        <w:keepNext/>
        <w:spacing w:line="240" w:lineRule="auto"/>
        <w:jc w:val="center"/>
      </w:pPr>
      <w:r w:rsidRPr="00E74C8E">
        <w:rPr>
          <w:rFonts w:ascii="Calibri" w:eastAsia="Calibri" w:hAnsi="Calibri" w:cs="Times New Roman"/>
          <w:iCs/>
          <w:noProof/>
          <w:lang w:val="en-US"/>
        </w:rPr>
        <w:drawing>
          <wp:inline distT="0" distB="0" distL="0" distR="0" wp14:anchorId="5F1CD6E9" wp14:editId="706D8E2B">
            <wp:extent cx="4475528" cy="3497486"/>
            <wp:effectExtent l="0" t="0" r="127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064 different gradient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16393" cy="3529421"/>
                    </a:xfrm>
                    <a:prstGeom prst="rect">
                      <a:avLst/>
                    </a:prstGeom>
                  </pic:spPr>
                </pic:pic>
              </a:graphicData>
            </a:graphic>
          </wp:inline>
        </w:drawing>
      </w:r>
    </w:p>
    <w:p w:rsidR="00E74C8E" w:rsidRPr="00302DE1" w:rsidRDefault="00C82962" w:rsidP="00FC7A2B">
      <w:pPr>
        <w:pStyle w:val="Caption"/>
        <w:jc w:val="center"/>
        <w:rPr>
          <w:color w:val="auto"/>
          <w:sz w:val="20"/>
          <w:szCs w:val="20"/>
          <w:lang w:val="en-US"/>
        </w:rPr>
      </w:pPr>
      <w:bookmarkStart w:id="73" w:name="_Ref29913177"/>
      <w:r>
        <w:rPr>
          <w:color w:val="auto"/>
          <w:sz w:val="20"/>
          <w:szCs w:val="20"/>
          <w:lang w:val="en-US"/>
        </w:rPr>
        <w:t>Figure</w:t>
      </w:r>
      <w:r w:rsidR="00302DE1" w:rsidRPr="00302DE1">
        <w:rPr>
          <w:color w:val="auto"/>
          <w:sz w:val="20"/>
          <w:szCs w:val="20"/>
          <w:lang w:val="en-US"/>
        </w:rPr>
        <w:t xml:space="preserve"> </w:t>
      </w:r>
      <w:r w:rsidR="00302DE1" w:rsidRPr="00302DE1">
        <w:rPr>
          <w:color w:val="auto"/>
          <w:sz w:val="20"/>
          <w:szCs w:val="20"/>
        </w:rPr>
        <w:fldChar w:fldCharType="begin"/>
      </w:r>
      <w:r w:rsidR="00302DE1" w:rsidRPr="00302DE1">
        <w:rPr>
          <w:color w:val="auto"/>
          <w:sz w:val="20"/>
          <w:szCs w:val="20"/>
          <w:lang w:val="en-US"/>
        </w:rPr>
        <w:instrText xml:space="preserve"> SEQ Figure \* ARABIC </w:instrText>
      </w:r>
      <w:r w:rsidR="00302DE1" w:rsidRPr="00302DE1">
        <w:rPr>
          <w:color w:val="auto"/>
          <w:sz w:val="20"/>
          <w:szCs w:val="20"/>
        </w:rPr>
        <w:fldChar w:fldCharType="separate"/>
      </w:r>
      <w:r w:rsidR="00C52506">
        <w:rPr>
          <w:noProof/>
          <w:color w:val="auto"/>
          <w:sz w:val="20"/>
          <w:szCs w:val="20"/>
          <w:lang w:val="en-US"/>
        </w:rPr>
        <w:t>21</w:t>
      </w:r>
      <w:r w:rsidR="00302DE1" w:rsidRPr="00302DE1">
        <w:rPr>
          <w:color w:val="auto"/>
          <w:sz w:val="20"/>
          <w:szCs w:val="20"/>
        </w:rPr>
        <w:fldChar w:fldCharType="end"/>
      </w:r>
      <w:bookmarkEnd w:id="73"/>
      <w:r w:rsidR="00302DE1" w:rsidRPr="00302DE1">
        <w:rPr>
          <w:color w:val="auto"/>
          <w:sz w:val="20"/>
          <w:szCs w:val="20"/>
          <w:lang w:val="en-US"/>
        </w:rPr>
        <w:t xml:space="preserve">: Density gradient centrifugation of DB-1. </w:t>
      </w:r>
      <w:r w:rsidR="00302DE1" w:rsidRPr="00302DE1">
        <w:rPr>
          <w:b/>
          <w:color w:val="auto"/>
          <w:sz w:val="20"/>
          <w:szCs w:val="20"/>
          <w:lang w:val="en-US"/>
        </w:rPr>
        <w:t>A</w:t>
      </w:r>
      <w:r w:rsidR="00302DE1" w:rsidRPr="00302DE1">
        <w:rPr>
          <w:color w:val="auto"/>
          <w:sz w:val="20"/>
          <w:szCs w:val="20"/>
          <w:lang w:val="en-US"/>
        </w:rPr>
        <w:t xml:space="preserve">: Continuous </w:t>
      </w:r>
      <w:r w:rsidR="00BA64A2">
        <w:rPr>
          <w:color w:val="auto"/>
          <w:sz w:val="20"/>
          <w:szCs w:val="20"/>
          <w:lang w:val="en-US"/>
        </w:rPr>
        <w:t>ficoll</w:t>
      </w:r>
      <w:r w:rsidR="00302DE1" w:rsidRPr="00302DE1">
        <w:rPr>
          <w:color w:val="auto"/>
          <w:sz w:val="20"/>
          <w:szCs w:val="20"/>
          <w:lang w:val="en-US"/>
        </w:rPr>
        <w:t xml:space="preserve"> gradient, </w:t>
      </w:r>
      <w:r w:rsidR="00302DE1" w:rsidRPr="00302DE1">
        <w:rPr>
          <w:b/>
          <w:color w:val="auto"/>
          <w:sz w:val="20"/>
          <w:szCs w:val="20"/>
          <w:lang w:val="en-US"/>
        </w:rPr>
        <w:t>B</w:t>
      </w:r>
      <w:r w:rsidR="00302DE1" w:rsidRPr="00302DE1">
        <w:rPr>
          <w:color w:val="auto"/>
          <w:sz w:val="20"/>
          <w:szCs w:val="20"/>
          <w:lang w:val="en-US"/>
        </w:rPr>
        <w:t xml:space="preserve">: Continuous sucrose gradient, </w:t>
      </w:r>
      <w:r w:rsidR="00302DE1" w:rsidRPr="00302DE1">
        <w:rPr>
          <w:b/>
          <w:color w:val="auto"/>
          <w:sz w:val="20"/>
          <w:szCs w:val="20"/>
          <w:lang w:val="en-US"/>
        </w:rPr>
        <w:t>C</w:t>
      </w:r>
      <w:r w:rsidR="00302DE1" w:rsidRPr="00302DE1">
        <w:rPr>
          <w:color w:val="auto"/>
          <w:sz w:val="20"/>
          <w:szCs w:val="20"/>
          <w:lang w:val="en-US"/>
        </w:rPr>
        <w:t>: Stepwise sucrose gradient.</w:t>
      </w:r>
    </w:p>
    <w:p w:rsidR="00E74C8E" w:rsidRPr="00E74C8E" w:rsidRDefault="00E74C8E" w:rsidP="00FC7A2B">
      <w:pPr>
        <w:spacing w:line="240" w:lineRule="auto"/>
        <w:rPr>
          <w:rFonts w:ascii="Calibri" w:eastAsia="Calibri" w:hAnsi="Calibri" w:cs="Times New Roman"/>
          <w:i/>
          <w:iCs/>
          <w:lang w:val="en-US"/>
        </w:rPr>
      </w:pPr>
      <w:r w:rsidRPr="00E74C8E">
        <w:rPr>
          <w:rFonts w:ascii="Calibri" w:eastAsia="Calibri" w:hAnsi="Calibri" w:cs="Times New Roman"/>
          <w:iCs/>
          <w:lang w:val="en-US"/>
        </w:rPr>
        <w:t>Even though the unsuccessful separation of these bands does not allow for exact characterization of the particles inside that band, it can still be theorized what species would reside in which band. This can be done by using the average density of a PS particle and a TPM particle, being 1.05 g/mL</w:t>
      </w:r>
      <w:r w:rsidRPr="00E74C8E">
        <w:rPr>
          <w:rFonts w:ascii="Calibri" w:eastAsia="Calibri" w:hAnsi="Calibri" w:cs="Times New Roman"/>
          <w:iCs/>
          <w:lang w:val="en-US"/>
        </w:rPr>
        <w:fldChar w:fldCharType="begin" w:fldLock="1"/>
      </w:r>
      <w:r w:rsidR="00FB6101">
        <w:rPr>
          <w:rFonts w:ascii="Calibri" w:eastAsia="Calibri" w:hAnsi="Calibri" w:cs="Times New Roman"/>
          <w:iCs/>
          <w:lang w:val="en-US"/>
        </w:rPr>
        <w:instrText>ADDIN CSL_CITATION { "citationItems" : [ { "id" : "ITEM-1", "itemData" : { "author" : [ { "dropping-particle" : "", "family" : "D. G. Sharp, Beard", "given" : "J. W.", "non-dropping-particle" : "", "parse-names" : false, "suffix" : "" } ], "container-title" : "J. Biol. Chem.", "id" : "ITEM-1", "issue" : "185", "issued" : { "date-parts" : [ [ "1950" ] ] }, "page" : "247-253", "title" : "Size and Density of Polystyrene Particles Measured by Ultracentrifugation", "type" : "article-journal" }, "uris" : [ "http://www.mendeley.com/documents/?uuid=e59c50f3-364a-4f5e-a893-1e4d8edc43ed" ] } ], "mendeley" : { "formattedCitation" : "&lt;sup&gt;61&lt;/sup&gt;", "plainTextFormattedCitation" : "61", "previouslyFormattedCitation" : "&lt;sup&gt;61&lt;/sup&gt;" }, "properties" : { "noteIndex" : 0 }, "schema" : "https://github.com/citation-style-language/schema/raw/master/csl-citation.json" }</w:instrText>
      </w:r>
      <w:r w:rsidRPr="00E74C8E">
        <w:rPr>
          <w:rFonts w:ascii="Calibri" w:eastAsia="Calibri" w:hAnsi="Calibri" w:cs="Times New Roman"/>
          <w:iCs/>
          <w:lang w:val="en-US"/>
        </w:rPr>
        <w:fldChar w:fldCharType="separate"/>
      </w:r>
      <w:r w:rsidR="00DE131C" w:rsidRPr="00DE131C">
        <w:rPr>
          <w:rFonts w:ascii="Calibri" w:eastAsia="Calibri" w:hAnsi="Calibri" w:cs="Times New Roman"/>
          <w:iCs/>
          <w:noProof/>
          <w:vertAlign w:val="superscript"/>
          <w:lang w:val="en-US"/>
        </w:rPr>
        <w:t>61</w:t>
      </w:r>
      <w:r w:rsidRPr="00E74C8E">
        <w:rPr>
          <w:rFonts w:ascii="Calibri" w:eastAsia="Calibri" w:hAnsi="Calibri" w:cs="Times New Roman"/>
          <w:iCs/>
          <w:lang w:val="en-US"/>
        </w:rPr>
        <w:fldChar w:fldCharType="end"/>
      </w:r>
      <w:r w:rsidRPr="00E74C8E">
        <w:rPr>
          <w:rFonts w:ascii="Calibri" w:eastAsia="Calibri" w:hAnsi="Calibri" w:cs="Times New Roman"/>
          <w:iCs/>
          <w:lang w:val="en-US"/>
        </w:rPr>
        <w:t xml:space="preserve"> and 1.30 g/mL</w:t>
      </w:r>
      <w:r w:rsidRPr="00E74C8E">
        <w:rPr>
          <w:rFonts w:ascii="Calibri" w:eastAsia="Calibri" w:hAnsi="Calibri" w:cs="Times New Roman"/>
          <w:iCs/>
          <w:lang w:val="en-US"/>
        </w:rPr>
        <w:fldChar w:fldCharType="begin" w:fldLock="1"/>
      </w:r>
      <w:r w:rsidR="00FB6101">
        <w:rPr>
          <w:rFonts w:ascii="Calibri" w:eastAsia="Calibri" w:hAnsi="Calibri" w:cs="Times New Roman"/>
          <w:iCs/>
          <w:lang w:val="en-US"/>
        </w:rPr>
        <w:instrText>ADDIN CSL_CITATION { "citationItems" : [ { "id" : "ITEM-1", "itemData" : { "DOI" : "10.1021/acs.langmuir.7b01398", "ISSN" : "15205827", "abstract" : "Colloidal particles of controlled size are promising building blocks for the self-assembly of functional materials. Here, we systematically study a method to synthesize monodisperse, micrometer-sized spheres from 3-(trimethoxysilyl)propyl methacrylate (TPM) in a benchtop experiment. Their ease of preparation, smoothness, and physical properties provide distinct advantages over other widely employed materials such as silica, polystyrene, and poly(methyl methacrylate). We describe that the spontaneous emulsification of TPM droplets in water is caused by base-catalyzed hydrolysis, self-condensation, and the deprotonation of TPM. By studying the time-dependent size evolution, we find that the droplet size increases without any detectable secondary nucleation. Resulting TPM droplets are polymerized to form solid particles. The particle diameter can be controlled in the range of 0.4 to 2.8 \u03bcm by adjusting the volume fraction of added monomer and the pH of the solution. Droplets can be grown to diameters of up to 4 \u03bcm by adding TPM monomer after the initial emulsification. Additionally, we characterize various physical parameters of the TPM particles, and we describe methods to incorporate several fluorescent dyes.", "author" : [ { "dropping-particle" : "", "family" : "Wel", "given" : "Casper", "non-dropping-particle" : "Van Der", "parse-names" : false, "suffix" : "" }, { "dropping-particle" : "", "family" : "Bhan", "given" : "Rohit K.", "non-dropping-particle" : "", "parse-names" : false, "suffix" : "" }, { "dropping-particle" : "", "family" : "Verweij", "given" : "Ruben W.", "non-dropping-particle" : "", "parse-names" : false, "suffix" : "" }, { "dropping-particle" : "", "family" : "Frijters", "given" : "Hans C.", "non-dropping-particle" : "", "parse-names" : false, "suffix" : "" }, { "dropping-particle" : "", "family" : "Gong", "given" : "Zhe", "non-dropping-particle" : "", "parse-names" : false, "suffix" : "" }, { "dropping-particle" : "", "family" : "Hollingsworth", "given" : "Andrew D.", "non-dropping-particle" : "", "parse-names" : false, "suffix" : "" }, { "dropping-particle" : "", "family" : "Sacanna", "given" : "Stefano", "non-dropping-particle" : "", "parse-names" : false, "suffix" : "" }, { "dropping-particle" : "", "family" : "Kraft", "given" : "Daniela J.", "non-dropping-particle" : "", "parse-names" : false, "suffix" : "" } ], "container-title" : "Langmuir", "id" : "ITEM-1", "issue" : "33", "issued" : { "date-parts" : [ [ "2017" ] ] }, "page" : "8174-8180", "title" : "Preparation of Colloidal Organosilica Spheres through Spontaneous Emulsification", "type" : "article-journal", "volume" : "33" }, "uris" : [ "http://www.mendeley.com/documents/?uuid=10a1a31b-e1dc-431c-9315-722a867b4b9e" ] } ], "mendeley" : { "formattedCitation" : "&lt;sup&gt;62&lt;/sup&gt;", "plainTextFormattedCitation" : "62", "previouslyFormattedCitation" : "&lt;sup&gt;62&lt;/sup&gt;" }, "properties" : { "noteIndex" : 0 }, "schema" : "https://github.com/citation-style-language/schema/raw/master/csl-citation.json" }</w:instrText>
      </w:r>
      <w:r w:rsidRPr="00E74C8E">
        <w:rPr>
          <w:rFonts w:ascii="Calibri" w:eastAsia="Calibri" w:hAnsi="Calibri" w:cs="Times New Roman"/>
          <w:iCs/>
          <w:lang w:val="en-US"/>
        </w:rPr>
        <w:fldChar w:fldCharType="separate"/>
      </w:r>
      <w:r w:rsidR="00DE131C" w:rsidRPr="00DE131C">
        <w:rPr>
          <w:rFonts w:ascii="Calibri" w:eastAsia="Calibri" w:hAnsi="Calibri" w:cs="Times New Roman"/>
          <w:iCs/>
          <w:noProof/>
          <w:vertAlign w:val="superscript"/>
          <w:lang w:val="en-US"/>
        </w:rPr>
        <w:t>62</w:t>
      </w:r>
      <w:r w:rsidRPr="00E74C8E">
        <w:rPr>
          <w:rFonts w:ascii="Calibri" w:eastAsia="Calibri" w:hAnsi="Calibri" w:cs="Times New Roman"/>
          <w:iCs/>
          <w:lang w:val="en-US"/>
        </w:rPr>
        <w:fldChar w:fldCharType="end"/>
      </w:r>
      <w:r w:rsidRPr="00E74C8E">
        <w:rPr>
          <w:rFonts w:ascii="Calibri" w:eastAsia="Calibri" w:hAnsi="Calibri" w:cs="Times New Roman"/>
          <w:iCs/>
          <w:lang w:val="en-US"/>
        </w:rPr>
        <w:t xml:space="preserve">, respectively. Starting with the highest band, these could be the small TPM homonuclei, having the lowest buoyant mass. Then moving to a band lower, these could be the dumbbells, which are heavier than singly nucleated TPM particles and lighter than other less deformed particles. Another band lower would then mainly contain mickey mouse like particles, having two polystyrene particles and one large TPM lobe. </w:t>
      </w:r>
      <w:r w:rsidR="00E87FD6">
        <w:rPr>
          <w:rFonts w:ascii="Calibri" w:eastAsia="Calibri" w:hAnsi="Calibri" w:cs="Times New Roman"/>
          <w:iCs/>
          <w:lang w:val="en-US"/>
        </w:rPr>
        <w:t xml:space="preserve">The </w:t>
      </w:r>
      <w:r w:rsidRPr="00E74C8E">
        <w:rPr>
          <w:rFonts w:ascii="Calibri" w:eastAsia="Calibri" w:hAnsi="Calibri" w:cs="Times New Roman"/>
          <w:iCs/>
          <w:lang w:val="en-US"/>
        </w:rPr>
        <w:t xml:space="preserve">lowest band would then contain the heaviest deformations, consisting of two TPM lobes and a single PS particle. </w:t>
      </w:r>
    </w:p>
    <w:p w:rsidR="00E87FD6" w:rsidRPr="00E74C8E" w:rsidRDefault="00E74C8E" w:rsidP="00FC7A2B">
      <w:pPr>
        <w:spacing w:line="240" w:lineRule="auto"/>
        <w:rPr>
          <w:rFonts w:ascii="Calibri" w:eastAsia="Calibri" w:hAnsi="Calibri" w:cs="Times New Roman"/>
          <w:iCs/>
          <w:lang w:val="en-US"/>
        </w:rPr>
      </w:pPr>
      <w:r w:rsidRPr="00E74C8E">
        <w:rPr>
          <w:rFonts w:ascii="Calibri" w:eastAsia="Calibri" w:hAnsi="Calibri" w:cs="Times New Roman"/>
          <w:iCs/>
          <w:lang w:val="en-US"/>
        </w:rPr>
        <w:t>Despite the difficulties of separating the layers after the procedure had finished, it has been shown that the different morphologies of particles can be separated into discrete bands. Optimizing the way these bands are separated would be the next step in successfully performing this procedure. This can be done by using a centrifugal tube that can be pierced</w:t>
      </w:r>
      <w:r w:rsidR="00FB6101">
        <w:rPr>
          <w:rFonts w:ascii="Calibri" w:eastAsia="Calibri" w:hAnsi="Calibri" w:cs="Times New Roman"/>
          <w:iCs/>
          <w:lang w:val="en-US"/>
        </w:rPr>
        <w:t xml:space="preserve"> from the side</w:t>
      </w:r>
      <w:r w:rsidRPr="00E74C8E">
        <w:rPr>
          <w:rFonts w:ascii="Calibri" w:eastAsia="Calibri" w:hAnsi="Calibri" w:cs="Times New Roman"/>
          <w:iCs/>
          <w:lang w:val="en-US"/>
        </w:rPr>
        <w:t xml:space="preserve"> by a needle, allowing specific bands to be collected separately. Also, since the yield of the desired particles with this procedure is very low, the procedure would have to be repeated several times. This would be too time consuming to do repeatedly, so it was decided to not utilize this method prior to encapsulation experiments. </w:t>
      </w:r>
    </w:p>
    <w:p w:rsidR="00E74C8E" w:rsidRPr="0012395A" w:rsidRDefault="00E74C8E" w:rsidP="00FC7A2B">
      <w:pPr>
        <w:pStyle w:val="Heading3"/>
        <w:numPr>
          <w:ilvl w:val="2"/>
          <w:numId w:val="2"/>
        </w:numPr>
        <w:spacing w:line="240" w:lineRule="auto"/>
        <w:rPr>
          <w:rFonts w:eastAsia="Calibri"/>
          <w:b/>
          <w:color w:val="auto"/>
          <w:lang w:val="en-US"/>
        </w:rPr>
      </w:pPr>
      <w:bookmarkStart w:id="74" w:name="_Toc31892413"/>
      <w:r w:rsidRPr="0012395A">
        <w:rPr>
          <w:rFonts w:eastAsia="Calibri"/>
          <w:b/>
          <w:color w:val="auto"/>
          <w:lang w:val="en-US"/>
        </w:rPr>
        <w:lastRenderedPageBreak/>
        <w:t>Density Gradient Centrifugation of DB-2</w:t>
      </w:r>
      <w:bookmarkEnd w:id="74"/>
    </w:p>
    <w:p w:rsidR="00E74C8E" w:rsidRPr="00FB6101" w:rsidRDefault="00E74C8E" w:rsidP="00FC7A2B">
      <w:pPr>
        <w:spacing w:line="240" w:lineRule="auto"/>
        <w:rPr>
          <w:rFonts w:ascii="Calibri" w:eastAsia="Calibri" w:hAnsi="Calibri" w:cs="Times New Roman"/>
          <w:iCs/>
          <w:lang w:val="en-US"/>
        </w:rPr>
      </w:pPr>
      <w:r w:rsidRPr="00FB6101">
        <w:rPr>
          <w:rFonts w:ascii="Calibri" w:eastAsia="Calibri" w:hAnsi="Calibri" w:cs="Times New Roman"/>
          <w:iCs/>
          <w:lang w:val="en-US"/>
        </w:rPr>
        <w:t xml:space="preserve">Similar to the </w:t>
      </w:r>
      <w:r w:rsidR="00FB6101" w:rsidRPr="00FB6101">
        <w:rPr>
          <w:rFonts w:ascii="Calibri" w:eastAsia="Calibri" w:hAnsi="Calibri" w:cs="Times New Roman"/>
          <w:iCs/>
          <w:lang w:val="en-US"/>
        </w:rPr>
        <w:t>density gradient centrifugation</w:t>
      </w:r>
      <w:r w:rsidRPr="00FB6101">
        <w:rPr>
          <w:rFonts w:ascii="Calibri" w:eastAsia="Calibri" w:hAnsi="Calibri" w:cs="Times New Roman"/>
          <w:iCs/>
          <w:lang w:val="en-US"/>
        </w:rPr>
        <w:t xml:space="preserve"> procedure of DB-1, it was desired that a quick reproducible method would be developed to efficiently separate the different morphologies in the dispersion of DB-2. Again, first, a continuous gradient of </w:t>
      </w:r>
      <w:r w:rsidR="00BA64A2" w:rsidRPr="00FB6101">
        <w:rPr>
          <w:rFonts w:ascii="Calibri" w:eastAsia="Calibri" w:hAnsi="Calibri" w:cs="Times New Roman"/>
          <w:iCs/>
          <w:lang w:val="en-US"/>
        </w:rPr>
        <w:t>ficoll</w:t>
      </w:r>
      <w:r w:rsidRPr="00FB6101">
        <w:rPr>
          <w:rFonts w:ascii="Calibri" w:eastAsia="Calibri" w:hAnsi="Calibri" w:cs="Times New Roman"/>
          <w:iCs/>
          <w:lang w:val="en-US"/>
        </w:rPr>
        <w:t xml:space="preserve"> ranging from 1 wt% to 9 wt% was used to make the column. This resulted in another continuous distribution of particles over the whole gradient, as shown in </w:t>
      </w:r>
      <w:r w:rsidR="00FB6101" w:rsidRPr="00FB6101">
        <w:rPr>
          <w:rFonts w:ascii="Calibri" w:eastAsia="Calibri" w:hAnsi="Calibri" w:cs="Times New Roman"/>
          <w:iCs/>
          <w:lang w:val="en-US"/>
        </w:rPr>
        <w:fldChar w:fldCharType="begin"/>
      </w:r>
      <w:r w:rsidR="00FB6101" w:rsidRPr="00FB6101">
        <w:rPr>
          <w:rFonts w:ascii="Calibri" w:eastAsia="Calibri" w:hAnsi="Calibri" w:cs="Times New Roman"/>
          <w:iCs/>
          <w:lang w:val="en-US"/>
        </w:rPr>
        <w:instrText xml:space="preserve"> REF _Ref29913436 \h  \* MERGEFORMAT </w:instrText>
      </w:r>
      <w:r w:rsidR="00FB6101" w:rsidRPr="00FB6101">
        <w:rPr>
          <w:rFonts w:ascii="Calibri" w:eastAsia="Calibri" w:hAnsi="Calibri" w:cs="Times New Roman"/>
          <w:iCs/>
          <w:lang w:val="en-US"/>
        </w:rPr>
      </w:r>
      <w:r w:rsidR="00FB6101" w:rsidRPr="00FB6101">
        <w:rPr>
          <w:rFonts w:ascii="Calibri" w:eastAsia="Calibri" w:hAnsi="Calibri" w:cs="Times New Roman"/>
          <w:iCs/>
          <w:lang w:val="en-US"/>
        </w:rPr>
        <w:fldChar w:fldCharType="separate"/>
      </w:r>
      <w:r w:rsidR="00FB6101" w:rsidRPr="00FB6101">
        <w:rPr>
          <w:lang w:val="en-US"/>
        </w:rPr>
        <w:t xml:space="preserve">Figure </w:t>
      </w:r>
      <w:r w:rsidR="00FB6101" w:rsidRPr="00FB6101">
        <w:rPr>
          <w:noProof/>
          <w:lang w:val="en-US"/>
        </w:rPr>
        <w:t>22</w:t>
      </w:r>
      <w:r w:rsidR="00FB6101" w:rsidRPr="00FB6101">
        <w:rPr>
          <w:rFonts w:ascii="Calibri" w:eastAsia="Calibri" w:hAnsi="Calibri" w:cs="Times New Roman"/>
          <w:iCs/>
          <w:lang w:val="en-US"/>
        </w:rPr>
        <w:fldChar w:fldCharType="end"/>
      </w:r>
      <w:r w:rsidR="00FB6101" w:rsidRPr="00FB6101">
        <w:rPr>
          <w:rFonts w:ascii="Calibri" w:eastAsia="Calibri" w:hAnsi="Calibri" w:cs="Times New Roman"/>
          <w:iCs/>
          <w:lang w:val="en-US"/>
        </w:rPr>
        <w:t>A</w:t>
      </w:r>
      <w:r w:rsidRPr="00FB6101">
        <w:rPr>
          <w:rFonts w:ascii="Calibri" w:eastAsia="Calibri" w:hAnsi="Calibri" w:cs="Times New Roman"/>
          <w:iCs/>
          <w:lang w:val="en-US"/>
        </w:rPr>
        <w:t>,</w:t>
      </w:r>
      <w:r w:rsidR="00094F52" w:rsidRPr="00FB6101">
        <w:rPr>
          <w:rFonts w:ascii="Calibri" w:eastAsia="Calibri" w:hAnsi="Calibri" w:cs="Times New Roman"/>
          <w:iCs/>
          <w:lang w:val="en-US"/>
        </w:rPr>
        <w:t xml:space="preserve"> probably</w:t>
      </w:r>
      <w:r w:rsidRPr="00FB6101">
        <w:rPr>
          <w:rFonts w:ascii="Calibri" w:eastAsia="Calibri" w:hAnsi="Calibri" w:cs="Times New Roman"/>
          <w:iCs/>
          <w:lang w:val="en-US"/>
        </w:rPr>
        <w:t xml:space="preserve"> for the same reasons as for the </w:t>
      </w:r>
      <w:r w:rsidR="00BA64A2" w:rsidRPr="00FB6101">
        <w:rPr>
          <w:rFonts w:ascii="Calibri" w:eastAsia="Calibri" w:hAnsi="Calibri" w:cs="Times New Roman"/>
          <w:iCs/>
          <w:lang w:val="en-US"/>
        </w:rPr>
        <w:t>ficoll</w:t>
      </w:r>
      <w:r w:rsidRPr="00FB6101">
        <w:rPr>
          <w:rFonts w:ascii="Calibri" w:eastAsia="Calibri" w:hAnsi="Calibri" w:cs="Times New Roman"/>
          <w:iCs/>
          <w:lang w:val="en-US"/>
        </w:rPr>
        <w:t xml:space="preserve"> procedure of DB-1. Using a continuous gradient of sucrose ranging from 1 wt% to 35 wt% resulted in the formation of two discrete bands, as shown in </w:t>
      </w:r>
      <w:r w:rsidR="00DB2F82" w:rsidRPr="00FB6101">
        <w:rPr>
          <w:rFonts w:ascii="Calibri" w:eastAsia="Calibri" w:hAnsi="Calibri" w:cs="Times New Roman"/>
          <w:iCs/>
          <w:lang w:val="en-US"/>
        </w:rPr>
        <w:fldChar w:fldCharType="begin"/>
      </w:r>
      <w:r w:rsidR="00DB2F82" w:rsidRPr="00FB6101">
        <w:rPr>
          <w:rFonts w:ascii="Calibri" w:eastAsia="Calibri" w:hAnsi="Calibri" w:cs="Times New Roman"/>
          <w:iCs/>
          <w:lang w:val="en-US"/>
        </w:rPr>
        <w:instrText xml:space="preserve"> REF _Ref29913436 \h  \* MERGEFORMAT </w:instrText>
      </w:r>
      <w:r w:rsidR="00DB2F82" w:rsidRPr="00FB6101">
        <w:rPr>
          <w:rFonts w:ascii="Calibri" w:eastAsia="Calibri" w:hAnsi="Calibri" w:cs="Times New Roman"/>
          <w:iCs/>
          <w:lang w:val="en-US"/>
        </w:rPr>
      </w:r>
      <w:r w:rsidR="00DB2F82" w:rsidRPr="00FB6101">
        <w:rPr>
          <w:rFonts w:ascii="Calibri" w:eastAsia="Calibri" w:hAnsi="Calibri" w:cs="Times New Roman"/>
          <w:iCs/>
          <w:lang w:val="en-US"/>
        </w:rPr>
        <w:fldChar w:fldCharType="separate"/>
      </w:r>
      <w:r w:rsidR="00C52506" w:rsidRPr="00FB6101">
        <w:rPr>
          <w:lang w:val="en-US"/>
        </w:rPr>
        <w:t xml:space="preserve">Figure </w:t>
      </w:r>
      <w:r w:rsidR="00C52506" w:rsidRPr="00FB6101">
        <w:rPr>
          <w:noProof/>
          <w:lang w:val="en-US"/>
        </w:rPr>
        <w:t>22</w:t>
      </w:r>
      <w:r w:rsidR="00DB2F82" w:rsidRPr="00FB6101">
        <w:rPr>
          <w:rFonts w:ascii="Calibri" w:eastAsia="Calibri" w:hAnsi="Calibri" w:cs="Times New Roman"/>
          <w:iCs/>
          <w:lang w:val="en-US"/>
        </w:rPr>
        <w:fldChar w:fldCharType="end"/>
      </w:r>
      <w:r w:rsidR="00FB6101" w:rsidRPr="00FB6101">
        <w:rPr>
          <w:rFonts w:ascii="Calibri" w:eastAsia="Calibri" w:hAnsi="Calibri" w:cs="Times New Roman"/>
          <w:iCs/>
          <w:lang w:val="en-US"/>
        </w:rPr>
        <w:t>B</w:t>
      </w:r>
      <w:r w:rsidRPr="00FB6101">
        <w:rPr>
          <w:rFonts w:ascii="Calibri" w:eastAsia="Calibri" w:hAnsi="Calibri" w:cs="Times New Roman"/>
          <w:iCs/>
          <w:lang w:val="en-US"/>
        </w:rPr>
        <w:t xml:space="preserve">. </w:t>
      </w:r>
    </w:p>
    <w:p w:rsidR="0076244E" w:rsidRPr="008B0D30" w:rsidRDefault="0076244E" w:rsidP="00FC7A2B">
      <w:pPr>
        <w:spacing w:line="240" w:lineRule="auto"/>
        <w:rPr>
          <w:rFonts w:ascii="Calibri" w:eastAsia="Calibri" w:hAnsi="Calibri" w:cs="Times New Roman"/>
          <w:i/>
          <w:iCs/>
          <w:lang w:val="en-US"/>
        </w:rPr>
      </w:pPr>
      <w:r w:rsidRPr="00E74C8E">
        <w:rPr>
          <w:rFonts w:ascii="Calibri" w:eastAsia="Calibri" w:hAnsi="Calibri" w:cs="Times New Roman"/>
          <w:iCs/>
          <w:lang w:val="en-US"/>
        </w:rPr>
        <w:t>For the dispersion of DB-2, it was easier to separate the two bands compared to the dispersion of DB-1. The amount of different deformities in the DB-2 dispersion was relatively lower than for DB-1 and the separation</w:t>
      </w:r>
      <w:r w:rsidR="00121DFF">
        <w:rPr>
          <w:rFonts w:ascii="Calibri" w:eastAsia="Calibri" w:hAnsi="Calibri" w:cs="Times New Roman"/>
          <w:iCs/>
          <w:lang w:val="en-US"/>
        </w:rPr>
        <w:t xml:space="preserve"> distance between</w:t>
      </w:r>
      <w:r w:rsidRPr="00E74C8E">
        <w:rPr>
          <w:rFonts w:ascii="Calibri" w:eastAsia="Calibri" w:hAnsi="Calibri" w:cs="Times New Roman"/>
          <w:iCs/>
          <w:lang w:val="en-US"/>
        </w:rPr>
        <w:t xml:space="preserve"> the bands was </w:t>
      </w:r>
      <w:r w:rsidR="00121DFF">
        <w:rPr>
          <w:rFonts w:ascii="Calibri" w:eastAsia="Calibri" w:hAnsi="Calibri" w:cs="Times New Roman"/>
          <w:iCs/>
          <w:lang w:val="en-US"/>
        </w:rPr>
        <w:t>larger</w:t>
      </w:r>
      <w:r w:rsidRPr="00E74C8E">
        <w:rPr>
          <w:rFonts w:ascii="Calibri" w:eastAsia="Calibri" w:hAnsi="Calibri" w:cs="Times New Roman"/>
          <w:iCs/>
          <w:lang w:val="en-US"/>
        </w:rPr>
        <w:t xml:space="preserve"> for the DB-2 dispersion. This resulted in a cleaner separation of the different </w:t>
      </w:r>
      <w:r w:rsidRPr="00FB6101">
        <w:rPr>
          <w:rFonts w:ascii="Calibri" w:eastAsia="Calibri" w:hAnsi="Calibri" w:cs="Times New Roman"/>
          <w:iCs/>
          <w:lang w:val="en-US"/>
        </w:rPr>
        <w:t xml:space="preserve">species for the DB-2 dispersion, as can be seen from the fluorescent micrographs of the different </w:t>
      </w:r>
      <w:r w:rsidRPr="00121DFF">
        <w:rPr>
          <w:rFonts w:ascii="Calibri" w:eastAsia="Calibri" w:hAnsi="Calibri" w:cs="Times New Roman"/>
          <w:iCs/>
          <w:lang w:val="en-US"/>
        </w:rPr>
        <w:t>layers (</w:t>
      </w:r>
      <w:r w:rsidR="00DB2F82" w:rsidRPr="00121DFF">
        <w:rPr>
          <w:rFonts w:ascii="Calibri" w:eastAsia="Calibri" w:hAnsi="Calibri" w:cs="Times New Roman"/>
          <w:iCs/>
          <w:lang w:val="en-US"/>
        </w:rPr>
        <w:fldChar w:fldCharType="begin"/>
      </w:r>
      <w:r w:rsidR="00DB2F82" w:rsidRPr="00121DFF">
        <w:rPr>
          <w:rFonts w:ascii="Calibri" w:eastAsia="Calibri" w:hAnsi="Calibri" w:cs="Times New Roman"/>
          <w:iCs/>
          <w:lang w:val="en-US"/>
        </w:rPr>
        <w:instrText xml:space="preserve"> REF _Ref29913436 \h  \* MERGEFORMAT </w:instrText>
      </w:r>
      <w:r w:rsidR="00DB2F82" w:rsidRPr="00121DFF">
        <w:rPr>
          <w:rFonts w:ascii="Calibri" w:eastAsia="Calibri" w:hAnsi="Calibri" w:cs="Times New Roman"/>
          <w:iCs/>
          <w:lang w:val="en-US"/>
        </w:rPr>
      </w:r>
      <w:r w:rsidR="00DB2F82" w:rsidRPr="00121DFF">
        <w:rPr>
          <w:rFonts w:ascii="Calibri" w:eastAsia="Calibri" w:hAnsi="Calibri" w:cs="Times New Roman"/>
          <w:iCs/>
          <w:lang w:val="en-US"/>
        </w:rPr>
        <w:fldChar w:fldCharType="separate"/>
      </w:r>
      <w:r w:rsidR="00C52506" w:rsidRPr="00121DFF">
        <w:rPr>
          <w:lang w:val="en-US"/>
        </w:rPr>
        <w:t xml:space="preserve">Figure </w:t>
      </w:r>
      <w:r w:rsidR="00C52506" w:rsidRPr="00121DFF">
        <w:rPr>
          <w:noProof/>
          <w:lang w:val="en-US"/>
        </w:rPr>
        <w:t>22</w:t>
      </w:r>
      <w:r w:rsidR="00DB2F82" w:rsidRPr="00121DFF">
        <w:rPr>
          <w:rFonts w:ascii="Calibri" w:eastAsia="Calibri" w:hAnsi="Calibri" w:cs="Times New Roman"/>
          <w:iCs/>
          <w:lang w:val="en-US"/>
        </w:rPr>
        <w:fldChar w:fldCharType="end"/>
      </w:r>
      <w:r w:rsidR="007C4250" w:rsidRPr="00121DFF">
        <w:rPr>
          <w:rFonts w:ascii="Calibri" w:eastAsia="Calibri" w:hAnsi="Calibri" w:cs="Times New Roman"/>
          <w:iCs/>
          <w:lang w:val="en-US"/>
        </w:rPr>
        <w:t>C and D</w:t>
      </w:r>
      <w:r w:rsidRPr="00121DFF">
        <w:rPr>
          <w:rFonts w:ascii="Calibri" w:eastAsia="Calibri" w:hAnsi="Calibri" w:cs="Times New Roman"/>
          <w:iCs/>
          <w:lang w:val="en-US"/>
        </w:rPr>
        <w:t>). This</w:t>
      </w:r>
      <w:r w:rsidRPr="00E74C8E">
        <w:rPr>
          <w:rFonts w:ascii="Calibri" w:eastAsia="Calibri" w:hAnsi="Calibri" w:cs="Times New Roman"/>
          <w:iCs/>
          <w:lang w:val="en-US"/>
        </w:rPr>
        <w:t xml:space="preserve"> method could prove to be valuable</w:t>
      </w:r>
      <w:r w:rsidR="00121DFF">
        <w:rPr>
          <w:rFonts w:ascii="Calibri" w:eastAsia="Calibri" w:hAnsi="Calibri" w:cs="Times New Roman"/>
          <w:iCs/>
          <w:lang w:val="en-US"/>
        </w:rPr>
        <w:t>,</w:t>
      </w:r>
      <w:r w:rsidRPr="00E74C8E">
        <w:rPr>
          <w:rFonts w:ascii="Calibri" w:eastAsia="Calibri" w:hAnsi="Calibri" w:cs="Times New Roman"/>
          <w:iCs/>
          <w:lang w:val="en-US"/>
        </w:rPr>
        <w:t xml:space="preserve"> since the DB-2 dispersion is highly polluted with homonuclei</w:t>
      </w:r>
      <w:r w:rsidR="00121DFF">
        <w:rPr>
          <w:rFonts w:ascii="Calibri" w:eastAsia="Calibri" w:hAnsi="Calibri" w:cs="Times New Roman"/>
          <w:iCs/>
          <w:lang w:val="en-US"/>
        </w:rPr>
        <w:t>. These</w:t>
      </w:r>
      <w:r w:rsidRPr="00E74C8E">
        <w:rPr>
          <w:rFonts w:ascii="Calibri" w:eastAsia="Calibri" w:hAnsi="Calibri" w:cs="Times New Roman"/>
          <w:iCs/>
          <w:lang w:val="en-US"/>
        </w:rPr>
        <w:t xml:space="preserve"> could interfere with the selective formation of dumbbell clusters during encapsulation experiments.</w:t>
      </w:r>
    </w:p>
    <w:p w:rsidR="00302DE1" w:rsidRDefault="00E74C8E" w:rsidP="00FC7A2B">
      <w:pPr>
        <w:keepNext/>
        <w:spacing w:line="240" w:lineRule="auto"/>
        <w:jc w:val="center"/>
      </w:pPr>
      <w:r w:rsidRPr="00E74C8E">
        <w:rPr>
          <w:rFonts w:ascii="Calibri" w:eastAsia="Calibri" w:hAnsi="Calibri" w:cs="Times New Roman"/>
          <w:iCs/>
          <w:noProof/>
          <w:lang w:val="en-US"/>
        </w:rPr>
        <w:drawing>
          <wp:inline distT="0" distB="0" distL="0" distR="0" wp14:anchorId="35F40C8B" wp14:editId="6E921353">
            <wp:extent cx="5066245" cy="4164036"/>
            <wp:effectExtent l="0" t="0" r="127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GC DB061 complete.jpg"/>
                    <pic:cNvPicPr/>
                  </pic:nvPicPr>
                  <pic:blipFill>
                    <a:blip r:embed="rId40">
                      <a:extLst>
                        <a:ext uri="{28A0092B-C50C-407E-A947-70E740481C1C}">
                          <a14:useLocalDpi xmlns:a14="http://schemas.microsoft.com/office/drawing/2010/main" val="0"/>
                        </a:ext>
                      </a:extLst>
                    </a:blip>
                    <a:stretch>
                      <a:fillRect/>
                    </a:stretch>
                  </pic:blipFill>
                  <pic:spPr>
                    <a:xfrm>
                      <a:off x="0" y="0"/>
                      <a:ext cx="5066245" cy="4164036"/>
                    </a:xfrm>
                    <a:prstGeom prst="rect">
                      <a:avLst/>
                    </a:prstGeom>
                  </pic:spPr>
                </pic:pic>
              </a:graphicData>
            </a:graphic>
          </wp:inline>
        </w:drawing>
      </w:r>
    </w:p>
    <w:p w:rsidR="00FC7A2B" w:rsidRPr="00FC7A2B" w:rsidRDefault="00C82962" w:rsidP="00BC69AE">
      <w:pPr>
        <w:pStyle w:val="Caption"/>
        <w:jc w:val="center"/>
        <w:rPr>
          <w:lang w:val="en-US"/>
        </w:rPr>
      </w:pPr>
      <w:bookmarkStart w:id="75" w:name="_Ref29913436"/>
      <w:r>
        <w:rPr>
          <w:color w:val="auto"/>
          <w:sz w:val="20"/>
          <w:szCs w:val="20"/>
          <w:lang w:val="en-US"/>
        </w:rPr>
        <w:t>Figure</w:t>
      </w:r>
      <w:r w:rsidR="00302DE1" w:rsidRPr="00302DE1">
        <w:rPr>
          <w:color w:val="auto"/>
          <w:sz w:val="20"/>
          <w:szCs w:val="20"/>
          <w:lang w:val="en-US"/>
        </w:rPr>
        <w:t xml:space="preserve"> </w:t>
      </w:r>
      <w:r w:rsidR="00302DE1" w:rsidRPr="00302DE1">
        <w:rPr>
          <w:color w:val="auto"/>
          <w:sz w:val="20"/>
          <w:szCs w:val="20"/>
        </w:rPr>
        <w:fldChar w:fldCharType="begin"/>
      </w:r>
      <w:r w:rsidR="00302DE1" w:rsidRPr="00302DE1">
        <w:rPr>
          <w:color w:val="auto"/>
          <w:sz w:val="20"/>
          <w:szCs w:val="20"/>
          <w:lang w:val="en-US"/>
        </w:rPr>
        <w:instrText xml:space="preserve"> SEQ Figure \* ARABIC </w:instrText>
      </w:r>
      <w:r w:rsidR="00302DE1" w:rsidRPr="00302DE1">
        <w:rPr>
          <w:color w:val="auto"/>
          <w:sz w:val="20"/>
          <w:szCs w:val="20"/>
        </w:rPr>
        <w:fldChar w:fldCharType="separate"/>
      </w:r>
      <w:r w:rsidR="00C52506">
        <w:rPr>
          <w:noProof/>
          <w:color w:val="auto"/>
          <w:sz w:val="20"/>
          <w:szCs w:val="20"/>
          <w:lang w:val="en-US"/>
        </w:rPr>
        <w:t>22</w:t>
      </w:r>
      <w:r w:rsidR="00302DE1" w:rsidRPr="00302DE1">
        <w:rPr>
          <w:color w:val="auto"/>
          <w:sz w:val="20"/>
          <w:szCs w:val="20"/>
        </w:rPr>
        <w:fldChar w:fldCharType="end"/>
      </w:r>
      <w:bookmarkEnd w:id="75"/>
      <w:r w:rsidR="00302DE1" w:rsidRPr="00302DE1">
        <w:rPr>
          <w:color w:val="auto"/>
          <w:sz w:val="20"/>
          <w:szCs w:val="20"/>
          <w:lang w:val="en-US"/>
        </w:rPr>
        <w:t xml:space="preserve">: Density gradient centrifugation of DB-2 dispersion. </w:t>
      </w:r>
      <w:r w:rsidR="0077793E">
        <w:rPr>
          <w:b/>
          <w:color w:val="auto"/>
          <w:sz w:val="20"/>
          <w:szCs w:val="20"/>
          <w:lang w:val="en-US"/>
        </w:rPr>
        <w:t>A:</w:t>
      </w:r>
      <w:r w:rsidR="00302DE1" w:rsidRPr="00302DE1">
        <w:rPr>
          <w:color w:val="auto"/>
          <w:sz w:val="20"/>
          <w:szCs w:val="20"/>
          <w:lang w:val="en-US"/>
        </w:rPr>
        <w:t xml:space="preserve"> continuous </w:t>
      </w:r>
      <w:r w:rsidR="00BA64A2">
        <w:rPr>
          <w:color w:val="auto"/>
          <w:sz w:val="20"/>
          <w:szCs w:val="20"/>
          <w:lang w:val="en-US"/>
        </w:rPr>
        <w:t>ficoll</w:t>
      </w:r>
      <w:r w:rsidR="00302DE1" w:rsidRPr="00302DE1">
        <w:rPr>
          <w:color w:val="auto"/>
          <w:sz w:val="20"/>
          <w:szCs w:val="20"/>
          <w:lang w:val="en-US"/>
        </w:rPr>
        <w:t xml:space="preserve"> gradient, </w:t>
      </w:r>
      <w:r w:rsidR="0077793E">
        <w:rPr>
          <w:b/>
          <w:color w:val="auto"/>
          <w:sz w:val="20"/>
          <w:szCs w:val="20"/>
          <w:lang w:val="en-US"/>
        </w:rPr>
        <w:t>B:</w:t>
      </w:r>
      <w:r w:rsidR="00302DE1" w:rsidRPr="00302DE1">
        <w:rPr>
          <w:color w:val="auto"/>
          <w:sz w:val="20"/>
          <w:szCs w:val="20"/>
          <w:lang w:val="en-US"/>
        </w:rPr>
        <w:t xml:space="preserve"> continuous sucrose gradient, </w:t>
      </w:r>
      <w:r w:rsidR="0077793E">
        <w:rPr>
          <w:b/>
          <w:color w:val="auto"/>
          <w:sz w:val="20"/>
          <w:szCs w:val="20"/>
          <w:lang w:val="en-US"/>
        </w:rPr>
        <w:t>C:</w:t>
      </w:r>
      <w:r w:rsidR="00302DE1" w:rsidRPr="00302DE1">
        <w:rPr>
          <w:color w:val="auto"/>
          <w:sz w:val="20"/>
          <w:szCs w:val="20"/>
          <w:lang w:val="en-US"/>
        </w:rPr>
        <w:t xml:space="preserve"> </w:t>
      </w:r>
      <w:r w:rsidR="0077793E">
        <w:rPr>
          <w:color w:val="auto"/>
          <w:sz w:val="20"/>
          <w:szCs w:val="20"/>
          <w:lang w:val="en-US"/>
        </w:rPr>
        <w:t xml:space="preserve">Rhod-B fluorescent micrograph of </w:t>
      </w:r>
      <w:r w:rsidR="00302DE1" w:rsidRPr="00302DE1">
        <w:rPr>
          <w:color w:val="auto"/>
          <w:sz w:val="20"/>
          <w:szCs w:val="20"/>
          <w:lang w:val="en-US"/>
        </w:rPr>
        <w:t xml:space="preserve">TPM homonuclei from the top layer, </w:t>
      </w:r>
      <w:r w:rsidR="0077793E">
        <w:rPr>
          <w:b/>
          <w:color w:val="auto"/>
          <w:sz w:val="20"/>
          <w:szCs w:val="20"/>
          <w:lang w:val="en-US"/>
        </w:rPr>
        <w:t xml:space="preserve">D: </w:t>
      </w:r>
      <w:r w:rsidR="0077793E">
        <w:rPr>
          <w:color w:val="auto"/>
          <w:sz w:val="20"/>
          <w:szCs w:val="20"/>
          <w:lang w:val="en-US"/>
        </w:rPr>
        <w:t>Rhod-B fluorescent micrograph of</w:t>
      </w:r>
      <w:r w:rsidR="00302DE1" w:rsidRPr="00302DE1">
        <w:rPr>
          <w:color w:val="auto"/>
          <w:sz w:val="20"/>
          <w:szCs w:val="20"/>
          <w:lang w:val="en-US"/>
        </w:rPr>
        <w:t xml:space="preserve"> dumbbells and deformations</w:t>
      </w:r>
      <w:r w:rsidR="0077793E">
        <w:rPr>
          <w:color w:val="auto"/>
          <w:sz w:val="20"/>
          <w:szCs w:val="20"/>
          <w:lang w:val="en-US"/>
        </w:rPr>
        <w:t xml:space="preserve"> from</w:t>
      </w:r>
      <w:r w:rsidR="00121DFF">
        <w:rPr>
          <w:color w:val="auto"/>
          <w:sz w:val="20"/>
          <w:szCs w:val="20"/>
          <w:lang w:val="en-US"/>
        </w:rPr>
        <w:t xml:space="preserve"> the</w:t>
      </w:r>
      <w:r w:rsidR="0077793E">
        <w:rPr>
          <w:color w:val="auto"/>
          <w:sz w:val="20"/>
          <w:szCs w:val="20"/>
          <w:lang w:val="en-US"/>
        </w:rPr>
        <w:t xml:space="preserve"> bottom layer</w:t>
      </w:r>
      <w:r w:rsidR="00302DE1" w:rsidRPr="00302DE1">
        <w:rPr>
          <w:color w:val="auto"/>
          <w:sz w:val="20"/>
          <w:szCs w:val="20"/>
          <w:lang w:val="en-US"/>
        </w:rPr>
        <w:t>.</w:t>
      </w:r>
    </w:p>
    <w:p w:rsidR="00E74C8E" w:rsidRPr="0066726E" w:rsidRDefault="00E74C8E" w:rsidP="00FC7A2B">
      <w:pPr>
        <w:pStyle w:val="Heading3"/>
        <w:numPr>
          <w:ilvl w:val="2"/>
          <w:numId w:val="2"/>
        </w:numPr>
        <w:spacing w:line="240" w:lineRule="auto"/>
        <w:rPr>
          <w:rFonts w:eastAsia="Calibri"/>
          <w:b/>
          <w:color w:val="auto"/>
          <w:lang w:val="en-US"/>
        </w:rPr>
      </w:pPr>
      <w:bookmarkStart w:id="76" w:name="_Toc31892414"/>
      <w:r w:rsidRPr="0066726E">
        <w:rPr>
          <w:rFonts w:eastAsia="Calibri"/>
          <w:b/>
          <w:color w:val="auto"/>
          <w:lang w:val="en-US"/>
        </w:rPr>
        <w:t>Analysis of the biphasic TPM-PS zwitterionic dumbbells</w:t>
      </w:r>
      <w:bookmarkEnd w:id="76"/>
    </w:p>
    <w:p w:rsidR="00E74C8E" w:rsidRPr="00E74C8E" w:rsidRDefault="00E74C8E" w:rsidP="00FC7A2B">
      <w:pPr>
        <w:spacing w:line="240" w:lineRule="auto"/>
        <w:contextualSpacing/>
        <w:rPr>
          <w:rFonts w:ascii="Calibri" w:eastAsia="Calibri" w:hAnsi="Calibri" w:cs="Times New Roman"/>
          <w:iCs/>
          <w:lang w:val="en-US"/>
        </w:rPr>
      </w:pPr>
      <w:r w:rsidRPr="00E74C8E">
        <w:rPr>
          <w:rFonts w:ascii="Calibri" w:eastAsia="Calibri" w:hAnsi="Calibri" w:cs="Times New Roman"/>
          <w:iCs/>
          <w:lang w:val="en-US"/>
        </w:rPr>
        <w:t>To determine whether surface modification of the TPM lobe with APTES was successful, single TPM particles were synthesized in the same way and analyzed further. Doing this allows for a zeta potential measurement of a single TPM surface, without interference of the structurally and chemically anisotropic nature of the dumbbell. For this analysis, TPM-1 was synthesized</w:t>
      </w:r>
      <w:r w:rsidR="00327F66">
        <w:rPr>
          <w:rFonts w:ascii="Calibri" w:eastAsia="Calibri" w:hAnsi="Calibri" w:cs="Times New Roman"/>
          <w:iCs/>
          <w:lang w:val="en-US"/>
        </w:rPr>
        <w:t>, after which these were modified with APTES. The resulting</w:t>
      </w:r>
      <w:r w:rsidRPr="00E74C8E">
        <w:rPr>
          <w:rFonts w:ascii="Calibri" w:eastAsia="Calibri" w:hAnsi="Calibri" w:cs="Times New Roman"/>
          <w:iCs/>
          <w:lang w:val="en-US"/>
        </w:rPr>
        <w:t xml:space="preserve"> </w:t>
      </w:r>
      <w:r w:rsidR="00763002">
        <w:rPr>
          <w:rFonts w:ascii="Calibri" w:eastAsia="Calibri" w:hAnsi="Calibri" w:cs="Times New Roman"/>
          <w:iCs/>
          <w:lang w:val="en-US"/>
        </w:rPr>
        <w:t>hydrodynamic radius</w:t>
      </w:r>
      <w:r w:rsidRPr="00E74C8E">
        <w:rPr>
          <w:rFonts w:ascii="Calibri" w:eastAsia="Calibri" w:hAnsi="Calibri" w:cs="Times New Roman"/>
          <w:iCs/>
          <w:lang w:val="en-US"/>
        </w:rPr>
        <w:t xml:space="preserve"> of</w:t>
      </w:r>
      <w:r w:rsidR="00327F66">
        <w:rPr>
          <w:rFonts w:ascii="Calibri" w:eastAsia="Calibri" w:hAnsi="Calibri" w:cs="Times New Roman"/>
          <w:iCs/>
          <w:lang w:val="en-US"/>
        </w:rPr>
        <w:t xml:space="preserve"> the</w:t>
      </w:r>
      <w:r w:rsidR="00121DFF">
        <w:rPr>
          <w:rFonts w:ascii="Calibri" w:eastAsia="Calibri" w:hAnsi="Calibri" w:cs="Times New Roman"/>
          <w:iCs/>
          <w:lang w:val="en-US"/>
        </w:rPr>
        <w:t xml:space="preserve"> APTES</w:t>
      </w:r>
      <w:r w:rsidR="00327F66">
        <w:rPr>
          <w:rFonts w:ascii="Calibri" w:eastAsia="Calibri" w:hAnsi="Calibri" w:cs="Times New Roman"/>
          <w:iCs/>
          <w:lang w:val="en-US"/>
        </w:rPr>
        <w:t xml:space="preserve"> TPM-1 particles was </w:t>
      </w:r>
      <w:r w:rsidRPr="00E74C8E">
        <w:rPr>
          <w:rFonts w:ascii="Calibri" w:eastAsia="Calibri" w:hAnsi="Calibri" w:cs="Times New Roman"/>
          <w:iCs/>
          <w:lang w:val="en-US"/>
        </w:rPr>
        <w:t xml:space="preserve">761 </w:t>
      </w:r>
      <w:r w:rsidRPr="00E74C8E">
        <w:rPr>
          <w:rFonts w:ascii="Calibri" w:eastAsia="Calibri" w:hAnsi="Calibri" w:cs="Calibri"/>
          <w:iCs/>
          <w:lang w:val="en-US"/>
        </w:rPr>
        <w:t>± 110 nm as determined by DLS</w:t>
      </w:r>
      <w:r w:rsidR="00327F66">
        <w:rPr>
          <w:rFonts w:ascii="Calibri" w:eastAsia="Calibri" w:hAnsi="Calibri" w:cs="Calibri"/>
          <w:iCs/>
          <w:lang w:val="en-US"/>
        </w:rPr>
        <w:t>.</w:t>
      </w:r>
      <w:r w:rsidRPr="00E74C8E">
        <w:rPr>
          <w:rFonts w:ascii="Calibri" w:eastAsia="Calibri" w:hAnsi="Calibri" w:cs="Times New Roman"/>
          <w:iCs/>
          <w:lang w:val="en-US"/>
        </w:rPr>
        <w:t xml:space="preserve"> </w:t>
      </w:r>
      <w:r w:rsidR="00327F66">
        <w:rPr>
          <w:rFonts w:ascii="Calibri" w:eastAsia="Calibri" w:hAnsi="Calibri" w:cs="Times New Roman"/>
          <w:iCs/>
          <w:lang w:val="en-US"/>
        </w:rPr>
        <w:t>An</w:t>
      </w:r>
      <w:r w:rsidRPr="00E74C8E">
        <w:rPr>
          <w:rFonts w:ascii="Calibri" w:eastAsia="Calibri" w:hAnsi="Calibri" w:cs="Times New Roman"/>
          <w:iCs/>
          <w:lang w:val="en-US"/>
        </w:rPr>
        <w:t xml:space="preserve"> which an optical micrograph </w:t>
      </w:r>
      <w:r w:rsidR="00327F66">
        <w:rPr>
          <w:rFonts w:ascii="Calibri" w:eastAsia="Calibri" w:hAnsi="Calibri" w:cs="Times New Roman"/>
          <w:iCs/>
          <w:lang w:val="en-US"/>
        </w:rPr>
        <w:t xml:space="preserve">of the particles </w:t>
      </w:r>
      <w:r w:rsidRPr="00E74C8E">
        <w:rPr>
          <w:rFonts w:ascii="Calibri" w:eastAsia="Calibri" w:hAnsi="Calibri" w:cs="Times New Roman"/>
          <w:iCs/>
          <w:lang w:val="en-US"/>
        </w:rPr>
        <w:t xml:space="preserve">is shown </w:t>
      </w:r>
      <w:r w:rsidRPr="00121DFF">
        <w:rPr>
          <w:rFonts w:ascii="Calibri" w:eastAsia="Calibri" w:hAnsi="Calibri" w:cs="Times New Roman"/>
          <w:iCs/>
          <w:lang w:val="en-US"/>
        </w:rPr>
        <w:t xml:space="preserve">in </w:t>
      </w:r>
      <w:r w:rsidR="00DB2F82" w:rsidRPr="00121DFF">
        <w:rPr>
          <w:rFonts w:ascii="Calibri" w:eastAsia="Calibri" w:hAnsi="Calibri" w:cs="Times New Roman"/>
          <w:iCs/>
          <w:lang w:val="en-US"/>
        </w:rPr>
        <w:fldChar w:fldCharType="begin"/>
      </w:r>
      <w:r w:rsidR="00DB2F82" w:rsidRPr="00121DFF">
        <w:rPr>
          <w:rFonts w:ascii="Calibri" w:eastAsia="Calibri" w:hAnsi="Calibri" w:cs="Times New Roman"/>
          <w:iCs/>
          <w:lang w:val="en-US"/>
        </w:rPr>
        <w:instrText xml:space="preserve"> REF _Ref29913469 \h  \* MERGEFORMAT </w:instrText>
      </w:r>
      <w:r w:rsidR="00DB2F82" w:rsidRPr="00121DFF">
        <w:rPr>
          <w:rFonts w:ascii="Calibri" w:eastAsia="Calibri" w:hAnsi="Calibri" w:cs="Times New Roman"/>
          <w:iCs/>
          <w:lang w:val="en-US"/>
        </w:rPr>
      </w:r>
      <w:r w:rsidR="00DB2F82" w:rsidRPr="00121DFF">
        <w:rPr>
          <w:rFonts w:ascii="Calibri" w:eastAsia="Calibri" w:hAnsi="Calibri" w:cs="Times New Roman"/>
          <w:iCs/>
          <w:lang w:val="en-US"/>
        </w:rPr>
        <w:fldChar w:fldCharType="separate"/>
      </w:r>
      <w:r w:rsidR="00C52506" w:rsidRPr="00121DFF">
        <w:rPr>
          <w:lang w:val="en-US"/>
        </w:rPr>
        <w:t xml:space="preserve">Figure </w:t>
      </w:r>
      <w:r w:rsidR="00C52506" w:rsidRPr="00121DFF">
        <w:rPr>
          <w:noProof/>
          <w:lang w:val="en-US"/>
        </w:rPr>
        <w:t>23</w:t>
      </w:r>
      <w:r w:rsidR="00DB2F82" w:rsidRPr="00121DFF">
        <w:rPr>
          <w:rFonts w:ascii="Calibri" w:eastAsia="Calibri" w:hAnsi="Calibri" w:cs="Times New Roman"/>
          <w:iCs/>
          <w:lang w:val="en-US"/>
        </w:rPr>
        <w:fldChar w:fldCharType="end"/>
      </w:r>
      <w:r w:rsidRPr="00121DFF">
        <w:rPr>
          <w:rFonts w:ascii="Calibri" w:eastAsia="Calibri" w:hAnsi="Calibri" w:cs="Times New Roman"/>
          <w:iCs/>
          <w:lang w:val="en-US"/>
        </w:rPr>
        <w:t>.</w:t>
      </w:r>
    </w:p>
    <w:p w:rsidR="00302DE1" w:rsidRDefault="00E74C8E" w:rsidP="00FC7A2B">
      <w:pPr>
        <w:keepNext/>
        <w:spacing w:line="240" w:lineRule="auto"/>
        <w:contextualSpacing/>
        <w:jc w:val="center"/>
      </w:pPr>
      <w:r w:rsidRPr="00E74C8E">
        <w:rPr>
          <w:rFonts w:ascii="Calibri" w:eastAsia="Calibri" w:hAnsi="Calibri" w:cs="Times New Roman"/>
          <w:iCs/>
          <w:noProof/>
          <w:lang w:val="en-US"/>
        </w:rPr>
        <w:lastRenderedPageBreak/>
        <w:drawing>
          <wp:inline distT="0" distB="0" distL="0" distR="0" wp14:anchorId="74FC4764" wp14:editId="0D4BCB6E">
            <wp:extent cx="2551814" cy="2551814"/>
            <wp:effectExtent l="0" t="0" r="127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PM01 OM.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87595" cy="2587595"/>
                    </a:xfrm>
                    <a:prstGeom prst="rect">
                      <a:avLst/>
                    </a:prstGeom>
                  </pic:spPr>
                </pic:pic>
              </a:graphicData>
            </a:graphic>
          </wp:inline>
        </w:drawing>
      </w:r>
    </w:p>
    <w:p w:rsidR="00E74C8E" w:rsidRPr="00121DFF" w:rsidRDefault="00C82962" w:rsidP="00FC7A2B">
      <w:pPr>
        <w:pStyle w:val="Caption"/>
        <w:jc w:val="center"/>
        <w:rPr>
          <w:rFonts w:ascii="Calibri" w:eastAsia="Calibri" w:hAnsi="Calibri" w:cs="Times New Roman"/>
          <w:iCs w:val="0"/>
          <w:color w:val="auto"/>
          <w:sz w:val="20"/>
          <w:szCs w:val="20"/>
          <w:lang w:val="en-US"/>
        </w:rPr>
      </w:pPr>
      <w:bookmarkStart w:id="77" w:name="_Ref29913469"/>
      <w:r w:rsidRPr="00121DFF">
        <w:rPr>
          <w:color w:val="auto"/>
          <w:sz w:val="20"/>
          <w:szCs w:val="20"/>
          <w:lang w:val="en-US"/>
        </w:rPr>
        <w:t>Figure</w:t>
      </w:r>
      <w:r w:rsidR="00302DE1" w:rsidRPr="00121DFF">
        <w:rPr>
          <w:color w:val="auto"/>
          <w:sz w:val="20"/>
          <w:szCs w:val="20"/>
          <w:lang w:val="en-US"/>
        </w:rPr>
        <w:t xml:space="preserve"> </w:t>
      </w:r>
      <w:r w:rsidR="00302DE1" w:rsidRPr="00121DFF">
        <w:rPr>
          <w:color w:val="auto"/>
          <w:sz w:val="20"/>
          <w:szCs w:val="20"/>
        </w:rPr>
        <w:fldChar w:fldCharType="begin"/>
      </w:r>
      <w:r w:rsidR="00302DE1" w:rsidRPr="00121DFF">
        <w:rPr>
          <w:color w:val="auto"/>
          <w:sz w:val="20"/>
          <w:szCs w:val="20"/>
          <w:lang w:val="en-US"/>
        </w:rPr>
        <w:instrText xml:space="preserve"> SEQ Figure \* ARABIC </w:instrText>
      </w:r>
      <w:r w:rsidR="00302DE1" w:rsidRPr="00121DFF">
        <w:rPr>
          <w:color w:val="auto"/>
          <w:sz w:val="20"/>
          <w:szCs w:val="20"/>
        </w:rPr>
        <w:fldChar w:fldCharType="separate"/>
      </w:r>
      <w:r w:rsidR="00C52506" w:rsidRPr="00121DFF">
        <w:rPr>
          <w:noProof/>
          <w:color w:val="auto"/>
          <w:sz w:val="20"/>
          <w:szCs w:val="20"/>
          <w:lang w:val="en-US"/>
        </w:rPr>
        <w:t>23</w:t>
      </w:r>
      <w:r w:rsidR="00302DE1" w:rsidRPr="00121DFF">
        <w:rPr>
          <w:color w:val="auto"/>
          <w:sz w:val="20"/>
          <w:szCs w:val="20"/>
        </w:rPr>
        <w:fldChar w:fldCharType="end"/>
      </w:r>
      <w:bookmarkEnd w:id="77"/>
      <w:r w:rsidR="00302DE1" w:rsidRPr="00121DFF">
        <w:rPr>
          <w:color w:val="auto"/>
          <w:sz w:val="20"/>
          <w:szCs w:val="20"/>
          <w:lang w:val="en-US"/>
        </w:rPr>
        <w:t>: Optical micrograph of TPM-1</w:t>
      </w:r>
      <w:r w:rsidR="00327F66" w:rsidRPr="00121DFF">
        <w:rPr>
          <w:color w:val="auto"/>
          <w:sz w:val="20"/>
          <w:szCs w:val="20"/>
          <w:lang w:val="en-US"/>
        </w:rPr>
        <w:t xml:space="preserve"> APTES</w:t>
      </w:r>
      <w:r w:rsidR="00302DE1" w:rsidRPr="00121DFF">
        <w:rPr>
          <w:color w:val="auto"/>
          <w:sz w:val="20"/>
          <w:szCs w:val="20"/>
          <w:lang w:val="en-US"/>
        </w:rPr>
        <w:t>.</w:t>
      </w:r>
    </w:p>
    <w:p w:rsidR="00FC7A2B" w:rsidRDefault="00E74C8E" w:rsidP="00FC7A2B">
      <w:pPr>
        <w:spacing w:line="240" w:lineRule="auto"/>
        <w:contextualSpacing/>
        <w:rPr>
          <w:rFonts w:ascii="Calibri" w:eastAsia="Calibri" w:hAnsi="Calibri" w:cs="Times New Roman"/>
          <w:iCs/>
          <w:lang w:val="en-US"/>
        </w:rPr>
      </w:pPr>
      <w:r w:rsidRPr="00E74C8E">
        <w:rPr>
          <w:rFonts w:ascii="Calibri" w:eastAsia="Calibri" w:hAnsi="Calibri" w:cs="Times New Roman"/>
          <w:iCs/>
          <w:lang w:val="en-US"/>
        </w:rPr>
        <w:t>For the zeta potential measurement to be accurate, it was not necessary to produce monodisperse TPM</w:t>
      </w:r>
      <w:r w:rsidR="007C56D1">
        <w:rPr>
          <w:rFonts w:ascii="Calibri" w:eastAsia="Calibri" w:hAnsi="Calibri" w:cs="Times New Roman"/>
          <w:iCs/>
          <w:lang w:val="en-US"/>
        </w:rPr>
        <w:t>-1</w:t>
      </w:r>
      <w:r w:rsidRPr="00E74C8E">
        <w:rPr>
          <w:rFonts w:ascii="Calibri" w:eastAsia="Calibri" w:hAnsi="Calibri" w:cs="Times New Roman"/>
          <w:iCs/>
          <w:lang w:val="en-US"/>
        </w:rPr>
        <w:t xml:space="preserve"> spheres, however, all particles should be spherical and not aggregated. Performing a zeta potential measurement on the unmodified TPM particles in water at neutral pH resulted in a potential -49 </w:t>
      </w:r>
      <w:r w:rsidRPr="00E74C8E">
        <w:rPr>
          <w:rFonts w:ascii="Calibri" w:eastAsia="Calibri" w:hAnsi="Calibri" w:cs="Calibri"/>
          <w:iCs/>
          <w:lang w:val="en-US"/>
        </w:rPr>
        <w:t>±</w:t>
      </w:r>
      <w:r w:rsidRPr="00E74C8E">
        <w:rPr>
          <w:rFonts w:ascii="Calibri" w:eastAsia="Calibri" w:hAnsi="Calibri" w:cs="Times New Roman"/>
          <w:iCs/>
          <w:lang w:val="en-US"/>
        </w:rPr>
        <w:t xml:space="preserve"> 26mV, which arises from the negatively charged dissociated silanol groups (Si-O</w:t>
      </w:r>
      <w:r w:rsidRPr="00E74C8E">
        <w:rPr>
          <w:rFonts w:ascii="Calibri" w:eastAsia="Calibri" w:hAnsi="Calibri" w:cs="Times New Roman"/>
          <w:iCs/>
          <w:vertAlign w:val="superscript"/>
          <w:lang w:val="en-US"/>
        </w:rPr>
        <w:t>-</w:t>
      </w:r>
      <w:r w:rsidRPr="00E74C8E">
        <w:rPr>
          <w:rFonts w:ascii="Calibri" w:eastAsia="Calibri" w:hAnsi="Calibri" w:cs="Times New Roman"/>
          <w:iCs/>
          <w:lang w:val="en-US"/>
        </w:rPr>
        <w:t>) at the surface of the TPM</w:t>
      </w:r>
      <w:r w:rsidR="007C56D1">
        <w:rPr>
          <w:rFonts w:ascii="Calibri" w:eastAsia="Calibri" w:hAnsi="Calibri" w:cs="Times New Roman"/>
          <w:iCs/>
          <w:lang w:val="en-US"/>
        </w:rPr>
        <w:t>-1</w:t>
      </w:r>
      <w:r w:rsidRPr="00E74C8E">
        <w:rPr>
          <w:rFonts w:ascii="Calibri" w:eastAsia="Calibri" w:hAnsi="Calibri" w:cs="Times New Roman"/>
          <w:iCs/>
          <w:lang w:val="en-US"/>
        </w:rPr>
        <w:t xml:space="preserve"> particle. After modification with APTES and redispersion of the particles from EtOH to water, the resulting zeta potential was determined to be +40 </w:t>
      </w:r>
      <w:r w:rsidRPr="00E74C8E">
        <w:rPr>
          <w:rFonts w:ascii="Calibri" w:eastAsia="Calibri" w:hAnsi="Calibri" w:cs="Calibri"/>
          <w:iCs/>
          <w:lang w:val="en-US"/>
        </w:rPr>
        <w:t>± 14</w:t>
      </w:r>
      <w:r w:rsidRPr="00E74C8E">
        <w:rPr>
          <w:rFonts w:ascii="Calibri" w:eastAsia="Calibri" w:hAnsi="Calibri" w:cs="Times New Roman"/>
          <w:iCs/>
          <w:lang w:val="en-US"/>
        </w:rPr>
        <w:t>mV. This indicates that the APTES modification of the TPM surface was successful, as the basic amine groups on APTES are now protonated by the water medium, thus obtaining a positive charge. Coupling this back to the dumbbell synthesis, one can conclude that these modified dumbbells obtain a positive charge on the TPM lobe and a negative charge on the PS lobe when redispersed in water, creating a zwitterionic dumbbell.</w:t>
      </w:r>
    </w:p>
    <w:p w:rsidR="00E74C8E" w:rsidRPr="0066726E" w:rsidRDefault="00E74C8E" w:rsidP="00FC7A2B">
      <w:pPr>
        <w:pStyle w:val="Heading2"/>
        <w:numPr>
          <w:ilvl w:val="1"/>
          <w:numId w:val="2"/>
        </w:numPr>
        <w:spacing w:line="240" w:lineRule="auto"/>
        <w:rPr>
          <w:b/>
          <w:color w:val="auto"/>
        </w:rPr>
      </w:pPr>
      <w:bookmarkStart w:id="78" w:name="_Toc31892415"/>
      <w:bookmarkStart w:id="79" w:name="_Hlk26785381"/>
      <w:r w:rsidRPr="0066726E">
        <w:rPr>
          <w:b/>
          <w:color w:val="auto"/>
        </w:rPr>
        <w:t>Determination pH responsiveness</w:t>
      </w:r>
      <w:bookmarkEnd w:id="78"/>
    </w:p>
    <w:bookmarkEnd w:id="79"/>
    <w:p w:rsidR="00E74C8E" w:rsidRPr="00DB2F82" w:rsidRDefault="00E74C8E" w:rsidP="00FC7A2B">
      <w:pPr>
        <w:spacing w:line="240" w:lineRule="auto"/>
        <w:rPr>
          <w:iCs/>
          <w:lang w:val="en-US"/>
        </w:rPr>
      </w:pPr>
      <w:r w:rsidRPr="00DB2F82">
        <w:rPr>
          <w:rStyle w:val="SubtleEmphasis"/>
          <w:i w:val="0"/>
          <w:color w:val="auto"/>
          <w:lang w:val="en-US"/>
        </w:rPr>
        <w:t xml:space="preserve">Determining the pH responsiveness of particles is done via acid/base titration and subsequently measuring of the zeta potential. At certain pH values, a particle can have either a positive or a negative zeta potential. The sign determines the direction in which a particle will move when an electric field is applied, translating back to the sign of the actual charge on the particle surface. The magnitude determines how fast the particle moves in that electric field, thus providing an indication for the amount of charges on the particle surface. The zeta potential of the particle dispersion is measured in two ways: by measuring the mean zeta potential and/or by measuring the distribution of zeta potentials. The presence of a distribution of zeta potentials over the dispersion sample is an indication of an </w:t>
      </w:r>
      <w:r w:rsidR="00121DFF">
        <w:rPr>
          <w:rStyle w:val="SubtleEmphasis"/>
          <w:i w:val="0"/>
          <w:color w:val="auto"/>
          <w:lang w:val="en-US"/>
        </w:rPr>
        <w:t>inhomogeneous</w:t>
      </w:r>
      <w:r w:rsidRPr="00DB2F82">
        <w:rPr>
          <w:rStyle w:val="SubtleEmphasis"/>
          <w:i w:val="0"/>
          <w:color w:val="auto"/>
          <w:lang w:val="en-US"/>
        </w:rPr>
        <w:t xml:space="preserve"> distribution of charged groups over all particles, as not all particles are equally charged. </w:t>
      </w:r>
    </w:p>
    <w:p w:rsidR="00E74C8E" w:rsidRPr="0066726E" w:rsidRDefault="00E74C8E" w:rsidP="00FC7A2B">
      <w:pPr>
        <w:pStyle w:val="Heading3"/>
        <w:numPr>
          <w:ilvl w:val="2"/>
          <w:numId w:val="2"/>
        </w:numPr>
        <w:spacing w:line="240" w:lineRule="auto"/>
        <w:rPr>
          <w:rStyle w:val="SubtleEmphasis"/>
          <w:b/>
          <w:i w:val="0"/>
          <w:color w:val="auto"/>
          <w:lang w:val="en-US"/>
        </w:rPr>
      </w:pPr>
      <w:bookmarkStart w:id="80" w:name="_Toc31892416"/>
      <w:r w:rsidRPr="0066726E">
        <w:rPr>
          <w:rStyle w:val="SubtleEmphasis"/>
          <w:b/>
          <w:i w:val="0"/>
          <w:color w:val="auto"/>
          <w:lang w:val="en-US"/>
        </w:rPr>
        <w:t>Titration of pH-PS</w:t>
      </w:r>
      <w:bookmarkEnd w:id="80"/>
    </w:p>
    <w:p w:rsidR="000D3429" w:rsidRPr="00DB2F82" w:rsidRDefault="00E74C8E" w:rsidP="00FC7A2B">
      <w:pPr>
        <w:spacing w:line="240" w:lineRule="auto"/>
        <w:rPr>
          <w:noProof/>
          <w:lang w:val="en-US"/>
        </w:rPr>
      </w:pPr>
      <w:r w:rsidRPr="00DB2F82">
        <w:rPr>
          <w:rStyle w:val="SubtleEmphasis"/>
          <w:i w:val="0"/>
          <w:color w:val="auto"/>
          <w:lang w:val="en-US"/>
        </w:rPr>
        <w:t xml:space="preserve">The mean zeta potential measurement of pH-PS at different pH values shown in </w:t>
      </w:r>
      <w:r w:rsidR="00DB2F82" w:rsidRPr="00121DFF">
        <w:rPr>
          <w:rStyle w:val="SubtleEmphasis"/>
          <w:i w:val="0"/>
          <w:color w:val="auto"/>
          <w:lang w:val="en-US"/>
        </w:rPr>
        <w:fldChar w:fldCharType="begin"/>
      </w:r>
      <w:r w:rsidR="00DB2F82" w:rsidRPr="00121DFF">
        <w:rPr>
          <w:rStyle w:val="SubtleEmphasis"/>
          <w:i w:val="0"/>
          <w:color w:val="auto"/>
          <w:lang w:val="en-US"/>
        </w:rPr>
        <w:instrText xml:space="preserve"> REF _Ref29913515 \h  \* MERGEFORMAT </w:instrText>
      </w:r>
      <w:r w:rsidR="00DB2F82" w:rsidRPr="00121DFF">
        <w:rPr>
          <w:rStyle w:val="SubtleEmphasis"/>
          <w:i w:val="0"/>
          <w:color w:val="auto"/>
          <w:lang w:val="en-US"/>
        </w:rPr>
      </w:r>
      <w:r w:rsidR="00DB2F82" w:rsidRPr="00121DFF">
        <w:rPr>
          <w:rStyle w:val="SubtleEmphasis"/>
          <w:i w:val="0"/>
          <w:color w:val="auto"/>
          <w:lang w:val="en-US"/>
        </w:rPr>
        <w:fldChar w:fldCharType="separate"/>
      </w:r>
      <w:r w:rsidR="00C52506" w:rsidRPr="00121DFF">
        <w:rPr>
          <w:lang w:val="en-US"/>
        </w:rPr>
        <w:t xml:space="preserve">Figure </w:t>
      </w:r>
      <w:r w:rsidR="00C52506" w:rsidRPr="00121DFF">
        <w:rPr>
          <w:noProof/>
          <w:lang w:val="en-US"/>
        </w:rPr>
        <w:t>24</w:t>
      </w:r>
      <w:r w:rsidR="00DB2F82" w:rsidRPr="00121DFF">
        <w:rPr>
          <w:rStyle w:val="SubtleEmphasis"/>
          <w:i w:val="0"/>
          <w:color w:val="auto"/>
          <w:lang w:val="en-US"/>
        </w:rPr>
        <w:fldChar w:fldCharType="end"/>
      </w:r>
      <w:r w:rsidRPr="00121DFF">
        <w:rPr>
          <w:rStyle w:val="SubtleEmphasis"/>
          <w:i w:val="0"/>
          <w:color w:val="auto"/>
          <w:lang w:val="en-US"/>
        </w:rPr>
        <w:t>.</w:t>
      </w:r>
      <w:r w:rsidRPr="00DB2F82">
        <w:rPr>
          <w:rStyle w:val="SubtleEmphasis"/>
          <w:i w:val="0"/>
          <w:color w:val="auto"/>
          <w:lang w:val="en-US"/>
        </w:rPr>
        <w:t xml:space="preserve"> As mentioned before</w:t>
      </w:r>
      <w:r w:rsidR="001E37DF" w:rsidRPr="00DB2F82">
        <w:rPr>
          <w:rStyle w:val="SubtleEmphasis"/>
          <w:i w:val="0"/>
          <w:color w:val="auto"/>
          <w:lang w:val="en-US"/>
        </w:rPr>
        <w:t xml:space="preserve"> in paragraph 2.4</w:t>
      </w:r>
      <w:r w:rsidRPr="00DB2F82">
        <w:rPr>
          <w:rStyle w:val="SubtleEmphasis"/>
          <w:i w:val="0"/>
          <w:color w:val="auto"/>
          <w:lang w:val="en-US"/>
        </w:rPr>
        <w:t xml:space="preserve">, the pH-responsiveness of pH-PS arises from the co-functionalization of the particle with a carboxylic acid and an amine co-monomer. At neutral pH, the carboxylic acid functionalization is partially deprotonated, providing a negative charge. At the same time, the amine functionalization is partially protonated, providing a positive charge. This means that on average, the particle has a net surface charge of 0, while actually being zwitterionically charged. Thus, it should be noted that the attribution of this point as being the iso electric point, e.g. the point of zero charge, is not completely validated, as there are </w:t>
      </w:r>
      <w:r w:rsidRPr="00121DFF">
        <w:rPr>
          <w:rStyle w:val="SubtleEmphasis"/>
          <w:i w:val="0"/>
          <w:color w:val="auto"/>
          <w:lang w:val="en-US"/>
        </w:rPr>
        <w:t xml:space="preserve">still charges present on the particle surface. This presence of charges on the particle surface also prevents aggregation of the sample at neutral pH, as can be seen from the optical micrograph of these particles in </w:t>
      </w:r>
      <w:r w:rsidR="00DB2F82" w:rsidRPr="00121DFF">
        <w:rPr>
          <w:rStyle w:val="SubtleEmphasis"/>
          <w:i w:val="0"/>
          <w:color w:val="auto"/>
          <w:lang w:val="en-US"/>
        </w:rPr>
        <w:fldChar w:fldCharType="begin"/>
      </w:r>
      <w:r w:rsidR="00DB2F82" w:rsidRPr="00121DFF">
        <w:rPr>
          <w:rStyle w:val="SubtleEmphasis"/>
          <w:i w:val="0"/>
          <w:color w:val="auto"/>
          <w:lang w:val="en-US"/>
        </w:rPr>
        <w:instrText xml:space="preserve"> REF _Ref29913565 \h  \* MERGEFORMAT </w:instrText>
      </w:r>
      <w:r w:rsidR="00DB2F82" w:rsidRPr="00121DFF">
        <w:rPr>
          <w:rStyle w:val="SubtleEmphasis"/>
          <w:i w:val="0"/>
          <w:color w:val="auto"/>
          <w:lang w:val="en-US"/>
        </w:rPr>
      </w:r>
      <w:r w:rsidR="00DB2F82" w:rsidRPr="00121DFF">
        <w:rPr>
          <w:rStyle w:val="SubtleEmphasis"/>
          <w:i w:val="0"/>
          <w:color w:val="auto"/>
          <w:lang w:val="en-US"/>
        </w:rPr>
        <w:fldChar w:fldCharType="separate"/>
      </w:r>
      <w:r w:rsidR="00C52506" w:rsidRPr="00121DFF">
        <w:rPr>
          <w:lang w:val="en-US"/>
        </w:rPr>
        <w:t xml:space="preserve">Figure </w:t>
      </w:r>
      <w:r w:rsidR="00C52506" w:rsidRPr="00121DFF">
        <w:rPr>
          <w:noProof/>
          <w:lang w:val="en-US"/>
        </w:rPr>
        <w:t>25</w:t>
      </w:r>
      <w:r w:rsidR="00DB2F82" w:rsidRPr="00121DFF">
        <w:rPr>
          <w:rStyle w:val="SubtleEmphasis"/>
          <w:i w:val="0"/>
          <w:color w:val="auto"/>
          <w:lang w:val="en-US"/>
        </w:rPr>
        <w:fldChar w:fldCharType="end"/>
      </w:r>
      <w:r w:rsidR="0076244E" w:rsidRPr="00121DFF">
        <w:rPr>
          <w:rStyle w:val="SubtleEmphasis"/>
          <w:i w:val="0"/>
          <w:color w:val="auto"/>
          <w:lang w:val="en-US"/>
        </w:rPr>
        <w:t>B.</w:t>
      </w:r>
      <w:r w:rsidR="0076244E" w:rsidRPr="00DB2F82">
        <w:rPr>
          <w:noProof/>
          <w:lang w:val="en-US"/>
        </w:rPr>
        <w:t xml:space="preserve"> </w:t>
      </w:r>
    </w:p>
    <w:p w:rsidR="000D3429" w:rsidRDefault="000D3429" w:rsidP="00FC7A2B">
      <w:pPr>
        <w:keepNext/>
        <w:spacing w:line="240" w:lineRule="auto"/>
        <w:jc w:val="center"/>
      </w:pPr>
      <w:r>
        <w:rPr>
          <w:noProof/>
          <w:color w:val="404040" w:themeColor="text1" w:themeTint="BF"/>
          <w:lang w:val="en-US"/>
        </w:rPr>
        <w:lastRenderedPageBreak/>
        <w:drawing>
          <wp:inline distT="0" distB="0" distL="0" distR="0" wp14:anchorId="5071280E" wp14:editId="201A93A7">
            <wp:extent cx="4845132" cy="341643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7637" t="3024" r="10902" b="15793"/>
                    <a:stretch/>
                  </pic:blipFill>
                  <pic:spPr bwMode="auto">
                    <a:xfrm>
                      <a:off x="0" y="0"/>
                      <a:ext cx="4856930" cy="3424758"/>
                    </a:xfrm>
                    <a:prstGeom prst="rect">
                      <a:avLst/>
                    </a:prstGeom>
                    <a:noFill/>
                    <a:ln>
                      <a:noFill/>
                    </a:ln>
                    <a:extLst>
                      <a:ext uri="{53640926-AAD7-44D8-BBD7-CCE9431645EC}">
                        <a14:shadowObscured xmlns:a14="http://schemas.microsoft.com/office/drawing/2010/main"/>
                      </a:ext>
                    </a:extLst>
                  </pic:spPr>
                </pic:pic>
              </a:graphicData>
            </a:graphic>
          </wp:inline>
        </w:drawing>
      </w:r>
    </w:p>
    <w:p w:rsidR="000D3429" w:rsidRPr="000D3429" w:rsidRDefault="00C82962" w:rsidP="00FC7A2B">
      <w:pPr>
        <w:pStyle w:val="Caption"/>
        <w:jc w:val="center"/>
        <w:rPr>
          <w:noProof/>
          <w:color w:val="auto"/>
          <w:sz w:val="20"/>
          <w:szCs w:val="20"/>
          <w:lang w:val="en-US"/>
        </w:rPr>
      </w:pPr>
      <w:bookmarkStart w:id="81" w:name="_Ref29913515"/>
      <w:r>
        <w:rPr>
          <w:color w:val="auto"/>
          <w:sz w:val="20"/>
          <w:szCs w:val="20"/>
          <w:lang w:val="en-US"/>
        </w:rPr>
        <w:t>Figure</w:t>
      </w:r>
      <w:r w:rsidR="000D3429" w:rsidRPr="000D3429">
        <w:rPr>
          <w:color w:val="auto"/>
          <w:sz w:val="20"/>
          <w:szCs w:val="20"/>
          <w:lang w:val="en-US"/>
        </w:rPr>
        <w:t xml:space="preserve"> </w:t>
      </w:r>
      <w:r w:rsidR="000D3429" w:rsidRPr="000D3429">
        <w:rPr>
          <w:color w:val="auto"/>
          <w:sz w:val="20"/>
          <w:szCs w:val="20"/>
        </w:rPr>
        <w:fldChar w:fldCharType="begin"/>
      </w:r>
      <w:r w:rsidR="000D3429" w:rsidRPr="000D3429">
        <w:rPr>
          <w:color w:val="auto"/>
          <w:sz w:val="20"/>
          <w:szCs w:val="20"/>
          <w:lang w:val="en-US"/>
        </w:rPr>
        <w:instrText xml:space="preserve"> SEQ Figure \* ARABIC </w:instrText>
      </w:r>
      <w:r w:rsidR="000D3429" w:rsidRPr="000D3429">
        <w:rPr>
          <w:color w:val="auto"/>
          <w:sz w:val="20"/>
          <w:szCs w:val="20"/>
        </w:rPr>
        <w:fldChar w:fldCharType="separate"/>
      </w:r>
      <w:r w:rsidR="00C52506">
        <w:rPr>
          <w:noProof/>
          <w:color w:val="auto"/>
          <w:sz w:val="20"/>
          <w:szCs w:val="20"/>
          <w:lang w:val="en-US"/>
        </w:rPr>
        <w:t>24</w:t>
      </w:r>
      <w:r w:rsidR="000D3429" w:rsidRPr="000D3429">
        <w:rPr>
          <w:color w:val="auto"/>
          <w:sz w:val="20"/>
          <w:szCs w:val="20"/>
        </w:rPr>
        <w:fldChar w:fldCharType="end"/>
      </w:r>
      <w:bookmarkEnd w:id="81"/>
      <w:r w:rsidR="000D3429" w:rsidRPr="000D3429">
        <w:rPr>
          <w:color w:val="auto"/>
          <w:sz w:val="20"/>
          <w:szCs w:val="20"/>
          <w:lang w:val="en-US"/>
        </w:rPr>
        <w:t>:</w:t>
      </w:r>
      <w:r w:rsidR="00DB2F82">
        <w:rPr>
          <w:color w:val="auto"/>
          <w:sz w:val="20"/>
          <w:szCs w:val="20"/>
          <w:lang w:val="en-US"/>
        </w:rPr>
        <w:t xml:space="preserve"> </w:t>
      </w:r>
      <w:r w:rsidR="000D3429" w:rsidRPr="000D3429">
        <w:rPr>
          <w:color w:val="auto"/>
          <w:sz w:val="20"/>
          <w:szCs w:val="20"/>
          <w:lang w:val="en-US"/>
        </w:rPr>
        <w:t>Titration curve of pH-PS</w:t>
      </w:r>
    </w:p>
    <w:p w:rsidR="000D3429" w:rsidRPr="00787B66" w:rsidRDefault="00121DFF" w:rsidP="00FC7A2B">
      <w:pPr>
        <w:spacing w:line="240" w:lineRule="auto"/>
        <w:jc w:val="center"/>
        <w:rPr>
          <w:iCs/>
          <w:color w:val="404040" w:themeColor="text1" w:themeTint="BF"/>
          <w:lang w:val="en-US"/>
        </w:rPr>
      </w:pPr>
      <w:r w:rsidRPr="00DB2F82">
        <w:rPr>
          <w:noProof/>
          <w:lang w:val="en-US"/>
        </w:rPr>
        <w:drawing>
          <wp:anchor distT="0" distB="0" distL="114300" distR="114300" simplePos="0" relativeHeight="251708416" behindDoc="0" locked="0" layoutInCell="1" allowOverlap="1">
            <wp:simplePos x="0" y="0"/>
            <wp:positionH relativeFrom="column">
              <wp:posOffset>-579628</wp:posOffset>
            </wp:positionH>
            <wp:positionV relativeFrom="paragraph">
              <wp:posOffset>297815</wp:posOffset>
            </wp:positionV>
            <wp:extent cx="7344929" cy="2334838"/>
            <wp:effectExtent l="0" t="0" r="0" b="8890"/>
            <wp:wrapThrough wrapText="bothSides">
              <wp:wrapPolygon edited="0">
                <wp:start x="0" y="0"/>
                <wp:lineTo x="0" y="21506"/>
                <wp:lineTo x="21514" y="21506"/>
                <wp:lineTo x="2151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PS different pH's.jpg"/>
                    <pic:cNvPicPr/>
                  </pic:nvPicPr>
                  <pic:blipFill>
                    <a:blip r:embed="rId43">
                      <a:extLst>
                        <a:ext uri="{28A0092B-C50C-407E-A947-70E740481C1C}">
                          <a14:useLocalDpi xmlns:a14="http://schemas.microsoft.com/office/drawing/2010/main" val="0"/>
                        </a:ext>
                      </a:extLst>
                    </a:blip>
                    <a:stretch>
                      <a:fillRect/>
                    </a:stretch>
                  </pic:blipFill>
                  <pic:spPr>
                    <a:xfrm>
                      <a:off x="0" y="0"/>
                      <a:ext cx="7344929" cy="2334838"/>
                    </a:xfrm>
                    <a:prstGeom prst="rect">
                      <a:avLst/>
                    </a:prstGeom>
                  </pic:spPr>
                </pic:pic>
              </a:graphicData>
            </a:graphic>
            <wp14:sizeRelH relativeFrom="margin">
              <wp14:pctWidth>0</wp14:pctWidth>
            </wp14:sizeRelH>
            <wp14:sizeRelV relativeFrom="margin">
              <wp14:pctHeight>0</wp14:pctHeight>
            </wp14:sizeRelV>
          </wp:anchor>
        </w:drawing>
      </w:r>
    </w:p>
    <w:p w:rsidR="00E74C8E" w:rsidRPr="00DB2F82" w:rsidRDefault="000D3429" w:rsidP="00FC7A2B">
      <w:pPr>
        <w:spacing w:line="240" w:lineRule="auto"/>
        <w:rPr>
          <w:rStyle w:val="SubtleEmphasis"/>
          <w:color w:val="auto"/>
          <w:lang w:val="en-US"/>
        </w:rPr>
      </w:pPr>
      <w:r w:rsidRPr="00DB2F82">
        <w:rPr>
          <w:noProof/>
        </w:rPr>
        <mc:AlternateContent>
          <mc:Choice Requires="wps">
            <w:drawing>
              <wp:anchor distT="0" distB="0" distL="114300" distR="114300" simplePos="0" relativeHeight="251710464" behindDoc="0" locked="0" layoutInCell="1" allowOverlap="1" wp14:anchorId="29A44239" wp14:editId="1D8D3B1B">
                <wp:simplePos x="0" y="0"/>
                <wp:positionH relativeFrom="column">
                  <wp:posOffset>-802640</wp:posOffset>
                </wp:positionH>
                <wp:positionV relativeFrom="paragraph">
                  <wp:posOffset>2391410</wp:posOffset>
                </wp:positionV>
                <wp:extent cx="7344410" cy="635"/>
                <wp:effectExtent l="0" t="0" r="0" b="0"/>
                <wp:wrapThrough wrapText="bothSides">
                  <wp:wrapPolygon edited="0">
                    <wp:start x="0" y="0"/>
                    <wp:lineTo x="0" y="21600"/>
                    <wp:lineTo x="21600" y="21600"/>
                    <wp:lineTo x="21600" y="0"/>
                  </wp:wrapPolygon>
                </wp:wrapThrough>
                <wp:docPr id="38" name="Text Box 38"/>
                <wp:cNvGraphicFramePr/>
                <a:graphic xmlns:a="http://schemas.openxmlformats.org/drawingml/2006/main">
                  <a:graphicData uri="http://schemas.microsoft.com/office/word/2010/wordprocessingShape">
                    <wps:wsp>
                      <wps:cNvSpPr txBox="1"/>
                      <wps:spPr>
                        <a:xfrm>
                          <a:off x="0" y="0"/>
                          <a:ext cx="7344410" cy="635"/>
                        </a:xfrm>
                        <a:prstGeom prst="rect">
                          <a:avLst/>
                        </a:prstGeom>
                        <a:solidFill>
                          <a:prstClr val="white"/>
                        </a:solidFill>
                        <a:ln>
                          <a:noFill/>
                        </a:ln>
                      </wps:spPr>
                      <wps:txbx>
                        <w:txbxContent>
                          <w:p w:rsidR="00ED05BD" w:rsidRPr="000D3429" w:rsidRDefault="00ED05BD" w:rsidP="000D3429">
                            <w:pPr>
                              <w:pStyle w:val="Caption"/>
                              <w:jc w:val="center"/>
                              <w:rPr>
                                <w:noProof/>
                                <w:color w:val="auto"/>
                                <w:sz w:val="20"/>
                                <w:szCs w:val="20"/>
                                <w:lang w:val="en-US"/>
                              </w:rPr>
                            </w:pPr>
                            <w:bookmarkStart w:id="82" w:name="_Ref29913565"/>
                            <w:r>
                              <w:rPr>
                                <w:color w:val="auto"/>
                                <w:sz w:val="20"/>
                                <w:szCs w:val="20"/>
                                <w:lang w:val="en-US"/>
                              </w:rPr>
                              <w:t>Figure</w:t>
                            </w:r>
                            <w:r w:rsidRPr="000D3429">
                              <w:rPr>
                                <w:color w:val="auto"/>
                                <w:sz w:val="20"/>
                                <w:szCs w:val="20"/>
                                <w:lang w:val="en-US"/>
                              </w:rPr>
                              <w:t xml:space="preserve"> </w:t>
                            </w:r>
                            <w:r w:rsidRPr="000D3429">
                              <w:rPr>
                                <w:color w:val="auto"/>
                                <w:sz w:val="20"/>
                                <w:szCs w:val="20"/>
                              </w:rPr>
                              <w:fldChar w:fldCharType="begin"/>
                            </w:r>
                            <w:r w:rsidRPr="000D3429">
                              <w:rPr>
                                <w:color w:val="auto"/>
                                <w:sz w:val="20"/>
                                <w:szCs w:val="20"/>
                                <w:lang w:val="en-US"/>
                              </w:rPr>
                              <w:instrText xml:space="preserve"> SEQ Figure \* ARABIC </w:instrText>
                            </w:r>
                            <w:r w:rsidRPr="000D3429">
                              <w:rPr>
                                <w:color w:val="auto"/>
                                <w:sz w:val="20"/>
                                <w:szCs w:val="20"/>
                              </w:rPr>
                              <w:fldChar w:fldCharType="separate"/>
                            </w:r>
                            <w:r>
                              <w:rPr>
                                <w:noProof/>
                                <w:color w:val="auto"/>
                                <w:sz w:val="20"/>
                                <w:szCs w:val="20"/>
                                <w:lang w:val="en-US"/>
                              </w:rPr>
                              <w:t>25</w:t>
                            </w:r>
                            <w:r w:rsidRPr="000D3429">
                              <w:rPr>
                                <w:color w:val="auto"/>
                                <w:sz w:val="20"/>
                                <w:szCs w:val="20"/>
                              </w:rPr>
                              <w:fldChar w:fldCharType="end"/>
                            </w:r>
                            <w:bookmarkEnd w:id="82"/>
                            <w:r w:rsidRPr="000D3429">
                              <w:rPr>
                                <w:color w:val="auto"/>
                                <w:sz w:val="20"/>
                                <w:szCs w:val="20"/>
                                <w:lang w:val="en-US"/>
                              </w:rPr>
                              <w:t xml:space="preserve">: Optical micrographs of pH-PS at different pH values. </w:t>
                            </w:r>
                            <w:r w:rsidRPr="000D3429">
                              <w:rPr>
                                <w:b/>
                                <w:color w:val="auto"/>
                                <w:sz w:val="20"/>
                                <w:szCs w:val="20"/>
                                <w:lang w:val="en-US"/>
                              </w:rPr>
                              <w:t>A</w:t>
                            </w:r>
                            <w:r w:rsidRPr="000D3429">
                              <w:rPr>
                                <w:color w:val="auto"/>
                                <w:sz w:val="20"/>
                                <w:szCs w:val="20"/>
                                <w:lang w:val="en-US"/>
                              </w:rPr>
                              <w:t xml:space="preserve">: pH 3, </w:t>
                            </w:r>
                            <w:r w:rsidRPr="000D3429">
                              <w:rPr>
                                <w:b/>
                                <w:color w:val="auto"/>
                                <w:sz w:val="20"/>
                                <w:szCs w:val="20"/>
                                <w:lang w:val="en-US"/>
                              </w:rPr>
                              <w:t>B</w:t>
                            </w:r>
                            <w:r w:rsidRPr="000D3429">
                              <w:rPr>
                                <w:color w:val="auto"/>
                                <w:sz w:val="20"/>
                                <w:szCs w:val="20"/>
                                <w:lang w:val="en-US"/>
                              </w:rPr>
                              <w:t xml:space="preserve">: pH 6.5, </w:t>
                            </w:r>
                            <w:r w:rsidRPr="000D3429">
                              <w:rPr>
                                <w:b/>
                                <w:color w:val="auto"/>
                                <w:sz w:val="20"/>
                                <w:szCs w:val="20"/>
                                <w:lang w:val="en-US"/>
                              </w:rPr>
                              <w:t>C</w:t>
                            </w:r>
                            <w:r w:rsidRPr="000D3429">
                              <w:rPr>
                                <w:color w:val="auto"/>
                                <w:sz w:val="20"/>
                                <w:szCs w:val="20"/>
                                <w:lang w:val="en-US"/>
                              </w:rPr>
                              <w:t>: pH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A44239" id="Text Box 38" o:spid="_x0000_s1027" type="#_x0000_t202" style="position:absolute;margin-left:-63.2pt;margin-top:188.3pt;width:578.3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" stroked="f">
                <v:textbox style="mso-fit-shape-to-text:t" inset="0,0,0,0">
                  <w:txbxContent>
                    <w:p w:rsidR="00ED05BD" w:rsidRPr="000D3429" w:rsidRDefault="00ED05BD" w:rsidP="000D3429">
                      <w:pPr>
                        <w:pStyle w:val="Caption"/>
                        <w:jc w:val="center"/>
                        <w:rPr>
                          <w:noProof/>
                          <w:color w:val="auto"/>
                          <w:sz w:val="20"/>
                          <w:szCs w:val="20"/>
                          <w:lang w:val="en-US"/>
                        </w:rPr>
                      </w:pPr>
                      <w:bookmarkStart w:id="84" w:name="_Ref29913565"/>
                      <w:r>
                        <w:rPr>
                          <w:color w:val="auto"/>
                          <w:sz w:val="20"/>
                          <w:szCs w:val="20"/>
                          <w:lang w:val="en-US"/>
                        </w:rPr>
                        <w:t>Figure</w:t>
                      </w:r>
                      <w:r w:rsidRPr="000D3429">
                        <w:rPr>
                          <w:color w:val="auto"/>
                          <w:sz w:val="20"/>
                          <w:szCs w:val="20"/>
                          <w:lang w:val="en-US"/>
                        </w:rPr>
                        <w:t xml:space="preserve"> </w:t>
                      </w:r>
                      <w:r w:rsidRPr="000D3429">
                        <w:rPr>
                          <w:color w:val="auto"/>
                          <w:sz w:val="20"/>
                          <w:szCs w:val="20"/>
                        </w:rPr>
                        <w:fldChar w:fldCharType="begin"/>
                      </w:r>
                      <w:r w:rsidRPr="000D3429">
                        <w:rPr>
                          <w:color w:val="auto"/>
                          <w:sz w:val="20"/>
                          <w:szCs w:val="20"/>
                          <w:lang w:val="en-US"/>
                        </w:rPr>
                        <w:instrText xml:space="preserve"> SEQ Figure \* ARABIC </w:instrText>
                      </w:r>
                      <w:r w:rsidRPr="000D3429">
                        <w:rPr>
                          <w:color w:val="auto"/>
                          <w:sz w:val="20"/>
                          <w:szCs w:val="20"/>
                        </w:rPr>
                        <w:fldChar w:fldCharType="separate"/>
                      </w:r>
                      <w:r>
                        <w:rPr>
                          <w:noProof/>
                          <w:color w:val="auto"/>
                          <w:sz w:val="20"/>
                          <w:szCs w:val="20"/>
                          <w:lang w:val="en-US"/>
                        </w:rPr>
                        <w:t>25</w:t>
                      </w:r>
                      <w:r w:rsidRPr="000D3429">
                        <w:rPr>
                          <w:color w:val="auto"/>
                          <w:sz w:val="20"/>
                          <w:szCs w:val="20"/>
                        </w:rPr>
                        <w:fldChar w:fldCharType="end"/>
                      </w:r>
                      <w:bookmarkEnd w:id="84"/>
                      <w:r w:rsidRPr="000D3429">
                        <w:rPr>
                          <w:color w:val="auto"/>
                          <w:sz w:val="20"/>
                          <w:szCs w:val="20"/>
                          <w:lang w:val="en-US"/>
                        </w:rPr>
                        <w:t xml:space="preserve">: Optical micrographs of pH-PS at different pH values. </w:t>
                      </w:r>
                      <w:r w:rsidRPr="000D3429">
                        <w:rPr>
                          <w:b/>
                          <w:color w:val="auto"/>
                          <w:sz w:val="20"/>
                          <w:szCs w:val="20"/>
                          <w:lang w:val="en-US"/>
                        </w:rPr>
                        <w:t>A</w:t>
                      </w:r>
                      <w:r w:rsidRPr="000D3429">
                        <w:rPr>
                          <w:color w:val="auto"/>
                          <w:sz w:val="20"/>
                          <w:szCs w:val="20"/>
                          <w:lang w:val="en-US"/>
                        </w:rPr>
                        <w:t xml:space="preserve">: pH 3, </w:t>
                      </w:r>
                      <w:r w:rsidRPr="000D3429">
                        <w:rPr>
                          <w:b/>
                          <w:color w:val="auto"/>
                          <w:sz w:val="20"/>
                          <w:szCs w:val="20"/>
                          <w:lang w:val="en-US"/>
                        </w:rPr>
                        <w:t>B</w:t>
                      </w:r>
                      <w:r w:rsidRPr="000D3429">
                        <w:rPr>
                          <w:color w:val="auto"/>
                          <w:sz w:val="20"/>
                          <w:szCs w:val="20"/>
                          <w:lang w:val="en-US"/>
                        </w:rPr>
                        <w:t xml:space="preserve">: pH 6.5, </w:t>
                      </w:r>
                      <w:r w:rsidRPr="000D3429">
                        <w:rPr>
                          <w:b/>
                          <w:color w:val="auto"/>
                          <w:sz w:val="20"/>
                          <w:szCs w:val="20"/>
                          <w:lang w:val="en-US"/>
                        </w:rPr>
                        <w:t>C</w:t>
                      </w:r>
                      <w:r w:rsidRPr="000D3429">
                        <w:rPr>
                          <w:color w:val="auto"/>
                          <w:sz w:val="20"/>
                          <w:szCs w:val="20"/>
                          <w:lang w:val="en-US"/>
                        </w:rPr>
                        <w:t>: pH 10</w:t>
                      </w:r>
                    </w:p>
                  </w:txbxContent>
                </v:textbox>
                <w10:wrap type="through"/>
              </v:shape>
            </w:pict>
          </mc:Fallback>
        </mc:AlternateContent>
      </w:r>
      <w:r w:rsidR="00E74C8E" w:rsidRPr="00DB2F82">
        <w:rPr>
          <w:rStyle w:val="SubtleEmphasis"/>
          <w:i w:val="0"/>
          <w:color w:val="auto"/>
          <w:lang w:val="en-US"/>
        </w:rPr>
        <w:t>Moving to the acidic region of the titration curve, around pH 3.5, the particle obtains a net positive charge. This can be attributed to neutralization of the carboxylic acid functionalities and protonation of the amine functionali</w:t>
      </w:r>
      <w:r w:rsidR="00E74C8E" w:rsidRPr="00121DFF">
        <w:rPr>
          <w:rStyle w:val="SubtleEmphasis"/>
          <w:i w:val="0"/>
          <w:color w:val="auto"/>
          <w:lang w:val="en-US"/>
        </w:rPr>
        <w:t xml:space="preserve">ties. In this region, the particles are well dispersed, as can be seen from the optical micrograph in </w:t>
      </w:r>
      <w:r w:rsidR="00DB2F82" w:rsidRPr="00121DFF">
        <w:rPr>
          <w:rStyle w:val="SubtleEmphasis"/>
          <w:i w:val="0"/>
          <w:color w:val="auto"/>
          <w:lang w:val="en-US"/>
        </w:rPr>
        <w:fldChar w:fldCharType="begin"/>
      </w:r>
      <w:r w:rsidR="00DB2F82" w:rsidRPr="00121DFF">
        <w:rPr>
          <w:rStyle w:val="SubtleEmphasis"/>
          <w:i w:val="0"/>
          <w:color w:val="auto"/>
          <w:lang w:val="en-US"/>
        </w:rPr>
        <w:instrText xml:space="preserve"> REF _Ref29913565 \h  \* MERGEFORMAT </w:instrText>
      </w:r>
      <w:r w:rsidR="00DB2F82" w:rsidRPr="00121DFF">
        <w:rPr>
          <w:rStyle w:val="SubtleEmphasis"/>
          <w:i w:val="0"/>
          <w:color w:val="auto"/>
          <w:lang w:val="en-US"/>
        </w:rPr>
      </w:r>
      <w:r w:rsidR="00DB2F82" w:rsidRPr="00121DFF">
        <w:rPr>
          <w:rStyle w:val="SubtleEmphasis"/>
          <w:i w:val="0"/>
          <w:color w:val="auto"/>
          <w:lang w:val="en-US"/>
        </w:rPr>
        <w:fldChar w:fldCharType="separate"/>
      </w:r>
      <w:r w:rsidR="00C52506" w:rsidRPr="00121DFF">
        <w:rPr>
          <w:lang w:val="en-US"/>
        </w:rPr>
        <w:t xml:space="preserve">Figure </w:t>
      </w:r>
      <w:r w:rsidR="00C52506" w:rsidRPr="00121DFF">
        <w:rPr>
          <w:noProof/>
          <w:lang w:val="en-US"/>
        </w:rPr>
        <w:t>25</w:t>
      </w:r>
      <w:r w:rsidR="00DB2F82" w:rsidRPr="00121DFF">
        <w:rPr>
          <w:rStyle w:val="SubtleEmphasis"/>
          <w:i w:val="0"/>
          <w:color w:val="auto"/>
          <w:lang w:val="en-US"/>
        </w:rPr>
        <w:fldChar w:fldCharType="end"/>
      </w:r>
      <w:r w:rsidR="00787B66" w:rsidRPr="00121DFF">
        <w:rPr>
          <w:rStyle w:val="SubtleEmphasis"/>
          <w:i w:val="0"/>
          <w:color w:val="auto"/>
          <w:lang w:val="en-US"/>
        </w:rPr>
        <w:t>A</w:t>
      </w:r>
      <w:r w:rsidR="00E74C8E" w:rsidRPr="00121DFF">
        <w:rPr>
          <w:rStyle w:val="SubtleEmphasis"/>
          <w:i w:val="0"/>
          <w:color w:val="auto"/>
          <w:lang w:val="en-US"/>
        </w:rPr>
        <w:t>.</w:t>
      </w:r>
      <w:r w:rsidR="00E74C8E" w:rsidRPr="00DB2F82">
        <w:rPr>
          <w:rStyle w:val="SubtleEmphasis"/>
          <w:i w:val="0"/>
          <w:color w:val="auto"/>
          <w:lang w:val="en-US"/>
        </w:rPr>
        <w:t xml:space="preserve"> </w:t>
      </w:r>
    </w:p>
    <w:p w:rsidR="00121DFF" w:rsidRDefault="00E74C8E" w:rsidP="00FC7A2B">
      <w:pPr>
        <w:spacing w:line="240" w:lineRule="auto"/>
        <w:rPr>
          <w:rStyle w:val="SubtleEmphasis"/>
          <w:i w:val="0"/>
          <w:color w:val="auto"/>
          <w:lang w:val="en-US"/>
        </w:rPr>
      </w:pPr>
      <w:r w:rsidRPr="00DB2F82">
        <w:rPr>
          <w:rStyle w:val="SubtleEmphasis"/>
          <w:i w:val="0"/>
          <w:color w:val="auto"/>
          <w:lang w:val="en-US"/>
        </w:rPr>
        <w:t xml:space="preserve">In the basic region, around pH 9.5, the particle obtains a net negative charge. This can be attributed to the deprotonation of the carboxylic acid functionalities and the neutralization of the amine </w:t>
      </w:r>
      <w:r w:rsidRPr="00D710E2">
        <w:rPr>
          <w:rStyle w:val="SubtleEmphasis"/>
          <w:i w:val="0"/>
          <w:color w:val="auto"/>
          <w:lang w:val="en-US"/>
        </w:rPr>
        <w:t xml:space="preserve">functionalities. Again, the particles are well dispersed in this region, as shown in the optical micrograph in </w:t>
      </w:r>
      <w:r w:rsidR="00DB2F82" w:rsidRPr="00D710E2">
        <w:rPr>
          <w:rStyle w:val="SubtleEmphasis"/>
          <w:i w:val="0"/>
          <w:color w:val="auto"/>
          <w:lang w:val="en-US"/>
        </w:rPr>
        <w:fldChar w:fldCharType="begin"/>
      </w:r>
      <w:r w:rsidR="00DB2F82" w:rsidRPr="00D710E2">
        <w:rPr>
          <w:rStyle w:val="SubtleEmphasis"/>
          <w:i w:val="0"/>
          <w:color w:val="auto"/>
          <w:lang w:val="en-US"/>
        </w:rPr>
        <w:instrText xml:space="preserve"> REF _Ref29913565 \h  \* MERGEFORMAT </w:instrText>
      </w:r>
      <w:r w:rsidR="00DB2F82" w:rsidRPr="00D710E2">
        <w:rPr>
          <w:rStyle w:val="SubtleEmphasis"/>
          <w:i w:val="0"/>
          <w:color w:val="auto"/>
          <w:lang w:val="en-US"/>
        </w:rPr>
      </w:r>
      <w:r w:rsidR="00DB2F82" w:rsidRPr="00D710E2">
        <w:rPr>
          <w:rStyle w:val="SubtleEmphasis"/>
          <w:i w:val="0"/>
          <w:color w:val="auto"/>
          <w:lang w:val="en-US"/>
        </w:rPr>
        <w:fldChar w:fldCharType="separate"/>
      </w:r>
      <w:r w:rsidR="00C52506" w:rsidRPr="00C52506">
        <w:rPr>
          <w:lang w:val="en-US"/>
        </w:rPr>
        <w:t xml:space="preserve">Figure </w:t>
      </w:r>
      <w:r w:rsidR="00C52506" w:rsidRPr="00C52506">
        <w:rPr>
          <w:noProof/>
          <w:lang w:val="en-US"/>
        </w:rPr>
        <w:t>25</w:t>
      </w:r>
      <w:r w:rsidR="00DB2F82" w:rsidRPr="00D710E2">
        <w:rPr>
          <w:rStyle w:val="SubtleEmphasis"/>
          <w:i w:val="0"/>
          <w:color w:val="auto"/>
          <w:lang w:val="en-US"/>
        </w:rPr>
        <w:fldChar w:fldCharType="end"/>
      </w:r>
      <w:r w:rsidR="00787B66" w:rsidRPr="00D710E2">
        <w:rPr>
          <w:rStyle w:val="SubtleEmphasis"/>
          <w:i w:val="0"/>
          <w:color w:val="auto"/>
          <w:lang w:val="en-US"/>
        </w:rPr>
        <w:t>C</w:t>
      </w:r>
      <w:r w:rsidRPr="00D710E2">
        <w:rPr>
          <w:rStyle w:val="SubtleEmphasis"/>
          <w:i w:val="0"/>
          <w:color w:val="auto"/>
          <w:lang w:val="en-US"/>
        </w:rPr>
        <w:t>. However, on longer timescales, e.g. weeks, the particles are untangled and form macroscopic flaky aggregates (</w:t>
      </w:r>
      <w:r w:rsidR="00DB2F82" w:rsidRPr="00D710E2">
        <w:rPr>
          <w:rStyle w:val="SubtleEmphasis"/>
          <w:i w:val="0"/>
          <w:color w:val="auto"/>
          <w:lang w:val="en-US"/>
        </w:rPr>
        <w:fldChar w:fldCharType="begin"/>
      </w:r>
      <w:r w:rsidR="00DB2F82" w:rsidRPr="00D710E2">
        <w:rPr>
          <w:rStyle w:val="SubtleEmphasis"/>
          <w:i w:val="0"/>
          <w:color w:val="auto"/>
          <w:lang w:val="en-US"/>
        </w:rPr>
        <w:instrText xml:space="preserve"> REF _Ref29913813 \h  \* MERGEFORMAT </w:instrText>
      </w:r>
      <w:r w:rsidR="00DB2F82" w:rsidRPr="00D710E2">
        <w:rPr>
          <w:rStyle w:val="SubtleEmphasis"/>
          <w:i w:val="0"/>
          <w:color w:val="auto"/>
          <w:lang w:val="en-US"/>
        </w:rPr>
      </w:r>
      <w:r w:rsidR="00DB2F82" w:rsidRPr="00D710E2">
        <w:rPr>
          <w:rStyle w:val="SubtleEmphasis"/>
          <w:i w:val="0"/>
          <w:color w:val="auto"/>
          <w:lang w:val="en-US"/>
        </w:rPr>
        <w:fldChar w:fldCharType="separate"/>
      </w:r>
      <w:r w:rsidR="00C52506" w:rsidRPr="00C52506">
        <w:rPr>
          <w:lang w:val="en-US"/>
        </w:rPr>
        <w:t xml:space="preserve">Figure </w:t>
      </w:r>
      <w:r w:rsidR="00C52506" w:rsidRPr="00C52506">
        <w:rPr>
          <w:noProof/>
          <w:lang w:val="en-US"/>
        </w:rPr>
        <w:t>26</w:t>
      </w:r>
      <w:r w:rsidR="00DB2F82" w:rsidRPr="00D710E2">
        <w:rPr>
          <w:rStyle w:val="SubtleEmphasis"/>
          <w:i w:val="0"/>
          <w:color w:val="auto"/>
          <w:lang w:val="en-US"/>
        </w:rPr>
        <w:fldChar w:fldCharType="end"/>
      </w:r>
      <w:r w:rsidRPr="00D710E2">
        <w:rPr>
          <w:rStyle w:val="SubtleEmphasis"/>
          <w:i w:val="0"/>
          <w:color w:val="auto"/>
          <w:lang w:val="en-US"/>
        </w:rPr>
        <w:t>). An explanation for this occurrence is provided by the manufacturer of these particles, as it was said that</w:t>
      </w:r>
      <w:r w:rsidRPr="00DB2F82">
        <w:rPr>
          <w:rStyle w:val="SubtleEmphasis"/>
          <w:i w:val="0"/>
          <w:color w:val="auto"/>
          <w:lang w:val="en-US"/>
        </w:rPr>
        <w:t xml:space="preserve"> the stability is compromised in basic pH. </w:t>
      </w:r>
    </w:p>
    <w:p w:rsidR="00E74C8E" w:rsidRPr="00DB2F82" w:rsidRDefault="00E74C8E" w:rsidP="00FC7A2B">
      <w:pPr>
        <w:spacing w:line="240" w:lineRule="auto"/>
        <w:rPr>
          <w:noProof/>
          <w:lang w:val="en-US"/>
        </w:rPr>
      </w:pPr>
      <w:r w:rsidRPr="00DB2F82">
        <w:rPr>
          <w:rStyle w:val="SubtleEmphasis"/>
          <w:i w:val="0"/>
          <w:color w:val="auto"/>
          <w:lang w:val="en-US"/>
        </w:rPr>
        <w:lastRenderedPageBreak/>
        <w:t xml:space="preserve">However, it is not clear what the exact reason for this specific sensitivity is. More information about the synthesis process could provide more insight into the decomposition mechanism of this particle in basic pH. </w:t>
      </w:r>
    </w:p>
    <w:p w:rsidR="00302DE1" w:rsidRDefault="00302DE1" w:rsidP="00FC7A2B">
      <w:pPr>
        <w:keepNext/>
        <w:spacing w:line="240" w:lineRule="auto"/>
        <w:jc w:val="center"/>
      </w:pPr>
      <w:r w:rsidRPr="00302DE1">
        <w:rPr>
          <w:noProof/>
        </w:rPr>
        <w:drawing>
          <wp:inline distT="0" distB="0" distL="0" distR="0" wp14:anchorId="6C308A58" wp14:editId="59389590">
            <wp:extent cx="913647" cy="1854679"/>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3735" t="8708" r="49295" b="50231"/>
                    <a:stretch/>
                  </pic:blipFill>
                  <pic:spPr bwMode="auto">
                    <a:xfrm>
                      <a:off x="0" y="0"/>
                      <a:ext cx="930053" cy="1887983"/>
                    </a:xfrm>
                    <a:prstGeom prst="rect">
                      <a:avLst/>
                    </a:prstGeom>
                    <a:ln>
                      <a:noFill/>
                    </a:ln>
                    <a:extLst>
                      <a:ext uri="{53640926-AAD7-44D8-BBD7-CCE9431645EC}">
                        <a14:shadowObscured xmlns:a14="http://schemas.microsoft.com/office/drawing/2010/main"/>
                      </a:ext>
                    </a:extLst>
                  </pic:spPr>
                </pic:pic>
              </a:graphicData>
            </a:graphic>
          </wp:inline>
        </w:drawing>
      </w:r>
    </w:p>
    <w:p w:rsidR="00302DE1" w:rsidRPr="008B0D30" w:rsidRDefault="00C82962" w:rsidP="00FC7A2B">
      <w:pPr>
        <w:pStyle w:val="Caption"/>
        <w:jc w:val="center"/>
        <w:rPr>
          <w:rStyle w:val="SubtleEmphasis"/>
          <w:i/>
          <w:iCs/>
          <w:color w:val="auto"/>
          <w:sz w:val="20"/>
          <w:szCs w:val="20"/>
          <w:lang w:val="en-US"/>
        </w:rPr>
      </w:pPr>
      <w:bookmarkStart w:id="83" w:name="_Ref29913813"/>
      <w:r>
        <w:rPr>
          <w:color w:val="auto"/>
          <w:sz w:val="20"/>
          <w:szCs w:val="20"/>
          <w:lang w:val="en-US"/>
        </w:rPr>
        <w:t>Figure</w:t>
      </w:r>
      <w:r w:rsidR="00302DE1" w:rsidRPr="00302DE1">
        <w:rPr>
          <w:color w:val="auto"/>
          <w:sz w:val="20"/>
          <w:szCs w:val="20"/>
          <w:lang w:val="en-US"/>
        </w:rPr>
        <w:t xml:space="preserve"> </w:t>
      </w:r>
      <w:r w:rsidR="00302DE1" w:rsidRPr="00302DE1">
        <w:rPr>
          <w:color w:val="auto"/>
          <w:sz w:val="20"/>
          <w:szCs w:val="20"/>
        </w:rPr>
        <w:fldChar w:fldCharType="begin"/>
      </w:r>
      <w:r w:rsidR="00302DE1" w:rsidRPr="00302DE1">
        <w:rPr>
          <w:color w:val="auto"/>
          <w:sz w:val="20"/>
          <w:szCs w:val="20"/>
          <w:lang w:val="en-US"/>
        </w:rPr>
        <w:instrText xml:space="preserve"> SEQ Figure \* ARABIC </w:instrText>
      </w:r>
      <w:r w:rsidR="00302DE1" w:rsidRPr="00302DE1">
        <w:rPr>
          <w:color w:val="auto"/>
          <w:sz w:val="20"/>
          <w:szCs w:val="20"/>
        </w:rPr>
        <w:fldChar w:fldCharType="separate"/>
      </w:r>
      <w:r w:rsidR="00C52506">
        <w:rPr>
          <w:noProof/>
          <w:color w:val="auto"/>
          <w:sz w:val="20"/>
          <w:szCs w:val="20"/>
          <w:lang w:val="en-US"/>
        </w:rPr>
        <w:t>26</w:t>
      </w:r>
      <w:r w:rsidR="00302DE1" w:rsidRPr="00302DE1">
        <w:rPr>
          <w:color w:val="auto"/>
          <w:sz w:val="20"/>
          <w:szCs w:val="20"/>
        </w:rPr>
        <w:fldChar w:fldCharType="end"/>
      </w:r>
      <w:bookmarkEnd w:id="83"/>
      <w:r w:rsidR="00302DE1" w:rsidRPr="00302DE1">
        <w:rPr>
          <w:color w:val="auto"/>
          <w:sz w:val="20"/>
          <w:szCs w:val="20"/>
          <w:lang w:val="en-US"/>
        </w:rPr>
        <w:t>: Formation of macroscopic flakes in pH-PS dispersion at basic pH</w:t>
      </w:r>
      <w:r w:rsidR="00AD4F94">
        <w:rPr>
          <w:color w:val="auto"/>
          <w:sz w:val="20"/>
          <w:szCs w:val="20"/>
          <w:lang w:val="en-US"/>
        </w:rPr>
        <w:t>.</w:t>
      </w:r>
    </w:p>
    <w:p w:rsidR="00E74C8E" w:rsidRPr="00DB2F82" w:rsidRDefault="00E74C8E" w:rsidP="00FC7A2B">
      <w:pPr>
        <w:spacing w:line="240" w:lineRule="auto"/>
        <w:rPr>
          <w:rStyle w:val="SubtleEmphasis"/>
          <w:i w:val="0"/>
          <w:color w:val="auto"/>
          <w:lang w:val="en-US"/>
        </w:rPr>
      </w:pPr>
      <w:r w:rsidRPr="00DB2F82">
        <w:rPr>
          <w:rStyle w:val="SubtleEmphasis"/>
          <w:i w:val="0"/>
          <w:color w:val="auto"/>
          <w:lang w:val="en-US"/>
        </w:rPr>
        <w:t xml:space="preserve">The measurement of the mean zeta potential at the different pH values can be coupled with the zeta potential distribution at </w:t>
      </w:r>
      <w:r w:rsidRPr="00121DFF">
        <w:rPr>
          <w:rStyle w:val="SubtleEmphasis"/>
          <w:i w:val="0"/>
          <w:color w:val="auto"/>
          <w:lang w:val="en-US"/>
        </w:rPr>
        <w:t xml:space="preserve">those values. For neutral, basic and acidic pH, the distribution of the zeta potential for pH-PS is shown in </w:t>
      </w:r>
      <w:r w:rsidR="00DB2F82" w:rsidRPr="00121DFF">
        <w:rPr>
          <w:rStyle w:val="SubtleEmphasis"/>
          <w:i w:val="0"/>
          <w:color w:val="auto"/>
          <w:lang w:val="en-US"/>
        </w:rPr>
        <w:fldChar w:fldCharType="begin"/>
      </w:r>
      <w:r w:rsidR="00DB2F82" w:rsidRPr="00121DFF">
        <w:rPr>
          <w:rStyle w:val="SubtleEmphasis"/>
          <w:i w:val="0"/>
          <w:color w:val="auto"/>
          <w:lang w:val="en-US"/>
        </w:rPr>
        <w:instrText xml:space="preserve"> REF _Ref29913831 \h  \* MERGEFORMAT </w:instrText>
      </w:r>
      <w:r w:rsidR="00DB2F82" w:rsidRPr="00121DFF">
        <w:rPr>
          <w:rStyle w:val="SubtleEmphasis"/>
          <w:i w:val="0"/>
          <w:color w:val="auto"/>
          <w:lang w:val="en-US"/>
        </w:rPr>
      </w:r>
      <w:r w:rsidR="00DB2F82" w:rsidRPr="00121DFF">
        <w:rPr>
          <w:rStyle w:val="SubtleEmphasis"/>
          <w:i w:val="0"/>
          <w:color w:val="auto"/>
          <w:lang w:val="en-US"/>
        </w:rPr>
        <w:fldChar w:fldCharType="separate"/>
      </w:r>
      <w:r w:rsidR="00C52506" w:rsidRPr="00121DFF">
        <w:rPr>
          <w:lang w:val="en-US"/>
        </w:rPr>
        <w:t xml:space="preserve">Figure </w:t>
      </w:r>
      <w:r w:rsidR="00C52506" w:rsidRPr="00121DFF">
        <w:rPr>
          <w:noProof/>
          <w:lang w:val="en-US"/>
        </w:rPr>
        <w:t>27</w:t>
      </w:r>
      <w:r w:rsidR="00DB2F82" w:rsidRPr="00121DFF">
        <w:rPr>
          <w:rStyle w:val="SubtleEmphasis"/>
          <w:i w:val="0"/>
          <w:color w:val="auto"/>
          <w:lang w:val="en-US"/>
        </w:rPr>
        <w:fldChar w:fldCharType="end"/>
      </w:r>
      <w:r w:rsidRPr="00121DFF">
        <w:rPr>
          <w:rStyle w:val="SubtleEmphasis"/>
          <w:i w:val="0"/>
          <w:color w:val="auto"/>
          <w:lang w:val="en-US"/>
        </w:rPr>
        <w:t>. Looking</w:t>
      </w:r>
      <w:r w:rsidRPr="00DB2F82">
        <w:rPr>
          <w:rStyle w:val="SubtleEmphasis"/>
          <w:i w:val="0"/>
          <w:color w:val="auto"/>
          <w:lang w:val="en-US"/>
        </w:rPr>
        <w:t xml:space="preserve"> at the distribution at neutral pH, it can be seen that there are still particles present that </w:t>
      </w:r>
      <w:r w:rsidR="00121DFF">
        <w:rPr>
          <w:rStyle w:val="SubtleEmphasis"/>
          <w:i w:val="0"/>
          <w:color w:val="auto"/>
          <w:lang w:val="en-US"/>
        </w:rPr>
        <w:t xml:space="preserve">either </w:t>
      </w:r>
      <w:r w:rsidRPr="00DB2F82">
        <w:rPr>
          <w:rStyle w:val="SubtleEmphasis"/>
          <w:i w:val="0"/>
          <w:color w:val="auto"/>
          <w:lang w:val="en-US"/>
        </w:rPr>
        <w:t xml:space="preserve">have a net positive or negative charge. This is an indication of an </w:t>
      </w:r>
      <w:r w:rsidR="00121DFF" w:rsidRPr="00121DFF">
        <w:rPr>
          <w:rStyle w:val="SubtleEmphasis"/>
          <w:i w:val="0"/>
          <w:color w:val="auto"/>
          <w:lang w:val="en-US"/>
        </w:rPr>
        <w:t>inhomogeneous</w:t>
      </w:r>
      <w:r w:rsidRPr="00DB2F82">
        <w:rPr>
          <w:rStyle w:val="SubtleEmphasis"/>
          <w:i w:val="0"/>
          <w:color w:val="auto"/>
          <w:lang w:val="en-US"/>
        </w:rPr>
        <w:t xml:space="preserve"> distribution of charged groups over all particles, with some having more carboxylic acid functionalities, and some having more amine functionalities. Moving to an acidic pH shifts the distribution towards the positive values and moving to a basic pH shifts the distribution towards the negative values. This again indicates the balance of protonation and deprotonation of the functional groups on the particle surface. </w:t>
      </w:r>
    </w:p>
    <w:p w:rsidR="00302DE1" w:rsidRDefault="00E74C8E" w:rsidP="00FC7A2B">
      <w:pPr>
        <w:keepNext/>
        <w:spacing w:line="240" w:lineRule="auto"/>
        <w:jc w:val="center"/>
      </w:pPr>
      <w:r>
        <w:rPr>
          <w:noProof/>
          <w:color w:val="404040" w:themeColor="text1" w:themeTint="BF"/>
          <w:lang w:val="en-US"/>
        </w:rPr>
        <w:drawing>
          <wp:inline distT="0" distB="0" distL="0" distR="0">
            <wp:extent cx="4953153" cy="362437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l="7938" t="2104" r="1289" b="4146"/>
                    <a:stretch>
                      <a:fillRect/>
                    </a:stretch>
                  </pic:blipFill>
                  <pic:spPr bwMode="auto">
                    <a:xfrm>
                      <a:off x="0" y="0"/>
                      <a:ext cx="4961766" cy="3630679"/>
                    </a:xfrm>
                    <a:prstGeom prst="rect">
                      <a:avLst/>
                    </a:prstGeom>
                    <a:noFill/>
                    <a:ln>
                      <a:noFill/>
                    </a:ln>
                  </pic:spPr>
                </pic:pic>
              </a:graphicData>
            </a:graphic>
          </wp:inline>
        </w:drawing>
      </w:r>
    </w:p>
    <w:p w:rsidR="00FC7A2B" w:rsidRPr="00BC69AE" w:rsidRDefault="00C82962" w:rsidP="00BC69AE">
      <w:pPr>
        <w:pStyle w:val="Caption"/>
        <w:jc w:val="center"/>
        <w:rPr>
          <w:color w:val="auto"/>
          <w:sz w:val="20"/>
          <w:szCs w:val="20"/>
          <w:lang w:val="en-US"/>
        </w:rPr>
      </w:pPr>
      <w:bookmarkStart w:id="84" w:name="_Ref29913831"/>
      <w:r>
        <w:rPr>
          <w:color w:val="auto"/>
          <w:sz w:val="20"/>
          <w:szCs w:val="20"/>
          <w:lang w:val="en-US"/>
        </w:rPr>
        <w:t>Figure</w:t>
      </w:r>
      <w:r w:rsidR="00302DE1" w:rsidRPr="00302DE1">
        <w:rPr>
          <w:color w:val="auto"/>
          <w:sz w:val="20"/>
          <w:szCs w:val="20"/>
          <w:lang w:val="en-US"/>
        </w:rPr>
        <w:t xml:space="preserve"> </w:t>
      </w:r>
      <w:r w:rsidR="00302DE1" w:rsidRPr="00302DE1">
        <w:rPr>
          <w:color w:val="auto"/>
          <w:sz w:val="20"/>
          <w:szCs w:val="20"/>
        </w:rPr>
        <w:fldChar w:fldCharType="begin"/>
      </w:r>
      <w:r w:rsidR="00302DE1" w:rsidRPr="00302DE1">
        <w:rPr>
          <w:color w:val="auto"/>
          <w:sz w:val="20"/>
          <w:szCs w:val="20"/>
          <w:lang w:val="en-US"/>
        </w:rPr>
        <w:instrText xml:space="preserve"> SEQ Figure \* ARABIC </w:instrText>
      </w:r>
      <w:r w:rsidR="00302DE1" w:rsidRPr="00302DE1">
        <w:rPr>
          <w:color w:val="auto"/>
          <w:sz w:val="20"/>
          <w:szCs w:val="20"/>
        </w:rPr>
        <w:fldChar w:fldCharType="separate"/>
      </w:r>
      <w:r w:rsidR="00C52506">
        <w:rPr>
          <w:noProof/>
          <w:color w:val="auto"/>
          <w:sz w:val="20"/>
          <w:szCs w:val="20"/>
          <w:lang w:val="en-US"/>
        </w:rPr>
        <w:t>27</w:t>
      </w:r>
      <w:r w:rsidR="00302DE1" w:rsidRPr="00302DE1">
        <w:rPr>
          <w:color w:val="auto"/>
          <w:sz w:val="20"/>
          <w:szCs w:val="20"/>
        </w:rPr>
        <w:fldChar w:fldCharType="end"/>
      </w:r>
      <w:bookmarkEnd w:id="84"/>
      <w:r w:rsidR="00302DE1" w:rsidRPr="00302DE1">
        <w:rPr>
          <w:color w:val="auto"/>
          <w:sz w:val="20"/>
          <w:szCs w:val="20"/>
          <w:lang w:val="en-US"/>
        </w:rPr>
        <w:t>: Zeta potential distribution of pH-PS in basic, neutral and acidic conditions.</w:t>
      </w:r>
    </w:p>
    <w:p w:rsidR="00E74C8E" w:rsidRPr="0066726E" w:rsidRDefault="00E74C8E" w:rsidP="00FC7A2B">
      <w:pPr>
        <w:pStyle w:val="Heading3"/>
        <w:numPr>
          <w:ilvl w:val="2"/>
          <w:numId w:val="2"/>
        </w:numPr>
        <w:spacing w:line="240" w:lineRule="auto"/>
        <w:rPr>
          <w:rStyle w:val="SubtleEmphasis"/>
          <w:b/>
          <w:i w:val="0"/>
          <w:color w:val="auto"/>
          <w:lang w:val="en-US"/>
        </w:rPr>
      </w:pPr>
      <w:bookmarkStart w:id="85" w:name="_Toc31892417"/>
      <w:r w:rsidRPr="0066726E">
        <w:rPr>
          <w:rStyle w:val="SubtleEmphasis"/>
          <w:b/>
          <w:i w:val="0"/>
          <w:color w:val="auto"/>
          <w:lang w:val="en-US"/>
        </w:rPr>
        <w:lastRenderedPageBreak/>
        <w:t>Titration</w:t>
      </w:r>
      <w:r w:rsidR="008B0D30">
        <w:rPr>
          <w:rStyle w:val="SubtleEmphasis"/>
          <w:b/>
          <w:i w:val="0"/>
          <w:color w:val="auto"/>
          <w:lang w:val="en-US"/>
        </w:rPr>
        <w:t>s</w:t>
      </w:r>
      <w:r w:rsidRPr="0066726E">
        <w:rPr>
          <w:rStyle w:val="SubtleEmphasis"/>
          <w:b/>
          <w:i w:val="0"/>
          <w:color w:val="auto"/>
          <w:lang w:val="en-US"/>
        </w:rPr>
        <w:t xml:space="preserve"> of nPS </w:t>
      </w:r>
      <w:r w:rsidR="008B0D30">
        <w:rPr>
          <w:rStyle w:val="SubtleEmphasis"/>
          <w:b/>
          <w:i w:val="0"/>
          <w:color w:val="auto"/>
          <w:lang w:val="en-US"/>
        </w:rPr>
        <w:t>and pPS</w:t>
      </w:r>
      <w:bookmarkEnd w:id="85"/>
    </w:p>
    <w:p w:rsidR="00E74C8E" w:rsidRPr="00DB2F82" w:rsidRDefault="00E74C8E" w:rsidP="00FC7A2B">
      <w:pPr>
        <w:spacing w:line="240" w:lineRule="auto"/>
        <w:rPr>
          <w:rStyle w:val="SubtleEmphasis"/>
          <w:i w:val="0"/>
          <w:color w:val="auto"/>
          <w:lang w:val="en-US"/>
        </w:rPr>
      </w:pPr>
      <w:r w:rsidRPr="00DB2F82">
        <w:rPr>
          <w:rStyle w:val="SubtleEmphasis"/>
          <w:i w:val="0"/>
          <w:color w:val="auto"/>
          <w:lang w:val="en-US"/>
        </w:rPr>
        <w:t>The encapsulating particles nPS and pPS in the encapsulation experiments need to be non-responsive to the pH environment, so that only pH-PS inverts its charge in different pH regimes. To test to what extent nPS and pPS are pH</w:t>
      </w:r>
      <w:r w:rsidR="00121DFF">
        <w:rPr>
          <w:rStyle w:val="SubtleEmphasis"/>
          <w:i w:val="0"/>
          <w:color w:val="auto"/>
          <w:lang w:val="en-US"/>
        </w:rPr>
        <w:t xml:space="preserve"> </w:t>
      </w:r>
      <w:r w:rsidRPr="00DB2F82">
        <w:rPr>
          <w:rStyle w:val="SubtleEmphasis"/>
          <w:i w:val="0"/>
          <w:color w:val="auto"/>
          <w:lang w:val="en-US"/>
        </w:rPr>
        <w:t>unresponsive, a ti</w:t>
      </w:r>
      <w:r w:rsidRPr="00121DFF">
        <w:rPr>
          <w:rStyle w:val="SubtleEmphasis"/>
          <w:i w:val="0"/>
          <w:color w:val="auto"/>
          <w:lang w:val="en-US"/>
        </w:rPr>
        <w:t xml:space="preserve">tration measurement </w:t>
      </w:r>
      <w:r w:rsidR="008B0D30" w:rsidRPr="00121DFF">
        <w:rPr>
          <w:rStyle w:val="SubtleEmphasis"/>
          <w:i w:val="0"/>
          <w:color w:val="auto"/>
          <w:lang w:val="en-US"/>
        </w:rPr>
        <w:t xml:space="preserve">of these particles </w:t>
      </w:r>
      <w:r w:rsidRPr="00121DFF">
        <w:rPr>
          <w:rStyle w:val="SubtleEmphasis"/>
          <w:i w:val="0"/>
          <w:color w:val="auto"/>
          <w:lang w:val="en-US"/>
        </w:rPr>
        <w:t xml:space="preserve">was again employed. The resulting titration curve is shown in </w:t>
      </w:r>
      <w:r w:rsidR="00DB2F82" w:rsidRPr="00121DFF">
        <w:rPr>
          <w:rStyle w:val="SubtleEmphasis"/>
          <w:i w:val="0"/>
          <w:color w:val="auto"/>
          <w:lang w:val="en-US"/>
        </w:rPr>
        <w:fldChar w:fldCharType="begin"/>
      </w:r>
      <w:r w:rsidR="00DB2F82" w:rsidRPr="00121DFF">
        <w:rPr>
          <w:rStyle w:val="SubtleEmphasis"/>
          <w:i w:val="0"/>
          <w:color w:val="auto"/>
          <w:lang w:val="en-US"/>
        </w:rPr>
        <w:instrText xml:space="preserve"> REF _Ref29913856 \h  \* MERGEFORMAT </w:instrText>
      </w:r>
      <w:r w:rsidR="00DB2F82" w:rsidRPr="00121DFF">
        <w:rPr>
          <w:rStyle w:val="SubtleEmphasis"/>
          <w:i w:val="0"/>
          <w:color w:val="auto"/>
          <w:lang w:val="en-US"/>
        </w:rPr>
      </w:r>
      <w:r w:rsidR="00DB2F82" w:rsidRPr="00121DFF">
        <w:rPr>
          <w:rStyle w:val="SubtleEmphasis"/>
          <w:i w:val="0"/>
          <w:color w:val="auto"/>
          <w:lang w:val="en-US"/>
        </w:rPr>
        <w:fldChar w:fldCharType="separate"/>
      </w:r>
      <w:r w:rsidR="00C52506" w:rsidRPr="00121DFF">
        <w:rPr>
          <w:lang w:val="en-US"/>
        </w:rPr>
        <w:t xml:space="preserve">Figure </w:t>
      </w:r>
      <w:r w:rsidR="00C52506" w:rsidRPr="00121DFF">
        <w:rPr>
          <w:noProof/>
          <w:lang w:val="en-US"/>
        </w:rPr>
        <w:t>28</w:t>
      </w:r>
      <w:r w:rsidR="00DB2F82" w:rsidRPr="00121DFF">
        <w:rPr>
          <w:rStyle w:val="SubtleEmphasis"/>
          <w:i w:val="0"/>
          <w:color w:val="auto"/>
          <w:lang w:val="en-US"/>
        </w:rPr>
        <w:fldChar w:fldCharType="end"/>
      </w:r>
      <w:r w:rsidRPr="00121DFF">
        <w:rPr>
          <w:rStyle w:val="SubtleEmphasis"/>
          <w:i w:val="0"/>
          <w:color w:val="auto"/>
          <w:lang w:val="en-US"/>
        </w:rPr>
        <w:t>.</w:t>
      </w:r>
      <w:r w:rsidRPr="00DB2F82">
        <w:rPr>
          <w:rStyle w:val="SubtleEmphasis"/>
          <w:i w:val="0"/>
          <w:color w:val="auto"/>
          <w:lang w:val="en-US"/>
        </w:rPr>
        <w:t xml:space="preserve"> </w:t>
      </w:r>
    </w:p>
    <w:p w:rsidR="00302DE1" w:rsidRDefault="00E74C8E" w:rsidP="00FC7A2B">
      <w:pPr>
        <w:keepNext/>
        <w:spacing w:line="240" w:lineRule="auto"/>
        <w:jc w:val="center"/>
      </w:pPr>
      <w:r>
        <w:rPr>
          <w:noProof/>
          <w:color w:val="404040" w:themeColor="text1" w:themeTint="BF"/>
          <w:lang w:val="en-US"/>
        </w:rPr>
        <w:drawing>
          <wp:inline distT="0" distB="0" distL="0" distR="0">
            <wp:extent cx="4280132" cy="3753067"/>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287435" cy="3759470"/>
                    </a:xfrm>
                    <a:prstGeom prst="rect">
                      <a:avLst/>
                    </a:prstGeom>
                    <a:noFill/>
                    <a:ln>
                      <a:noFill/>
                    </a:ln>
                  </pic:spPr>
                </pic:pic>
              </a:graphicData>
            </a:graphic>
          </wp:inline>
        </w:drawing>
      </w:r>
    </w:p>
    <w:p w:rsidR="00E74C8E" w:rsidRPr="00FC2795" w:rsidRDefault="00C82962" w:rsidP="00FC7A2B">
      <w:pPr>
        <w:pStyle w:val="Caption"/>
        <w:jc w:val="center"/>
        <w:rPr>
          <w:rStyle w:val="SubtleEmphasis"/>
          <w:color w:val="auto"/>
          <w:sz w:val="20"/>
          <w:szCs w:val="20"/>
          <w:lang w:val="en-US"/>
        </w:rPr>
      </w:pPr>
      <w:bookmarkStart w:id="86" w:name="_Ref29913856"/>
      <w:bookmarkStart w:id="87" w:name="_Ref30161718"/>
      <w:r>
        <w:rPr>
          <w:color w:val="auto"/>
          <w:sz w:val="20"/>
          <w:szCs w:val="20"/>
          <w:lang w:val="en-US"/>
        </w:rPr>
        <w:t>Figure</w:t>
      </w:r>
      <w:r w:rsidR="00302DE1" w:rsidRPr="00FC2795">
        <w:rPr>
          <w:color w:val="auto"/>
          <w:sz w:val="20"/>
          <w:szCs w:val="20"/>
          <w:lang w:val="en-US"/>
        </w:rPr>
        <w:t xml:space="preserve"> </w:t>
      </w:r>
      <w:r w:rsidR="00302DE1" w:rsidRPr="00302DE1">
        <w:rPr>
          <w:color w:val="auto"/>
          <w:sz w:val="20"/>
          <w:szCs w:val="20"/>
        </w:rPr>
        <w:fldChar w:fldCharType="begin"/>
      </w:r>
      <w:r w:rsidR="00302DE1" w:rsidRPr="00FC2795">
        <w:rPr>
          <w:color w:val="auto"/>
          <w:sz w:val="20"/>
          <w:szCs w:val="20"/>
          <w:lang w:val="en-US"/>
        </w:rPr>
        <w:instrText xml:space="preserve"> SEQ Figure \* ARABIC </w:instrText>
      </w:r>
      <w:r w:rsidR="00302DE1" w:rsidRPr="00302DE1">
        <w:rPr>
          <w:color w:val="auto"/>
          <w:sz w:val="20"/>
          <w:szCs w:val="20"/>
        </w:rPr>
        <w:fldChar w:fldCharType="separate"/>
      </w:r>
      <w:r w:rsidR="00C52506">
        <w:rPr>
          <w:noProof/>
          <w:color w:val="auto"/>
          <w:sz w:val="20"/>
          <w:szCs w:val="20"/>
          <w:lang w:val="en-US"/>
        </w:rPr>
        <w:t>28</w:t>
      </w:r>
      <w:r w:rsidR="00302DE1" w:rsidRPr="00302DE1">
        <w:rPr>
          <w:color w:val="auto"/>
          <w:sz w:val="20"/>
          <w:szCs w:val="20"/>
        </w:rPr>
        <w:fldChar w:fldCharType="end"/>
      </w:r>
      <w:bookmarkEnd w:id="86"/>
      <w:r w:rsidR="00302DE1" w:rsidRPr="00FC2795">
        <w:rPr>
          <w:color w:val="auto"/>
          <w:sz w:val="20"/>
          <w:szCs w:val="20"/>
          <w:lang w:val="en-US"/>
        </w:rPr>
        <w:t>: Titration curve of nPS and pPS.</w:t>
      </w:r>
      <w:bookmarkEnd w:id="87"/>
    </w:p>
    <w:p w:rsidR="007C56D1" w:rsidRPr="005F77FF" w:rsidRDefault="00E74C8E" w:rsidP="007C56D1">
      <w:pPr>
        <w:spacing w:line="240" w:lineRule="auto"/>
        <w:rPr>
          <w:lang w:val="en-US"/>
        </w:rPr>
      </w:pPr>
      <w:r w:rsidRPr="00DB2F82">
        <w:rPr>
          <w:rStyle w:val="SubtleEmphasis"/>
          <w:i w:val="0"/>
          <w:color w:val="auto"/>
          <w:lang w:val="en-US"/>
        </w:rPr>
        <w:t>The nPS particles obtain their negative charge from the deprotonated sulfon group -SO</w:t>
      </w:r>
      <w:r w:rsidRPr="00DB2F82">
        <w:rPr>
          <w:rStyle w:val="SubtleEmphasis"/>
          <w:i w:val="0"/>
          <w:color w:val="auto"/>
          <w:vertAlign w:val="subscript"/>
          <w:lang w:val="en-US"/>
        </w:rPr>
        <w:t>4</w:t>
      </w:r>
      <w:r w:rsidRPr="00DB2F82">
        <w:rPr>
          <w:rStyle w:val="SubtleEmphasis"/>
          <w:i w:val="0"/>
          <w:color w:val="auto"/>
          <w:vertAlign w:val="superscript"/>
          <w:lang w:val="en-US"/>
        </w:rPr>
        <w:t>-</w:t>
      </w:r>
      <w:r w:rsidRPr="00DB2F82">
        <w:rPr>
          <w:rStyle w:val="SubtleEmphasis"/>
          <w:i w:val="0"/>
          <w:color w:val="auto"/>
          <w:lang w:val="en-US"/>
        </w:rPr>
        <w:t>, which is similar to the conjugated base of sulfuric acid (HSO</w:t>
      </w:r>
      <w:r w:rsidRPr="00DB2F82">
        <w:rPr>
          <w:rStyle w:val="SubtleEmphasis"/>
          <w:i w:val="0"/>
          <w:color w:val="auto"/>
          <w:vertAlign w:val="subscript"/>
          <w:lang w:val="en-US"/>
        </w:rPr>
        <w:t>4</w:t>
      </w:r>
      <w:r w:rsidRPr="00DB2F82">
        <w:rPr>
          <w:rStyle w:val="SubtleEmphasis"/>
          <w:i w:val="0"/>
          <w:color w:val="auto"/>
          <w:vertAlign w:val="superscript"/>
          <w:lang w:val="en-US"/>
        </w:rPr>
        <w:t>-</w:t>
      </w:r>
      <w:r w:rsidRPr="00DB2F82">
        <w:rPr>
          <w:rStyle w:val="SubtleEmphasis"/>
          <w:i w:val="0"/>
          <w:color w:val="auto"/>
          <w:lang w:val="en-US"/>
        </w:rPr>
        <w:t xml:space="preserve">). As sulfuric acid is a very strong acid, the conjugated base is very weak. This means that due to the very weak basic nature of the sulfon group, even in acidic pH, these will </w:t>
      </w:r>
      <w:r w:rsidR="007C56D1">
        <w:rPr>
          <w:rStyle w:val="SubtleEmphasis"/>
          <w:i w:val="0"/>
          <w:color w:val="auto"/>
          <w:lang w:val="en-US"/>
        </w:rPr>
        <w:t>only be partially</w:t>
      </w:r>
      <w:r w:rsidR="00121DFF">
        <w:rPr>
          <w:rStyle w:val="SubtleEmphasis"/>
          <w:i w:val="0"/>
          <w:color w:val="auto"/>
          <w:lang w:val="en-US"/>
        </w:rPr>
        <w:t xml:space="preserve"> </w:t>
      </w:r>
      <w:r w:rsidRPr="00DB2F82">
        <w:rPr>
          <w:rStyle w:val="SubtleEmphasis"/>
          <w:i w:val="0"/>
          <w:color w:val="auto"/>
          <w:lang w:val="en-US"/>
        </w:rPr>
        <w:t>protonated. Only a small amount of sulfon groups become protonated in acidic pH, as the zeta potential changes from -75mV to -45mV. Similarly, in basic pH, very few protonated sulfon groups will be deprotonated, as the zeta potential changes from -75mV to -80mV. These results are a satisfactory indication that the nPS particles are pH</w:t>
      </w:r>
      <w:r w:rsidR="007C56D1">
        <w:rPr>
          <w:rStyle w:val="SubtleEmphasis"/>
          <w:i w:val="0"/>
          <w:color w:val="auto"/>
          <w:lang w:val="en-US"/>
        </w:rPr>
        <w:t xml:space="preserve"> </w:t>
      </w:r>
      <w:r w:rsidRPr="00DB2F82">
        <w:rPr>
          <w:rStyle w:val="SubtleEmphasis"/>
          <w:i w:val="0"/>
          <w:color w:val="auto"/>
          <w:lang w:val="en-US"/>
        </w:rPr>
        <w:t xml:space="preserve">unresponsive. </w:t>
      </w:r>
      <w:r>
        <w:rPr>
          <w:iCs/>
          <w:color w:val="404040" w:themeColor="text1" w:themeTint="BF"/>
          <w:lang w:val="en-US"/>
        </w:rPr>
        <w:br/>
      </w:r>
      <w:r w:rsidR="00FC7A2B">
        <w:rPr>
          <w:rStyle w:val="SubtleEmphasis"/>
          <w:i w:val="0"/>
          <w:lang w:val="en-US"/>
        </w:rPr>
        <w:br/>
      </w:r>
      <w:r w:rsidRPr="00DB2F82">
        <w:rPr>
          <w:rStyle w:val="SubtleEmphasis"/>
          <w:i w:val="0"/>
          <w:color w:val="auto"/>
          <w:lang w:val="en-US"/>
        </w:rPr>
        <w:t xml:space="preserve">The pPS particles obtain their positive charge from the quaternary nitrogen atom in the METMAC co-monomer molecule, meaning that it should have a permanent positive charge. However, as can be seen from the titration curve of </w:t>
      </w:r>
      <w:r w:rsidRPr="003E1DA1">
        <w:rPr>
          <w:rStyle w:val="SubtleEmphasis"/>
          <w:i w:val="0"/>
          <w:color w:val="auto"/>
          <w:lang w:val="en-US"/>
        </w:rPr>
        <w:t>pPS</w:t>
      </w:r>
      <w:r w:rsidR="00300637" w:rsidRPr="003E1DA1">
        <w:rPr>
          <w:rStyle w:val="SubtleEmphasis"/>
          <w:i w:val="0"/>
          <w:color w:val="auto"/>
          <w:lang w:val="en-US"/>
        </w:rPr>
        <w:t xml:space="preserve"> in</w:t>
      </w:r>
      <w:r w:rsidR="003E1DA1" w:rsidRPr="003E1DA1">
        <w:rPr>
          <w:rStyle w:val="SubtleEmphasis"/>
          <w:i w:val="0"/>
          <w:color w:val="auto"/>
          <w:lang w:val="en-US"/>
        </w:rPr>
        <w:t xml:space="preserve"> </w:t>
      </w:r>
      <w:r w:rsidR="003E1DA1" w:rsidRPr="003E1DA1">
        <w:rPr>
          <w:rStyle w:val="SubtleEmphasis"/>
          <w:i w:val="0"/>
          <w:color w:val="auto"/>
          <w:lang w:val="en-US"/>
        </w:rPr>
        <w:fldChar w:fldCharType="begin"/>
      </w:r>
      <w:r w:rsidR="003E1DA1" w:rsidRPr="003E1DA1">
        <w:rPr>
          <w:rStyle w:val="SubtleEmphasis"/>
          <w:i w:val="0"/>
          <w:color w:val="auto"/>
          <w:lang w:val="en-US"/>
        </w:rPr>
        <w:instrText xml:space="preserve"> REF _Ref29913856 \h </w:instrText>
      </w:r>
      <w:r w:rsidR="003E1DA1">
        <w:rPr>
          <w:rStyle w:val="SubtleEmphasis"/>
          <w:i w:val="0"/>
          <w:color w:val="auto"/>
          <w:lang w:val="en-US"/>
        </w:rPr>
        <w:instrText xml:space="preserve"> \* MERGEFORMAT </w:instrText>
      </w:r>
      <w:r w:rsidR="003E1DA1" w:rsidRPr="003E1DA1">
        <w:rPr>
          <w:rStyle w:val="SubtleEmphasis"/>
          <w:i w:val="0"/>
          <w:color w:val="auto"/>
          <w:lang w:val="en-US"/>
        </w:rPr>
      </w:r>
      <w:r w:rsidR="003E1DA1" w:rsidRPr="003E1DA1">
        <w:rPr>
          <w:rStyle w:val="SubtleEmphasis"/>
          <w:i w:val="0"/>
          <w:color w:val="auto"/>
          <w:lang w:val="en-US"/>
        </w:rPr>
        <w:fldChar w:fldCharType="separate"/>
      </w:r>
      <w:r w:rsidR="00C52506" w:rsidRPr="00C52506">
        <w:rPr>
          <w:lang w:val="en-US"/>
        </w:rPr>
        <w:t xml:space="preserve">Figure </w:t>
      </w:r>
      <w:r w:rsidR="00C52506" w:rsidRPr="00C52506">
        <w:rPr>
          <w:noProof/>
          <w:lang w:val="en-US"/>
        </w:rPr>
        <w:t>28</w:t>
      </w:r>
      <w:r w:rsidR="003E1DA1" w:rsidRPr="003E1DA1">
        <w:rPr>
          <w:rStyle w:val="SubtleEmphasis"/>
          <w:i w:val="0"/>
          <w:color w:val="auto"/>
          <w:lang w:val="en-US"/>
        </w:rPr>
        <w:fldChar w:fldCharType="end"/>
      </w:r>
      <w:r w:rsidR="003E1DA1" w:rsidRPr="003E1DA1">
        <w:rPr>
          <w:rStyle w:val="SubtleEmphasis"/>
          <w:i w:val="0"/>
          <w:color w:val="auto"/>
          <w:lang w:val="en-US"/>
        </w:rPr>
        <w:t xml:space="preserve">, </w:t>
      </w:r>
      <w:r w:rsidRPr="003E1DA1">
        <w:rPr>
          <w:rStyle w:val="SubtleEmphasis"/>
          <w:i w:val="0"/>
          <w:color w:val="auto"/>
          <w:lang w:val="en-US"/>
        </w:rPr>
        <w:t>the</w:t>
      </w:r>
      <w:r w:rsidRPr="00DB2F82">
        <w:rPr>
          <w:rStyle w:val="SubtleEmphasis"/>
          <w:i w:val="0"/>
          <w:color w:val="auto"/>
          <w:lang w:val="en-US"/>
        </w:rPr>
        <w:t xml:space="preserve"> zeta potential of the particles is responsive to a change of pH. This curious observation drove us to further explore this effect. </w:t>
      </w:r>
      <w:r w:rsidR="007C56D1">
        <w:rPr>
          <w:rStyle w:val="SubtleEmphasis"/>
          <w:i w:val="0"/>
          <w:color w:val="auto"/>
          <w:lang w:val="en-US"/>
        </w:rPr>
        <w:t>T</w:t>
      </w:r>
      <w:r w:rsidR="007C56D1" w:rsidRPr="00DB2F82">
        <w:rPr>
          <w:rStyle w:val="SubtleEmphasis"/>
          <w:i w:val="0"/>
          <w:color w:val="auto"/>
          <w:lang w:val="en-US"/>
        </w:rPr>
        <w:t xml:space="preserve">he pPS dispersion was stored in water at neutral pH and was stable for months. When the particle </w:t>
      </w:r>
      <w:r w:rsidR="007C56D1" w:rsidRPr="00852187">
        <w:rPr>
          <w:rStyle w:val="SubtleEmphasis"/>
          <w:i w:val="0"/>
          <w:color w:val="auto"/>
          <w:lang w:val="en-US"/>
        </w:rPr>
        <w:t>dispersion was stored in acidic pH, it kept its positive charge for days and presumably even longer. However, when the particle dispersion was stored in basic pH, the zeta potential changed overnight from +10mV to -35mV (</w:t>
      </w:r>
      <w:r w:rsidR="007C56D1" w:rsidRPr="00852187">
        <w:rPr>
          <w:rStyle w:val="SubtleEmphasis"/>
          <w:i w:val="0"/>
          <w:color w:val="auto"/>
          <w:lang w:val="en-US"/>
        </w:rPr>
        <w:fldChar w:fldCharType="begin"/>
      </w:r>
      <w:r w:rsidR="007C56D1" w:rsidRPr="00852187">
        <w:rPr>
          <w:rStyle w:val="SubtleEmphasis"/>
          <w:i w:val="0"/>
          <w:color w:val="auto"/>
          <w:lang w:val="en-US"/>
        </w:rPr>
        <w:instrText xml:space="preserve"> REF _Ref31017242 \h </w:instrText>
      </w:r>
      <w:r w:rsidR="007C56D1">
        <w:rPr>
          <w:rStyle w:val="SubtleEmphasis"/>
          <w:i w:val="0"/>
          <w:color w:val="auto"/>
          <w:lang w:val="en-US"/>
        </w:rPr>
        <w:instrText xml:space="preserve"> \* MERGEFORMAT </w:instrText>
      </w:r>
      <w:r w:rsidR="007C56D1" w:rsidRPr="00852187">
        <w:rPr>
          <w:rStyle w:val="SubtleEmphasis"/>
          <w:i w:val="0"/>
          <w:color w:val="auto"/>
          <w:lang w:val="en-US"/>
        </w:rPr>
      </w:r>
      <w:r w:rsidR="007C56D1" w:rsidRPr="00852187">
        <w:rPr>
          <w:rStyle w:val="SubtleEmphasis"/>
          <w:i w:val="0"/>
          <w:color w:val="auto"/>
          <w:lang w:val="en-US"/>
        </w:rPr>
        <w:fldChar w:fldCharType="separate"/>
      </w:r>
      <w:r w:rsidR="007C56D1" w:rsidRPr="00C52506">
        <w:rPr>
          <w:lang w:val="en-US"/>
        </w:rPr>
        <w:t xml:space="preserve">Figure </w:t>
      </w:r>
      <w:r w:rsidR="007C56D1" w:rsidRPr="00C52506">
        <w:rPr>
          <w:noProof/>
          <w:lang w:val="en-US"/>
        </w:rPr>
        <w:t>29</w:t>
      </w:r>
      <w:r w:rsidR="007C56D1" w:rsidRPr="00852187">
        <w:rPr>
          <w:rStyle w:val="SubtleEmphasis"/>
          <w:i w:val="0"/>
          <w:color w:val="auto"/>
          <w:lang w:val="en-US"/>
        </w:rPr>
        <w:fldChar w:fldCharType="end"/>
      </w:r>
      <w:r w:rsidR="007C56D1">
        <w:rPr>
          <w:rStyle w:val="SubtleEmphasis"/>
          <w:i w:val="0"/>
          <w:color w:val="auto"/>
          <w:lang w:val="en-US"/>
        </w:rPr>
        <w:t>A)</w:t>
      </w:r>
      <w:r w:rsidR="007C56D1" w:rsidRPr="00852187">
        <w:rPr>
          <w:rStyle w:val="SubtleEmphasis"/>
          <w:i w:val="0"/>
          <w:color w:val="auto"/>
          <w:lang w:val="en-US"/>
        </w:rPr>
        <w:t>. Also</w:t>
      </w:r>
      <w:r w:rsidR="007C56D1" w:rsidRPr="00DB2F82">
        <w:rPr>
          <w:rStyle w:val="SubtleEmphasis"/>
          <w:i w:val="0"/>
          <w:color w:val="auto"/>
          <w:lang w:val="en-US"/>
        </w:rPr>
        <w:t xml:space="preserve">, the particles have aggregated during this process, as can be seen from the optical </w:t>
      </w:r>
      <w:r w:rsidR="007C56D1" w:rsidRPr="00852187">
        <w:rPr>
          <w:rStyle w:val="SubtleEmphasis"/>
          <w:i w:val="0"/>
          <w:color w:val="auto"/>
          <w:lang w:val="en-US"/>
        </w:rPr>
        <w:t xml:space="preserve">micrograph in </w:t>
      </w:r>
      <w:r w:rsidR="007C56D1" w:rsidRPr="00852187">
        <w:rPr>
          <w:rStyle w:val="SubtleEmphasis"/>
          <w:i w:val="0"/>
          <w:color w:val="auto"/>
          <w:lang w:val="en-US"/>
        </w:rPr>
        <w:fldChar w:fldCharType="begin"/>
      </w:r>
      <w:r w:rsidR="007C56D1" w:rsidRPr="00852187">
        <w:rPr>
          <w:rStyle w:val="SubtleEmphasis"/>
          <w:i w:val="0"/>
          <w:color w:val="auto"/>
          <w:lang w:val="en-US"/>
        </w:rPr>
        <w:instrText xml:space="preserve"> REF _Ref31017242 \h </w:instrText>
      </w:r>
      <w:r w:rsidR="007C56D1">
        <w:rPr>
          <w:rStyle w:val="SubtleEmphasis"/>
          <w:i w:val="0"/>
          <w:color w:val="auto"/>
          <w:lang w:val="en-US"/>
        </w:rPr>
        <w:instrText xml:space="preserve"> \* MERGEFORMAT </w:instrText>
      </w:r>
      <w:r w:rsidR="007C56D1" w:rsidRPr="00852187">
        <w:rPr>
          <w:rStyle w:val="SubtleEmphasis"/>
          <w:i w:val="0"/>
          <w:color w:val="auto"/>
          <w:lang w:val="en-US"/>
        </w:rPr>
      </w:r>
      <w:r w:rsidR="007C56D1" w:rsidRPr="00852187">
        <w:rPr>
          <w:rStyle w:val="SubtleEmphasis"/>
          <w:i w:val="0"/>
          <w:color w:val="auto"/>
          <w:lang w:val="en-US"/>
        </w:rPr>
        <w:fldChar w:fldCharType="separate"/>
      </w:r>
      <w:r w:rsidR="007C56D1" w:rsidRPr="00C52506">
        <w:rPr>
          <w:lang w:val="en-US"/>
        </w:rPr>
        <w:t xml:space="preserve">Figure </w:t>
      </w:r>
      <w:r w:rsidR="007C56D1" w:rsidRPr="00C52506">
        <w:rPr>
          <w:noProof/>
          <w:lang w:val="en-US"/>
        </w:rPr>
        <w:t>29</w:t>
      </w:r>
      <w:r w:rsidR="007C56D1" w:rsidRPr="00852187">
        <w:rPr>
          <w:rStyle w:val="SubtleEmphasis"/>
          <w:i w:val="0"/>
          <w:color w:val="auto"/>
          <w:lang w:val="en-US"/>
        </w:rPr>
        <w:fldChar w:fldCharType="end"/>
      </w:r>
      <w:r w:rsidR="007C56D1" w:rsidRPr="00852187">
        <w:rPr>
          <w:rStyle w:val="SubtleEmphasis"/>
          <w:i w:val="0"/>
          <w:color w:val="auto"/>
          <w:lang w:val="en-US"/>
        </w:rPr>
        <w:t>B.</w:t>
      </w:r>
      <w:r w:rsidR="007C56D1">
        <w:rPr>
          <w:rStyle w:val="SubtleEmphasis"/>
          <w:i w:val="0"/>
          <w:color w:val="auto"/>
          <w:lang w:val="en-US"/>
        </w:rPr>
        <w:t xml:space="preserve"> </w:t>
      </w:r>
    </w:p>
    <w:p w:rsidR="007C56D1" w:rsidRDefault="00E74C8E" w:rsidP="00FC7A2B">
      <w:pPr>
        <w:spacing w:line="240" w:lineRule="auto"/>
        <w:rPr>
          <w:rStyle w:val="SubtleEmphasis"/>
          <w:i w:val="0"/>
          <w:color w:val="auto"/>
          <w:lang w:val="en-US"/>
        </w:rPr>
      </w:pPr>
      <w:r w:rsidRPr="00DB2F82">
        <w:rPr>
          <w:rStyle w:val="SubtleEmphasis"/>
          <w:i w:val="0"/>
          <w:color w:val="auto"/>
          <w:lang w:val="en-US"/>
        </w:rPr>
        <w:t>This observation is in line with the measured change of zeta potential, as the zeta potential value has to go through its point of zero charge to invert its charge.</w:t>
      </w:r>
      <w:r w:rsidRPr="00DB2F82">
        <w:rPr>
          <w:rStyle w:val="SubtleEmphasis"/>
          <w:b/>
          <w:i w:val="0"/>
          <w:color w:val="auto"/>
          <w:lang w:val="en-US"/>
        </w:rPr>
        <w:t xml:space="preserve"> </w:t>
      </w:r>
      <w:r w:rsidR="007C56D1">
        <w:rPr>
          <w:rStyle w:val="SubtleEmphasis"/>
          <w:i w:val="0"/>
          <w:color w:val="auto"/>
          <w:lang w:val="en-US"/>
        </w:rPr>
        <w:t>Adding</w:t>
      </w:r>
      <w:r w:rsidRPr="00DB2F82">
        <w:rPr>
          <w:rStyle w:val="SubtleEmphasis"/>
          <w:i w:val="0"/>
          <w:color w:val="auto"/>
          <w:lang w:val="en-US"/>
        </w:rPr>
        <w:t xml:space="preserve"> acid to the dispersion to change the pH back to pH 3</w:t>
      </w:r>
      <w:r w:rsidR="007C56D1">
        <w:rPr>
          <w:rStyle w:val="SubtleEmphasis"/>
          <w:i w:val="0"/>
          <w:color w:val="auto"/>
          <w:lang w:val="en-US"/>
        </w:rPr>
        <w:t>,</w:t>
      </w:r>
      <w:r w:rsidRPr="00DB2F82">
        <w:rPr>
          <w:rStyle w:val="SubtleEmphasis"/>
          <w:i w:val="0"/>
          <w:color w:val="auto"/>
          <w:lang w:val="en-US"/>
        </w:rPr>
        <w:t xml:space="preserve"> resulted in the recovery of a positive zeta potential of +65mV. </w:t>
      </w:r>
    </w:p>
    <w:p w:rsidR="007C56D1" w:rsidRDefault="007C56D1" w:rsidP="00FC7A2B">
      <w:pPr>
        <w:spacing w:line="240" w:lineRule="auto"/>
        <w:rPr>
          <w:rStyle w:val="SubtleEmphasis"/>
          <w:i w:val="0"/>
          <w:color w:val="auto"/>
          <w:lang w:val="en-US"/>
        </w:rPr>
      </w:pPr>
    </w:p>
    <w:p w:rsidR="007C56D1" w:rsidRPr="007C56D1" w:rsidRDefault="007C56D1" w:rsidP="007C56D1">
      <w:pPr>
        <w:pStyle w:val="Caption"/>
        <w:jc w:val="center"/>
        <w:rPr>
          <w:rStyle w:val="SubtleEmphasis"/>
          <w:i/>
          <w:color w:val="auto"/>
          <w:sz w:val="20"/>
          <w:szCs w:val="20"/>
          <w:lang w:val="en-US"/>
        </w:rPr>
      </w:pPr>
      <w:bookmarkStart w:id="88" w:name="_Ref31017242"/>
      <w:r>
        <w:rPr>
          <w:iCs w:val="0"/>
          <w:noProof/>
          <w:lang w:val="en-US"/>
        </w:rPr>
        <w:lastRenderedPageBreak/>
        <w:drawing>
          <wp:anchor distT="0" distB="0" distL="114300" distR="114300" simplePos="0" relativeHeight="251724800" behindDoc="0" locked="0" layoutInCell="1" allowOverlap="1">
            <wp:simplePos x="0" y="0"/>
            <wp:positionH relativeFrom="column">
              <wp:posOffset>-18415</wp:posOffset>
            </wp:positionH>
            <wp:positionV relativeFrom="paragraph">
              <wp:posOffset>24765</wp:posOffset>
            </wp:positionV>
            <wp:extent cx="6318885" cy="2564765"/>
            <wp:effectExtent l="0" t="0" r="5715" b="6985"/>
            <wp:wrapThrough wrapText="bothSides">
              <wp:wrapPolygon edited="0">
                <wp:start x="0" y="0"/>
                <wp:lineTo x="0" y="21498"/>
                <wp:lineTo x="21554" y="21498"/>
                <wp:lineTo x="21554"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PS optical micrograph en titration curve.jpg"/>
                    <pic:cNvPicPr/>
                  </pic:nvPicPr>
                  <pic:blipFill>
                    <a:blip r:embed="rId47">
                      <a:extLst>
                        <a:ext uri="{28A0092B-C50C-407E-A947-70E740481C1C}">
                          <a14:useLocalDpi xmlns:a14="http://schemas.microsoft.com/office/drawing/2010/main" val="0"/>
                        </a:ext>
                      </a:extLst>
                    </a:blip>
                    <a:stretch>
                      <a:fillRect/>
                    </a:stretch>
                  </pic:blipFill>
                  <pic:spPr>
                    <a:xfrm>
                      <a:off x="0" y="0"/>
                      <a:ext cx="6318885" cy="2564765"/>
                    </a:xfrm>
                    <a:prstGeom prst="rect">
                      <a:avLst/>
                    </a:prstGeom>
                  </pic:spPr>
                </pic:pic>
              </a:graphicData>
            </a:graphic>
            <wp14:sizeRelH relativeFrom="margin">
              <wp14:pctWidth>0</wp14:pctWidth>
            </wp14:sizeRelH>
            <wp14:sizeRelV relativeFrom="margin">
              <wp14:pctHeight>0</wp14:pctHeight>
            </wp14:sizeRelV>
          </wp:anchor>
        </w:drawing>
      </w:r>
      <w:r>
        <w:rPr>
          <w:color w:val="auto"/>
          <w:sz w:val="20"/>
          <w:szCs w:val="20"/>
          <w:lang w:val="en-US"/>
        </w:rPr>
        <w:t>Figure</w:t>
      </w:r>
      <w:r w:rsidRPr="00F1504E">
        <w:rPr>
          <w:color w:val="auto"/>
          <w:sz w:val="20"/>
          <w:szCs w:val="20"/>
          <w:lang w:val="en-US"/>
        </w:rPr>
        <w:t xml:space="preserve"> </w:t>
      </w:r>
      <w:r w:rsidRPr="00F1504E">
        <w:rPr>
          <w:color w:val="auto"/>
          <w:sz w:val="20"/>
          <w:szCs w:val="20"/>
        </w:rPr>
        <w:fldChar w:fldCharType="begin"/>
      </w:r>
      <w:r w:rsidRPr="00F1504E">
        <w:rPr>
          <w:color w:val="auto"/>
          <w:sz w:val="20"/>
          <w:szCs w:val="20"/>
          <w:lang w:val="en-US"/>
        </w:rPr>
        <w:instrText xml:space="preserve"> SEQ Figure \* ARABIC </w:instrText>
      </w:r>
      <w:r w:rsidRPr="00F1504E">
        <w:rPr>
          <w:color w:val="auto"/>
          <w:sz w:val="20"/>
          <w:szCs w:val="20"/>
        </w:rPr>
        <w:fldChar w:fldCharType="separate"/>
      </w:r>
      <w:r>
        <w:rPr>
          <w:noProof/>
          <w:color w:val="auto"/>
          <w:sz w:val="20"/>
          <w:szCs w:val="20"/>
          <w:lang w:val="en-US"/>
        </w:rPr>
        <w:t>29</w:t>
      </w:r>
      <w:r w:rsidRPr="00F1504E">
        <w:rPr>
          <w:color w:val="auto"/>
          <w:sz w:val="20"/>
          <w:szCs w:val="20"/>
        </w:rPr>
        <w:fldChar w:fldCharType="end"/>
      </w:r>
      <w:bookmarkEnd w:id="88"/>
      <w:r w:rsidRPr="00F1504E">
        <w:rPr>
          <w:color w:val="auto"/>
          <w:sz w:val="20"/>
          <w:szCs w:val="20"/>
          <w:lang w:val="en-US"/>
        </w:rPr>
        <w:t xml:space="preserve">: </w:t>
      </w:r>
      <w:r w:rsidRPr="00F1504E">
        <w:rPr>
          <w:b/>
          <w:bCs/>
          <w:color w:val="auto"/>
          <w:sz w:val="20"/>
          <w:szCs w:val="20"/>
          <w:lang w:val="en-US"/>
        </w:rPr>
        <w:t>A</w:t>
      </w:r>
      <w:r w:rsidRPr="00F1504E">
        <w:rPr>
          <w:color w:val="auto"/>
          <w:sz w:val="20"/>
          <w:szCs w:val="20"/>
          <w:lang w:val="en-US"/>
        </w:rPr>
        <w:t>:</w:t>
      </w:r>
      <w:r w:rsidRPr="00444D4D">
        <w:rPr>
          <w:color w:val="auto"/>
          <w:sz w:val="20"/>
          <w:szCs w:val="20"/>
          <w:lang w:val="en-US"/>
        </w:rPr>
        <w:t xml:space="preserve"> </w:t>
      </w:r>
      <w:r w:rsidRPr="00F1504E">
        <w:rPr>
          <w:color w:val="auto"/>
          <w:sz w:val="20"/>
          <w:szCs w:val="20"/>
          <w:lang w:val="en-US"/>
        </w:rPr>
        <w:t xml:space="preserve">Overview of titration measurements on pPS. </w:t>
      </w:r>
      <w:r w:rsidRPr="00F1504E">
        <w:rPr>
          <w:b/>
          <w:bCs/>
          <w:color w:val="auto"/>
          <w:sz w:val="20"/>
          <w:szCs w:val="20"/>
          <w:lang w:val="en-US"/>
        </w:rPr>
        <w:t>B</w:t>
      </w:r>
      <w:r w:rsidRPr="00F1504E">
        <w:rPr>
          <w:color w:val="auto"/>
          <w:sz w:val="20"/>
          <w:szCs w:val="20"/>
          <w:lang w:val="en-US"/>
        </w:rPr>
        <w:t>: pPS particles at basic pH after overnight equilibration</w:t>
      </w:r>
      <w:r>
        <w:rPr>
          <w:color w:val="auto"/>
          <w:sz w:val="20"/>
          <w:szCs w:val="20"/>
          <w:lang w:val="en-US"/>
        </w:rPr>
        <w:t>.</w:t>
      </w:r>
      <w:r w:rsidRPr="00F1504E">
        <w:rPr>
          <w:color w:val="auto"/>
          <w:sz w:val="20"/>
          <w:szCs w:val="20"/>
          <w:lang w:val="en-US"/>
        </w:rPr>
        <w:t xml:space="preserve"> </w:t>
      </w:r>
    </w:p>
    <w:p w:rsidR="00E74C8E" w:rsidRPr="00DB2F82" w:rsidRDefault="00E74C8E" w:rsidP="00FC7A2B">
      <w:pPr>
        <w:spacing w:line="240" w:lineRule="auto"/>
        <w:rPr>
          <w:rStyle w:val="SubtleEmphasis"/>
          <w:i w:val="0"/>
          <w:color w:val="auto"/>
          <w:lang w:val="en-US"/>
        </w:rPr>
      </w:pPr>
      <w:r w:rsidRPr="00DB2F82">
        <w:rPr>
          <w:rStyle w:val="SubtleEmphasis"/>
          <w:i w:val="0"/>
          <w:color w:val="auto"/>
          <w:lang w:val="en-US"/>
        </w:rPr>
        <w:t xml:space="preserve">Due to the large magnitude of the zeta potential, it was assumed that the particles were redispersed. This could be further confirmed by again viewing the sample with an optical microscope. </w:t>
      </w:r>
    </w:p>
    <w:p w:rsidR="00FC7A2B" w:rsidRDefault="00E74C8E" w:rsidP="00FC7A2B">
      <w:pPr>
        <w:spacing w:line="240" w:lineRule="auto"/>
        <w:rPr>
          <w:rStyle w:val="SubtleEmphasis"/>
          <w:i w:val="0"/>
          <w:color w:val="auto"/>
          <w:lang w:val="en-US"/>
        </w:rPr>
      </w:pPr>
      <w:r w:rsidRPr="00DB2F82">
        <w:rPr>
          <w:rStyle w:val="SubtleEmphasis"/>
          <w:i w:val="0"/>
          <w:color w:val="auto"/>
          <w:lang w:val="en-US"/>
        </w:rPr>
        <w:t>Th</w:t>
      </w:r>
      <w:r w:rsidR="007C56D1">
        <w:rPr>
          <w:rStyle w:val="SubtleEmphasis"/>
          <w:i w:val="0"/>
          <w:color w:val="auto"/>
          <w:lang w:val="en-US"/>
        </w:rPr>
        <w:t>e</w:t>
      </w:r>
      <w:r w:rsidRPr="00DB2F82">
        <w:rPr>
          <w:rStyle w:val="SubtleEmphasis"/>
          <w:i w:val="0"/>
          <w:color w:val="auto"/>
          <w:lang w:val="en-US"/>
        </w:rPr>
        <w:t xml:space="preserve"> observed charge inversion at high pH of pPS comes as a surprise. Looking at the components that make up pPS, no chemical group should be sensitive to proton </w:t>
      </w:r>
      <w:r w:rsidR="00AD6F1D">
        <w:rPr>
          <w:rStyle w:val="SubtleEmphasis"/>
          <w:i w:val="0"/>
          <w:color w:val="auto"/>
          <w:lang w:val="en-US"/>
        </w:rPr>
        <w:t>adsorption</w:t>
      </w:r>
      <w:r w:rsidRPr="00DB2F82">
        <w:rPr>
          <w:rStyle w:val="SubtleEmphasis"/>
          <w:i w:val="0"/>
          <w:color w:val="auto"/>
          <w:lang w:val="en-US"/>
        </w:rPr>
        <w:t xml:space="preserve"> or desorption. In some cases, charge inversion could occur by overcharging of the surface</w:t>
      </w:r>
      <w:r w:rsidRPr="00DB2F82">
        <w:rPr>
          <w:rStyle w:val="SubtleEmphasis"/>
          <w:i w:val="0"/>
          <w:color w:val="auto"/>
          <w:lang w:val="en-US"/>
        </w:rPr>
        <w:fldChar w:fldCharType="begin" w:fldLock="1"/>
      </w:r>
      <w:r w:rsidR="00FB6101">
        <w:rPr>
          <w:rStyle w:val="SubtleEmphasis"/>
          <w:i w:val="0"/>
          <w:color w:val="auto"/>
          <w:lang w:val="en-US"/>
        </w:rPr>
        <w:instrText>ADDIN CSL_CITATION { "citationItems" : [ { "id" : "ITEM-1", "itemData" : { "DOI" : "10.1016/j.cis.2008.12.002", "ISSN" : "00018686", "abstract" : "A discussion is given of the experimental evidence for overcharging, also known as charge reversal. The phenomenon is very common. The most general explanation is specific chemical adsorption. However, overcharging can also be explained on the basis of ion-ion correlations, which is rather a physical type of interpretation, and which can also be specific. Several theories have been developed for that. So, there is the luxury problem that two alternative explanations are available for the same observation. The purpose of this paper is to consider the various approaches critically and try to devise experimental options to discriminate between the two interpretations. \u00a9 2008 Elsevier B.V. All rights reserved.", "author" : [ { "dropping-particle" : "", "family" : "Lyklema", "given" : "J.", "non-dropping-particle" : "", "parse-names" : false, "suffix" : "" } ], "container-title" : "Advances in Colloid and Interface Science", "id" : "ITEM-1", "issue" : "C", "issued" : { "date-parts" : [ [ "2009" ] ] }, "page" : "205-213", "publisher" : "Elsevier B.V.", "title" : "Quest for ion-ion correlations in electric double layers and overcharging phenomena", "type" : "article-journal", "volume" : "147-148" }, "uris" : [ "http://www.mendeley.com/documents/?uuid=afad7db6-bdae-4eeb-8b55-dfb9f85ba0c2" ] } ], "mendeley" : { "formattedCitation" : "&lt;sup&gt;72&lt;/sup&gt;", "plainTextFormattedCitation" : "72", "previouslyFormattedCitation" : "&lt;sup&gt;72&lt;/sup&gt;" }, "properties" : { "noteIndex" : 0 }, "schema" : "https://github.com/citation-style-language/schema/raw/master/csl-citation.json" }</w:instrText>
      </w:r>
      <w:r w:rsidRPr="00DB2F82">
        <w:rPr>
          <w:rStyle w:val="SubtleEmphasis"/>
          <w:i w:val="0"/>
          <w:color w:val="auto"/>
          <w:lang w:val="en-US"/>
        </w:rPr>
        <w:fldChar w:fldCharType="separate"/>
      </w:r>
      <w:r w:rsidR="00DE131C" w:rsidRPr="00DE131C">
        <w:rPr>
          <w:rStyle w:val="SubtleEmphasis"/>
          <w:i w:val="0"/>
          <w:noProof/>
          <w:color w:val="auto"/>
          <w:vertAlign w:val="superscript"/>
          <w:lang w:val="en-US"/>
        </w:rPr>
        <w:t>72</w:t>
      </w:r>
      <w:r w:rsidRPr="00DB2F82">
        <w:rPr>
          <w:rStyle w:val="SubtleEmphasis"/>
          <w:i w:val="0"/>
          <w:color w:val="auto"/>
          <w:lang w:val="en-US"/>
        </w:rPr>
        <w:fldChar w:fldCharType="end"/>
      </w:r>
      <w:r w:rsidRPr="00DB2F82">
        <w:rPr>
          <w:rStyle w:val="SubtleEmphasis"/>
          <w:i w:val="0"/>
          <w:color w:val="auto"/>
          <w:lang w:val="en-US"/>
        </w:rPr>
        <w:t>. This happens by specific counter-ion condensation on the surface of a particle. In our case, this could be the OH</w:t>
      </w:r>
      <w:r w:rsidRPr="00DB2F82">
        <w:rPr>
          <w:rStyle w:val="SubtleEmphasis"/>
          <w:i w:val="0"/>
          <w:color w:val="auto"/>
          <w:vertAlign w:val="superscript"/>
          <w:lang w:val="en-US"/>
        </w:rPr>
        <w:t>-</w:t>
      </w:r>
      <w:r w:rsidRPr="00DB2F82">
        <w:rPr>
          <w:rStyle w:val="SubtleEmphasis"/>
          <w:i w:val="0"/>
          <w:color w:val="auto"/>
          <w:lang w:val="en-US"/>
        </w:rPr>
        <w:t xml:space="preserve"> ion which condensates on the quaternary nitrogen atom of the METMAC monomer. At low pH, there are only a few OH</w:t>
      </w:r>
      <w:r w:rsidRPr="00DB2F82">
        <w:rPr>
          <w:rStyle w:val="SubtleEmphasis"/>
          <w:i w:val="0"/>
          <w:color w:val="auto"/>
          <w:vertAlign w:val="superscript"/>
          <w:lang w:val="en-US"/>
        </w:rPr>
        <w:t>-</w:t>
      </w:r>
      <w:r w:rsidRPr="00DB2F82">
        <w:rPr>
          <w:rStyle w:val="SubtleEmphasis"/>
          <w:i w:val="0"/>
          <w:color w:val="auto"/>
          <w:lang w:val="en-US"/>
        </w:rPr>
        <w:t xml:space="preserve"> ions, while at higher pH, there are more. This could explain the observed charge inversion at high pH. However, this seems </w:t>
      </w:r>
      <w:r w:rsidR="007C56D1">
        <w:rPr>
          <w:rStyle w:val="SubtleEmphasis"/>
          <w:i w:val="0"/>
          <w:color w:val="auto"/>
          <w:lang w:val="en-US"/>
        </w:rPr>
        <w:t>highly</w:t>
      </w:r>
      <w:r w:rsidRPr="00DB2F82">
        <w:rPr>
          <w:rStyle w:val="SubtleEmphasis"/>
          <w:i w:val="0"/>
          <w:color w:val="auto"/>
          <w:lang w:val="en-US"/>
        </w:rPr>
        <w:t xml:space="preserve"> unlikely, </w:t>
      </w:r>
      <w:r w:rsidR="00E87FD6">
        <w:rPr>
          <w:rStyle w:val="SubtleEmphasis"/>
          <w:i w:val="0"/>
          <w:color w:val="auto"/>
          <w:lang w:val="en-US"/>
        </w:rPr>
        <w:t>a</w:t>
      </w:r>
      <w:r w:rsidRPr="00DB2F82">
        <w:rPr>
          <w:rStyle w:val="SubtleEmphasis"/>
          <w:i w:val="0"/>
          <w:color w:val="auto"/>
          <w:lang w:val="en-US"/>
        </w:rPr>
        <w:t>s this overcharging phenomenon is only observed for multivalent ions, which are not present in our system. Additionally, the quaternary nitrogen atom is too sterically hindered from the methyl groups for an OH</w:t>
      </w:r>
      <w:r w:rsidRPr="00DB2F82">
        <w:rPr>
          <w:rStyle w:val="SubtleEmphasis"/>
          <w:i w:val="0"/>
          <w:color w:val="auto"/>
          <w:vertAlign w:val="superscript"/>
          <w:lang w:val="en-US"/>
        </w:rPr>
        <w:t>-</w:t>
      </w:r>
      <w:r w:rsidRPr="00DB2F82">
        <w:rPr>
          <w:rStyle w:val="SubtleEmphasis"/>
          <w:i w:val="0"/>
          <w:color w:val="auto"/>
          <w:lang w:val="en-US"/>
        </w:rPr>
        <w:t xml:space="preserve"> ion condensation to occur.</w:t>
      </w:r>
    </w:p>
    <w:p w:rsidR="007C56D1" w:rsidRDefault="00E74C8E" w:rsidP="00FC7A2B">
      <w:pPr>
        <w:spacing w:line="240" w:lineRule="auto"/>
        <w:rPr>
          <w:rStyle w:val="SubtleEmphasis"/>
          <w:i w:val="0"/>
          <w:color w:val="auto"/>
          <w:lang w:val="en-US"/>
        </w:rPr>
      </w:pPr>
      <w:r w:rsidRPr="00DB2F82">
        <w:rPr>
          <w:rStyle w:val="SubtleEmphasis"/>
          <w:i w:val="0"/>
          <w:color w:val="auto"/>
          <w:lang w:val="en-US"/>
        </w:rPr>
        <w:t>A more likely explanation could be that the ester bond on the METMAC monomer is destroyed by base-catalyzed hydrolysis, which would leave behind a carboxylic acid</w:t>
      </w:r>
      <w:r w:rsidRPr="00DB2F82">
        <w:rPr>
          <w:rStyle w:val="SubtleEmphasis"/>
          <w:i w:val="0"/>
          <w:color w:val="auto"/>
          <w:lang w:val="en-US"/>
        </w:rPr>
        <w:fldChar w:fldCharType="begin" w:fldLock="1"/>
      </w:r>
      <w:r w:rsidR="00FB6101">
        <w:rPr>
          <w:rStyle w:val="SubtleEmphasis"/>
          <w:i w:val="0"/>
          <w:color w:val="auto"/>
          <w:lang w:val="en-US"/>
        </w:rPr>
        <w:instrText>ADDIN CSL_CITATION { "citationItems" : [ { "id" : "ITEM-1", "itemData" : { "DOI" : "10.1021/ja00067a020", "ISSN" : "15205126", "abstract" : "The hydrolysis of alkyl formates with leaving groups in the range pKa = 12\u201316 is catalyzed by substituted acetate anions. There is an increase in the Br\u00f8nsted \u03b2 value for general base catalysis with decreasing pKa of the leaving alcohol and a complementary increase in \u2212\u03b21g with decreasing pKa, of the catalyzing base, both of which are consistent with a value of Pxy = \u2202\u03b2/-pK1g = \u2202\u03b21g/\u2212\u2202pKBH \u2243 0.11. This result supports a class n mechanism of general base catalysis, in which a proton is abstracted from the nucleophilic water molecule by the base catalyst in the transition state; it is not consistent with the kinetically equivalent class e mechanism of electrophilic catalysis by general acids of a reaction with hydroxide ion, by proton donation to the leaving alcohol. Solvent deuterium isotope effects in the range for the buffer-independent reaction and 2.5\u20132.8 for catalysis by CH3COO\u2212 support concerted proton transfer and O-C bond formation. The secondary isotope effect for catalysis of the hydrolysis of LCOOMe by acetate ion is kD/kH = 1.05. Both nucleophilic and general base mechanisms of catalysis by acetate anions are observed for the hydrolysis of substituted phenyl formates with leaving groups of pKa = 7.1\u201310.1. A small value of \u03b2 = 0.12 for general base catalysis of the hydrolysis of phenyl formate and p-methylphenyl formate represents catalysis of the addition of water by hydrogen bonding of water to the base catalyst. On the other hand, a larger value of \u03b2 = 0.35 and a decrease in to 1.2 were observed for general base catalysis of the hydrolysis of p-nitrophenyl formate. It is suggested that the increase in \u03b2 with decreasing pK1g (an apparent \u201canti-Hammond effect\u201d) may be accounted for by a change in mechanism, from catalysis of a stepwise reaction of phenyl and p-methylphenyl formates to concerted general base catalysis of formyl transfer to water for the reaction of p-nitrophenyl formate. \u00a9 1993, American Chemical Society. All rights reserved.", "author" : [ { "dropping-particle" : "", "family" : "Stefanidis", "given" : "Dimitrios", "non-dropping-particle" : "", "parse-names" : false, "suffix" : "" }, { "dropping-particle" : "", "family" : "Jencks", "given" : "William P.", "non-dropping-particle" : "", "parse-names" : false, "suffix" : "" } ], "container-title" : "Journal of the American Chemical Society", "id" : "ITEM-1", "issue" : "14", "issued" : { "date-parts" : [ [ "1993" ] ] }, "page" : "6045-6050", "title" : "General Base Catalysis of Ester Hydrolysis", "type" : "article-journal", "volume" : "115" }, "uris" : [ "http://www.mendeley.com/documents/?uuid=6233ff45-7a4c-4040-8d29-1190eebd5579" ] } ], "mendeley" : { "formattedCitation" : "&lt;sup&gt;73&lt;/sup&gt;", "plainTextFormattedCitation" : "73", "previouslyFormattedCitation" : "&lt;sup&gt;73&lt;/sup&gt;" }, "properties" : { "noteIndex" : 0 }, "schema" : "https://github.com/citation-style-language/schema/raw/master/csl-citation.json" }</w:instrText>
      </w:r>
      <w:r w:rsidRPr="00DB2F82">
        <w:rPr>
          <w:rStyle w:val="SubtleEmphasis"/>
          <w:i w:val="0"/>
          <w:color w:val="auto"/>
          <w:lang w:val="en-US"/>
        </w:rPr>
        <w:fldChar w:fldCharType="separate"/>
      </w:r>
      <w:r w:rsidR="00DE131C" w:rsidRPr="00DE131C">
        <w:rPr>
          <w:rStyle w:val="SubtleEmphasis"/>
          <w:i w:val="0"/>
          <w:noProof/>
          <w:color w:val="auto"/>
          <w:vertAlign w:val="superscript"/>
          <w:lang w:val="en-US"/>
        </w:rPr>
        <w:t>73</w:t>
      </w:r>
      <w:r w:rsidRPr="00DB2F82">
        <w:rPr>
          <w:rStyle w:val="SubtleEmphasis"/>
          <w:i w:val="0"/>
          <w:color w:val="auto"/>
          <w:lang w:val="en-US"/>
        </w:rPr>
        <w:fldChar w:fldCharType="end"/>
      </w:r>
      <w:r w:rsidRPr="00DB2F82">
        <w:rPr>
          <w:rStyle w:val="SubtleEmphasis"/>
          <w:i w:val="0"/>
          <w:color w:val="auto"/>
          <w:lang w:val="en-US"/>
        </w:rPr>
        <w:t xml:space="preserve"> (scheme </w:t>
      </w:r>
      <w:r w:rsidR="007C56D1">
        <w:rPr>
          <w:rStyle w:val="SubtleEmphasis"/>
          <w:i w:val="0"/>
          <w:color w:val="auto"/>
          <w:lang w:val="en-US"/>
        </w:rPr>
        <w:t>6</w:t>
      </w:r>
      <w:r w:rsidRPr="00DB2F82">
        <w:rPr>
          <w:rStyle w:val="SubtleEmphasis"/>
          <w:i w:val="0"/>
          <w:color w:val="auto"/>
          <w:lang w:val="en-US"/>
        </w:rPr>
        <w:t>). The formed carboxylic acid will then obtain a negative charge by deprotonation in basic pH, confirming the charge inversion. The same effect was observed by Guo for his METMAC functionalized PS particles, however, reobtaining the positive charge by decreasing the pH was not probed by him</w:t>
      </w:r>
      <w:r w:rsidRPr="00DB2F82">
        <w:rPr>
          <w:rStyle w:val="SubtleEmphasis"/>
          <w:i w:val="0"/>
          <w:color w:val="auto"/>
          <w:lang w:val="en-US"/>
        </w:rPr>
        <w:fldChar w:fldCharType="begin" w:fldLock="1"/>
      </w:r>
      <w:r w:rsidR="00FB6101">
        <w:rPr>
          <w:rStyle w:val="SubtleEmphasis"/>
          <w:i w:val="0"/>
          <w:color w:val="auto"/>
          <w:lang w:val="en-US"/>
        </w:rPr>
        <w:instrText>ADDIN CSL_CITATION { "citationItems" : [ { "id" : "ITEM-1", "itemData" : { "author" : [ { "dropping-particle" : "", "family" : "Guo", "given" : "Y", "non-dropping-particle" : "", "parse-names" : false, "suffix" : "" } ], "id" : "ITEM-1", "issued" : { "date-parts" : [ [ "2017" ] ] }, "number-of-pages" : "152", "publisher" : "Utrecht University", "title" : "Self-Assembly of Colloidal Spheres into One, Two and Three Dimensional Structures", "type" : "thesis" }, "uris" : [ "http://www.mendeley.com/documents/?uuid=1f30a2f8-0d07-494f-925f-9aab6a0b47f2" ] } ], "mendeley" : { "formattedCitation" : "&lt;sup&gt;74&lt;/sup&gt;", "plainTextFormattedCitation" : "74", "previouslyFormattedCitation" : "&lt;sup&gt;74&lt;/sup&gt;" }, "properties" : { "noteIndex" : 0 }, "schema" : "https://github.com/citation-style-language/schema/raw/master/csl-citation.json" }</w:instrText>
      </w:r>
      <w:r w:rsidRPr="00DB2F82">
        <w:rPr>
          <w:rStyle w:val="SubtleEmphasis"/>
          <w:i w:val="0"/>
          <w:color w:val="auto"/>
          <w:lang w:val="en-US"/>
        </w:rPr>
        <w:fldChar w:fldCharType="separate"/>
      </w:r>
      <w:r w:rsidR="00DE131C" w:rsidRPr="00DE131C">
        <w:rPr>
          <w:rStyle w:val="SubtleEmphasis"/>
          <w:i w:val="0"/>
          <w:noProof/>
          <w:color w:val="auto"/>
          <w:vertAlign w:val="superscript"/>
          <w:lang w:val="en-US"/>
        </w:rPr>
        <w:t>74</w:t>
      </w:r>
      <w:r w:rsidRPr="00DB2F82">
        <w:rPr>
          <w:rStyle w:val="SubtleEmphasis"/>
          <w:i w:val="0"/>
          <w:color w:val="auto"/>
          <w:lang w:val="en-US"/>
        </w:rPr>
        <w:fldChar w:fldCharType="end"/>
      </w:r>
      <w:r w:rsidRPr="00DB2F82">
        <w:rPr>
          <w:rStyle w:val="SubtleEmphasis"/>
          <w:i w:val="0"/>
          <w:color w:val="auto"/>
          <w:lang w:val="en-US"/>
        </w:rPr>
        <w:t>.</w:t>
      </w:r>
      <w:r w:rsidR="007C56D1">
        <w:rPr>
          <w:rStyle w:val="SubtleEmphasis"/>
          <w:i w:val="0"/>
          <w:color w:val="auto"/>
          <w:lang w:val="en-US"/>
        </w:rPr>
        <w:t xml:space="preserve"> </w:t>
      </w:r>
    </w:p>
    <w:p w:rsidR="00E74C8E" w:rsidRPr="00DB2F82" w:rsidRDefault="00E74C8E" w:rsidP="00FC7A2B">
      <w:pPr>
        <w:spacing w:line="240" w:lineRule="auto"/>
        <w:rPr>
          <w:rStyle w:val="SubtleEmphasis"/>
          <w:i w:val="0"/>
          <w:color w:val="auto"/>
          <w:lang w:val="en-US"/>
        </w:rPr>
      </w:pPr>
      <w:r w:rsidRPr="00DB2F82">
        <w:rPr>
          <w:rStyle w:val="SubtleEmphasis"/>
          <w:i w:val="0"/>
          <w:color w:val="auto"/>
          <w:lang w:val="en-US"/>
        </w:rPr>
        <w:t xml:space="preserve">As a result of this reaction, an amount of the formed ‘METMAC alcohol’ </w:t>
      </w:r>
      <w:r w:rsidR="00C11F2B" w:rsidRPr="00DB2F82">
        <w:rPr>
          <w:rStyle w:val="SubtleEmphasis"/>
          <w:i w:val="0"/>
          <w:color w:val="auto"/>
          <w:lang w:val="en-US"/>
        </w:rPr>
        <w:t>should</w:t>
      </w:r>
      <w:r w:rsidRPr="00DB2F82">
        <w:rPr>
          <w:rStyle w:val="SubtleEmphasis"/>
          <w:i w:val="0"/>
          <w:color w:val="auto"/>
          <w:lang w:val="en-US"/>
        </w:rPr>
        <w:t xml:space="preserve"> be present in the dispersion. It is assumed that the backward reaction is catalyzed at low pH, again leading to the initial positive charge. So, to confirm whether this reaction occurs, the particles should be washed thoroughly in basic pH. Afterwards, the particles should be redispersed in acidic pH to see whether the positive charge is permanently removed.</w:t>
      </w:r>
      <w:r w:rsidR="00300637" w:rsidRPr="00DB2F82">
        <w:rPr>
          <w:rStyle w:val="SubtleEmphasis"/>
          <w:i w:val="0"/>
          <w:color w:val="auto"/>
          <w:lang w:val="en-US"/>
        </w:rPr>
        <w:t xml:space="preserve"> </w:t>
      </w:r>
      <w:r w:rsidRPr="00DB2F82">
        <w:rPr>
          <w:rStyle w:val="SubtleEmphasis"/>
          <w:i w:val="0"/>
          <w:color w:val="auto"/>
          <w:lang w:val="en-US"/>
        </w:rPr>
        <w:t xml:space="preserve">Additionally, </w:t>
      </w:r>
      <w:r w:rsidR="00E2227F" w:rsidRPr="00DB2F82">
        <w:rPr>
          <w:rStyle w:val="SubtleEmphasis"/>
          <w:i w:val="0"/>
          <w:color w:val="auto"/>
          <w:lang w:val="en-US"/>
        </w:rPr>
        <w:t xml:space="preserve">to identify the molecular species that are present in the dispersion, </w:t>
      </w:r>
      <w:r w:rsidRPr="00DB2F82">
        <w:rPr>
          <w:rStyle w:val="SubtleEmphasis"/>
          <w:i w:val="0"/>
          <w:color w:val="auto"/>
          <w:lang w:val="en-US"/>
        </w:rPr>
        <w:t xml:space="preserve">the first few supernatants from the washing steps could be analyzed with NMR. </w:t>
      </w:r>
      <w:r w:rsidR="00AD4F94" w:rsidRPr="00DB2F82">
        <w:rPr>
          <w:rStyle w:val="SubtleEmphasis"/>
          <w:i w:val="0"/>
          <w:color w:val="auto"/>
          <w:lang w:val="en-US"/>
        </w:rPr>
        <w:t>To avoid this whole issue, the particles can be synthesized with DADMAC as co-monomer, as this pH-unresponsive molecule does not have a</w:t>
      </w:r>
      <w:r w:rsidR="003F47BC" w:rsidRPr="00DB2F82">
        <w:rPr>
          <w:rStyle w:val="SubtleEmphasis"/>
          <w:i w:val="0"/>
          <w:color w:val="auto"/>
          <w:lang w:val="en-US"/>
        </w:rPr>
        <w:t xml:space="preserve"> hydrolysable</w:t>
      </w:r>
      <w:r w:rsidR="00AD4F94" w:rsidRPr="00DB2F82">
        <w:rPr>
          <w:rStyle w:val="SubtleEmphasis"/>
          <w:i w:val="0"/>
          <w:color w:val="auto"/>
          <w:lang w:val="en-US"/>
        </w:rPr>
        <w:t xml:space="preserve"> ester group (</w:t>
      </w:r>
      <w:r w:rsidR="00DB2F82">
        <w:rPr>
          <w:rStyle w:val="SubtleEmphasis"/>
          <w:i w:val="0"/>
          <w:color w:val="auto"/>
          <w:lang w:val="en-US"/>
        </w:rPr>
        <w:fldChar w:fldCharType="begin"/>
      </w:r>
      <w:r w:rsidR="00DB2F82" w:rsidRPr="00DB2F82">
        <w:rPr>
          <w:rStyle w:val="SubtleEmphasis"/>
          <w:i w:val="0"/>
          <w:color w:val="auto"/>
          <w:lang w:val="en-US"/>
        </w:rPr>
        <w:instrText xml:space="preserve"> REF _Ref29912550 \h </w:instrText>
      </w:r>
      <w:r w:rsidR="00DB2F82">
        <w:rPr>
          <w:rStyle w:val="SubtleEmphasis"/>
          <w:i w:val="0"/>
          <w:color w:val="auto"/>
          <w:lang w:val="en-US"/>
        </w:rPr>
        <w:instrText xml:space="preserve"> \* MERGEFORMAT </w:instrText>
      </w:r>
      <w:r w:rsidR="00DB2F82">
        <w:rPr>
          <w:rStyle w:val="SubtleEmphasis"/>
          <w:i w:val="0"/>
          <w:color w:val="auto"/>
          <w:lang w:val="en-US"/>
        </w:rPr>
      </w:r>
      <w:r w:rsidR="00DB2F82">
        <w:rPr>
          <w:rStyle w:val="SubtleEmphasis"/>
          <w:i w:val="0"/>
          <w:color w:val="auto"/>
          <w:lang w:val="en-US"/>
        </w:rPr>
        <w:fldChar w:fldCharType="separate"/>
      </w:r>
      <w:r w:rsidR="00C52506" w:rsidRPr="00C52506">
        <w:rPr>
          <w:lang w:val="en-US"/>
        </w:rPr>
        <w:t>Figure</w:t>
      </w:r>
      <w:r w:rsidR="00C52506" w:rsidRPr="00CA0452">
        <w:rPr>
          <w:sz w:val="20"/>
          <w:szCs w:val="20"/>
          <w:lang w:val="en-US"/>
        </w:rPr>
        <w:t xml:space="preserve"> </w:t>
      </w:r>
      <w:r w:rsidR="00C52506">
        <w:rPr>
          <w:noProof/>
          <w:sz w:val="20"/>
          <w:szCs w:val="20"/>
          <w:lang w:val="en-US"/>
        </w:rPr>
        <w:t>3</w:t>
      </w:r>
      <w:r w:rsidR="00DB2F82">
        <w:rPr>
          <w:rStyle w:val="SubtleEmphasis"/>
          <w:i w:val="0"/>
          <w:color w:val="auto"/>
          <w:lang w:val="en-US"/>
        </w:rPr>
        <w:fldChar w:fldCharType="end"/>
      </w:r>
      <w:r w:rsidR="00AD4F94" w:rsidRPr="00DB2F82">
        <w:rPr>
          <w:rStyle w:val="SubtleEmphasis"/>
          <w:i w:val="0"/>
          <w:color w:val="auto"/>
          <w:lang w:val="en-US"/>
        </w:rPr>
        <w:t>C)</w:t>
      </w:r>
      <w:r w:rsidR="00AD4F94" w:rsidRPr="00DB2F82">
        <w:rPr>
          <w:rStyle w:val="SubtleEmphasis"/>
          <w:i w:val="0"/>
          <w:color w:val="auto"/>
          <w:lang w:val="en-US"/>
        </w:rPr>
        <w:fldChar w:fldCharType="begin" w:fldLock="1"/>
      </w:r>
      <w:r w:rsidR="00FB6101">
        <w:rPr>
          <w:rStyle w:val="SubtleEmphasis"/>
          <w:i w:val="0"/>
          <w:color w:val="auto"/>
          <w:lang w:val="en-US"/>
        </w:rPr>
        <w:instrText>ADDIN CSL_CITATION { "citationItems" : [ { "id" : "ITEM-1", "itemData" : { "DOI" : "10.1016/j.polymer.2014.02.062", "ISBN" : "0032-3861", "ISSN" : "00323861", "abstract" : "A cationic microgel with quaternized amine groups was prepared and used as a soft template for layer-by-layer (LbL) assemblies. The presence of quaternized amine groups inside the microgels was necessary to prevent rearrangements and subsequent bridging between the coated microgels, which were observed for the precursor microgels containing protonated primary amino groups. Sequentially, negatively charged polyelectrolyte poly(sodium styrene sulfonate) (PSS) and positively charged polyelectrolyte poly(diallyldimethylammonium chloride) (PDADMAC) were added to a suspension of quaternized microgels. This leads to an odd-even effect with respect to particle size and surface charge of the formed microgel-polyelectrolyte complexes (MPECs). MPECs with an even number of layers exhibit positive surface charge due to PDADMAC as the outermost layer and are larger compared to complexes with an odd number of layers, which are negatively charged having PSS in the outermost layer. Taking into account previous results (Macromolecules, 2009, 42, 1229), these observations show that electrostatic interactions are the major force for the odd-even effect in polyelectrolyte multilayers on microgels: the cationic groups of PDADMAC compete with the cationic moieties of the microgel for binding with the sulfonate groups of PSS. Concomitantly, a fluctuating size of the MPECs is induced by an osmotic pressure modulation within the microgel. In contrast, surface tension effects invoked by a possible varying hydrophilicity of the different terminal layers are negligible. \u00a9 2014 Elsevier Ltd. All rights reserved.", "author" : [ { "dropping-particle" : "", "family" : "Gelissen", "given" : "Arjan P H", "non-dropping-particle" : "", "parse-names" : false, "suffix" : "" }, { "dropping-particle" : "", "family" : "Schmid", "given" : "Andreas J.", "non-dropping-particle" : "", "parse-names" : false, "suffix" : "" }, { "dropping-particle" : "", "family" : "Plamper", "given" : "Felix A.", "non-dropping-particle" : "", "parse-names" : false, "suffix" : "" }, { "dropping-particle" : "V.", "family" : "Pergushov", "given" : "Dmitry", "non-dropping-particle" : "", "parse-names" : false, "suffix" : "" }, { "dropping-particle" : "", "family" : "Richtering", "given" : "Walter", "non-dropping-particle" : "", "parse-names" : false, "suffix" : "" } ], "container-title" : "Polymer (United Kingdom)", "id" : "ITEM-1", "issue" : "8", "issued" : { "date-parts" : [ [ "2014" ] ] }, "page" : "1991-1999", "publisher" : "Elsevier Ltd", "title" : "Quaternized microgels as soft templates for polyelectrolyte layer-by-layer assemblies", "type" : "article-journal", "volume" : "55" }, "uris" : [ "http://www.mendeley.com/documents/?uuid=cf1cc7e9-9d25-4acc-a16b-c9648c8bb123" ] } ], "mendeley" : { "formattedCitation" : "&lt;sup&gt;51&lt;/sup&gt;", "plainTextFormattedCitation" : "51", "previouslyFormattedCitation" : "&lt;sup&gt;51&lt;/sup&gt;" }, "properties" : { "noteIndex" : 0 }, "schema" : "https://github.com/citation-style-language/schema/raw/master/csl-citation.json" }</w:instrText>
      </w:r>
      <w:r w:rsidR="00AD4F94" w:rsidRPr="00DB2F82">
        <w:rPr>
          <w:rStyle w:val="SubtleEmphasis"/>
          <w:i w:val="0"/>
          <w:color w:val="auto"/>
          <w:lang w:val="en-US"/>
        </w:rPr>
        <w:fldChar w:fldCharType="separate"/>
      </w:r>
      <w:r w:rsidR="00DE131C" w:rsidRPr="00DE131C">
        <w:rPr>
          <w:rStyle w:val="SubtleEmphasis"/>
          <w:i w:val="0"/>
          <w:noProof/>
          <w:color w:val="auto"/>
          <w:vertAlign w:val="superscript"/>
          <w:lang w:val="en-US"/>
        </w:rPr>
        <w:t>51</w:t>
      </w:r>
      <w:r w:rsidR="00AD4F94" w:rsidRPr="00DB2F82">
        <w:rPr>
          <w:rStyle w:val="SubtleEmphasis"/>
          <w:i w:val="0"/>
          <w:color w:val="auto"/>
          <w:lang w:val="en-US"/>
        </w:rPr>
        <w:fldChar w:fldCharType="end"/>
      </w:r>
      <w:r w:rsidR="00AD4F94" w:rsidRPr="00DB2F82">
        <w:rPr>
          <w:rStyle w:val="SubtleEmphasis"/>
          <w:i w:val="0"/>
          <w:color w:val="auto"/>
          <w:lang w:val="en-US"/>
        </w:rPr>
        <w:t>.</w:t>
      </w:r>
      <w:r w:rsidR="007C56D1">
        <w:rPr>
          <w:rStyle w:val="SubtleEmphasis"/>
          <w:i w:val="0"/>
          <w:color w:val="auto"/>
          <w:lang w:val="en-US"/>
        </w:rPr>
        <w:t xml:space="preserve"> </w:t>
      </w:r>
    </w:p>
    <w:p w:rsidR="00830980" w:rsidRDefault="00E74C8E" w:rsidP="00FC7A2B">
      <w:pPr>
        <w:keepNext/>
        <w:spacing w:line="240" w:lineRule="auto"/>
        <w:jc w:val="center"/>
      </w:pPr>
      <w:r>
        <w:rPr>
          <w:noProof/>
          <w:color w:val="404040" w:themeColor="text1" w:themeTint="BF"/>
          <w:lang w:val="en-US"/>
        </w:rPr>
        <w:lastRenderedPageBreak/>
        <w:drawing>
          <wp:inline distT="0" distB="0" distL="0" distR="0">
            <wp:extent cx="4614545" cy="17653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4545" cy="1765300"/>
                    </a:xfrm>
                    <a:prstGeom prst="rect">
                      <a:avLst/>
                    </a:prstGeom>
                    <a:noFill/>
                    <a:ln>
                      <a:noFill/>
                    </a:ln>
                  </pic:spPr>
                </pic:pic>
              </a:graphicData>
            </a:graphic>
          </wp:inline>
        </w:drawing>
      </w:r>
    </w:p>
    <w:p w:rsidR="00F977AA" w:rsidRPr="00F977AA" w:rsidRDefault="00830980" w:rsidP="00FC7A2B">
      <w:pPr>
        <w:pStyle w:val="Caption"/>
        <w:jc w:val="center"/>
        <w:rPr>
          <w:lang w:val="en-US"/>
        </w:rPr>
      </w:pPr>
      <w:r w:rsidRPr="00830980">
        <w:rPr>
          <w:color w:val="auto"/>
          <w:sz w:val="20"/>
          <w:szCs w:val="20"/>
          <w:lang w:val="en-US"/>
        </w:rPr>
        <w:t xml:space="preserve">Scheme </w:t>
      </w:r>
      <w:r w:rsidRPr="00830980">
        <w:rPr>
          <w:color w:val="auto"/>
          <w:sz w:val="20"/>
          <w:szCs w:val="20"/>
        </w:rPr>
        <w:fldChar w:fldCharType="begin"/>
      </w:r>
      <w:r w:rsidRPr="00830980">
        <w:rPr>
          <w:color w:val="auto"/>
          <w:sz w:val="20"/>
          <w:szCs w:val="20"/>
          <w:lang w:val="en-US"/>
        </w:rPr>
        <w:instrText xml:space="preserve"> SEQ Scheme \* ARABIC </w:instrText>
      </w:r>
      <w:r w:rsidRPr="00830980">
        <w:rPr>
          <w:color w:val="auto"/>
          <w:sz w:val="20"/>
          <w:szCs w:val="20"/>
        </w:rPr>
        <w:fldChar w:fldCharType="separate"/>
      </w:r>
      <w:r w:rsidR="00C52506">
        <w:rPr>
          <w:noProof/>
          <w:color w:val="auto"/>
          <w:sz w:val="20"/>
          <w:szCs w:val="20"/>
          <w:lang w:val="en-US"/>
        </w:rPr>
        <w:t>6</w:t>
      </w:r>
      <w:r w:rsidRPr="00830980">
        <w:rPr>
          <w:color w:val="auto"/>
          <w:sz w:val="20"/>
          <w:szCs w:val="20"/>
        </w:rPr>
        <w:fldChar w:fldCharType="end"/>
      </w:r>
      <w:r w:rsidRPr="00830980">
        <w:rPr>
          <w:color w:val="auto"/>
          <w:sz w:val="20"/>
          <w:szCs w:val="20"/>
          <w:lang w:val="en-US"/>
        </w:rPr>
        <w:t>: Proposed reaction scheme for the pH dependent hydrolysis and condensation occurring at the METMAC comonomer</w:t>
      </w:r>
      <w:r w:rsidR="00FC7A2B">
        <w:rPr>
          <w:color w:val="auto"/>
          <w:sz w:val="20"/>
          <w:szCs w:val="20"/>
          <w:lang w:val="en-US"/>
        </w:rPr>
        <w:t>.</w:t>
      </w:r>
    </w:p>
    <w:p w:rsidR="00E74C8E" w:rsidRPr="0066726E" w:rsidRDefault="00E74C8E" w:rsidP="00FC7A2B">
      <w:pPr>
        <w:pStyle w:val="Heading3"/>
        <w:numPr>
          <w:ilvl w:val="2"/>
          <w:numId w:val="2"/>
        </w:numPr>
        <w:spacing w:line="240" w:lineRule="auto"/>
        <w:rPr>
          <w:rStyle w:val="SubtleEmphasis"/>
          <w:b/>
          <w:i w:val="0"/>
          <w:color w:val="auto"/>
          <w:lang w:val="en-US"/>
        </w:rPr>
      </w:pPr>
      <w:bookmarkStart w:id="89" w:name="_Toc31892418"/>
      <w:r w:rsidRPr="0066726E">
        <w:rPr>
          <w:rStyle w:val="SubtleEmphasis"/>
          <w:b/>
          <w:i w:val="0"/>
          <w:color w:val="auto"/>
          <w:lang w:val="en-US"/>
        </w:rPr>
        <w:t xml:space="preserve">Titration of </w:t>
      </w:r>
      <w:r w:rsidR="007C56D1">
        <w:rPr>
          <w:rStyle w:val="SubtleEmphasis"/>
          <w:b/>
          <w:i w:val="0"/>
          <w:color w:val="auto"/>
          <w:lang w:val="en-US"/>
        </w:rPr>
        <w:t xml:space="preserve">(APTES) </w:t>
      </w:r>
      <w:r w:rsidRPr="0066726E">
        <w:rPr>
          <w:rStyle w:val="SubtleEmphasis"/>
          <w:b/>
          <w:i w:val="0"/>
          <w:color w:val="auto"/>
          <w:lang w:val="en-US"/>
        </w:rPr>
        <w:t>TPM</w:t>
      </w:r>
      <w:r w:rsidR="007C56D1">
        <w:rPr>
          <w:rStyle w:val="SubtleEmphasis"/>
          <w:b/>
          <w:i w:val="0"/>
          <w:color w:val="auto"/>
          <w:lang w:val="en-US"/>
        </w:rPr>
        <w:t>-1</w:t>
      </w:r>
      <w:bookmarkEnd w:id="89"/>
      <w:r w:rsidRPr="0066726E">
        <w:rPr>
          <w:rStyle w:val="SubtleEmphasis"/>
          <w:b/>
          <w:i w:val="0"/>
          <w:color w:val="auto"/>
          <w:lang w:val="en-US"/>
        </w:rPr>
        <w:t xml:space="preserve"> </w:t>
      </w:r>
    </w:p>
    <w:p w:rsidR="00E74C8E" w:rsidRPr="00DB2F82" w:rsidRDefault="00E74C8E" w:rsidP="00FC7A2B">
      <w:pPr>
        <w:spacing w:line="240" w:lineRule="auto"/>
        <w:rPr>
          <w:rStyle w:val="SubtleEmphasis"/>
          <w:i w:val="0"/>
          <w:color w:val="auto"/>
          <w:lang w:val="en-US"/>
        </w:rPr>
      </w:pPr>
      <w:r w:rsidRPr="00DB2F82">
        <w:rPr>
          <w:rStyle w:val="SubtleEmphasis"/>
          <w:i w:val="0"/>
          <w:color w:val="auto"/>
          <w:lang w:val="en-US"/>
        </w:rPr>
        <w:t>The surface charge on TPM particles arises from the negatively charged deprotonated silanol groups Si-O</w:t>
      </w:r>
      <w:r w:rsidRPr="00DB2F82">
        <w:rPr>
          <w:rStyle w:val="SubtleEmphasis"/>
          <w:i w:val="0"/>
          <w:color w:val="auto"/>
          <w:vertAlign w:val="superscript"/>
          <w:lang w:val="en-US"/>
        </w:rPr>
        <w:t>-</w:t>
      </w:r>
      <w:r w:rsidRPr="00DB2F82">
        <w:rPr>
          <w:rStyle w:val="SubtleEmphasis"/>
          <w:i w:val="0"/>
          <w:color w:val="auto"/>
          <w:lang w:val="en-US"/>
        </w:rPr>
        <w:t xml:space="preserve"> that spontaneously form in an aqueous medium. </w:t>
      </w:r>
      <w:r w:rsidR="007C56D1">
        <w:rPr>
          <w:rStyle w:val="SubtleEmphasis"/>
          <w:i w:val="0"/>
          <w:color w:val="auto"/>
          <w:lang w:val="en-US"/>
        </w:rPr>
        <w:t>The pH responsiveness of the TPM-1 particles</w:t>
      </w:r>
      <w:r w:rsidRPr="00DB2F82">
        <w:rPr>
          <w:rStyle w:val="SubtleEmphasis"/>
          <w:i w:val="0"/>
          <w:color w:val="auto"/>
          <w:lang w:val="en-US"/>
        </w:rPr>
        <w:t xml:space="preserve"> be seen in </w:t>
      </w:r>
      <w:r w:rsidR="007C56D1">
        <w:rPr>
          <w:rStyle w:val="SubtleEmphasis"/>
          <w:i w:val="0"/>
          <w:color w:val="auto"/>
          <w:lang w:val="en-US"/>
        </w:rPr>
        <w:t>their titration curve in</w:t>
      </w:r>
      <w:r w:rsidRPr="00DB2F82">
        <w:rPr>
          <w:rStyle w:val="SubtleEmphasis"/>
          <w:i w:val="0"/>
          <w:color w:val="auto"/>
          <w:lang w:val="en-US"/>
        </w:rPr>
        <w:t xml:space="preserve"> </w:t>
      </w:r>
      <w:r w:rsidR="00DB2F82" w:rsidRPr="007C56D1">
        <w:rPr>
          <w:rStyle w:val="SubtleEmphasis"/>
          <w:i w:val="0"/>
          <w:color w:val="auto"/>
          <w:lang w:val="en-US"/>
        </w:rPr>
        <w:fldChar w:fldCharType="begin"/>
      </w:r>
      <w:r w:rsidR="00DB2F82" w:rsidRPr="007C56D1">
        <w:rPr>
          <w:rStyle w:val="SubtleEmphasis"/>
          <w:i w:val="0"/>
          <w:color w:val="auto"/>
          <w:lang w:val="en-US"/>
        </w:rPr>
        <w:instrText xml:space="preserve"> REF _Ref29651636 \h  \* MERGEFORMAT </w:instrText>
      </w:r>
      <w:r w:rsidR="00DB2F82" w:rsidRPr="007C56D1">
        <w:rPr>
          <w:rStyle w:val="SubtleEmphasis"/>
          <w:i w:val="0"/>
          <w:color w:val="auto"/>
          <w:lang w:val="en-US"/>
        </w:rPr>
      </w:r>
      <w:r w:rsidR="00DB2F82" w:rsidRPr="007C56D1">
        <w:rPr>
          <w:rStyle w:val="SubtleEmphasis"/>
          <w:i w:val="0"/>
          <w:color w:val="auto"/>
          <w:lang w:val="en-US"/>
        </w:rPr>
        <w:fldChar w:fldCharType="separate"/>
      </w:r>
      <w:r w:rsidR="00C52506" w:rsidRPr="007C56D1">
        <w:rPr>
          <w:lang w:val="en-US"/>
        </w:rPr>
        <w:t xml:space="preserve">Figure </w:t>
      </w:r>
      <w:r w:rsidR="00C52506" w:rsidRPr="007C56D1">
        <w:rPr>
          <w:noProof/>
          <w:lang w:val="en-US"/>
        </w:rPr>
        <w:t>30</w:t>
      </w:r>
      <w:r w:rsidR="00DB2F82" w:rsidRPr="007C56D1">
        <w:rPr>
          <w:rStyle w:val="SubtleEmphasis"/>
          <w:i w:val="0"/>
          <w:color w:val="auto"/>
          <w:lang w:val="en-US"/>
        </w:rPr>
        <w:fldChar w:fldCharType="end"/>
      </w:r>
      <w:r w:rsidRPr="007C56D1">
        <w:rPr>
          <w:rStyle w:val="SubtleEmphasis"/>
          <w:i w:val="0"/>
          <w:color w:val="auto"/>
          <w:lang w:val="en-US"/>
        </w:rPr>
        <w:t>.</w:t>
      </w:r>
      <w:r w:rsidRPr="00DB2F82">
        <w:rPr>
          <w:rStyle w:val="SubtleEmphasis"/>
          <w:i w:val="0"/>
          <w:color w:val="auto"/>
          <w:lang w:val="en-US"/>
        </w:rPr>
        <w:t xml:space="preserve"> </w:t>
      </w:r>
    </w:p>
    <w:p w:rsidR="00830980" w:rsidRDefault="00E74C8E" w:rsidP="00FC7A2B">
      <w:pPr>
        <w:keepNext/>
        <w:spacing w:line="240" w:lineRule="auto"/>
        <w:jc w:val="center"/>
      </w:pPr>
      <w:r>
        <w:rPr>
          <w:noProof/>
          <w:color w:val="404040" w:themeColor="text1" w:themeTint="BF"/>
          <w:lang w:val="en-US"/>
        </w:rPr>
        <w:drawing>
          <wp:inline distT="0" distB="0" distL="0" distR="0">
            <wp:extent cx="4526622" cy="3030279"/>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098" t="2216" r="2545" b="13194"/>
                    <a:stretch/>
                  </pic:blipFill>
                  <pic:spPr bwMode="auto">
                    <a:xfrm>
                      <a:off x="0" y="0"/>
                      <a:ext cx="4535661" cy="3036330"/>
                    </a:xfrm>
                    <a:prstGeom prst="rect">
                      <a:avLst/>
                    </a:prstGeom>
                    <a:noFill/>
                    <a:ln>
                      <a:noFill/>
                    </a:ln>
                    <a:extLst>
                      <a:ext uri="{53640926-AAD7-44D8-BBD7-CCE9431645EC}">
                        <a14:shadowObscured xmlns:a14="http://schemas.microsoft.com/office/drawing/2010/main"/>
                      </a:ext>
                    </a:extLst>
                  </pic:spPr>
                </pic:pic>
              </a:graphicData>
            </a:graphic>
          </wp:inline>
        </w:drawing>
      </w:r>
    </w:p>
    <w:p w:rsidR="00E74C8E" w:rsidRPr="00830980" w:rsidRDefault="00C82962" w:rsidP="00FC7A2B">
      <w:pPr>
        <w:pStyle w:val="Caption"/>
        <w:jc w:val="center"/>
        <w:rPr>
          <w:rStyle w:val="SubtleEmphasis"/>
          <w:color w:val="auto"/>
          <w:sz w:val="20"/>
          <w:szCs w:val="20"/>
          <w:lang w:val="en-US"/>
        </w:rPr>
      </w:pPr>
      <w:bookmarkStart w:id="90" w:name="_Ref29651636"/>
      <w:bookmarkStart w:id="91" w:name="_Ref29651617"/>
      <w:r>
        <w:rPr>
          <w:color w:val="auto"/>
          <w:sz w:val="20"/>
          <w:szCs w:val="20"/>
          <w:lang w:val="en-US"/>
        </w:rPr>
        <w:t>Figure</w:t>
      </w:r>
      <w:r w:rsidR="00830980" w:rsidRPr="00830980">
        <w:rPr>
          <w:color w:val="auto"/>
          <w:sz w:val="20"/>
          <w:szCs w:val="20"/>
          <w:lang w:val="en-US"/>
        </w:rPr>
        <w:t xml:space="preserve"> </w:t>
      </w:r>
      <w:r w:rsidR="00830980" w:rsidRPr="00830980">
        <w:rPr>
          <w:color w:val="auto"/>
          <w:sz w:val="20"/>
          <w:szCs w:val="20"/>
        </w:rPr>
        <w:fldChar w:fldCharType="begin"/>
      </w:r>
      <w:r w:rsidR="00830980" w:rsidRPr="00830980">
        <w:rPr>
          <w:color w:val="auto"/>
          <w:sz w:val="20"/>
          <w:szCs w:val="20"/>
          <w:lang w:val="en-US"/>
        </w:rPr>
        <w:instrText xml:space="preserve"> SEQ Figure \* ARABIC </w:instrText>
      </w:r>
      <w:r w:rsidR="00830980" w:rsidRPr="00830980">
        <w:rPr>
          <w:color w:val="auto"/>
          <w:sz w:val="20"/>
          <w:szCs w:val="20"/>
        </w:rPr>
        <w:fldChar w:fldCharType="separate"/>
      </w:r>
      <w:r w:rsidR="00C52506">
        <w:rPr>
          <w:noProof/>
          <w:color w:val="auto"/>
          <w:sz w:val="20"/>
          <w:szCs w:val="20"/>
          <w:lang w:val="en-US"/>
        </w:rPr>
        <w:t>30</w:t>
      </w:r>
      <w:r w:rsidR="00830980" w:rsidRPr="00830980">
        <w:rPr>
          <w:color w:val="auto"/>
          <w:sz w:val="20"/>
          <w:szCs w:val="20"/>
        </w:rPr>
        <w:fldChar w:fldCharType="end"/>
      </w:r>
      <w:bookmarkEnd w:id="90"/>
      <w:r w:rsidR="00830980" w:rsidRPr="00830980">
        <w:rPr>
          <w:color w:val="auto"/>
          <w:sz w:val="20"/>
          <w:szCs w:val="20"/>
          <w:lang w:val="en-US"/>
        </w:rPr>
        <w:t>: Titration curve of TPM</w:t>
      </w:r>
      <w:r w:rsidR="002F20EC">
        <w:rPr>
          <w:color w:val="auto"/>
          <w:sz w:val="20"/>
          <w:szCs w:val="20"/>
          <w:lang w:val="en-US"/>
        </w:rPr>
        <w:t>-1</w:t>
      </w:r>
      <w:r w:rsidR="00830980" w:rsidRPr="00830980">
        <w:rPr>
          <w:color w:val="auto"/>
          <w:sz w:val="20"/>
          <w:szCs w:val="20"/>
          <w:lang w:val="en-US"/>
        </w:rPr>
        <w:t xml:space="preserve"> and </w:t>
      </w:r>
      <w:r w:rsidR="002F20EC">
        <w:rPr>
          <w:color w:val="auto"/>
          <w:sz w:val="20"/>
          <w:szCs w:val="20"/>
          <w:lang w:val="en-US"/>
        </w:rPr>
        <w:t>APTES TPM-1</w:t>
      </w:r>
      <w:r w:rsidR="00830980" w:rsidRPr="00830980">
        <w:rPr>
          <w:color w:val="auto"/>
          <w:sz w:val="20"/>
          <w:szCs w:val="20"/>
          <w:lang w:val="en-US"/>
        </w:rPr>
        <w:t>.</w:t>
      </w:r>
      <w:bookmarkEnd w:id="91"/>
    </w:p>
    <w:p w:rsidR="00E74C8E" w:rsidRPr="00DB2F82" w:rsidRDefault="00E74C8E" w:rsidP="00FC7A2B">
      <w:pPr>
        <w:spacing w:line="240" w:lineRule="auto"/>
        <w:rPr>
          <w:rStyle w:val="SubtleEmphasis"/>
          <w:i w:val="0"/>
          <w:color w:val="auto"/>
          <w:lang w:val="en-US"/>
        </w:rPr>
      </w:pPr>
      <w:r w:rsidRPr="00DB2F82">
        <w:rPr>
          <w:rStyle w:val="SubtleEmphasis"/>
          <w:i w:val="0"/>
          <w:color w:val="auto"/>
          <w:lang w:val="en-US"/>
        </w:rPr>
        <w:t>The unmodified TPM</w:t>
      </w:r>
      <w:r w:rsidR="007C56D1">
        <w:rPr>
          <w:rStyle w:val="SubtleEmphasis"/>
          <w:i w:val="0"/>
          <w:color w:val="auto"/>
          <w:lang w:val="en-US"/>
        </w:rPr>
        <w:t>-1</w:t>
      </w:r>
      <w:r w:rsidRPr="00DB2F82">
        <w:rPr>
          <w:rStyle w:val="SubtleEmphasis"/>
          <w:i w:val="0"/>
          <w:color w:val="auto"/>
          <w:lang w:val="en-US"/>
        </w:rPr>
        <w:t xml:space="preserve"> particles stay negatively charged from basic to neutral pH, approaching their iso-electric point around pH 3. The modification of the TPM</w:t>
      </w:r>
      <w:r w:rsidR="007C56D1">
        <w:rPr>
          <w:rStyle w:val="SubtleEmphasis"/>
          <w:i w:val="0"/>
          <w:color w:val="auto"/>
          <w:lang w:val="en-US"/>
        </w:rPr>
        <w:t>-1</w:t>
      </w:r>
      <w:r w:rsidRPr="00DB2F82">
        <w:rPr>
          <w:rStyle w:val="SubtleEmphasis"/>
          <w:i w:val="0"/>
          <w:color w:val="auto"/>
          <w:lang w:val="en-US"/>
        </w:rPr>
        <w:t xml:space="preserve"> surface with the amine functionalized silane APTES results in complete charge inversion of the particle. Already at neutral pH, the charge is inverted from -50mV to +40mV. Increasing and decreasing the pH then decreases and increases</w:t>
      </w:r>
      <w:r w:rsidR="002F20EC">
        <w:rPr>
          <w:rStyle w:val="SubtleEmphasis"/>
          <w:i w:val="0"/>
          <w:color w:val="auto"/>
          <w:lang w:val="en-US"/>
        </w:rPr>
        <w:t xml:space="preserve"> </w:t>
      </w:r>
      <w:r w:rsidRPr="00DB2F82">
        <w:rPr>
          <w:rStyle w:val="SubtleEmphasis"/>
          <w:i w:val="0"/>
          <w:color w:val="auto"/>
          <w:lang w:val="en-US"/>
        </w:rPr>
        <w:t xml:space="preserve">the proton </w:t>
      </w:r>
      <w:r w:rsidR="00AD6F1D">
        <w:rPr>
          <w:rStyle w:val="SubtleEmphasis"/>
          <w:i w:val="0"/>
          <w:color w:val="auto"/>
          <w:lang w:val="en-US"/>
        </w:rPr>
        <w:t>adsorption</w:t>
      </w:r>
      <w:r w:rsidRPr="00DB2F82">
        <w:rPr>
          <w:rStyle w:val="SubtleEmphasis"/>
          <w:i w:val="0"/>
          <w:color w:val="auto"/>
          <w:lang w:val="en-US"/>
        </w:rPr>
        <w:t xml:space="preserve"> on </w:t>
      </w:r>
      <w:r w:rsidR="002F20EC">
        <w:rPr>
          <w:rStyle w:val="SubtleEmphasis"/>
          <w:i w:val="0"/>
          <w:color w:val="auto"/>
          <w:lang w:val="en-US"/>
        </w:rPr>
        <w:t xml:space="preserve">the </w:t>
      </w:r>
      <w:r w:rsidRPr="00DB2F82">
        <w:rPr>
          <w:rStyle w:val="SubtleEmphasis"/>
          <w:i w:val="0"/>
          <w:color w:val="auto"/>
          <w:lang w:val="en-US"/>
        </w:rPr>
        <w:t>amine groups</w:t>
      </w:r>
      <w:r w:rsidR="002F20EC" w:rsidRPr="00DB2F82">
        <w:rPr>
          <w:rStyle w:val="SubtleEmphasis"/>
          <w:i w:val="0"/>
          <w:color w:val="auto"/>
          <w:lang w:val="en-US"/>
        </w:rPr>
        <w:t>, respectively</w:t>
      </w:r>
      <w:r w:rsidR="002F20EC">
        <w:rPr>
          <w:rStyle w:val="SubtleEmphasis"/>
          <w:i w:val="0"/>
          <w:color w:val="auto"/>
          <w:lang w:val="en-US"/>
        </w:rPr>
        <w:t>.</w:t>
      </w:r>
      <w:r w:rsidRPr="00DB2F82">
        <w:rPr>
          <w:rStyle w:val="SubtleEmphasis"/>
          <w:i w:val="0"/>
          <w:color w:val="auto"/>
          <w:lang w:val="en-US"/>
        </w:rPr>
        <w:t xml:space="preserve"> What was curious, however, was the negative zeta potential that was measured for </w:t>
      </w:r>
      <w:r w:rsidR="007C56D1">
        <w:rPr>
          <w:rStyle w:val="SubtleEmphasis"/>
          <w:i w:val="0"/>
          <w:color w:val="auto"/>
          <w:lang w:val="en-US"/>
        </w:rPr>
        <w:t>APTES TPM-1</w:t>
      </w:r>
      <w:r w:rsidRPr="00DB2F82">
        <w:rPr>
          <w:rStyle w:val="SubtleEmphasis"/>
          <w:i w:val="0"/>
          <w:color w:val="auto"/>
          <w:lang w:val="en-US"/>
        </w:rPr>
        <w:t xml:space="preserve"> after passing pH 9. This abrupt change of surface charge did not follow the trend of that from pH 4 to 8.5, meaning that some other effect</w:t>
      </w:r>
      <w:r w:rsidR="00D50CF3" w:rsidRPr="00DB2F82">
        <w:rPr>
          <w:rStyle w:val="SubtleEmphasis"/>
          <w:i w:val="0"/>
          <w:color w:val="auto"/>
          <w:lang w:val="en-US"/>
        </w:rPr>
        <w:t xml:space="preserve"> likely</w:t>
      </w:r>
      <w:r w:rsidRPr="00DB2F82">
        <w:rPr>
          <w:rStyle w:val="SubtleEmphasis"/>
          <w:i w:val="0"/>
          <w:color w:val="auto"/>
          <w:lang w:val="en-US"/>
        </w:rPr>
        <w:t xml:space="preserve"> took over.</w:t>
      </w:r>
    </w:p>
    <w:p w:rsidR="00E74C8E" w:rsidRPr="00DB2F82" w:rsidRDefault="00E74C8E" w:rsidP="00FC7A2B">
      <w:pPr>
        <w:spacing w:line="240" w:lineRule="auto"/>
        <w:rPr>
          <w:rStyle w:val="SubtleEmphasis"/>
          <w:i w:val="0"/>
          <w:color w:val="auto"/>
          <w:lang w:val="en-US"/>
        </w:rPr>
      </w:pPr>
      <w:r w:rsidRPr="00DB2F82">
        <w:rPr>
          <w:rStyle w:val="SubtleEmphasis"/>
          <w:i w:val="0"/>
          <w:color w:val="auto"/>
          <w:lang w:val="en-US"/>
        </w:rPr>
        <w:t xml:space="preserve">This was explored further by increasing the pH back to neutral conditions, to see whether the original +40mV zeta potential could be recovered. As shown in </w:t>
      </w:r>
      <w:r w:rsidR="00DB2F82">
        <w:rPr>
          <w:rStyle w:val="SubtleEmphasis"/>
          <w:i w:val="0"/>
          <w:color w:val="auto"/>
          <w:lang w:val="en-US"/>
        </w:rPr>
        <w:fldChar w:fldCharType="begin"/>
      </w:r>
      <w:r w:rsidR="00DB2F82" w:rsidRPr="00DB2F82">
        <w:rPr>
          <w:rStyle w:val="SubtleEmphasis"/>
          <w:i w:val="0"/>
          <w:color w:val="auto"/>
          <w:lang w:val="en-US"/>
        </w:rPr>
        <w:instrText xml:space="preserve"> REF _Ref29914009 \h </w:instrText>
      </w:r>
      <w:r w:rsidR="00DB2F82">
        <w:rPr>
          <w:rStyle w:val="SubtleEmphasis"/>
          <w:i w:val="0"/>
          <w:color w:val="auto"/>
          <w:lang w:val="en-US"/>
        </w:rPr>
        <w:instrText xml:space="preserve"> \* MERGEFORMAT </w:instrText>
      </w:r>
      <w:r w:rsidR="00DB2F82">
        <w:rPr>
          <w:rStyle w:val="SubtleEmphasis"/>
          <w:i w:val="0"/>
          <w:color w:val="auto"/>
          <w:lang w:val="en-US"/>
        </w:rPr>
      </w:r>
      <w:r w:rsidR="00DB2F82">
        <w:rPr>
          <w:rStyle w:val="SubtleEmphasis"/>
          <w:i w:val="0"/>
          <w:color w:val="auto"/>
          <w:lang w:val="en-US"/>
        </w:rPr>
        <w:fldChar w:fldCharType="separate"/>
      </w:r>
      <w:r w:rsidR="00C52506" w:rsidRPr="00C52506">
        <w:rPr>
          <w:lang w:val="en-US"/>
        </w:rPr>
        <w:t>Figure</w:t>
      </w:r>
      <w:r w:rsidR="00C52506" w:rsidRPr="00830980">
        <w:rPr>
          <w:sz w:val="20"/>
          <w:szCs w:val="20"/>
          <w:lang w:val="en-US"/>
        </w:rPr>
        <w:t xml:space="preserve"> </w:t>
      </w:r>
      <w:r w:rsidR="00C52506">
        <w:rPr>
          <w:noProof/>
          <w:sz w:val="20"/>
          <w:szCs w:val="20"/>
          <w:lang w:val="en-US"/>
        </w:rPr>
        <w:t>31</w:t>
      </w:r>
      <w:r w:rsidR="00DB2F82">
        <w:rPr>
          <w:rStyle w:val="SubtleEmphasis"/>
          <w:i w:val="0"/>
          <w:color w:val="auto"/>
          <w:lang w:val="en-US"/>
        </w:rPr>
        <w:fldChar w:fldCharType="end"/>
      </w:r>
      <w:r w:rsidRPr="00DB2F82">
        <w:rPr>
          <w:rStyle w:val="SubtleEmphasis"/>
          <w:i w:val="0"/>
          <w:color w:val="auto"/>
          <w:lang w:val="en-US"/>
        </w:rPr>
        <w:t xml:space="preserve">, the zeta potential at this pH value has changed drastically to </w:t>
      </w:r>
      <w:r w:rsidR="00830980" w:rsidRPr="00DB2F82">
        <w:rPr>
          <w:rStyle w:val="SubtleEmphasis"/>
          <w:i w:val="0"/>
          <w:color w:val="auto"/>
          <w:lang w:val="en-US"/>
        </w:rPr>
        <w:t>+</w:t>
      </w:r>
      <w:r w:rsidRPr="00DB2F82">
        <w:rPr>
          <w:rStyle w:val="SubtleEmphasis"/>
          <w:i w:val="0"/>
          <w:color w:val="auto"/>
          <w:lang w:val="en-US"/>
        </w:rPr>
        <w:t xml:space="preserve">10mV. </w:t>
      </w:r>
    </w:p>
    <w:p w:rsidR="00830980" w:rsidRDefault="00E74C8E" w:rsidP="00FC7A2B">
      <w:pPr>
        <w:keepNext/>
        <w:spacing w:line="240" w:lineRule="auto"/>
        <w:jc w:val="center"/>
      </w:pPr>
      <w:r>
        <w:rPr>
          <w:noProof/>
          <w:color w:val="404040" w:themeColor="text1" w:themeTint="BF"/>
          <w:lang w:val="en-US"/>
        </w:rPr>
        <w:lastRenderedPageBreak/>
        <w:drawing>
          <wp:inline distT="0" distB="0" distL="0" distR="0">
            <wp:extent cx="4585529" cy="3053316"/>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555" b="13896"/>
                    <a:stretch/>
                  </pic:blipFill>
                  <pic:spPr bwMode="auto">
                    <a:xfrm>
                      <a:off x="0" y="0"/>
                      <a:ext cx="4588007" cy="3054966"/>
                    </a:xfrm>
                    <a:prstGeom prst="rect">
                      <a:avLst/>
                    </a:prstGeom>
                    <a:noFill/>
                    <a:ln>
                      <a:noFill/>
                    </a:ln>
                    <a:extLst>
                      <a:ext uri="{53640926-AAD7-44D8-BBD7-CCE9431645EC}">
                        <a14:shadowObscured xmlns:a14="http://schemas.microsoft.com/office/drawing/2010/main"/>
                      </a:ext>
                    </a:extLst>
                  </pic:spPr>
                </pic:pic>
              </a:graphicData>
            </a:graphic>
          </wp:inline>
        </w:drawing>
      </w:r>
    </w:p>
    <w:p w:rsidR="00E74C8E" w:rsidRPr="00830980" w:rsidRDefault="00C82962" w:rsidP="00FC7A2B">
      <w:pPr>
        <w:pStyle w:val="Caption"/>
        <w:jc w:val="center"/>
        <w:rPr>
          <w:rStyle w:val="SubtleEmphasis"/>
          <w:i/>
          <w:iCs/>
          <w:color w:val="auto"/>
          <w:sz w:val="20"/>
          <w:szCs w:val="20"/>
          <w:lang w:val="en-US"/>
        </w:rPr>
      </w:pPr>
      <w:bookmarkStart w:id="92" w:name="_Ref29914009"/>
      <w:r>
        <w:rPr>
          <w:color w:val="auto"/>
          <w:sz w:val="20"/>
          <w:szCs w:val="20"/>
          <w:lang w:val="en-US"/>
        </w:rPr>
        <w:t>Figure</w:t>
      </w:r>
      <w:r w:rsidR="00830980" w:rsidRPr="00830980">
        <w:rPr>
          <w:color w:val="auto"/>
          <w:sz w:val="20"/>
          <w:szCs w:val="20"/>
          <w:lang w:val="en-US"/>
        </w:rPr>
        <w:t xml:space="preserve"> </w:t>
      </w:r>
      <w:r w:rsidR="00830980" w:rsidRPr="00830980">
        <w:rPr>
          <w:color w:val="auto"/>
          <w:sz w:val="20"/>
          <w:szCs w:val="20"/>
        </w:rPr>
        <w:fldChar w:fldCharType="begin"/>
      </w:r>
      <w:r w:rsidR="00830980" w:rsidRPr="00830980">
        <w:rPr>
          <w:color w:val="auto"/>
          <w:sz w:val="20"/>
          <w:szCs w:val="20"/>
          <w:lang w:val="en-US"/>
        </w:rPr>
        <w:instrText xml:space="preserve"> SEQ Figure \* ARABIC </w:instrText>
      </w:r>
      <w:r w:rsidR="00830980" w:rsidRPr="00830980">
        <w:rPr>
          <w:color w:val="auto"/>
          <w:sz w:val="20"/>
          <w:szCs w:val="20"/>
        </w:rPr>
        <w:fldChar w:fldCharType="separate"/>
      </w:r>
      <w:r w:rsidR="00C52506">
        <w:rPr>
          <w:noProof/>
          <w:color w:val="auto"/>
          <w:sz w:val="20"/>
          <w:szCs w:val="20"/>
          <w:lang w:val="en-US"/>
        </w:rPr>
        <w:t>31</w:t>
      </w:r>
      <w:r w:rsidR="00830980" w:rsidRPr="00830980">
        <w:rPr>
          <w:color w:val="auto"/>
          <w:sz w:val="20"/>
          <w:szCs w:val="20"/>
        </w:rPr>
        <w:fldChar w:fldCharType="end"/>
      </w:r>
      <w:bookmarkEnd w:id="92"/>
      <w:r w:rsidR="00830980" w:rsidRPr="00830980">
        <w:rPr>
          <w:color w:val="auto"/>
          <w:sz w:val="20"/>
          <w:szCs w:val="20"/>
          <w:lang w:val="en-US"/>
        </w:rPr>
        <w:t xml:space="preserve">: Non-reversibility of change inversion of the </w:t>
      </w:r>
      <w:r w:rsidR="002F20EC">
        <w:rPr>
          <w:color w:val="auto"/>
          <w:sz w:val="20"/>
          <w:szCs w:val="20"/>
          <w:lang w:val="en-US"/>
        </w:rPr>
        <w:t>APTES TPM-1</w:t>
      </w:r>
      <w:r w:rsidR="00830980" w:rsidRPr="00830980">
        <w:rPr>
          <w:color w:val="auto"/>
          <w:sz w:val="20"/>
          <w:szCs w:val="20"/>
          <w:lang w:val="en-US"/>
        </w:rPr>
        <w:t xml:space="preserve"> particles.</w:t>
      </w:r>
    </w:p>
    <w:p w:rsidR="00E74C8E" w:rsidRPr="00890227" w:rsidRDefault="00CA1BF9" w:rsidP="00FC7A2B">
      <w:pPr>
        <w:spacing w:line="240" w:lineRule="auto"/>
        <w:rPr>
          <w:rStyle w:val="SubtleEmphasis"/>
          <w:i w:val="0"/>
          <w:color w:val="auto"/>
          <w:lang w:val="es-ES"/>
        </w:rPr>
      </w:pPr>
      <w:r w:rsidRPr="00CA1BF9">
        <w:rPr>
          <w:iCs/>
          <w:noProof/>
        </w:rPr>
        <mc:AlternateContent>
          <mc:Choice Requires="wpg">
            <w:drawing>
              <wp:anchor distT="0" distB="0" distL="114300" distR="114300" simplePos="0" relativeHeight="251732992" behindDoc="0" locked="0" layoutInCell="1" allowOverlap="1" wp14:anchorId="2E14E290" wp14:editId="49C0967F">
                <wp:simplePos x="0" y="0"/>
                <wp:positionH relativeFrom="column">
                  <wp:posOffset>2566035</wp:posOffset>
                </wp:positionH>
                <wp:positionV relativeFrom="paragraph">
                  <wp:posOffset>382574</wp:posOffset>
                </wp:positionV>
                <wp:extent cx="617221" cy="108641"/>
                <wp:effectExtent l="38100" t="76200" r="11430" b="100965"/>
                <wp:wrapNone/>
                <wp:docPr id="108" name="Group 12"/>
                <wp:cNvGraphicFramePr/>
                <a:graphic xmlns:a="http://schemas.openxmlformats.org/drawingml/2006/main">
                  <a:graphicData uri="http://schemas.microsoft.com/office/word/2010/wordprocessingGroup">
                    <wpg:wgp>
                      <wpg:cNvGrpSpPr/>
                      <wpg:grpSpPr>
                        <a:xfrm>
                          <a:off x="0" y="0"/>
                          <a:ext cx="617221" cy="108641"/>
                          <a:chOff x="0" y="0"/>
                          <a:chExt cx="617221" cy="108641"/>
                        </a:xfrm>
                      </wpg:grpSpPr>
                      <wps:wsp>
                        <wps:cNvPr id="109" name="Straight Arrow Connector 109"/>
                        <wps:cNvCnPr>
                          <a:cxnSpLocks/>
                        </wps:cNvCnPr>
                        <wps:spPr>
                          <a:xfrm>
                            <a:off x="0" y="0"/>
                            <a:ext cx="6172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a:cxnSpLocks/>
                        </wps:cNvCnPr>
                        <wps:spPr>
                          <a:xfrm flipH="1">
                            <a:off x="0" y="108641"/>
                            <a:ext cx="6172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EC09846" id="Group 12" o:spid="_x0000_s1026" style="position:absolute;margin-left:202.05pt;margin-top:30.1pt;width:48.6pt;height:8.55pt;z-index:251732992" coordsize="6172,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">
                <v:shapetype id="_x0000_t32" coordsize="21600,21600" o:spt="32" o:oned="t" path="m,l21600,21600e" filled="f">
                  <v:path arrowok="t" fillok="f" o:connecttype="none"/>
                  <o:lock v:ext="edit" shapetype="t"/>
                </v:shapetype>
                <v:shape id="Straight Arrow Connector 109" o:spid="_x0000_s1027" type="#_x0000_t32" style="position:absolute;width:6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" strokecolor="black [3213]" strokeweight=".5pt">
                  <v:stroke endarrow="block" joinstyle="miter"/>
                  <o:lock v:ext="edit" shapetype="f"/>
                </v:shape>
                <v:shape id="Straight Arrow Connector 110" o:spid="_x0000_s1028" type="#_x0000_t32" style="position:absolute;top:1086;width:6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" strokecolor="black [3213]" strokeweight=".5pt">
                  <v:stroke endarrow="block" joinstyle="miter"/>
                  <o:lock v:ext="edit" shapetype="f"/>
                </v:shape>
              </v:group>
            </w:pict>
          </mc:Fallback>
        </mc:AlternateContent>
      </w:r>
      <w:r w:rsidRPr="00CA1BF9">
        <w:rPr>
          <w:iCs/>
          <w:noProof/>
        </w:rPr>
        <mc:AlternateContent>
          <mc:Choice Requires="wpg">
            <w:drawing>
              <wp:anchor distT="0" distB="0" distL="114300" distR="114300" simplePos="0" relativeHeight="251730944" behindDoc="0" locked="0" layoutInCell="1" allowOverlap="1" wp14:anchorId="3AA81E9A" wp14:editId="5891AE74">
                <wp:simplePos x="0" y="0"/>
                <wp:positionH relativeFrom="column">
                  <wp:posOffset>2563914</wp:posOffset>
                </wp:positionH>
                <wp:positionV relativeFrom="paragraph">
                  <wp:posOffset>70929</wp:posOffset>
                </wp:positionV>
                <wp:extent cx="617221" cy="108641"/>
                <wp:effectExtent l="38100" t="76200" r="11430" b="100965"/>
                <wp:wrapNone/>
                <wp:docPr id="104" name="Group 12"/>
                <wp:cNvGraphicFramePr/>
                <a:graphic xmlns:a="http://schemas.openxmlformats.org/drawingml/2006/main">
                  <a:graphicData uri="http://schemas.microsoft.com/office/word/2010/wordprocessingGroup">
                    <wpg:wgp>
                      <wpg:cNvGrpSpPr/>
                      <wpg:grpSpPr>
                        <a:xfrm>
                          <a:off x="0" y="0"/>
                          <a:ext cx="617221" cy="108641"/>
                          <a:chOff x="0" y="0"/>
                          <a:chExt cx="617221" cy="108641"/>
                        </a:xfrm>
                      </wpg:grpSpPr>
                      <wps:wsp>
                        <wps:cNvPr id="106" name="Straight Arrow Connector 106"/>
                        <wps:cNvCnPr>
                          <a:cxnSpLocks/>
                        </wps:cNvCnPr>
                        <wps:spPr>
                          <a:xfrm>
                            <a:off x="0" y="0"/>
                            <a:ext cx="6172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a:cxnSpLocks/>
                        </wps:cNvCnPr>
                        <wps:spPr>
                          <a:xfrm flipH="1">
                            <a:off x="0" y="108641"/>
                            <a:ext cx="6172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38A43D" id="Group 12" o:spid="_x0000_s1026" style="position:absolute;margin-left:201.9pt;margin-top:5.6pt;width:48.6pt;height:8.55pt;z-index:251730944" coordsize="6172,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">
                <v:shape id="Straight Arrow Connector 106" o:spid="_x0000_s1027" type="#_x0000_t32" style="position:absolute;width:6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" strokecolor="black [3213]" strokeweight=".5pt">
                  <v:stroke endarrow="block" joinstyle="miter"/>
                  <o:lock v:ext="edit" shapetype="f"/>
                </v:shape>
                <v:shape id="Straight Arrow Connector 107" o:spid="_x0000_s1028" type="#_x0000_t32" style="position:absolute;top:1086;width:6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" strokecolor="black [3213]" strokeweight=".5pt">
                  <v:stroke endarrow="block" joinstyle="miter"/>
                  <o:lock v:ext="edit" shapetype="f"/>
                </v:shape>
              </v:group>
            </w:pict>
          </mc:Fallback>
        </mc:AlternateContent>
      </w:r>
      <w:r w:rsidR="00E74C8E" w:rsidRPr="004F00D3">
        <w:rPr>
          <w:rStyle w:val="SubtleEmphasis"/>
          <w:i w:val="0"/>
          <w:color w:val="auto"/>
          <w:lang w:val="es-ES"/>
        </w:rPr>
        <w:t xml:space="preserve">                                                 </w:t>
      </w:r>
      <w:r w:rsidR="00E74C8E" w:rsidRPr="00890227">
        <w:rPr>
          <w:rStyle w:val="SubtleEmphasis"/>
          <w:i w:val="0"/>
          <w:color w:val="auto"/>
          <w:lang w:val="es-ES"/>
        </w:rPr>
        <w:t>(SiO</w:t>
      </w:r>
      <w:r w:rsidR="00E74C8E" w:rsidRPr="00890227">
        <w:rPr>
          <w:rStyle w:val="SubtleEmphasis"/>
          <w:i w:val="0"/>
          <w:color w:val="auto"/>
          <w:vertAlign w:val="subscript"/>
          <w:lang w:val="es-ES"/>
        </w:rPr>
        <w:t>2</w:t>
      </w:r>
      <w:r w:rsidR="00E74C8E" w:rsidRPr="00890227">
        <w:rPr>
          <w:rStyle w:val="SubtleEmphasis"/>
          <w:i w:val="0"/>
          <w:color w:val="auto"/>
          <w:lang w:val="es-ES"/>
        </w:rPr>
        <w:t>)</w:t>
      </w:r>
      <w:r w:rsidR="00E74C8E" w:rsidRPr="00890227">
        <w:rPr>
          <w:rStyle w:val="SubtleEmphasis"/>
          <w:i w:val="0"/>
          <w:color w:val="auto"/>
          <w:vertAlign w:val="subscript"/>
          <w:lang w:val="es-ES"/>
        </w:rPr>
        <w:t>x</w:t>
      </w:r>
      <w:r w:rsidR="00E74C8E" w:rsidRPr="00890227">
        <w:rPr>
          <w:rStyle w:val="SubtleEmphasis"/>
          <w:i w:val="0"/>
          <w:color w:val="auto"/>
          <w:lang w:val="es-ES"/>
        </w:rPr>
        <w:t xml:space="preserve"> + H</w:t>
      </w:r>
      <w:r w:rsidR="00E74C8E" w:rsidRPr="00890227">
        <w:rPr>
          <w:rStyle w:val="SubtleEmphasis"/>
          <w:i w:val="0"/>
          <w:color w:val="auto"/>
          <w:vertAlign w:val="subscript"/>
          <w:lang w:val="es-ES"/>
        </w:rPr>
        <w:t>2</w:t>
      </w:r>
      <w:r w:rsidR="00E74C8E" w:rsidRPr="00890227">
        <w:rPr>
          <w:rStyle w:val="SubtleEmphasis"/>
          <w:i w:val="0"/>
          <w:color w:val="auto"/>
          <w:lang w:val="es-ES"/>
        </w:rPr>
        <w:t>O                                      Si(OH)</w:t>
      </w:r>
      <w:r w:rsidR="00E74C8E" w:rsidRPr="00890227">
        <w:rPr>
          <w:rStyle w:val="SubtleEmphasis"/>
          <w:i w:val="0"/>
          <w:color w:val="auto"/>
          <w:vertAlign w:val="subscript"/>
          <w:lang w:val="es-ES"/>
        </w:rPr>
        <w:t>4</w:t>
      </w:r>
      <w:r w:rsidR="00E74C8E" w:rsidRPr="00890227">
        <w:rPr>
          <w:rStyle w:val="SubtleEmphasis"/>
          <w:i w:val="0"/>
          <w:color w:val="auto"/>
          <w:lang w:val="es-ES"/>
        </w:rPr>
        <w:t xml:space="preserve"> + (SiO</w:t>
      </w:r>
      <w:r w:rsidR="00E74C8E" w:rsidRPr="00890227">
        <w:rPr>
          <w:rStyle w:val="SubtleEmphasis"/>
          <w:i w:val="0"/>
          <w:color w:val="auto"/>
          <w:vertAlign w:val="subscript"/>
          <w:lang w:val="es-ES"/>
        </w:rPr>
        <w:t>2</w:t>
      </w:r>
      <w:r w:rsidR="00E74C8E" w:rsidRPr="00890227">
        <w:rPr>
          <w:rStyle w:val="SubtleEmphasis"/>
          <w:i w:val="0"/>
          <w:color w:val="auto"/>
          <w:lang w:val="es-ES"/>
        </w:rPr>
        <w:t>)</w:t>
      </w:r>
      <w:r w:rsidR="00E74C8E" w:rsidRPr="00890227">
        <w:rPr>
          <w:rStyle w:val="SubtleEmphasis"/>
          <w:i w:val="0"/>
          <w:color w:val="auto"/>
          <w:vertAlign w:val="subscript"/>
          <w:lang w:val="es-ES"/>
        </w:rPr>
        <w:t>x-1</w:t>
      </w:r>
      <w:r>
        <w:rPr>
          <w:rStyle w:val="SubtleEmphasis"/>
          <w:i w:val="0"/>
          <w:color w:val="auto"/>
          <w:lang w:val="es-ES"/>
        </w:rPr>
        <w:br/>
      </w:r>
      <w:r w:rsidR="00E74C8E" w:rsidRPr="00890227">
        <w:rPr>
          <w:iCs/>
          <w:lang w:val="es-ES"/>
        </w:rPr>
        <w:br/>
      </w:r>
      <w:r w:rsidR="00E74C8E" w:rsidRPr="00890227">
        <w:rPr>
          <w:rStyle w:val="SubtleEmphasis"/>
          <w:i w:val="0"/>
          <w:color w:val="auto"/>
          <w:lang w:val="es-ES"/>
        </w:rPr>
        <w:t xml:space="preserve">                                                 Si(OH)</w:t>
      </w:r>
      <w:r w:rsidR="00E74C8E" w:rsidRPr="00890227">
        <w:rPr>
          <w:rStyle w:val="SubtleEmphasis"/>
          <w:i w:val="0"/>
          <w:color w:val="auto"/>
          <w:vertAlign w:val="subscript"/>
          <w:lang w:val="es-ES"/>
        </w:rPr>
        <w:t>4</w:t>
      </w:r>
      <w:r w:rsidR="00E74C8E" w:rsidRPr="00890227">
        <w:rPr>
          <w:rStyle w:val="SubtleEmphasis"/>
          <w:i w:val="0"/>
          <w:color w:val="auto"/>
          <w:lang w:val="es-ES"/>
        </w:rPr>
        <w:t xml:space="preserve"> + OH</w:t>
      </w:r>
      <w:r w:rsidR="00E74C8E" w:rsidRPr="00890227">
        <w:rPr>
          <w:rStyle w:val="SubtleEmphasis"/>
          <w:i w:val="0"/>
          <w:color w:val="auto"/>
          <w:vertAlign w:val="superscript"/>
          <w:lang w:val="es-ES"/>
        </w:rPr>
        <w:t>-</w:t>
      </w:r>
      <w:r w:rsidR="00E74C8E" w:rsidRPr="00890227">
        <w:rPr>
          <w:rStyle w:val="SubtleEmphasis"/>
          <w:i w:val="0"/>
          <w:color w:val="auto"/>
          <w:lang w:val="es-ES"/>
        </w:rPr>
        <w:t xml:space="preserve">                                     Si(OH)</w:t>
      </w:r>
      <w:r w:rsidR="00E74C8E" w:rsidRPr="00890227">
        <w:rPr>
          <w:rStyle w:val="SubtleEmphasis"/>
          <w:i w:val="0"/>
          <w:color w:val="auto"/>
          <w:vertAlign w:val="subscript"/>
          <w:lang w:val="es-ES"/>
        </w:rPr>
        <w:t>5</w:t>
      </w:r>
      <w:r w:rsidR="00E74C8E" w:rsidRPr="00890227">
        <w:rPr>
          <w:rStyle w:val="SubtleEmphasis"/>
          <w:i w:val="0"/>
          <w:color w:val="auto"/>
          <w:vertAlign w:val="superscript"/>
          <w:lang w:val="es-ES"/>
        </w:rPr>
        <w:t>-</w:t>
      </w:r>
      <w:r w:rsidR="00E74C8E" w:rsidRPr="00890227">
        <w:rPr>
          <w:rStyle w:val="SubtleEmphasis"/>
          <w:i w:val="0"/>
          <w:color w:val="auto"/>
          <w:lang w:val="es-ES"/>
        </w:rPr>
        <w:t xml:space="preserve"> (or HSiO</w:t>
      </w:r>
      <w:r w:rsidR="00E74C8E" w:rsidRPr="00890227">
        <w:rPr>
          <w:rStyle w:val="SubtleEmphasis"/>
          <w:i w:val="0"/>
          <w:color w:val="auto"/>
          <w:vertAlign w:val="subscript"/>
          <w:lang w:val="es-ES"/>
        </w:rPr>
        <w:t>3</w:t>
      </w:r>
      <w:r w:rsidR="00E74C8E" w:rsidRPr="00890227">
        <w:rPr>
          <w:rStyle w:val="SubtleEmphasis"/>
          <w:i w:val="0"/>
          <w:color w:val="auto"/>
          <w:vertAlign w:val="superscript"/>
          <w:lang w:val="es-ES"/>
        </w:rPr>
        <w:t>-</w:t>
      </w:r>
      <w:r w:rsidR="00E74C8E" w:rsidRPr="00890227">
        <w:rPr>
          <w:rStyle w:val="SubtleEmphasis"/>
          <w:i w:val="0"/>
          <w:color w:val="auto"/>
          <w:lang w:val="es-ES"/>
        </w:rPr>
        <w:t xml:space="preserve"> + H</w:t>
      </w:r>
      <w:r w:rsidR="00E74C8E" w:rsidRPr="00890227">
        <w:rPr>
          <w:rStyle w:val="SubtleEmphasis"/>
          <w:i w:val="0"/>
          <w:color w:val="auto"/>
          <w:vertAlign w:val="subscript"/>
          <w:lang w:val="es-ES"/>
        </w:rPr>
        <w:t>2</w:t>
      </w:r>
      <w:r w:rsidR="00E74C8E" w:rsidRPr="00890227">
        <w:rPr>
          <w:rStyle w:val="SubtleEmphasis"/>
          <w:i w:val="0"/>
          <w:color w:val="auto"/>
          <w:lang w:val="es-ES"/>
        </w:rPr>
        <w:t>O)</w:t>
      </w:r>
    </w:p>
    <w:p w:rsidR="00E74C8E" w:rsidRPr="00176A60" w:rsidRDefault="00830980" w:rsidP="00FC7A2B">
      <w:pPr>
        <w:pStyle w:val="Caption"/>
        <w:jc w:val="center"/>
        <w:rPr>
          <w:rStyle w:val="SubtleEmphasis"/>
          <w:color w:val="auto"/>
          <w:sz w:val="20"/>
          <w:szCs w:val="20"/>
          <w:lang w:val="en-US"/>
        </w:rPr>
      </w:pPr>
      <w:r w:rsidRPr="00176A60">
        <w:rPr>
          <w:color w:val="auto"/>
          <w:sz w:val="20"/>
          <w:szCs w:val="20"/>
          <w:lang w:val="en-US"/>
        </w:rPr>
        <w:t xml:space="preserve">Scheme </w:t>
      </w:r>
      <w:r w:rsidRPr="00176A60">
        <w:rPr>
          <w:color w:val="auto"/>
          <w:sz w:val="20"/>
          <w:szCs w:val="20"/>
        </w:rPr>
        <w:fldChar w:fldCharType="begin"/>
      </w:r>
      <w:r w:rsidRPr="00176A60">
        <w:rPr>
          <w:color w:val="auto"/>
          <w:sz w:val="20"/>
          <w:szCs w:val="20"/>
          <w:lang w:val="en-US"/>
        </w:rPr>
        <w:instrText xml:space="preserve"> SEQ Scheme \* ARABIC </w:instrText>
      </w:r>
      <w:r w:rsidRPr="00176A60">
        <w:rPr>
          <w:color w:val="auto"/>
          <w:sz w:val="20"/>
          <w:szCs w:val="20"/>
        </w:rPr>
        <w:fldChar w:fldCharType="separate"/>
      </w:r>
      <w:r w:rsidR="00C52506">
        <w:rPr>
          <w:noProof/>
          <w:color w:val="auto"/>
          <w:sz w:val="20"/>
          <w:szCs w:val="20"/>
          <w:lang w:val="en-US"/>
        </w:rPr>
        <w:t>7</w:t>
      </w:r>
      <w:r w:rsidRPr="00176A60">
        <w:rPr>
          <w:color w:val="auto"/>
          <w:sz w:val="20"/>
          <w:szCs w:val="20"/>
        </w:rPr>
        <w:fldChar w:fldCharType="end"/>
      </w:r>
      <w:r w:rsidRPr="00176A60">
        <w:rPr>
          <w:color w:val="auto"/>
          <w:sz w:val="20"/>
          <w:szCs w:val="20"/>
          <w:lang w:val="en-US"/>
        </w:rPr>
        <w:t xml:space="preserve">: Reaction of base </w:t>
      </w:r>
      <w:r w:rsidR="003F3848">
        <w:rPr>
          <w:color w:val="auto"/>
          <w:sz w:val="20"/>
          <w:szCs w:val="20"/>
          <w:lang w:val="en-US"/>
        </w:rPr>
        <w:t>induced</w:t>
      </w:r>
      <w:r w:rsidRPr="00176A60">
        <w:rPr>
          <w:color w:val="auto"/>
          <w:sz w:val="20"/>
          <w:szCs w:val="20"/>
          <w:lang w:val="en-US"/>
        </w:rPr>
        <w:t xml:space="preserve"> hydrolysis of silane groups occurring at the </w:t>
      </w:r>
      <w:r w:rsidR="002F20EC">
        <w:rPr>
          <w:color w:val="auto"/>
          <w:sz w:val="20"/>
          <w:szCs w:val="20"/>
          <w:lang w:val="en-US"/>
        </w:rPr>
        <w:t>APTES TPM-1</w:t>
      </w:r>
      <w:r w:rsidRPr="00176A60">
        <w:rPr>
          <w:color w:val="auto"/>
          <w:sz w:val="20"/>
          <w:szCs w:val="20"/>
          <w:lang w:val="en-US"/>
        </w:rPr>
        <w:t xml:space="preserve"> surface.</w:t>
      </w:r>
    </w:p>
    <w:p w:rsidR="00E74C8E" w:rsidRPr="00890227" w:rsidRDefault="00E74C8E" w:rsidP="00FC7A2B">
      <w:pPr>
        <w:spacing w:line="240" w:lineRule="auto"/>
        <w:rPr>
          <w:rStyle w:val="SubtleEmphasis"/>
          <w:i w:val="0"/>
          <w:color w:val="auto"/>
          <w:lang w:val="en-US"/>
        </w:rPr>
      </w:pPr>
      <w:r w:rsidRPr="00890227">
        <w:rPr>
          <w:rStyle w:val="SubtleEmphasis"/>
          <w:i w:val="0"/>
          <w:color w:val="auto"/>
          <w:lang w:val="en-US"/>
        </w:rPr>
        <w:t xml:space="preserve">What was proposed is that the base </w:t>
      </w:r>
      <w:r w:rsidR="003F3848">
        <w:rPr>
          <w:rStyle w:val="SubtleEmphasis"/>
          <w:i w:val="0"/>
          <w:color w:val="auto"/>
          <w:lang w:val="en-US"/>
        </w:rPr>
        <w:t>induced</w:t>
      </w:r>
      <w:r w:rsidRPr="00890227">
        <w:rPr>
          <w:rStyle w:val="SubtleEmphasis"/>
          <w:i w:val="0"/>
          <w:color w:val="auto"/>
          <w:lang w:val="en-US"/>
        </w:rPr>
        <w:t xml:space="preserve"> hydrolysis of the silane groups occurs strongly around a certain concentration of OH</w:t>
      </w:r>
      <w:r w:rsidRPr="00890227">
        <w:rPr>
          <w:rStyle w:val="SubtleEmphasis"/>
          <w:i w:val="0"/>
          <w:color w:val="auto"/>
          <w:vertAlign w:val="superscript"/>
          <w:lang w:val="en-US"/>
        </w:rPr>
        <w:t>-</w:t>
      </w:r>
      <w:r w:rsidRPr="00890227">
        <w:rPr>
          <w:rStyle w:val="SubtleEmphasis"/>
          <w:i w:val="0"/>
          <w:color w:val="auto"/>
          <w:lang w:val="en-US"/>
        </w:rPr>
        <w:t xml:space="preserve"> ions. It has been shown by Alexender et al. that the solubility of amorphous silica increases rapidly after passing pH 9.5</w:t>
      </w:r>
      <w:r w:rsidRPr="00890227">
        <w:rPr>
          <w:rStyle w:val="SubtleEmphasis"/>
          <w:i w:val="0"/>
          <w:color w:val="auto"/>
          <w:lang w:val="en-US"/>
        </w:rPr>
        <w:fldChar w:fldCharType="begin" w:fldLock="1"/>
      </w:r>
      <w:r w:rsidR="00FB6101">
        <w:rPr>
          <w:rStyle w:val="SubtleEmphasis"/>
          <w:i w:val="0"/>
          <w:color w:val="auto"/>
          <w:lang w:val="en-US"/>
        </w:rPr>
        <w:instrText>ADDIN CSL_CITATION { "citationItems" : [ { "id" : "ITEM-1", "itemData" : { "author" : [ { "dropping-particle" : "", "family" : "Iler", "given" : "Ralph K.", "non-dropping-particle" : "", "parse-names" : false, "suffix" : "" } ], "chapter-number" : "1", "container-title" : "The Chemistry of Silica", "id" : "ITEM-1", "issued" : { "date-parts" : [ [ "1978" ] ] }, "page" : "47", "publisher" : "John Wiley and Sons", "title" : "Apparant High Solubility at High pH", "type" : "chapter" }, "uris" : [ "http://www.mendeley.com/documents/?uuid=2274d93f-4d1a-48d8-a609-e66753801fc8" ] } ], "mendeley" : { "formattedCitation" : "&lt;sup&gt;75&lt;/sup&gt;", "plainTextFormattedCitation" : "75", "previouslyFormattedCitation" : "&lt;sup&gt;75&lt;/sup&gt;" }, "properties" : { "noteIndex" : 0 }, "schema" : "https://github.com/citation-style-language/schema/raw/master/csl-citation.json" }</w:instrText>
      </w:r>
      <w:r w:rsidRPr="00890227">
        <w:rPr>
          <w:rStyle w:val="SubtleEmphasis"/>
          <w:i w:val="0"/>
          <w:color w:val="auto"/>
          <w:lang w:val="en-US"/>
        </w:rPr>
        <w:fldChar w:fldCharType="separate"/>
      </w:r>
      <w:r w:rsidR="00DE131C" w:rsidRPr="00DE131C">
        <w:rPr>
          <w:rStyle w:val="SubtleEmphasis"/>
          <w:i w:val="0"/>
          <w:noProof/>
          <w:color w:val="auto"/>
          <w:vertAlign w:val="superscript"/>
          <w:lang w:val="en-US"/>
        </w:rPr>
        <w:t>75</w:t>
      </w:r>
      <w:r w:rsidRPr="00890227">
        <w:rPr>
          <w:rStyle w:val="SubtleEmphasis"/>
          <w:i w:val="0"/>
          <w:color w:val="auto"/>
          <w:lang w:val="en-US"/>
        </w:rPr>
        <w:fldChar w:fldCharType="end"/>
      </w:r>
      <w:r w:rsidRPr="00890227">
        <w:rPr>
          <w:rStyle w:val="SubtleEmphasis"/>
          <w:b/>
          <w:i w:val="0"/>
          <w:color w:val="auto"/>
          <w:lang w:val="en-US"/>
        </w:rPr>
        <w:t xml:space="preserve">. </w:t>
      </w:r>
      <w:r w:rsidRPr="00890227">
        <w:rPr>
          <w:rStyle w:val="SubtleEmphasis"/>
          <w:i w:val="0"/>
          <w:color w:val="auto"/>
          <w:lang w:val="en-US"/>
        </w:rPr>
        <w:t xml:space="preserve">A schematic overview of the reaction is shown in scheme </w:t>
      </w:r>
      <w:r w:rsidR="00890227" w:rsidRPr="00890227">
        <w:rPr>
          <w:rStyle w:val="SubtleEmphasis"/>
          <w:i w:val="0"/>
          <w:color w:val="auto"/>
          <w:lang w:val="en-US"/>
        </w:rPr>
        <w:t>7</w:t>
      </w:r>
      <w:r w:rsidRPr="00890227">
        <w:rPr>
          <w:rStyle w:val="SubtleEmphasis"/>
          <w:i w:val="0"/>
          <w:color w:val="auto"/>
          <w:lang w:val="en-US"/>
        </w:rPr>
        <w:t xml:space="preserve">. From scheme </w:t>
      </w:r>
      <w:r w:rsidR="00890227" w:rsidRPr="00890227">
        <w:rPr>
          <w:rStyle w:val="SubtleEmphasis"/>
          <w:i w:val="0"/>
          <w:color w:val="auto"/>
          <w:lang w:val="en-US"/>
        </w:rPr>
        <w:t>7</w:t>
      </w:r>
      <w:r w:rsidRPr="00890227">
        <w:rPr>
          <w:rStyle w:val="SubtleEmphasis"/>
          <w:i w:val="0"/>
          <w:color w:val="auto"/>
          <w:lang w:val="en-US"/>
        </w:rPr>
        <w:t>, it can be seen that the amorphous silica</w:t>
      </w:r>
      <w:r w:rsidR="002F20EC">
        <w:rPr>
          <w:rStyle w:val="SubtleEmphasis"/>
          <w:i w:val="0"/>
          <w:color w:val="auto"/>
          <w:lang w:val="en-US"/>
        </w:rPr>
        <w:t>,</w:t>
      </w:r>
      <w:r w:rsidR="002F20EC" w:rsidRPr="002F20EC">
        <w:rPr>
          <w:rStyle w:val="SubtleEmphasis"/>
          <w:i w:val="0"/>
          <w:color w:val="auto"/>
          <w:lang w:val="en-US"/>
        </w:rPr>
        <w:t xml:space="preserve"> </w:t>
      </w:r>
      <w:r w:rsidR="002F20EC" w:rsidRPr="00890227">
        <w:rPr>
          <w:rStyle w:val="SubtleEmphasis"/>
          <w:i w:val="0"/>
          <w:color w:val="auto"/>
          <w:lang w:val="en-US"/>
        </w:rPr>
        <w:t>which is chemically comparable to APTES</w:t>
      </w:r>
      <w:r w:rsidR="002F20EC">
        <w:rPr>
          <w:rStyle w:val="SubtleEmphasis"/>
          <w:i w:val="0"/>
          <w:color w:val="auto"/>
          <w:lang w:val="en-US"/>
        </w:rPr>
        <w:t>,</w:t>
      </w:r>
      <w:r w:rsidRPr="00890227">
        <w:rPr>
          <w:rStyle w:val="SubtleEmphasis"/>
          <w:i w:val="0"/>
          <w:color w:val="auto"/>
          <w:lang w:val="en-US"/>
        </w:rPr>
        <w:t xml:space="preserve"> dissolves when hydrolyzed into silicic acid (Si(OH)</w:t>
      </w:r>
      <w:r w:rsidRPr="00890227">
        <w:rPr>
          <w:rStyle w:val="SubtleEmphasis"/>
          <w:i w:val="0"/>
          <w:color w:val="auto"/>
          <w:vertAlign w:val="subscript"/>
          <w:lang w:val="en-US"/>
        </w:rPr>
        <w:t>4</w:t>
      </w:r>
      <w:r w:rsidRPr="00890227">
        <w:rPr>
          <w:rStyle w:val="SubtleEmphasis"/>
          <w:i w:val="0"/>
          <w:color w:val="auto"/>
          <w:lang w:val="en-US"/>
        </w:rPr>
        <w:t>). When an OH</w:t>
      </w:r>
      <w:r w:rsidRPr="00890227">
        <w:rPr>
          <w:rStyle w:val="SubtleEmphasis"/>
          <w:i w:val="0"/>
          <w:color w:val="auto"/>
          <w:vertAlign w:val="superscript"/>
          <w:lang w:val="en-US"/>
        </w:rPr>
        <w:t>-</w:t>
      </w:r>
      <w:r w:rsidRPr="00890227">
        <w:rPr>
          <w:rStyle w:val="SubtleEmphasis"/>
          <w:i w:val="0"/>
          <w:color w:val="auto"/>
          <w:lang w:val="en-US"/>
        </w:rPr>
        <w:t xml:space="preserve"> ion reacts with silicic acid, it is converted into the silicate ion H</w:t>
      </w:r>
      <w:r w:rsidRPr="00890227">
        <w:rPr>
          <w:rStyle w:val="SubtleEmphasis"/>
          <w:i w:val="0"/>
          <w:color w:val="auto"/>
          <w:vertAlign w:val="subscript"/>
          <w:lang w:val="en-US"/>
        </w:rPr>
        <w:t>3</w:t>
      </w:r>
      <w:r w:rsidRPr="00890227">
        <w:rPr>
          <w:rStyle w:val="SubtleEmphasis"/>
          <w:i w:val="0"/>
          <w:color w:val="auto"/>
          <w:lang w:val="en-US"/>
        </w:rPr>
        <w:t>SiO</w:t>
      </w:r>
      <w:r w:rsidRPr="00890227">
        <w:rPr>
          <w:rStyle w:val="SubtleEmphasis"/>
          <w:i w:val="0"/>
          <w:color w:val="auto"/>
          <w:vertAlign w:val="subscript"/>
          <w:lang w:val="en-US"/>
        </w:rPr>
        <w:t>4</w:t>
      </w:r>
      <w:r w:rsidRPr="00890227">
        <w:rPr>
          <w:rStyle w:val="SubtleEmphasis"/>
          <w:i w:val="0"/>
          <w:color w:val="auto"/>
          <w:vertAlign w:val="superscript"/>
          <w:lang w:val="en-US"/>
        </w:rPr>
        <w:t>-</w:t>
      </w:r>
      <w:r w:rsidRPr="00890227">
        <w:rPr>
          <w:rStyle w:val="SubtleEmphasis"/>
          <w:i w:val="0"/>
          <w:color w:val="auto"/>
          <w:lang w:val="en-US"/>
        </w:rPr>
        <w:t xml:space="preserve">. Because the conversion of the silicic acid into the silicate ion occurs, the hydrolysis-condensation equilibrium of the reaction shifts strongly towards hydrolysis of the amorphous silica. </w:t>
      </w:r>
    </w:p>
    <w:p w:rsidR="00830980" w:rsidRDefault="00E74C8E" w:rsidP="00FC7A2B">
      <w:pPr>
        <w:spacing w:line="240" w:lineRule="auto"/>
        <w:rPr>
          <w:rStyle w:val="SubtleEmphasis"/>
          <w:i w:val="0"/>
          <w:lang w:val="en-US"/>
        </w:rPr>
      </w:pPr>
      <w:r w:rsidRPr="00890227">
        <w:rPr>
          <w:lang w:val="en-US"/>
        </w:rPr>
        <w:t xml:space="preserve">Additionally, table </w:t>
      </w:r>
      <w:r w:rsidR="00300637" w:rsidRPr="00890227">
        <w:rPr>
          <w:lang w:val="en-US"/>
        </w:rPr>
        <w:t>3</w:t>
      </w:r>
      <w:r w:rsidRPr="00890227">
        <w:rPr>
          <w:lang w:val="en-US"/>
        </w:rPr>
        <w:t xml:space="preserve"> shows a trend of solubility of amorphous silica at room temperature, which rapidly increases after passing pH 9.5. This data is </w:t>
      </w:r>
      <w:r w:rsidR="00FC7A2B">
        <w:rPr>
          <w:lang w:val="en-US"/>
        </w:rPr>
        <w:t>somewhat</w:t>
      </w:r>
      <w:r w:rsidRPr="00890227">
        <w:rPr>
          <w:lang w:val="en-US"/>
        </w:rPr>
        <w:t xml:space="preserve"> related to what is observed in the </w:t>
      </w:r>
      <w:r w:rsidR="002F20EC">
        <w:rPr>
          <w:lang w:val="en-US"/>
        </w:rPr>
        <w:t>APTES TPM-1</w:t>
      </w:r>
      <w:r w:rsidRPr="00890227">
        <w:rPr>
          <w:lang w:val="en-US"/>
        </w:rPr>
        <w:t xml:space="preserve"> system, as the</w:t>
      </w:r>
      <w:r w:rsidRPr="00890227">
        <w:rPr>
          <w:rStyle w:val="SubtleEmphasis"/>
          <w:i w:val="0"/>
          <w:color w:val="auto"/>
          <w:lang w:val="en-US"/>
        </w:rPr>
        <w:t xml:space="preserve"> </w:t>
      </w:r>
      <w:r w:rsidRPr="00890227">
        <w:rPr>
          <w:lang w:val="en-US"/>
        </w:rPr>
        <w:t xml:space="preserve">rapid decrease of zeta potential is an indication of an increase of solubility of the APTES layer on the </w:t>
      </w:r>
      <w:r w:rsidR="002F20EC">
        <w:rPr>
          <w:lang w:val="en-US"/>
        </w:rPr>
        <w:t>APTES TPM-1</w:t>
      </w:r>
      <w:r w:rsidRPr="00890227">
        <w:rPr>
          <w:lang w:val="en-US"/>
        </w:rPr>
        <w:t xml:space="preserve"> surface.</w:t>
      </w:r>
      <w:r w:rsidR="00FC7A2B">
        <w:rPr>
          <w:lang w:val="en-US"/>
        </w:rPr>
        <w:t xml:space="preserve"> However, the pH where this strong increase in solubility is observed does differ from our system. </w:t>
      </w:r>
    </w:p>
    <w:tbl>
      <w:tblPr>
        <w:tblStyle w:val="TableGrid"/>
        <w:tblW w:w="0" w:type="auto"/>
        <w:tblInd w:w="2830" w:type="dxa"/>
        <w:tblLook w:val="04A0" w:firstRow="1" w:lastRow="0" w:firstColumn="1" w:lastColumn="0" w:noHBand="0" w:noVBand="1"/>
      </w:tblPr>
      <w:tblGrid>
        <w:gridCol w:w="1701"/>
        <w:gridCol w:w="2127"/>
      </w:tblGrid>
      <w:tr w:rsidR="00830980" w:rsidRPr="004F00D3" w:rsidTr="00730438">
        <w:tc>
          <w:tcPr>
            <w:tcW w:w="1701" w:type="dxa"/>
            <w:tcBorders>
              <w:top w:val="single" w:sz="4" w:space="0" w:color="auto"/>
              <w:left w:val="single" w:sz="4" w:space="0" w:color="auto"/>
              <w:bottom w:val="single" w:sz="4" w:space="0" w:color="auto"/>
              <w:right w:val="single" w:sz="4" w:space="0" w:color="auto"/>
            </w:tcBorders>
            <w:hideMark/>
          </w:tcPr>
          <w:p w:rsidR="00830980" w:rsidRDefault="00830980" w:rsidP="00FC7A2B">
            <w:pPr>
              <w:spacing w:after="0" w:line="240" w:lineRule="auto"/>
              <w:jc w:val="center"/>
              <w:rPr>
                <w:rStyle w:val="SubtleEmphasis"/>
                <w:i w:val="0"/>
                <w:lang w:val="en-US"/>
              </w:rPr>
            </w:pPr>
            <w:r>
              <w:rPr>
                <w:rStyle w:val="SubtleEmphasis"/>
                <w:i w:val="0"/>
                <w:lang w:val="en-US"/>
              </w:rPr>
              <w:t>pH</w:t>
            </w:r>
          </w:p>
        </w:tc>
        <w:tc>
          <w:tcPr>
            <w:tcW w:w="2127" w:type="dxa"/>
            <w:tcBorders>
              <w:top w:val="single" w:sz="4" w:space="0" w:color="auto"/>
              <w:left w:val="single" w:sz="4" w:space="0" w:color="auto"/>
              <w:bottom w:val="single" w:sz="4" w:space="0" w:color="auto"/>
              <w:right w:val="single" w:sz="4" w:space="0" w:color="auto"/>
            </w:tcBorders>
            <w:hideMark/>
          </w:tcPr>
          <w:p w:rsidR="00830980" w:rsidRDefault="00830980" w:rsidP="00FC7A2B">
            <w:pPr>
              <w:spacing w:after="0" w:line="240" w:lineRule="auto"/>
              <w:jc w:val="center"/>
              <w:rPr>
                <w:rStyle w:val="SubtleEmphasis"/>
                <w:i w:val="0"/>
                <w:lang w:val="en-US"/>
              </w:rPr>
            </w:pPr>
            <w:r>
              <w:rPr>
                <w:rStyle w:val="SubtleEmphasis"/>
                <w:i w:val="0"/>
                <w:lang w:val="en-US"/>
              </w:rPr>
              <w:t>Solubility of amorphous silica (ppm)</w:t>
            </w:r>
          </w:p>
        </w:tc>
      </w:tr>
      <w:tr w:rsidR="00830980" w:rsidTr="00730438">
        <w:tc>
          <w:tcPr>
            <w:tcW w:w="1701" w:type="dxa"/>
            <w:tcBorders>
              <w:top w:val="single" w:sz="4" w:space="0" w:color="auto"/>
              <w:left w:val="single" w:sz="4" w:space="0" w:color="auto"/>
              <w:bottom w:val="single" w:sz="4" w:space="0" w:color="auto"/>
              <w:right w:val="single" w:sz="4" w:space="0" w:color="auto"/>
            </w:tcBorders>
            <w:hideMark/>
          </w:tcPr>
          <w:p w:rsidR="00830980" w:rsidRDefault="00830980" w:rsidP="00FC7A2B">
            <w:pPr>
              <w:spacing w:after="0" w:line="240" w:lineRule="auto"/>
              <w:jc w:val="center"/>
              <w:rPr>
                <w:rStyle w:val="SubtleEmphasis"/>
                <w:i w:val="0"/>
                <w:lang w:val="en-US"/>
              </w:rPr>
            </w:pPr>
            <w:r>
              <w:rPr>
                <w:rStyle w:val="SubtleEmphasis"/>
                <w:i w:val="0"/>
                <w:lang w:val="en-US"/>
              </w:rPr>
              <w:t>6-8</w:t>
            </w:r>
          </w:p>
        </w:tc>
        <w:tc>
          <w:tcPr>
            <w:tcW w:w="2127" w:type="dxa"/>
            <w:tcBorders>
              <w:top w:val="single" w:sz="4" w:space="0" w:color="auto"/>
              <w:left w:val="single" w:sz="4" w:space="0" w:color="auto"/>
              <w:bottom w:val="single" w:sz="4" w:space="0" w:color="auto"/>
              <w:right w:val="single" w:sz="4" w:space="0" w:color="auto"/>
            </w:tcBorders>
            <w:hideMark/>
          </w:tcPr>
          <w:p w:rsidR="00830980" w:rsidRDefault="00830980" w:rsidP="00FC7A2B">
            <w:pPr>
              <w:spacing w:after="0" w:line="240" w:lineRule="auto"/>
              <w:jc w:val="center"/>
              <w:rPr>
                <w:rStyle w:val="SubtleEmphasis"/>
                <w:i w:val="0"/>
                <w:lang w:val="en-US"/>
              </w:rPr>
            </w:pPr>
            <w:r>
              <w:rPr>
                <w:rStyle w:val="SubtleEmphasis"/>
                <w:i w:val="0"/>
                <w:lang w:val="en-US"/>
              </w:rPr>
              <w:t>120</w:t>
            </w:r>
          </w:p>
        </w:tc>
      </w:tr>
      <w:tr w:rsidR="00830980" w:rsidTr="00730438">
        <w:tc>
          <w:tcPr>
            <w:tcW w:w="1701" w:type="dxa"/>
            <w:tcBorders>
              <w:top w:val="single" w:sz="4" w:space="0" w:color="auto"/>
              <w:left w:val="single" w:sz="4" w:space="0" w:color="auto"/>
              <w:bottom w:val="single" w:sz="4" w:space="0" w:color="auto"/>
              <w:right w:val="single" w:sz="4" w:space="0" w:color="auto"/>
            </w:tcBorders>
            <w:hideMark/>
          </w:tcPr>
          <w:p w:rsidR="00830980" w:rsidRDefault="00830980" w:rsidP="00FC7A2B">
            <w:pPr>
              <w:spacing w:after="0" w:line="240" w:lineRule="auto"/>
              <w:jc w:val="center"/>
              <w:rPr>
                <w:rStyle w:val="SubtleEmphasis"/>
                <w:i w:val="0"/>
                <w:lang w:val="en-US"/>
              </w:rPr>
            </w:pPr>
            <w:r>
              <w:rPr>
                <w:rStyle w:val="SubtleEmphasis"/>
                <w:i w:val="0"/>
                <w:lang w:val="en-US"/>
              </w:rPr>
              <w:t>9</w:t>
            </w:r>
          </w:p>
        </w:tc>
        <w:tc>
          <w:tcPr>
            <w:tcW w:w="2127" w:type="dxa"/>
            <w:tcBorders>
              <w:top w:val="single" w:sz="4" w:space="0" w:color="auto"/>
              <w:left w:val="single" w:sz="4" w:space="0" w:color="auto"/>
              <w:bottom w:val="single" w:sz="4" w:space="0" w:color="auto"/>
              <w:right w:val="single" w:sz="4" w:space="0" w:color="auto"/>
            </w:tcBorders>
            <w:hideMark/>
          </w:tcPr>
          <w:p w:rsidR="00830980" w:rsidRDefault="00830980" w:rsidP="00FC7A2B">
            <w:pPr>
              <w:spacing w:after="0" w:line="240" w:lineRule="auto"/>
              <w:jc w:val="center"/>
              <w:rPr>
                <w:rStyle w:val="SubtleEmphasis"/>
                <w:i w:val="0"/>
                <w:lang w:val="en-US"/>
              </w:rPr>
            </w:pPr>
            <w:r>
              <w:rPr>
                <w:rStyle w:val="SubtleEmphasis"/>
                <w:i w:val="0"/>
                <w:lang w:val="en-US"/>
              </w:rPr>
              <w:t>138</w:t>
            </w:r>
          </w:p>
        </w:tc>
      </w:tr>
      <w:tr w:rsidR="00830980" w:rsidTr="00730438">
        <w:tc>
          <w:tcPr>
            <w:tcW w:w="1701" w:type="dxa"/>
            <w:tcBorders>
              <w:top w:val="single" w:sz="4" w:space="0" w:color="auto"/>
              <w:left w:val="single" w:sz="4" w:space="0" w:color="auto"/>
              <w:bottom w:val="single" w:sz="4" w:space="0" w:color="auto"/>
              <w:right w:val="single" w:sz="4" w:space="0" w:color="auto"/>
            </w:tcBorders>
            <w:hideMark/>
          </w:tcPr>
          <w:p w:rsidR="00830980" w:rsidRDefault="00830980" w:rsidP="00FC7A2B">
            <w:pPr>
              <w:spacing w:after="0" w:line="240" w:lineRule="auto"/>
              <w:jc w:val="center"/>
              <w:rPr>
                <w:rStyle w:val="SubtleEmphasis"/>
                <w:i w:val="0"/>
                <w:lang w:val="en-US"/>
              </w:rPr>
            </w:pPr>
            <w:r>
              <w:rPr>
                <w:rStyle w:val="SubtleEmphasis"/>
                <w:i w:val="0"/>
                <w:lang w:val="en-US"/>
              </w:rPr>
              <w:t>9.5</w:t>
            </w:r>
          </w:p>
        </w:tc>
        <w:tc>
          <w:tcPr>
            <w:tcW w:w="2127" w:type="dxa"/>
            <w:tcBorders>
              <w:top w:val="single" w:sz="4" w:space="0" w:color="auto"/>
              <w:left w:val="single" w:sz="4" w:space="0" w:color="auto"/>
              <w:bottom w:val="single" w:sz="4" w:space="0" w:color="auto"/>
              <w:right w:val="single" w:sz="4" w:space="0" w:color="auto"/>
            </w:tcBorders>
            <w:hideMark/>
          </w:tcPr>
          <w:p w:rsidR="00830980" w:rsidRDefault="00830980" w:rsidP="00FC7A2B">
            <w:pPr>
              <w:spacing w:after="0" w:line="240" w:lineRule="auto"/>
              <w:jc w:val="center"/>
              <w:rPr>
                <w:rStyle w:val="SubtleEmphasis"/>
                <w:i w:val="0"/>
                <w:lang w:val="en-US"/>
              </w:rPr>
            </w:pPr>
            <w:r>
              <w:rPr>
                <w:rStyle w:val="SubtleEmphasis"/>
                <w:i w:val="0"/>
                <w:lang w:val="en-US"/>
              </w:rPr>
              <w:t>180</w:t>
            </w:r>
          </w:p>
        </w:tc>
      </w:tr>
      <w:tr w:rsidR="00830980" w:rsidTr="00730438">
        <w:tc>
          <w:tcPr>
            <w:tcW w:w="1701" w:type="dxa"/>
            <w:tcBorders>
              <w:top w:val="single" w:sz="4" w:space="0" w:color="auto"/>
              <w:left w:val="single" w:sz="4" w:space="0" w:color="auto"/>
              <w:bottom w:val="single" w:sz="4" w:space="0" w:color="auto"/>
              <w:right w:val="single" w:sz="4" w:space="0" w:color="auto"/>
            </w:tcBorders>
            <w:hideMark/>
          </w:tcPr>
          <w:p w:rsidR="00830980" w:rsidRDefault="00830980" w:rsidP="00FC7A2B">
            <w:pPr>
              <w:spacing w:after="0" w:line="240" w:lineRule="auto"/>
              <w:jc w:val="center"/>
              <w:rPr>
                <w:rStyle w:val="SubtleEmphasis"/>
                <w:i w:val="0"/>
                <w:lang w:val="en-US"/>
              </w:rPr>
            </w:pPr>
            <w:r>
              <w:rPr>
                <w:rStyle w:val="SubtleEmphasis"/>
                <w:i w:val="0"/>
                <w:lang w:val="en-US"/>
              </w:rPr>
              <w:t>10</w:t>
            </w:r>
          </w:p>
        </w:tc>
        <w:tc>
          <w:tcPr>
            <w:tcW w:w="2127" w:type="dxa"/>
            <w:tcBorders>
              <w:top w:val="single" w:sz="4" w:space="0" w:color="auto"/>
              <w:left w:val="single" w:sz="4" w:space="0" w:color="auto"/>
              <w:bottom w:val="single" w:sz="4" w:space="0" w:color="auto"/>
              <w:right w:val="single" w:sz="4" w:space="0" w:color="auto"/>
            </w:tcBorders>
            <w:hideMark/>
          </w:tcPr>
          <w:p w:rsidR="00830980" w:rsidRDefault="00830980" w:rsidP="00FC7A2B">
            <w:pPr>
              <w:spacing w:after="0" w:line="240" w:lineRule="auto"/>
              <w:jc w:val="center"/>
              <w:rPr>
                <w:rStyle w:val="SubtleEmphasis"/>
                <w:i w:val="0"/>
                <w:lang w:val="en-US"/>
              </w:rPr>
            </w:pPr>
            <w:r>
              <w:rPr>
                <w:rStyle w:val="SubtleEmphasis"/>
                <w:i w:val="0"/>
                <w:lang w:val="en-US"/>
              </w:rPr>
              <w:t>310</w:t>
            </w:r>
          </w:p>
        </w:tc>
      </w:tr>
      <w:tr w:rsidR="00830980" w:rsidTr="00730438">
        <w:tc>
          <w:tcPr>
            <w:tcW w:w="1701" w:type="dxa"/>
            <w:tcBorders>
              <w:top w:val="single" w:sz="4" w:space="0" w:color="auto"/>
              <w:left w:val="single" w:sz="4" w:space="0" w:color="auto"/>
              <w:bottom w:val="single" w:sz="4" w:space="0" w:color="auto"/>
              <w:right w:val="single" w:sz="4" w:space="0" w:color="auto"/>
            </w:tcBorders>
            <w:hideMark/>
          </w:tcPr>
          <w:p w:rsidR="00830980" w:rsidRDefault="00830980" w:rsidP="00FC7A2B">
            <w:pPr>
              <w:spacing w:after="0" w:line="240" w:lineRule="auto"/>
              <w:jc w:val="center"/>
              <w:rPr>
                <w:rStyle w:val="SubtleEmphasis"/>
                <w:i w:val="0"/>
                <w:lang w:val="en-US"/>
              </w:rPr>
            </w:pPr>
            <w:r>
              <w:rPr>
                <w:rStyle w:val="SubtleEmphasis"/>
                <w:i w:val="0"/>
                <w:lang w:val="en-US"/>
              </w:rPr>
              <w:t>10.6</w:t>
            </w:r>
          </w:p>
        </w:tc>
        <w:tc>
          <w:tcPr>
            <w:tcW w:w="2127" w:type="dxa"/>
            <w:tcBorders>
              <w:top w:val="single" w:sz="4" w:space="0" w:color="auto"/>
              <w:left w:val="single" w:sz="4" w:space="0" w:color="auto"/>
              <w:bottom w:val="single" w:sz="4" w:space="0" w:color="auto"/>
              <w:right w:val="single" w:sz="4" w:space="0" w:color="auto"/>
            </w:tcBorders>
            <w:hideMark/>
          </w:tcPr>
          <w:p w:rsidR="00830980" w:rsidRDefault="00830980" w:rsidP="00FC7A2B">
            <w:pPr>
              <w:spacing w:after="0" w:line="240" w:lineRule="auto"/>
              <w:jc w:val="center"/>
              <w:rPr>
                <w:rStyle w:val="SubtleEmphasis"/>
                <w:i w:val="0"/>
                <w:lang w:val="en-US"/>
              </w:rPr>
            </w:pPr>
            <w:r>
              <w:rPr>
                <w:rStyle w:val="SubtleEmphasis"/>
                <w:i w:val="0"/>
                <w:lang w:val="en-US"/>
              </w:rPr>
              <w:t>876</w:t>
            </w:r>
          </w:p>
        </w:tc>
      </w:tr>
    </w:tbl>
    <w:p w:rsidR="00F977AA" w:rsidRPr="00FC7A2B" w:rsidRDefault="00830980" w:rsidP="00FC7A2B">
      <w:pPr>
        <w:pStyle w:val="Caption"/>
        <w:keepNext/>
        <w:jc w:val="center"/>
        <w:rPr>
          <w:color w:val="auto"/>
          <w:sz w:val="20"/>
          <w:szCs w:val="20"/>
          <w:lang w:val="en-US"/>
        </w:rPr>
      </w:pPr>
      <w:r w:rsidRPr="00830980">
        <w:rPr>
          <w:color w:val="auto"/>
          <w:sz w:val="20"/>
          <w:szCs w:val="20"/>
          <w:lang w:val="en-US"/>
        </w:rPr>
        <w:t xml:space="preserve">Table </w:t>
      </w:r>
      <w:r w:rsidRPr="00830980">
        <w:rPr>
          <w:color w:val="auto"/>
          <w:sz w:val="20"/>
          <w:szCs w:val="20"/>
        </w:rPr>
        <w:fldChar w:fldCharType="begin"/>
      </w:r>
      <w:r w:rsidRPr="00830980">
        <w:rPr>
          <w:color w:val="auto"/>
          <w:sz w:val="20"/>
          <w:szCs w:val="20"/>
          <w:lang w:val="en-US"/>
        </w:rPr>
        <w:instrText xml:space="preserve"> SEQ Table \* ARABIC </w:instrText>
      </w:r>
      <w:r w:rsidRPr="00830980">
        <w:rPr>
          <w:color w:val="auto"/>
          <w:sz w:val="20"/>
          <w:szCs w:val="20"/>
        </w:rPr>
        <w:fldChar w:fldCharType="separate"/>
      </w:r>
      <w:r w:rsidR="00C52506">
        <w:rPr>
          <w:noProof/>
          <w:color w:val="auto"/>
          <w:sz w:val="20"/>
          <w:szCs w:val="20"/>
          <w:lang w:val="en-US"/>
        </w:rPr>
        <w:t>3</w:t>
      </w:r>
      <w:r w:rsidRPr="00830980">
        <w:rPr>
          <w:color w:val="auto"/>
          <w:sz w:val="20"/>
          <w:szCs w:val="20"/>
        </w:rPr>
        <w:fldChar w:fldCharType="end"/>
      </w:r>
      <w:r w:rsidRPr="00830980">
        <w:rPr>
          <w:color w:val="auto"/>
          <w:sz w:val="20"/>
          <w:szCs w:val="20"/>
          <w:lang w:val="en-US"/>
        </w:rPr>
        <w:t>: Trend of increasing solubility of amorphous silica with increasing pH.</w:t>
      </w:r>
    </w:p>
    <w:p w:rsidR="00E74C8E" w:rsidRPr="00884EE9" w:rsidRDefault="00E74C8E" w:rsidP="00FC7A2B">
      <w:pPr>
        <w:spacing w:line="240" w:lineRule="auto"/>
        <w:rPr>
          <w:rStyle w:val="SubtleEmphasis"/>
          <w:i w:val="0"/>
          <w:color w:val="auto"/>
          <w:lang w:val="en-US"/>
        </w:rPr>
      </w:pPr>
      <w:r w:rsidRPr="00884EE9">
        <w:rPr>
          <w:lang w:val="en-US"/>
        </w:rPr>
        <w:t xml:space="preserve">To investigate to what extent the </w:t>
      </w:r>
      <w:r w:rsidR="00FC7A2B">
        <w:rPr>
          <w:lang w:val="en-US"/>
        </w:rPr>
        <w:t xml:space="preserve">proposed </w:t>
      </w:r>
      <w:r w:rsidRPr="00884EE9">
        <w:rPr>
          <w:lang w:val="en-US"/>
        </w:rPr>
        <w:t xml:space="preserve">base </w:t>
      </w:r>
      <w:r w:rsidR="003F3848">
        <w:rPr>
          <w:lang w:val="en-US"/>
        </w:rPr>
        <w:t>induced</w:t>
      </w:r>
      <w:r w:rsidRPr="00884EE9">
        <w:rPr>
          <w:lang w:val="en-US"/>
        </w:rPr>
        <w:t xml:space="preserve"> hydrolysis of the APTES modification occurs at </w:t>
      </w:r>
      <w:r w:rsidR="00D50CF3" w:rsidRPr="00884EE9">
        <w:rPr>
          <w:lang w:val="en-US"/>
        </w:rPr>
        <w:t>neutral pH</w:t>
      </w:r>
      <w:r w:rsidRPr="00884EE9">
        <w:rPr>
          <w:lang w:val="en-US"/>
        </w:rPr>
        <w:t xml:space="preserve">, a time dependent zeta potential measurement of these particles </w:t>
      </w:r>
      <w:r w:rsidR="00D50CF3" w:rsidRPr="00884EE9">
        <w:rPr>
          <w:lang w:val="en-US"/>
        </w:rPr>
        <w:t>at neutral pH</w:t>
      </w:r>
      <w:r w:rsidRPr="00884EE9">
        <w:rPr>
          <w:lang w:val="en-US"/>
        </w:rPr>
        <w:t xml:space="preserve"> was carried </w:t>
      </w:r>
      <w:r w:rsidRPr="00890227">
        <w:rPr>
          <w:lang w:val="en-US"/>
        </w:rPr>
        <w:t xml:space="preserve">out. </w:t>
      </w:r>
      <w:r w:rsidR="00884EE9" w:rsidRPr="00890227">
        <w:rPr>
          <w:lang w:val="en-US"/>
        </w:rPr>
        <w:lastRenderedPageBreak/>
        <w:fldChar w:fldCharType="begin"/>
      </w:r>
      <w:r w:rsidR="00884EE9" w:rsidRPr="00890227">
        <w:rPr>
          <w:lang w:val="en-US"/>
        </w:rPr>
        <w:instrText xml:space="preserve"> REF _Ref29651696 \h  \* MERGEFORMAT </w:instrText>
      </w:r>
      <w:r w:rsidR="00884EE9" w:rsidRPr="00890227">
        <w:rPr>
          <w:lang w:val="en-US"/>
        </w:rPr>
      </w:r>
      <w:r w:rsidR="00884EE9" w:rsidRPr="00890227">
        <w:rPr>
          <w:lang w:val="en-US"/>
        </w:rPr>
        <w:fldChar w:fldCharType="separate"/>
      </w:r>
      <w:r w:rsidR="00C52506" w:rsidRPr="00C52506">
        <w:rPr>
          <w:lang w:val="en-US"/>
        </w:rPr>
        <w:t xml:space="preserve">Figure </w:t>
      </w:r>
      <w:r w:rsidR="00C52506" w:rsidRPr="00C52506">
        <w:rPr>
          <w:noProof/>
          <w:lang w:val="en-US"/>
        </w:rPr>
        <w:t>32</w:t>
      </w:r>
      <w:r w:rsidR="00884EE9" w:rsidRPr="00890227">
        <w:rPr>
          <w:lang w:val="en-US"/>
        </w:rPr>
        <w:fldChar w:fldCharType="end"/>
      </w:r>
      <w:r w:rsidR="00884EE9">
        <w:rPr>
          <w:lang w:val="en-US"/>
        </w:rPr>
        <w:t xml:space="preserve"> </w:t>
      </w:r>
      <w:r w:rsidRPr="00884EE9">
        <w:rPr>
          <w:lang w:val="en-US"/>
        </w:rPr>
        <w:t xml:space="preserve">shows the exponential decay of zeta potential of the </w:t>
      </w:r>
      <w:r w:rsidR="002F20EC">
        <w:rPr>
          <w:lang w:val="en-US"/>
        </w:rPr>
        <w:t>APTES TPM-1</w:t>
      </w:r>
      <w:r w:rsidRPr="00884EE9">
        <w:rPr>
          <w:lang w:val="en-US"/>
        </w:rPr>
        <w:t xml:space="preserve"> dispersion at neutral pH over a duration of 4 days.</w:t>
      </w:r>
      <w:r w:rsidRPr="00884EE9">
        <w:rPr>
          <w:rStyle w:val="SubtleEmphasis"/>
          <w:i w:val="0"/>
          <w:color w:val="auto"/>
          <w:lang w:val="en-US"/>
        </w:rPr>
        <w:t xml:space="preserve"> </w:t>
      </w:r>
    </w:p>
    <w:p w:rsidR="00830980" w:rsidRDefault="00E74C8E" w:rsidP="00FC7A2B">
      <w:pPr>
        <w:keepNext/>
        <w:spacing w:line="240" w:lineRule="auto"/>
        <w:jc w:val="center"/>
      </w:pPr>
      <w:r>
        <w:rPr>
          <w:noProof/>
          <w:color w:val="404040" w:themeColor="text1" w:themeTint="BF"/>
          <w:lang w:val="en-US"/>
        </w:rPr>
        <w:drawing>
          <wp:inline distT="0" distB="0" distL="0" distR="0">
            <wp:extent cx="5115411" cy="33386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927" t="4320" b="11626"/>
                    <a:stretch/>
                  </pic:blipFill>
                  <pic:spPr bwMode="auto">
                    <a:xfrm>
                      <a:off x="0" y="0"/>
                      <a:ext cx="5125661" cy="3345313"/>
                    </a:xfrm>
                    <a:prstGeom prst="rect">
                      <a:avLst/>
                    </a:prstGeom>
                    <a:noFill/>
                    <a:ln>
                      <a:noFill/>
                    </a:ln>
                    <a:extLst>
                      <a:ext uri="{53640926-AAD7-44D8-BBD7-CCE9431645EC}">
                        <a14:shadowObscured xmlns:a14="http://schemas.microsoft.com/office/drawing/2010/main"/>
                      </a:ext>
                    </a:extLst>
                  </pic:spPr>
                </pic:pic>
              </a:graphicData>
            </a:graphic>
          </wp:inline>
        </w:drawing>
      </w:r>
    </w:p>
    <w:p w:rsidR="00E74C8E" w:rsidRPr="00830980" w:rsidRDefault="00C82962" w:rsidP="00FC7A2B">
      <w:pPr>
        <w:pStyle w:val="Caption"/>
        <w:jc w:val="center"/>
        <w:rPr>
          <w:rStyle w:val="SubtleEmphasis"/>
          <w:i/>
          <w:iCs/>
          <w:color w:val="auto"/>
          <w:sz w:val="20"/>
          <w:szCs w:val="20"/>
          <w:lang w:val="en-US"/>
        </w:rPr>
      </w:pPr>
      <w:bookmarkStart w:id="93" w:name="_Ref29651696"/>
      <w:r>
        <w:rPr>
          <w:color w:val="auto"/>
          <w:sz w:val="20"/>
          <w:szCs w:val="20"/>
          <w:lang w:val="en-US"/>
        </w:rPr>
        <w:t>Figure</w:t>
      </w:r>
      <w:r w:rsidR="00830980" w:rsidRPr="00830980">
        <w:rPr>
          <w:color w:val="auto"/>
          <w:sz w:val="20"/>
          <w:szCs w:val="20"/>
          <w:lang w:val="en-US"/>
        </w:rPr>
        <w:t xml:space="preserve"> </w:t>
      </w:r>
      <w:r w:rsidR="00830980" w:rsidRPr="00830980">
        <w:rPr>
          <w:color w:val="auto"/>
          <w:sz w:val="20"/>
          <w:szCs w:val="20"/>
        </w:rPr>
        <w:fldChar w:fldCharType="begin"/>
      </w:r>
      <w:r w:rsidR="00830980" w:rsidRPr="00830980">
        <w:rPr>
          <w:color w:val="auto"/>
          <w:sz w:val="20"/>
          <w:szCs w:val="20"/>
          <w:lang w:val="en-US"/>
        </w:rPr>
        <w:instrText xml:space="preserve"> SEQ Figure \* ARABIC </w:instrText>
      </w:r>
      <w:r w:rsidR="00830980" w:rsidRPr="00830980">
        <w:rPr>
          <w:color w:val="auto"/>
          <w:sz w:val="20"/>
          <w:szCs w:val="20"/>
        </w:rPr>
        <w:fldChar w:fldCharType="separate"/>
      </w:r>
      <w:r w:rsidR="00C52506">
        <w:rPr>
          <w:noProof/>
          <w:color w:val="auto"/>
          <w:sz w:val="20"/>
          <w:szCs w:val="20"/>
          <w:lang w:val="en-US"/>
        </w:rPr>
        <w:t>32</w:t>
      </w:r>
      <w:r w:rsidR="00830980" w:rsidRPr="00830980">
        <w:rPr>
          <w:color w:val="auto"/>
          <w:sz w:val="20"/>
          <w:szCs w:val="20"/>
        </w:rPr>
        <w:fldChar w:fldCharType="end"/>
      </w:r>
      <w:bookmarkEnd w:id="93"/>
      <w:r w:rsidR="00830980" w:rsidRPr="00830980">
        <w:rPr>
          <w:color w:val="auto"/>
          <w:sz w:val="20"/>
          <w:szCs w:val="20"/>
          <w:lang w:val="en-US"/>
        </w:rPr>
        <w:t>: Instability of the APTES layer on an APTES TPM</w:t>
      </w:r>
      <w:r w:rsidR="003F3848">
        <w:rPr>
          <w:color w:val="auto"/>
          <w:sz w:val="20"/>
          <w:szCs w:val="20"/>
          <w:lang w:val="en-US"/>
        </w:rPr>
        <w:t>-1</w:t>
      </w:r>
      <w:r w:rsidR="00830980" w:rsidRPr="00830980">
        <w:rPr>
          <w:color w:val="auto"/>
          <w:sz w:val="20"/>
          <w:szCs w:val="20"/>
          <w:lang w:val="en-US"/>
        </w:rPr>
        <w:t xml:space="preserve"> particle in water at neutral pH.</w:t>
      </w:r>
    </w:p>
    <w:p w:rsidR="00F977AA" w:rsidRPr="00884EE9" w:rsidRDefault="002056C6" w:rsidP="00FC7A2B">
      <w:pPr>
        <w:spacing w:line="240" w:lineRule="auto"/>
        <w:rPr>
          <w:rStyle w:val="SubtleEmphasis"/>
          <w:i w:val="0"/>
          <w:iCs w:val="0"/>
          <w:color w:val="auto"/>
          <w:lang w:val="en-US"/>
        </w:rPr>
      </w:pPr>
      <w:r w:rsidRPr="00884EE9">
        <w:rPr>
          <w:lang w:val="en-US"/>
        </w:rPr>
        <w:t>As can be seen from</w:t>
      </w:r>
      <w:r w:rsidR="00884EE9">
        <w:rPr>
          <w:lang w:val="en-US"/>
        </w:rPr>
        <w:t xml:space="preserve"> </w:t>
      </w:r>
      <w:r w:rsidR="00884EE9" w:rsidRPr="002F20EC">
        <w:rPr>
          <w:lang w:val="en-US"/>
        </w:rPr>
        <w:fldChar w:fldCharType="begin"/>
      </w:r>
      <w:r w:rsidR="00884EE9" w:rsidRPr="002F20EC">
        <w:rPr>
          <w:lang w:val="en-US"/>
        </w:rPr>
        <w:instrText xml:space="preserve"> REF _Ref29651696 \h  \* MERGEFORMAT </w:instrText>
      </w:r>
      <w:r w:rsidR="00884EE9" w:rsidRPr="002F20EC">
        <w:rPr>
          <w:lang w:val="en-US"/>
        </w:rPr>
      </w:r>
      <w:r w:rsidR="00884EE9" w:rsidRPr="002F20EC">
        <w:rPr>
          <w:lang w:val="en-US"/>
        </w:rPr>
        <w:fldChar w:fldCharType="separate"/>
      </w:r>
      <w:r w:rsidR="00C52506" w:rsidRPr="002F20EC">
        <w:rPr>
          <w:lang w:val="en-US"/>
        </w:rPr>
        <w:t xml:space="preserve">Figure </w:t>
      </w:r>
      <w:r w:rsidR="00C52506" w:rsidRPr="002F20EC">
        <w:rPr>
          <w:noProof/>
          <w:lang w:val="en-US"/>
        </w:rPr>
        <w:t>32</w:t>
      </w:r>
      <w:r w:rsidR="00884EE9" w:rsidRPr="002F20EC">
        <w:rPr>
          <w:lang w:val="en-US"/>
        </w:rPr>
        <w:fldChar w:fldCharType="end"/>
      </w:r>
      <w:r w:rsidR="00884EE9" w:rsidRPr="002F20EC">
        <w:rPr>
          <w:lang w:val="en-US"/>
        </w:rPr>
        <w:t xml:space="preserve"> </w:t>
      </w:r>
      <w:r w:rsidRPr="002F20EC">
        <w:rPr>
          <w:lang w:val="en-US"/>
        </w:rPr>
        <w:t xml:space="preserve">the zeta potential decreases from +45mV to 0mV over a duration of 4 days. </w:t>
      </w:r>
      <w:r w:rsidR="00E87FD6" w:rsidRPr="002F20EC">
        <w:rPr>
          <w:lang w:val="en-US"/>
        </w:rPr>
        <w:t>It seems</w:t>
      </w:r>
      <w:r w:rsidRPr="002F20EC">
        <w:rPr>
          <w:lang w:val="en-US"/>
        </w:rPr>
        <w:t xml:space="preserve"> that the full APTES layer</w:t>
      </w:r>
      <w:r w:rsidRPr="00884EE9">
        <w:rPr>
          <w:lang w:val="en-US"/>
        </w:rPr>
        <w:t xml:space="preserve"> has </w:t>
      </w:r>
      <w:r w:rsidR="00E87FD6">
        <w:rPr>
          <w:lang w:val="en-US"/>
        </w:rPr>
        <w:t xml:space="preserve">not </w:t>
      </w:r>
      <w:r w:rsidRPr="00884EE9">
        <w:rPr>
          <w:lang w:val="en-US"/>
        </w:rPr>
        <w:t>been removed, as the zeta potential of a bare TPM</w:t>
      </w:r>
      <w:r w:rsidR="002F20EC">
        <w:rPr>
          <w:lang w:val="en-US"/>
        </w:rPr>
        <w:t>-1</w:t>
      </w:r>
      <w:r w:rsidRPr="00884EE9">
        <w:rPr>
          <w:lang w:val="en-US"/>
        </w:rPr>
        <w:t xml:space="preserve"> particle at neutral pH is around -45mV (</w:t>
      </w:r>
      <w:r w:rsidR="00884EE9" w:rsidRPr="00337884">
        <w:rPr>
          <w:lang w:val="en-US"/>
        </w:rPr>
        <w:fldChar w:fldCharType="begin"/>
      </w:r>
      <w:r w:rsidR="00884EE9" w:rsidRPr="00337884">
        <w:rPr>
          <w:lang w:val="en-US"/>
        </w:rPr>
        <w:instrText xml:space="preserve"> REF _Ref29651636 \h  \* MERGEFORMAT </w:instrText>
      </w:r>
      <w:r w:rsidR="00884EE9" w:rsidRPr="00337884">
        <w:rPr>
          <w:lang w:val="en-US"/>
        </w:rPr>
      </w:r>
      <w:r w:rsidR="00884EE9" w:rsidRPr="00337884">
        <w:rPr>
          <w:lang w:val="en-US"/>
        </w:rPr>
        <w:fldChar w:fldCharType="separate"/>
      </w:r>
      <w:r w:rsidR="00C52506" w:rsidRPr="00C52506">
        <w:rPr>
          <w:lang w:val="en-US"/>
        </w:rPr>
        <w:t xml:space="preserve">Figure </w:t>
      </w:r>
      <w:r w:rsidR="00C52506" w:rsidRPr="00C52506">
        <w:rPr>
          <w:noProof/>
          <w:lang w:val="en-US"/>
        </w:rPr>
        <w:t>30</w:t>
      </w:r>
      <w:r w:rsidR="00884EE9" w:rsidRPr="00337884">
        <w:rPr>
          <w:lang w:val="en-US"/>
        </w:rPr>
        <w:fldChar w:fldCharType="end"/>
      </w:r>
      <w:r w:rsidRPr="00337884">
        <w:rPr>
          <w:lang w:val="en-US"/>
        </w:rPr>
        <w:t>).</w:t>
      </w:r>
      <w:r w:rsidRPr="00884EE9">
        <w:rPr>
          <w:lang w:val="en-US"/>
        </w:rPr>
        <w:br/>
      </w:r>
      <w:r w:rsidR="00E74C8E" w:rsidRPr="00884EE9">
        <w:rPr>
          <w:lang w:val="en-US"/>
        </w:rPr>
        <w:t>To see in what conditions the APTES layer on the APTES TPM</w:t>
      </w:r>
      <w:r w:rsidR="002F20EC">
        <w:rPr>
          <w:lang w:val="en-US"/>
        </w:rPr>
        <w:t>-1</w:t>
      </w:r>
      <w:r w:rsidR="00E74C8E" w:rsidRPr="00884EE9">
        <w:rPr>
          <w:lang w:val="en-US"/>
        </w:rPr>
        <w:t xml:space="preserve"> particle </w:t>
      </w:r>
      <w:r w:rsidR="00F977AA">
        <w:rPr>
          <w:lang w:val="en-US"/>
        </w:rPr>
        <w:t>remains stable</w:t>
      </w:r>
      <w:r w:rsidR="00E74C8E" w:rsidRPr="00884EE9">
        <w:rPr>
          <w:lang w:val="en-US"/>
        </w:rPr>
        <w:t>, the particles are stored at two different acidic pH values. At pH 4, the zeta potential of the APTES TPM</w:t>
      </w:r>
      <w:r w:rsidR="002F20EC">
        <w:rPr>
          <w:lang w:val="en-US"/>
        </w:rPr>
        <w:t>-1</w:t>
      </w:r>
      <w:r w:rsidR="00E74C8E" w:rsidRPr="00884EE9">
        <w:rPr>
          <w:lang w:val="en-US"/>
        </w:rPr>
        <w:t xml:space="preserve"> particle stays constant (</w:t>
      </w:r>
      <w:r w:rsidR="00E74C8E" w:rsidRPr="00884EE9">
        <w:t>ζ</w:t>
      </w:r>
      <w:r w:rsidR="00E74C8E" w:rsidRPr="00884EE9">
        <w:rPr>
          <w:lang w:val="en-US"/>
        </w:rPr>
        <w:t xml:space="preserve"> = +57mV) over a duration of a week, which was also the case in pH 2 (</w:t>
      </w:r>
      <w:r w:rsidR="00E74C8E" w:rsidRPr="00884EE9">
        <w:t>ζ</w:t>
      </w:r>
      <w:r w:rsidR="00E74C8E" w:rsidRPr="00884EE9">
        <w:rPr>
          <w:lang w:val="en-US"/>
        </w:rPr>
        <w:t xml:space="preserve"> = +66mV). This is further proof that the instability at neutral and basic pH arises from the occurrence of the base</w:t>
      </w:r>
      <w:r w:rsidR="003F3848">
        <w:rPr>
          <w:lang w:val="en-US"/>
        </w:rPr>
        <w:t xml:space="preserve"> </w:t>
      </w:r>
      <w:r w:rsidR="00E74C8E" w:rsidRPr="00884EE9">
        <w:rPr>
          <w:lang w:val="en-US"/>
        </w:rPr>
        <w:t>catalyzed hydrolysis reaction.</w:t>
      </w:r>
      <w:r w:rsidR="00E74C8E" w:rsidRPr="00884EE9">
        <w:rPr>
          <w:lang w:val="en-US"/>
        </w:rPr>
        <w:br/>
        <w:t xml:space="preserve">Additionally, the stability of the </w:t>
      </w:r>
      <w:r w:rsidR="002F20EC">
        <w:rPr>
          <w:lang w:val="en-US"/>
        </w:rPr>
        <w:t>APTES TPM-1</w:t>
      </w:r>
      <w:r w:rsidR="00E74C8E" w:rsidRPr="00884EE9">
        <w:rPr>
          <w:lang w:val="en-US"/>
        </w:rPr>
        <w:t xml:space="preserve"> particles in EtOH was probed, </w:t>
      </w:r>
      <w:r w:rsidR="002F20EC">
        <w:rPr>
          <w:lang w:val="en-US"/>
        </w:rPr>
        <w:t>as there should be barely any hydroxide ions present</w:t>
      </w:r>
      <w:r w:rsidR="00E74C8E" w:rsidRPr="00884EE9">
        <w:rPr>
          <w:lang w:val="en-US"/>
        </w:rPr>
        <w:t>.</w:t>
      </w:r>
      <w:r w:rsidR="00176A60" w:rsidRPr="00884EE9">
        <w:rPr>
          <w:lang w:val="en-US"/>
        </w:rPr>
        <w:t xml:space="preserve"> In this case, t</w:t>
      </w:r>
      <w:r w:rsidR="00E74C8E" w:rsidRPr="00884EE9">
        <w:rPr>
          <w:lang w:val="en-US"/>
        </w:rPr>
        <w:t>he zeta potential remained unchanged over a duration of weeks (</w:t>
      </w:r>
      <w:r w:rsidR="00E74C8E" w:rsidRPr="00884EE9">
        <w:t>ζ</w:t>
      </w:r>
      <w:r w:rsidR="00E74C8E" w:rsidRPr="00884EE9">
        <w:rPr>
          <w:lang w:val="en-US"/>
        </w:rPr>
        <w:t xml:space="preserve"> = +40mV)</w:t>
      </w:r>
      <w:r w:rsidR="002F20EC">
        <w:rPr>
          <w:lang w:val="en-US"/>
        </w:rPr>
        <w:t>. This is again an indication that the removal of the APTES layer is governed by hydroxide ions.</w:t>
      </w:r>
    </w:p>
    <w:p w:rsidR="00E74C8E" w:rsidRPr="0066726E" w:rsidRDefault="00E74C8E" w:rsidP="00FC7A2B">
      <w:pPr>
        <w:pStyle w:val="Heading2"/>
        <w:numPr>
          <w:ilvl w:val="1"/>
          <w:numId w:val="2"/>
        </w:numPr>
        <w:spacing w:line="240" w:lineRule="auto"/>
        <w:rPr>
          <w:rStyle w:val="SubtleEmphasis"/>
          <w:b/>
          <w:i w:val="0"/>
          <w:color w:val="auto"/>
          <w:sz w:val="28"/>
          <w:szCs w:val="28"/>
          <w:lang w:val="en-US"/>
        </w:rPr>
      </w:pPr>
      <w:bookmarkStart w:id="94" w:name="_Toc31892419"/>
      <w:r w:rsidRPr="0066726E">
        <w:rPr>
          <w:rStyle w:val="SubtleEmphasis"/>
          <w:b/>
          <w:i w:val="0"/>
          <w:color w:val="auto"/>
          <w:sz w:val="28"/>
          <w:szCs w:val="28"/>
          <w:lang w:val="en-US"/>
        </w:rPr>
        <w:t>Encapsulation experiments</w:t>
      </w:r>
      <w:bookmarkEnd w:id="94"/>
    </w:p>
    <w:p w:rsidR="00E74C8E" w:rsidRPr="009879B7" w:rsidRDefault="00E74C8E" w:rsidP="00FC7A2B">
      <w:pPr>
        <w:spacing w:line="240" w:lineRule="auto"/>
        <w:rPr>
          <w:lang w:val="en-US"/>
        </w:rPr>
      </w:pPr>
      <w:r w:rsidRPr="007C52D1">
        <w:rPr>
          <w:lang w:val="en-US"/>
        </w:rPr>
        <w:t xml:space="preserve">For all encapsulating experiments described in this paragraph, pH-PS was used as core particle and either nPS or pPS was used as encapsulating particles. </w:t>
      </w:r>
      <w:r w:rsidR="002E524A">
        <w:rPr>
          <w:lang w:val="en-US"/>
        </w:rPr>
        <w:t xml:space="preserve">For our project, nPs and pPS have a diameter of approximately 800 nm, resulting in a </w:t>
      </w:r>
      <m:oMath>
        <m:sSub>
          <m:sSubPr>
            <m:ctrlPr>
              <w:rPr>
                <w:rFonts w:ascii="Cambria Math" w:hAnsi="Cambria Math"/>
                <w:i/>
                <w:lang w:val="en-US"/>
              </w:rPr>
            </m:ctrlPr>
          </m:sSubPr>
          <m:e>
            <m:r>
              <m:rPr>
                <m:sty m:val="p"/>
              </m:rPr>
              <w:rPr>
                <w:rFonts w:ascii="Cambria Math" w:hAnsi="Cambria Math" w:cstheme="minorHAnsi"/>
                <w:lang w:val="en-US"/>
              </w:rPr>
              <m:t>Γ</m:t>
            </m:r>
          </m:e>
          <m:sub>
            <m:r>
              <w:rPr>
                <w:rFonts w:ascii="Cambria Math" w:hAnsi="Cambria Math"/>
                <w:lang w:val="en-US"/>
              </w:rPr>
              <m:t>hcp</m:t>
            </m:r>
          </m:sub>
        </m:sSub>
      </m:oMath>
      <w:r w:rsidR="002E524A">
        <w:rPr>
          <w:rFonts w:eastAsiaTheme="minorEastAsia"/>
          <w:lang w:val="en-US"/>
        </w:rPr>
        <w:t xml:space="preserve"> of 82 (equation 9). Hence, an excess of 100 </w:t>
      </w:r>
      <w:r w:rsidR="00AB63F8">
        <w:rPr>
          <w:rFonts w:eastAsiaTheme="minorEastAsia"/>
          <w:lang w:val="en-US"/>
        </w:rPr>
        <w:t>of either nPS or pPS</w:t>
      </w:r>
      <w:r w:rsidR="002E524A">
        <w:rPr>
          <w:rFonts w:eastAsiaTheme="minorEastAsia"/>
          <w:lang w:val="en-US"/>
        </w:rPr>
        <w:t xml:space="preserve"> will be used in the encapsulation experiments to ensure complete encapsulation</w:t>
      </w:r>
      <w:r w:rsidR="004F000A">
        <w:rPr>
          <w:rFonts w:eastAsiaTheme="minorEastAsia"/>
          <w:lang w:val="en-US"/>
        </w:rPr>
        <w:t xml:space="preserve"> of pH-PS</w:t>
      </w:r>
      <w:r w:rsidRPr="007C52D1">
        <w:rPr>
          <w:lang w:val="en-US"/>
        </w:rPr>
        <w:t xml:space="preserve">. In both systems, the total volume fraction of particles in the dispersion was </w:t>
      </w:r>
      <w:r w:rsidRPr="002056C6">
        <w:rPr>
          <w:i/>
        </w:rPr>
        <w:t>φ</w:t>
      </w:r>
      <w:r w:rsidRPr="007C52D1">
        <w:rPr>
          <w:lang w:val="en-US"/>
        </w:rPr>
        <w:t xml:space="preserve"> = 0.009. The nPS or pPS particle dispersion was added to a pH-PS dispersion at a specific pH, to ensure that the desired pH of the system remains as unchanged as possible after addition of the particles. Three pH values were chosen to be investigated, </w:t>
      </w:r>
      <w:r w:rsidR="00596AA8">
        <w:rPr>
          <w:lang w:val="en-US"/>
        </w:rPr>
        <w:t>acidic pH (</w:t>
      </w:r>
      <w:r w:rsidR="00675AD5">
        <w:rPr>
          <w:lang w:val="en-US"/>
        </w:rPr>
        <w:t>2.5-3.5</w:t>
      </w:r>
      <w:r w:rsidR="00596AA8">
        <w:rPr>
          <w:lang w:val="en-US"/>
        </w:rPr>
        <w:t xml:space="preserve">) </w:t>
      </w:r>
      <w:r w:rsidRPr="007C52D1">
        <w:rPr>
          <w:lang w:val="en-US"/>
        </w:rPr>
        <w:t xml:space="preserve">neutral pH (6-7) and basic pH (9-10). The choice for these pH values is made because these are the extremes for the charge on pH-PS. As discussed </w:t>
      </w:r>
      <w:r w:rsidR="00D16077">
        <w:rPr>
          <w:lang w:val="en-US"/>
        </w:rPr>
        <w:t>in paragraph 4.2.</w:t>
      </w:r>
      <w:r w:rsidR="00B61FD2">
        <w:rPr>
          <w:lang w:val="en-US"/>
        </w:rPr>
        <w:t>1,</w:t>
      </w:r>
      <w:r w:rsidRPr="007C52D1">
        <w:rPr>
          <w:lang w:val="en-US"/>
        </w:rPr>
        <w:t xml:space="preserve"> pH-PS in positively charged in acidic conditions, ‘uncharged’ at neutral pH and negatively charged in basic pH. </w:t>
      </w:r>
      <w:r w:rsidRPr="009879B7">
        <w:rPr>
          <w:lang w:val="en-US"/>
        </w:rPr>
        <w:t xml:space="preserve">An overview of the titration curves for the used particles is </w:t>
      </w:r>
      <w:r w:rsidRPr="004F000A">
        <w:rPr>
          <w:lang w:val="en-US"/>
        </w:rPr>
        <w:t xml:space="preserve">shown in </w:t>
      </w:r>
      <w:r w:rsidR="00884EE9" w:rsidRPr="004F000A">
        <w:rPr>
          <w:lang w:val="en-US"/>
        </w:rPr>
        <w:fldChar w:fldCharType="begin"/>
      </w:r>
      <w:r w:rsidR="00884EE9" w:rsidRPr="004F000A">
        <w:rPr>
          <w:lang w:val="en-US"/>
        </w:rPr>
        <w:instrText xml:space="preserve"> REF _Ref29914263 \h  \* MERGEFORMAT </w:instrText>
      </w:r>
      <w:r w:rsidR="00884EE9" w:rsidRPr="004F000A">
        <w:rPr>
          <w:lang w:val="en-US"/>
        </w:rPr>
      </w:r>
      <w:r w:rsidR="00884EE9" w:rsidRPr="004F000A">
        <w:rPr>
          <w:lang w:val="en-US"/>
        </w:rPr>
        <w:fldChar w:fldCharType="separate"/>
      </w:r>
      <w:r w:rsidR="00C52506" w:rsidRPr="00C52506">
        <w:rPr>
          <w:lang w:val="en-US"/>
        </w:rPr>
        <w:t xml:space="preserve">Figure </w:t>
      </w:r>
      <w:r w:rsidR="00C52506" w:rsidRPr="00C52506">
        <w:rPr>
          <w:noProof/>
          <w:lang w:val="en-US"/>
        </w:rPr>
        <w:t>33</w:t>
      </w:r>
      <w:r w:rsidR="00884EE9" w:rsidRPr="004F000A">
        <w:rPr>
          <w:lang w:val="en-US"/>
        </w:rPr>
        <w:fldChar w:fldCharType="end"/>
      </w:r>
      <w:r w:rsidR="002F20EC">
        <w:rPr>
          <w:lang w:val="en-US"/>
        </w:rPr>
        <w:t>, where the highlighted regions show the investigated pH ranges</w:t>
      </w:r>
      <w:r w:rsidRPr="009879B7">
        <w:rPr>
          <w:lang w:val="en-US"/>
        </w:rPr>
        <w:t>.</w:t>
      </w:r>
    </w:p>
    <w:p w:rsidR="00300637" w:rsidRDefault="00300637" w:rsidP="00FC7A2B">
      <w:pPr>
        <w:keepNext/>
        <w:spacing w:line="240" w:lineRule="auto"/>
        <w:jc w:val="center"/>
      </w:pPr>
      <w:r>
        <w:rPr>
          <w:noProof/>
          <w:color w:val="404040" w:themeColor="text1" w:themeTint="BF"/>
          <w:lang w:val="en-US"/>
        </w:rPr>
        <w:lastRenderedPageBreak/>
        <w:drawing>
          <wp:inline distT="0" distB="0" distL="0" distR="0" wp14:anchorId="4BCD288D" wp14:editId="18997DE5">
            <wp:extent cx="5164824" cy="38566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179580" cy="3867668"/>
                    </a:xfrm>
                    <a:prstGeom prst="rect">
                      <a:avLst/>
                    </a:prstGeom>
                    <a:noFill/>
                    <a:ln>
                      <a:noFill/>
                    </a:ln>
                  </pic:spPr>
                </pic:pic>
              </a:graphicData>
            </a:graphic>
          </wp:inline>
        </w:drawing>
      </w:r>
    </w:p>
    <w:p w:rsidR="00300637" w:rsidRPr="00300637" w:rsidRDefault="00C82962" w:rsidP="00FC7A2B">
      <w:pPr>
        <w:pStyle w:val="Caption"/>
        <w:jc w:val="center"/>
        <w:rPr>
          <w:rStyle w:val="SubtleEmphasis"/>
          <w:i/>
          <w:color w:val="auto"/>
          <w:sz w:val="20"/>
          <w:szCs w:val="20"/>
          <w:lang w:val="en-US"/>
        </w:rPr>
      </w:pPr>
      <w:bookmarkStart w:id="95" w:name="_Ref29914263"/>
      <w:r>
        <w:rPr>
          <w:color w:val="auto"/>
          <w:sz w:val="20"/>
          <w:szCs w:val="20"/>
          <w:lang w:val="en-US"/>
        </w:rPr>
        <w:t>Figure</w:t>
      </w:r>
      <w:r w:rsidR="00300637" w:rsidRPr="00300637">
        <w:rPr>
          <w:color w:val="auto"/>
          <w:sz w:val="20"/>
          <w:szCs w:val="20"/>
          <w:lang w:val="en-US"/>
        </w:rPr>
        <w:t xml:space="preserve"> </w:t>
      </w:r>
      <w:r w:rsidR="00300637" w:rsidRPr="00300637">
        <w:rPr>
          <w:color w:val="auto"/>
          <w:sz w:val="20"/>
          <w:szCs w:val="20"/>
        </w:rPr>
        <w:fldChar w:fldCharType="begin"/>
      </w:r>
      <w:r w:rsidR="00300637" w:rsidRPr="00300637">
        <w:rPr>
          <w:color w:val="auto"/>
          <w:sz w:val="20"/>
          <w:szCs w:val="20"/>
          <w:lang w:val="en-US"/>
        </w:rPr>
        <w:instrText xml:space="preserve"> SEQ Figure \* ARABIC </w:instrText>
      </w:r>
      <w:r w:rsidR="00300637" w:rsidRPr="00300637">
        <w:rPr>
          <w:color w:val="auto"/>
          <w:sz w:val="20"/>
          <w:szCs w:val="20"/>
        </w:rPr>
        <w:fldChar w:fldCharType="separate"/>
      </w:r>
      <w:r w:rsidR="00C52506">
        <w:rPr>
          <w:noProof/>
          <w:color w:val="auto"/>
          <w:sz w:val="20"/>
          <w:szCs w:val="20"/>
          <w:lang w:val="en-US"/>
        </w:rPr>
        <w:t>33</w:t>
      </w:r>
      <w:r w:rsidR="00300637" w:rsidRPr="00300637">
        <w:rPr>
          <w:color w:val="auto"/>
          <w:sz w:val="20"/>
          <w:szCs w:val="20"/>
        </w:rPr>
        <w:fldChar w:fldCharType="end"/>
      </w:r>
      <w:bookmarkEnd w:id="95"/>
      <w:r w:rsidR="00300637" w:rsidRPr="00300637">
        <w:rPr>
          <w:color w:val="auto"/>
          <w:sz w:val="20"/>
          <w:szCs w:val="20"/>
          <w:lang w:val="en-US"/>
        </w:rPr>
        <w:t>: Titration curves of pH-PS, nPS and pPS.</w:t>
      </w:r>
      <w:r w:rsidR="002F20EC">
        <w:rPr>
          <w:color w:val="auto"/>
          <w:sz w:val="20"/>
          <w:szCs w:val="20"/>
          <w:lang w:val="en-US"/>
        </w:rPr>
        <w:t xml:space="preserve"> The highlighted regions correspond to the pH values where encapsulation is investigated.</w:t>
      </w:r>
    </w:p>
    <w:p w:rsidR="0066726E" w:rsidRPr="00D84246" w:rsidRDefault="00E74C8E" w:rsidP="00FC7A2B">
      <w:pPr>
        <w:pStyle w:val="Heading3"/>
        <w:numPr>
          <w:ilvl w:val="2"/>
          <w:numId w:val="2"/>
        </w:numPr>
        <w:spacing w:line="240" w:lineRule="auto"/>
        <w:rPr>
          <w:rStyle w:val="Heading3Char"/>
          <w:i/>
          <w:iCs/>
          <w:color w:val="auto"/>
          <w:lang w:val="en-US"/>
        </w:rPr>
      </w:pPr>
      <w:bookmarkStart w:id="96" w:name="_Toc31892420"/>
      <w:r w:rsidRPr="00D84246">
        <w:rPr>
          <w:rStyle w:val="Heading3Char"/>
          <w:b/>
          <w:color w:val="auto"/>
          <w:lang w:val="en-US"/>
        </w:rPr>
        <w:t>Encapsulation of pH-PS with nPS</w:t>
      </w:r>
      <w:bookmarkEnd w:id="96"/>
    </w:p>
    <w:p w:rsidR="00BC69AE" w:rsidRDefault="001E3CD9" w:rsidP="00FC7A2B">
      <w:pPr>
        <w:spacing w:line="240" w:lineRule="auto"/>
        <w:rPr>
          <w:lang w:val="en-US"/>
        </w:rPr>
      </w:pPr>
      <w:r w:rsidRPr="00D84246">
        <w:rPr>
          <w:rStyle w:val="Heading3Char"/>
          <w:b/>
          <w:noProof/>
          <w:color w:val="auto"/>
        </w:rPr>
        <w:drawing>
          <wp:anchor distT="0" distB="0" distL="114300" distR="114300" simplePos="0" relativeHeight="251658240" behindDoc="0" locked="0" layoutInCell="1" allowOverlap="1">
            <wp:simplePos x="0" y="0"/>
            <wp:positionH relativeFrom="column">
              <wp:posOffset>4369435</wp:posOffset>
            </wp:positionH>
            <wp:positionV relativeFrom="paragraph">
              <wp:posOffset>1440815</wp:posOffset>
            </wp:positionV>
            <wp:extent cx="2346325" cy="2371090"/>
            <wp:effectExtent l="0" t="0" r="0"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6325" cy="2371090"/>
                    </a:xfrm>
                    <a:prstGeom prst="rect">
                      <a:avLst/>
                    </a:prstGeom>
                    <a:noFill/>
                  </pic:spPr>
                </pic:pic>
              </a:graphicData>
            </a:graphic>
            <wp14:sizeRelH relativeFrom="margin">
              <wp14:pctWidth>0</wp14:pctWidth>
            </wp14:sizeRelH>
            <wp14:sizeRelV relativeFrom="margin">
              <wp14:pctHeight>0</wp14:pctHeight>
            </wp14:sizeRelV>
          </wp:anchor>
        </w:drawing>
      </w:r>
      <w:r w:rsidRPr="00D84246">
        <w:rPr>
          <w:rStyle w:val="Heading3Char"/>
          <w:b/>
          <w:noProof/>
          <w:color w:val="auto"/>
        </w:rPr>
        <w:drawing>
          <wp:anchor distT="0" distB="0" distL="114300" distR="114300" simplePos="0" relativeHeight="251657216" behindDoc="0" locked="0" layoutInCell="1" allowOverlap="1">
            <wp:simplePos x="0" y="0"/>
            <wp:positionH relativeFrom="column">
              <wp:posOffset>1922780</wp:posOffset>
            </wp:positionH>
            <wp:positionV relativeFrom="paragraph">
              <wp:posOffset>1445260</wp:posOffset>
            </wp:positionV>
            <wp:extent cx="2371725" cy="2371725"/>
            <wp:effectExtent l="0" t="0" r="9525" b="9525"/>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pic:spPr>
                </pic:pic>
              </a:graphicData>
            </a:graphic>
            <wp14:sizeRelH relativeFrom="margin">
              <wp14:pctWidth>0</wp14:pctWidth>
            </wp14:sizeRelH>
            <wp14:sizeRelV relativeFrom="margin">
              <wp14:pctHeight>0</wp14:pctHeight>
            </wp14:sizeRelV>
          </wp:anchor>
        </w:drawing>
      </w:r>
      <w:r w:rsidRPr="00D84246">
        <w:rPr>
          <w:rStyle w:val="Heading3Char"/>
          <w:b/>
          <w:noProof/>
          <w:color w:val="auto"/>
        </w:rPr>
        <w:drawing>
          <wp:anchor distT="0" distB="0" distL="114300" distR="114300" simplePos="0" relativeHeight="251656192" behindDoc="0" locked="0" layoutInCell="1" allowOverlap="1">
            <wp:simplePos x="0" y="0"/>
            <wp:positionH relativeFrom="column">
              <wp:posOffset>-520539</wp:posOffset>
            </wp:positionH>
            <wp:positionV relativeFrom="paragraph">
              <wp:posOffset>1440815</wp:posOffset>
            </wp:positionV>
            <wp:extent cx="2384425" cy="2367280"/>
            <wp:effectExtent l="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4425" cy="2367280"/>
                    </a:xfrm>
                    <a:prstGeom prst="rect">
                      <a:avLst/>
                    </a:prstGeom>
                    <a:noFill/>
                  </pic:spPr>
                </pic:pic>
              </a:graphicData>
            </a:graphic>
            <wp14:sizeRelH relativeFrom="margin">
              <wp14:pctWidth>0</wp14:pctWidth>
            </wp14:sizeRelH>
            <wp14:sizeRelV relativeFrom="margin">
              <wp14:pctHeight>0</wp14:pctHeight>
            </wp14:sizeRelV>
          </wp:anchor>
        </w:drawing>
      </w:r>
      <w:r w:rsidR="00BC69AE">
        <w:rPr>
          <w:noProof/>
        </w:rPr>
        <mc:AlternateContent>
          <mc:Choice Requires="wps">
            <w:drawing>
              <wp:anchor distT="0" distB="0" distL="114300" distR="114300" simplePos="0" relativeHeight="251679744" behindDoc="0" locked="0" layoutInCell="1" allowOverlap="1" wp14:anchorId="4F2C6D8A" wp14:editId="76733127">
                <wp:simplePos x="0" y="0"/>
                <wp:positionH relativeFrom="column">
                  <wp:posOffset>-457200</wp:posOffset>
                </wp:positionH>
                <wp:positionV relativeFrom="paragraph">
                  <wp:posOffset>3970891</wp:posOffset>
                </wp:positionV>
                <wp:extent cx="7239635" cy="635"/>
                <wp:effectExtent l="0" t="0" r="0" b="3810"/>
                <wp:wrapTopAndBottom/>
                <wp:docPr id="22" name="Text Box 22"/>
                <wp:cNvGraphicFramePr/>
                <a:graphic xmlns:a="http://schemas.openxmlformats.org/drawingml/2006/main">
                  <a:graphicData uri="http://schemas.microsoft.com/office/word/2010/wordprocessingShape">
                    <wps:wsp>
                      <wps:cNvSpPr txBox="1"/>
                      <wps:spPr>
                        <a:xfrm>
                          <a:off x="0" y="0"/>
                          <a:ext cx="7239635" cy="635"/>
                        </a:xfrm>
                        <a:prstGeom prst="rect">
                          <a:avLst/>
                        </a:prstGeom>
                        <a:solidFill>
                          <a:prstClr val="white"/>
                        </a:solidFill>
                        <a:ln>
                          <a:noFill/>
                        </a:ln>
                      </wps:spPr>
                      <wps:txbx>
                        <w:txbxContent>
                          <w:p w:rsidR="00ED05BD" w:rsidRPr="00DA0590" w:rsidRDefault="00ED05BD" w:rsidP="00DA0590">
                            <w:pPr>
                              <w:pStyle w:val="Caption"/>
                              <w:jc w:val="center"/>
                              <w:rPr>
                                <w:b/>
                                <w:color w:val="auto"/>
                                <w:sz w:val="20"/>
                                <w:szCs w:val="20"/>
                                <w:lang w:val="en-US"/>
                              </w:rPr>
                            </w:pPr>
                            <w:bookmarkStart w:id="97" w:name="_Ref29914292"/>
                            <w:r>
                              <w:rPr>
                                <w:color w:val="auto"/>
                                <w:sz w:val="20"/>
                                <w:szCs w:val="20"/>
                                <w:lang w:val="en-US"/>
                              </w:rPr>
                              <w:t>Figure</w:t>
                            </w:r>
                            <w:r w:rsidRPr="00DA0590">
                              <w:rPr>
                                <w:color w:val="auto"/>
                                <w:sz w:val="20"/>
                                <w:szCs w:val="20"/>
                                <w:lang w:val="en-US"/>
                              </w:rPr>
                              <w:t xml:space="preserve"> </w:t>
                            </w:r>
                            <w:r w:rsidRPr="00DA0590">
                              <w:rPr>
                                <w:color w:val="auto"/>
                                <w:sz w:val="20"/>
                                <w:szCs w:val="20"/>
                              </w:rPr>
                              <w:fldChar w:fldCharType="begin"/>
                            </w:r>
                            <w:r w:rsidRPr="00DA0590">
                              <w:rPr>
                                <w:color w:val="auto"/>
                                <w:sz w:val="20"/>
                                <w:szCs w:val="20"/>
                                <w:lang w:val="en-US"/>
                              </w:rPr>
                              <w:instrText xml:space="preserve"> SEQ Figure \* ARABIC </w:instrText>
                            </w:r>
                            <w:r w:rsidRPr="00DA0590">
                              <w:rPr>
                                <w:color w:val="auto"/>
                                <w:sz w:val="20"/>
                                <w:szCs w:val="20"/>
                              </w:rPr>
                              <w:fldChar w:fldCharType="separate"/>
                            </w:r>
                            <w:r>
                              <w:rPr>
                                <w:noProof/>
                                <w:color w:val="auto"/>
                                <w:sz w:val="20"/>
                                <w:szCs w:val="20"/>
                                <w:lang w:val="en-US"/>
                              </w:rPr>
                              <w:t>34</w:t>
                            </w:r>
                            <w:r w:rsidRPr="00DA0590">
                              <w:rPr>
                                <w:color w:val="auto"/>
                                <w:sz w:val="20"/>
                                <w:szCs w:val="20"/>
                              </w:rPr>
                              <w:fldChar w:fldCharType="end"/>
                            </w:r>
                            <w:bookmarkEnd w:id="97"/>
                            <w:r w:rsidRPr="00DA0590">
                              <w:rPr>
                                <w:color w:val="auto"/>
                                <w:sz w:val="20"/>
                                <w:szCs w:val="20"/>
                                <w:lang w:val="en-US"/>
                              </w:rPr>
                              <w:t xml:space="preserve">: Optical micrographs of the encapsulation experiments of pH-PS with nPS. </w:t>
                            </w:r>
                            <w:r w:rsidRPr="00DA0590">
                              <w:rPr>
                                <w:b/>
                                <w:color w:val="auto"/>
                                <w:sz w:val="20"/>
                                <w:szCs w:val="20"/>
                                <w:lang w:val="en-US"/>
                              </w:rPr>
                              <w:t>A</w:t>
                            </w:r>
                            <w:r w:rsidRPr="00DA0590">
                              <w:rPr>
                                <w:color w:val="auto"/>
                                <w:sz w:val="20"/>
                                <w:szCs w:val="20"/>
                                <w:lang w:val="en-US"/>
                              </w:rPr>
                              <w:t xml:space="preserve">: pH 3, </w:t>
                            </w:r>
                            <w:r w:rsidRPr="00DA0590">
                              <w:rPr>
                                <w:b/>
                                <w:color w:val="auto"/>
                                <w:sz w:val="20"/>
                                <w:szCs w:val="20"/>
                                <w:lang w:val="en-US"/>
                              </w:rPr>
                              <w:t>B</w:t>
                            </w:r>
                            <w:r w:rsidRPr="00DA0590">
                              <w:rPr>
                                <w:color w:val="auto"/>
                                <w:sz w:val="20"/>
                                <w:szCs w:val="20"/>
                                <w:lang w:val="en-US"/>
                              </w:rPr>
                              <w:t xml:space="preserve">: pH 6.5, </w:t>
                            </w:r>
                            <w:r w:rsidRPr="00DA0590">
                              <w:rPr>
                                <w:b/>
                                <w:color w:val="auto"/>
                                <w:sz w:val="20"/>
                                <w:szCs w:val="20"/>
                                <w:lang w:val="en-US"/>
                              </w:rPr>
                              <w:t>C</w:t>
                            </w:r>
                            <w:r w:rsidRPr="00DA0590">
                              <w:rPr>
                                <w:color w:val="auto"/>
                                <w:sz w:val="20"/>
                                <w:szCs w:val="20"/>
                                <w:lang w:val="en-US"/>
                              </w:rPr>
                              <w:t>: pH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2C6D8A" id="Text Box 22" o:spid="_x0000_s1028" type="#_x0000_t202" style="position:absolute;margin-left:-36pt;margin-top:312.65pt;width:570.05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" stroked="f">
                <v:textbox style="mso-fit-shape-to-text:t" inset="0,0,0,0">
                  <w:txbxContent>
                    <w:p w:rsidR="00ED05BD" w:rsidRPr="00DA0590" w:rsidRDefault="00ED05BD" w:rsidP="00DA0590">
                      <w:pPr>
                        <w:pStyle w:val="Caption"/>
                        <w:jc w:val="center"/>
                        <w:rPr>
                          <w:b/>
                          <w:color w:val="auto"/>
                          <w:sz w:val="20"/>
                          <w:szCs w:val="20"/>
                          <w:lang w:val="en-US"/>
                        </w:rPr>
                      </w:pPr>
                      <w:bookmarkStart w:id="100" w:name="_Ref29914292"/>
                      <w:r>
                        <w:rPr>
                          <w:color w:val="auto"/>
                          <w:sz w:val="20"/>
                          <w:szCs w:val="20"/>
                          <w:lang w:val="en-US"/>
                        </w:rPr>
                        <w:t>Figure</w:t>
                      </w:r>
                      <w:r w:rsidRPr="00DA0590">
                        <w:rPr>
                          <w:color w:val="auto"/>
                          <w:sz w:val="20"/>
                          <w:szCs w:val="20"/>
                          <w:lang w:val="en-US"/>
                        </w:rPr>
                        <w:t xml:space="preserve"> </w:t>
                      </w:r>
                      <w:r w:rsidRPr="00DA0590">
                        <w:rPr>
                          <w:color w:val="auto"/>
                          <w:sz w:val="20"/>
                          <w:szCs w:val="20"/>
                        </w:rPr>
                        <w:fldChar w:fldCharType="begin"/>
                      </w:r>
                      <w:r w:rsidRPr="00DA0590">
                        <w:rPr>
                          <w:color w:val="auto"/>
                          <w:sz w:val="20"/>
                          <w:szCs w:val="20"/>
                          <w:lang w:val="en-US"/>
                        </w:rPr>
                        <w:instrText xml:space="preserve"> SEQ Figure \* ARABIC </w:instrText>
                      </w:r>
                      <w:r w:rsidRPr="00DA0590">
                        <w:rPr>
                          <w:color w:val="auto"/>
                          <w:sz w:val="20"/>
                          <w:szCs w:val="20"/>
                        </w:rPr>
                        <w:fldChar w:fldCharType="separate"/>
                      </w:r>
                      <w:r>
                        <w:rPr>
                          <w:noProof/>
                          <w:color w:val="auto"/>
                          <w:sz w:val="20"/>
                          <w:szCs w:val="20"/>
                          <w:lang w:val="en-US"/>
                        </w:rPr>
                        <w:t>34</w:t>
                      </w:r>
                      <w:r w:rsidRPr="00DA0590">
                        <w:rPr>
                          <w:color w:val="auto"/>
                          <w:sz w:val="20"/>
                          <w:szCs w:val="20"/>
                        </w:rPr>
                        <w:fldChar w:fldCharType="end"/>
                      </w:r>
                      <w:bookmarkEnd w:id="100"/>
                      <w:r w:rsidRPr="00DA0590">
                        <w:rPr>
                          <w:color w:val="auto"/>
                          <w:sz w:val="20"/>
                          <w:szCs w:val="20"/>
                          <w:lang w:val="en-US"/>
                        </w:rPr>
                        <w:t xml:space="preserve">: Optical micrographs of the encapsulation experiments of pH-PS with </w:t>
                      </w:r>
                      <w:proofErr w:type="spellStart"/>
                      <w:r w:rsidRPr="00DA0590">
                        <w:rPr>
                          <w:color w:val="auto"/>
                          <w:sz w:val="20"/>
                          <w:szCs w:val="20"/>
                          <w:lang w:val="en-US"/>
                        </w:rPr>
                        <w:t>nPS</w:t>
                      </w:r>
                      <w:proofErr w:type="spellEnd"/>
                      <w:r w:rsidRPr="00DA0590">
                        <w:rPr>
                          <w:color w:val="auto"/>
                          <w:sz w:val="20"/>
                          <w:szCs w:val="20"/>
                          <w:lang w:val="en-US"/>
                        </w:rPr>
                        <w:t xml:space="preserve">. </w:t>
                      </w:r>
                      <w:r w:rsidRPr="00DA0590">
                        <w:rPr>
                          <w:b/>
                          <w:color w:val="auto"/>
                          <w:sz w:val="20"/>
                          <w:szCs w:val="20"/>
                          <w:lang w:val="en-US"/>
                        </w:rPr>
                        <w:t>A</w:t>
                      </w:r>
                      <w:r w:rsidRPr="00DA0590">
                        <w:rPr>
                          <w:color w:val="auto"/>
                          <w:sz w:val="20"/>
                          <w:szCs w:val="20"/>
                          <w:lang w:val="en-US"/>
                        </w:rPr>
                        <w:t xml:space="preserve">: pH 3, </w:t>
                      </w:r>
                      <w:r w:rsidRPr="00DA0590">
                        <w:rPr>
                          <w:b/>
                          <w:color w:val="auto"/>
                          <w:sz w:val="20"/>
                          <w:szCs w:val="20"/>
                          <w:lang w:val="en-US"/>
                        </w:rPr>
                        <w:t>B</w:t>
                      </w:r>
                      <w:r w:rsidRPr="00DA0590">
                        <w:rPr>
                          <w:color w:val="auto"/>
                          <w:sz w:val="20"/>
                          <w:szCs w:val="20"/>
                          <w:lang w:val="en-US"/>
                        </w:rPr>
                        <w:t xml:space="preserve">: pH 6.5, </w:t>
                      </w:r>
                      <w:r w:rsidRPr="00DA0590">
                        <w:rPr>
                          <w:b/>
                          <w:color w:val="auto"/>
                          <w:sz w:val="20"/>
                          <w:szCs w:val="20"/>
                          <w:lang w:val="en-US"/>
                        </w:rPr>
                        <w:t>C</w:t>
                      </w:r>
                      <w:r w:rsidRPr="00DA0590">
                        <w:rPr>
                          <w:color w:val="auto"/>
                          <w:sz w:val="20"/>
                          <w:szCs w:val="20"/>
                          <w:lang w:val="en-US"/>
                        </w:rPr>
                        <w:t>: pH 10</w:t>
                      </w:r>
                    </w:p>
                  </w:txbxContent>
                </v:textbox>
                <w10:wrap type="topAndBottom"/>
              </v:shape>
            </w:pict>
          </mc:Fallback>
        </mc:AlternateContent>
      </w:r>
      <w:r w:rsidR="0066726E" w:rsidRPr="00DA0590">
        <w:rPr>
          <w:lang w:val="en-US"/>
        </w:rPr>
        <w:t xml:space="preserve">The optical micrographs for the encapsulation experiment of pH-PS with nPS at different pH values is shown </w:t>
      </w:r>
      <w:r w:rsidR="0066726E" w:rsidRPr="00F51683">
        <w:rPr>
          <w:lang w:val="en-US"/>
        </w:rPr>
        <w:t xml:space="preserve">in </w:t>
      </w:r>
      <w:r w:rsidR="00884EE9" w:rsidRPr="00F51683">
        <w:rPr>
          <w:lang w:val="en-US"/>
        </w:rPr>
        <w:fldChar w:fldCharType="begin"/>
      </w:r>
      <w:r w:rsidR="00884EE9" w:rsidRPr="00F51683">
        <w:rPr>
          <w:lang w:val="en-US"/>
        </w:rPr>
        <w:instrText xml:space="preserve"> REF _Ref29914292 \h  \* MERGEFORMAT </w:instrText>
      </w:r>
      <w:r w:rsidR="00884EE9" w:rsidRPr="00F51683">
        <w:rPr>
          <w:lang w:val="en-US"/>
        </w:rPr>
      </w:r>
      <w:r w:rsidR="00884EE9" w:rsidRPr="00F51683">
        <w:rPr>
          <w:lang w:val="en-US"/>
        </w:rPr>
        <w:fldChar w:fldCharType="separate"/>
      </w:r>
      <w:r w:rsidR="00C52506" w:rsidRPr="00C52506">
        <w:rPr>
          <w:lang w:val="en-US"/>
        </w:rPr>
        <w:t xml:space="preserve">Figure </w:t>
      </w:r>
      <w:r w:rsidR="00C52506" w:rsidRPr="00C52506">
        <w:rPr>
          <w:noProof/>
          <w:lang w:val="en-US"/>
        </w:rPr>
        <w:t>34</w:t>
      </w:r>
      <w:r w:rsidR="00884EE9" w:rsidRPr="00F51683">
        <w:rPr>
          <w:lang w:val="en-US"/>
        </w:rPr>
        <w:fldChar w:fldCharType="end"/>
      </w:r>
      <w:r w:rsidR="0066726E" w:rsidRPr="00F51683">
        <w:rPr>
          <w:lang w:val="en-US"/>
        </w:rPr>
        <w:t>.</w:t>
      </w:r>
      <w:r w:rsidR="0066726E" w:rsidRPr="00DA0590">
        <w:rPr>
          <w:lang w:val="en-US"/>
        </w:rPr>
        <w:t xml:space="preserve"> </w:t>
      </w:r>
      <w:r w:rsidR="0066726E" w:rsidRPr="007C52D1">
        <w:rPr>
          <w:lang w:val="en-US"/>
        </w:rPr>
        <w:t xml:space="preserve">In </w:t>
      </w:r>
      <w:r w:rsidR="00FB53D0">
        <w:rPr>
          <w:lang w:val="en-US"/>
        </w:rPr>
        <w:t>acidic conditions</w:t>
      </w:r>
      <w:r w:rsidR="0066726E" w:rsidRPr="007C52D1">
        <w:rPr>
          <w:lang w:val="en-US"/>
        </w:rPr>
        <w:t>, it can be seen that densely packed clusters have formed</w:t>
      </w:r>
      <w:r w:rsidR="00FB53D0">
        <w:rPr>
          <w:lang w:val="en-US"/>
        </w:rPr>
        <w:t xml:space="preserve"> (</w:t>
      </w:r>
      <w:r w:rsidR="00FB53D0" w:rsidRPr="00F51683">
        <w:rPr>
          <w:lang w:val="en-US"/>
        </w:rPr>
        <w:fldChar w:fldCharType="begin"/>
      </w:r>
      <w:r w:rsidR="00FB53D0" w:rsidRPr="00F51683">
        <w:rPr>
          <w:lang w:val="en-US"/>
        </w:rPr>
        <w:instrText xml:space="preserve"> REF _Ref29914292 \h  \* MERGEFORMAT </w:instrText>
      </w:r>
      <w:r w:rsidR="00FB53D0" w:rsidRPr="00F51683">
        <w:rPr>
          <w:lang w:val="en-US"/>
        </w:rPr>
      </w:r>
      <w:r w:rsidR="00FB53D0" w:rsidRPr="00F51683">
        <w:rPr>
          <w:lang w:val="en-US"/>
        </w:rPr>
        <w:fldChar w:fldCharType="separate"/>
      </w:r>
      <w:r w:rsidR="00FB53D0" w:rsidRPr="00C52506">
        <w:rPr>
          <w:lang w:val="en-US"/>
        </w:rPr>
        <w:t xml:space="preserve">Figure </w:t>
      </w:r>
      <w:r w:rsidR="00FB53D0" w:rsidRPr="00C52506">
        <w:rPr>
          <w:noProof/>
          <w:lang w:val="en-US"/>
        </w:rPr>
        <w:t>34</w:t>
      </w:r>
      <w:r w:rsidR="00FB53D0" w:rsidRPr="00F51683">
        <w:rPr>
          <w:lang w:val="en-US"/>
        </w:rPr>
        <w:fldChar w:fldCharType="end"/>
      </w:r>
      <w:r w:rsidR="00FB53D0">
        <w:rPr>
          <w:lang w:val="en-US"/>
        </w:rPr>
        <w:t>A). At neutral pH, both packed and bare pH-PS particles are observed (</w:t>
      </w:r>
      <w:r w:rsidR="00FB53D0" w:rsidRPr="00F51683">
        <w:rPr>
          <w:lang w:val="en-US"/>
        </w:rPr>
        <w:fldChar w:fldCharType="begin"/>
      </w:r>
      <w:r w:rsidR="00FB53D0" w:rsidRPr="00F51683">
        <w:rPr>
          <w:lang w:val="en-US"/>
        </w:rPr>
        <w:instrText xml:space="preserve"> REF _Ref29914292 \h  \* MERGEFORMAT </w:instrText>
      </w:r>
      <w:r w:rsidR="00FB53D0" w:rsidRPr="00F51683">
        <w:rPr>
          <w:lang w:val="en-US"/>
        </w:rPr>
      </w:r>
      <w:r w:rsidR="00FB53D0" w:rsidRPr="00F51683">
        <w:rPr>
          <w:lang w:val="en-US"/>
        </w:rPr>
        <w:fldChar w:fldCharType="separate"/>
      </w:r>
      <w:r w:rsidR="00FB53D0" w:rsidRPr="00C52506">
        <w:rPr>
          <w:lang w:val="en-US"/>
        </w:rPr>
        <w:t xml:space="preserve">Figure </w:t>
      </w:r>
      <w:r w:rsidR="00FB53D0" w:rsidRPr="00C52506">
        <w:rPr>
          <w:noProof/>
          <w:lang w:val="en-US"/>
        </w:rPr>
        <w:t>34</w:t>
      </w:r>
      <w:r w:rsidR="00FB53D0" w:rsidRPr="00F51683">
        <w:rPr>
          <w:lang w:val="en-US"/>
        </w:rPr>
        <w:fldChar w:fldCharType="end"/>
      </w:r>
      <w:r w:rsidR="00FB53D0">
        <w:rPr>
          <w:lang w:val="en-US"/>
        </w:rPr>
        <w:t>B). At</w:t>
      </w:r>
      <w:r w:rsidR="0066726E" w:rsidRPr="007C52D1">
        <w:rPr>
          <w:lang w:val="en-US"/>
        </w:rPr>
        <w:t xml:space="preserve"> basic pH, the surface of pH-PS remains uncovered</w:t>
      </w:r>
      <w:r w:rsidR="00FB53D0">
        <w:rPr>
          <w:lang w:val="en-US"/>
        </w:rPr>
        <w:t xml:space="preserve"> (</w:t>
      </w:r>
      <w:r w:rsidR="00FB53D0" w:rsidRPr="00F51683">
        <w:rPr>
          <w:lang w:val="en-US"/>
        </w:rPr>
        <w:fldChar w:fldCharType="begin"/>
      </w:r>
      <w:r w:rsidR="00FB53D0" w:rsidRPr="00F51683">
        <w:rPr>
          <w:lang w:val="en-US"/>
        </w:rPr>
        <w:instrText xml:space="preserve"> REF _Ref29914292 \h  \* MERGEFORMAT </w:instrText>
      </w:r>
      <w:r w:rsidR="00FB53D0" w:rsidRPr="00F51683">
        <w:rPr>
          <w:lang w:val="en-US"/>
        </w:rPr>
      </w:r>
      <w:r w:rsidR="00FB53D0" w:rsidRPr="00F51683">
        <w:rPr>
          <w:lang w:val="en-US"/>
        </w:rPr>
        <w:fldChar w:fldCharType="separate"/>
      </w:r>
      <w:r w:rsidR="00FB53D0" w:rsidRPr="00C52506">
        <w:rPr>
          <w:lang w:val="en-US"/>
        </w:rPr>
        <w:t xml:space="preserve">Figure </w:t>
      </w:r>
      <w:r w:rsidR="00FB53D0" w:rsidRPr="00C52506">
        <w:rPr>
          <w:noProof/>
          <w:lang w:val="en-US"/>
        </w:rPr>
        <w:t>34</w:t>
      </w:r>
      <w:r w:rsidR="00FB53D0" w:rsidRPr="00F51683">
        <w:rPr>
          <w:lang w:val="en-US"/>
        </w:rPr>
        <w:fldChar w:fldCharType="end"/>
      </w:r>
      <w:r w:rsidR="00FB53D0">
        <w:rPr>
          <w:lang w:val="en-US"/>
        </w:rPr>
        <w:t>C)</w:t>
      </w:r>
      <w:r w:rsidR="0066726E" w:rsidRPr="007C52D1">
        <w:rPr>
          <w:lang w:val="en-US"/>
        </w:rPr>
        <w:t xml:space="preserve">. </w:t>
      </w:r>
      <w:r w:rsidR="00FB53D0">
        <w:rPr>
          <w:lang w:val="en-US"/>
        </w:rPr>
        <w:t>It should be noted, however, that at</w:t>
      </w:r>
      <w:r w:rsidR="0066726E" w:rsidRPr="007C52D1">
        <w:rPr>
          <w:lang w:val="en-US"/>
        </w:rPr>
        <w:t xml:space="preserve"> basic conditions, there are at most a few nPS particles that decorate the surface of pH-PS.</w:t>
      </w:r>
      <w:r w:rsidR="00064A40">
        <w:rPr>
          <w:lang w:val="en-US"/>
        </w:rPr>
        <w:t xml:space="preserve"> </w:t>
      </w:r>
      <w:r w:rsidR="00F27802">
        <w:rPr>
          <w:lang w:val="en-US"/>
        </w:rPr>
        <w:t>Furthermore,</w:t>
      </w:r>
      <w:r w:rsidR="00064A40">
        <w:rPr>
          <w:lang w:val="en-US"/>
        </w:rPr>
        <w:t xml:space="preserve"> the clusters all move as</w:t>
      </w:r>
      <w:r w:rsidR="00F27802">
        <w:rPr>
          <w:lang w:val="en-US"/>
        </w:rPr>
        <w:t xml:space="preserve"> a whole particle, meaning that no individual movement of nPS on the surface of pH-PS was observed.</w:t>
      </w:r>
      <w:r w:rsidR="0066726E" w:rsidRPr="007C52D1">
        <w:rPr>
          <w:lang w:val="en-US"/>
        </w:rPr>
        <w:t xml:space="preserve"> </w:t>
      </w:r>
      <w:r w:rsidR="00F27802">
        <w:rPr>
          <w:lang w:val="en-US"/>
        </w:rPr>
        <w:t xml:space="preserve">This suggests that the clusters are formed via a random </w:t>
      </w:r>
      <w:r w:rsidR="00434B02">
        <w:rPr>
          <w:lang w:val="en-US"/>
        </w:rPr>
        <w:t xml:space="preserve">sequential </w:t>
      </w:r>
      <w:r w:rsidR="00AD6F1D">
        <w:rPr>
          <w:lang w:val="en-US"/>
        </w:rPr>
        <w:t>adsorption</w:t>
      </w:r>
      <w:r w:rsidR="00F27802">
        <w:rPr>
          <w:lang w:val="en-US"/>
        </w:rPr>
        <w:t xml:space="preserve"> mechanism. </w:t>
      </w:r>
      <w:r w:rsidR="0066726E" w:rsidRPr="007C52D1">
        <w:rPr>
          <w:lang w:val="en-US"/>
        </w:rPr>
        <w:t xml:space="preserve">Further analysis on the formation of these clusters will be discussed later. </w:t>
      </w:r>
    </w:p>
    <w:p w:rsidR="0066726E" w:rsidRPr="002D2B62" w:rsidRDefault="0066726E" w:rsidP="00FC7A2B">
      <w:pPr>
        <w:spacing w:line="240" w:lineRule="auto"/>
        <w:rPr>
          <w:rStyle w:val="SubtleEmphasis"/>
          <w:color w:val="auto"/>
          <w:lang w:val="en-US"/>
        </w:rPr>
      </w:pPr>
      <w:r w:rsidRPr="00DA0590">
        <w:rPr>
          <w:lang w:val="en-US"/>
        </w:rPr>
        <w:lastRenderedPageBreak/>
        <w:t xml:space="preserve">After overnight equilibration, the neutral and acidic samples became unstable, as many particles have aggregated and migrated to the interface and the walls of the vial as macroscopic aggregates. </w:t>
      </w:r>
      <w:r w:rsidRPr="007C52D1">
        <w:rPr>
          <w:lang w:val="en-US"/>
        </w:rPr>
        <w:t xml:space="preserve">This migration of particles </w:t>
      </w:r>
      <w:r w:rsidR="00FB53D0">
        <w:rPr>
          <w:lang w:val="en-US"/>
        </w:rPr>
        <w:t>at</w:t>
      </w:r>
      <w:r w:rsidRPr="007C52D1">
        <w:rPr>
          <w:lang w:val="en-US"/>
        </w:rPr>
        <w:t xml:space="preserve"> pH 3 was so strong, that the particle dispersion turned from turbid to transparent</w:t>
      </w:r>
      <w:r w:rsidR="00FB53D0">
        <w:rPr>
          <w:lang w:val="en-US"/>
        </w:rPr>
        <w:t xml:space="preserve"> within only a few minutes</w:t>
      </w:r>
      <w:r w:rsidR="00335E5B">
        <w:rPr>
          <w:lang w:val="en-US"/>
        </w:rPr>
        <w:t>.</w:t>
      </w:r>
      <w:r w:rsidRPr="007C52D1">
        <w:rPr>
          <w:lang w:val="en-US"/>
        </w:rPr>
        <w:t xml:space="preserve"> </w:t>
      </w:r>
      <w:r w:rsidR="00FB53D0">
        <w:rPr>
          <w:lang w:val="en-US"/>
        </w:rPr>
        <w:t xml:space="preserve">For neutral pH dispersions, this effect was observed to occur over a duration of days. </w:t>
      </w:r>
      <w:r w:rsidRPr="007C52D1">
        <w:rPr>
          <w:lang w:val="en-US"/>
        </w:rPr>
        <w:t xml:space="preserve">To see whether this massive aggregation could be reversed, an amount of base was added to raise the pH value to pH 9-10. This instantly resulted in the recovery of a turbid dispersion after shaking the vial by hand. </w:t>
      </w:r>
      <w:r w:rsidRPr="009879B7">
        <w:rPr>
          <w:lang w:val="en-US"/>
        </w:rPr>
        <w:t xml:space="preserve">A visual representation of these macroscopically visible observations is shown in </w:t>
      </w:r>
      <w:r w:rsidR="00884EE9" w:rsidRPr="00FB53D0">
        <w:rPr>
          <w:lang w:val="en-US"/>
        </w:rPr>
        <w:fldChar w:fldCharType="begin"/>
      </w:r>
      <w:r w:rsidR="00884EE9" w:rsidRPr="00FB53D0">
        <w:rPr>
          <w:lang w:val="en-US"/>
        </w:rPr>
        <w:instrText xml:space="preserve"> REF _Ref29914308 \h  \* MERGEFORMAT </w:instrText>
      </w:r>
      <w:r w:rsidR="00884EE9" w:rsidRPr="00FB53D0">
        <w:rPr>
          <w:lang w:val="en-US"/>
        </w:rPr>
      </w:r>
      <w:r w:rsidR="00884EE9" w:rsidRPr="00FB53D0">
        <w:rPr>
          <w:lang w:val="en-US"/>
        </w:rPr>
        <w:fldChar w:fldCharType="separate"/>
      </w:r>
      <w:r w:rsidR="00C52506" w:rsidRPr="00FB53D0">
        <w:rPr>
          <w:lang w:val="en-US"/>
        </w:rPr>
        <w:t xml:space="preserve">Figure </w:t>
      </w:r>
      <w:r w:rsidR="00C52506" w:rsidRPr="00FB53D0">
        <w:rPr>
          <w:noProof/>
          <w:lang w:val="en-US"/>
        </w:rPr>
        <w:t>35</w:t>
      </w:r>
      <w:r w:rsidR="00884EE9" w:rsidRPr="00FB53D0">
        <w:rPr>
          <w:lang w:val="en-US"/>
        </w:rPr>
        <w:fldChar w:fldCharType="end"/>
      </w:r>
      <w:r w:rsidRPr="00FB53D0">
        <w:rPr>
          <w:lang w:val="en-US"/>
        </w:rPr>
        <w:t>.</w:t>
      </w:r>
      <w:r w:rsidRPr="00D84246">
        <w:rPr>
          <w:rStyle w:val="SubtleEmphasis"/>
          <w:i w:val="0"/>
          <w:color w:val="auto"/>
          <w:lang w:val="en-US"/>
        </w:rPr>
        <w:t xml:space="preserve"> </w:t>
      </w:r>
    </w:p>
    <w:p w:rsidR="0066726E" w:rsidRDefault="002D2B62" w:rsidP="00FC7A2B">
      <w:pPr>
        <w:spacing w:line="240" w:lineRule="auto"/>
        <w:jc w:val="center"/>
        <w:rPr>
          <w:rStyle w:val="SubtleEmphasis"/>
          <w:i w:val="0"/>
          <w:lang w:val="en-US"/>
        </w:rPr>
      </w:pPr>
      <w:r>
        <w:rPr>
          <w:iCs/>
          <w:noProof/>
          <w:color w:val="404040" w:themeColor="text1" w:themeTint="BF"/>
          <w:lang w:val="en-US"/>
        </w:rPr>
        <w:drawing>
          <wp:inline distT="0" distB="0" distL="0" distR="0">
            <wp:extent cx="4355388" cy="1832852"/>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PS reversibility macro.jpg"/>
                    <pic:cNvPicPr/>
                  </pic:nvPicPr>
                  <pic:blipFill>
                    <a:blip r:embed="rId56">
                      <a:extLst>
                        <a:ext uri="{28A0092B-C50C-407E-A947-70E740481C1C}">
                          <a14:useLocalDpi xmlns:a14="http://schemas.microsoft.com/office/drawing/2010/main" val="0"/>
                        </a:ext>
                      </a:extLst>
                    </a:blip>
                    <a:stretch>
                      <a:fillRect/>
                    </a:stretch>
                  </pic:blipFill>
                  <pic:spPr>
                    <a:xfrm>
                      <a:off x="0" y="0"/>
                      <a:ext cx="4413831" cy="1857446"/>
                    </a:xfrm>
                    <a:prstGeom prst="rect">
                      <a:avLst/>
                    </a:prstGeom>
                  </pic:spPr>
                </pic:pic>
              </a:graphicData>
            </a:graphic>
          </wp:inline>
        </w:drawing>
      </w:r>
    </w:p>
    <w:p w:rsidR="0066726E" w:rsidRPr="009879B7" w:rsidRDefault="00C82962" w:rsidP="00FC7A2B">
      <w:pPr>
        <w:pStyle w:val="Caption"/>
        <w:jc w:val="center"/>
        <w:rPr>
          <w:i w:val="0"/>
          <w:iCs w:val="0"/>
          <w:color w:val="auto"/>
          <w:sz w:val="20"/>
          <w:szCs w:val="20"/>
          <w:lang w:val="en-US"/>
        </w:rPr>
      </w:pPr>
      <w:bookmarkStart w:id="98" w:name="_Ref29914308"/>
      <w:r>
        <w:rPr>
          <w:color w:val="auto"/>
          <w:sz w:val="20"/>
          <w:szCs w:val="20"/>
          <w:lang w:val="en-US"/>
        </w:rPr>
        <w:t>Figure</w:t>
      </w:r>
      <w:r w:rsidR="009879B7" w:rsidRPr="009879B7">
        <w:rPr>
          <w:color w:val="auto"/>
          <w:sz w:val="20"/>
          <w:szCs w:val="20"/>
          <w:lang w:val="en-US"/>
        </w:rPr>
        <w:t xml:space="preserve"> </w:t>
      </w:r>
      <w:r w:rsidR="009879B7" w:rsidRPr="009879B7">
        <w:rPr>
          <w:color w:val="auto"/>
          <w:sz w:val="20"/>
          <w:szCs w:val="20"/>
        </w:rPr>
        <w:fldChar w:fldCharType="begin"/>
      </w:r>
      <w:r w:rsidR="009879B7" w:rsidRPr="009879B7">
        <w:rPr>
          <w:color w:val="auto"/>
          <w:sz w:val="20"/>
          <w:szCs w:val="20"/>
          <w:lang w:val="en-US"/>
        </w:rPr>
        <w:instrText xml:space="preserve"> SEQ Figure \* ARABIC </w:instrText>
      </w:r>
      <w:r w:rsidR="009879B7" w:rsidRPr="009879B7">
        <w:rPr>
          <w:color w:val="auto"/>
          <w:sz w:val="20"/>
          <w:szCs w:val="20"/>
        </w:rPr>
        <w:fldChar w:fldCharType="separate"/>
      </w:r>
      <w:r w:rsidR="00C52506">
        <w:rPr>
          <w:noProof/>
          <w:color w:val="auto"/>
          <w:sz w:val="20"/>
          <w:szCs w:val="20"/>
          <w:lang w:val="en-US"/>
        </w:rPr>
        <w:t>35</w:t>
      </w:r>
      <w:r w:rsidR="009879B7" w:rsidRPr="009879B7">
        <w:rPr>
          <w:color w:val="auto"/>
          <w:sz w:val="20"/>
          <w:szCs w:val="20"/>
        </w:rPr>
        <w:fldChar w:fldCharType="end"/>
      </w:r>
      <w:bookmarkEnd w:id="98"/>
      <w:r w:rsidR="009879B7" w:rsidRPr="009879B7">
        <w:rPr>
          <w:color w:val="auto"/>
          <w:sz w:val="20"/>
          <w:szCs w:val="20"/>
          <w:lang w:val="en-US"/>
        </w:rPr>
        <w:t>: Reversibility of the formation and dissemblance of macroscopic clusters of nPS and pH-PS from acidic to basic pH.</w:t>
      </w:r>
    </w:p>
    <w:p w:rsidR="00E74C8E" w:rsidRPr="0066726E" w:rsidRDefault="00E74C8E" w:rsidP="00FC7A2B">
      <w:pPr>
        <w:pStyle w:val="Heading3"/>
        <w:numPr>
          <w:ilvl w:val="2"/>
          <w:numId w:val="2"/>
        </w:numPr>
        <w:spacing w:line="240" w:lineRule="auto"/>
        <w:rPr>
          <w:rStyle w:val="SubtleEmphasis"/>
          <w:b/>
          <w:i w:val="0"/>
          <w:color w:val="auto"/>
          <w:lang w:val="en-US"/>
        </w:rPr>
      </w:pPr>
      <w:bookmarkStart w:id="99" w:name="_Toc31892421"/>
      <w:r w:rsidRPr="0066726E">
        <w:rPr>
          <w:rStyle w:val="SubtleEmphasis"/>
          <w:b/>
          <w:i w:val="0"/>
          <w:color w:val="auto"/>
          <w:lang w:val="en-US"/>
        </w:rPr>
        <w:t>Encapsulation of pH-PS with pPS</w:t>
      </w:r>
      <w:bookmarkEnd w:id="99"/>
    </w:p>
    <w:p w:rsidR="00E74C8E" w:rsidRDefault="00FB53D0" w:rsidP="00FC7A2B">
      <w:pPr>
        <w:spacing w:line="240" w:lineRule="auto"/>
        <w:rPr>
          <w:lang w:val="en-US"/>
        </w:rPr>
      </w:pPr>
      <w:r>
        <w:rPr>
          <w:noProof/>
        </w:rPr>
        <mc:AlternateContent>
          <mc:Choice Requires="wps">
            <w:drawing>
              <wp:anchor distT="0" distB="0" distL="114300" distR="114300" simplePos="0" relativeHeight="251681792" behindDoc="0" locked="0" layoutInCell="1" allowOverlap="1" wp14:anchorId="1FBB8158" wp14:editId="775DD1FA">
                <wp:simplePos x="0" y="0"/>
                <wp:positionH relativeFrom="column">
                  <wp:posOffset>-524510</wp:posOffset>
                </wp:positionH>
                <wp:positionV relativeFrom="paragraph">
                  <wp:posOffset>4090708</wp:posOffset>
                </wp:positionV>
                <wp:extent cx="7399020" cy="63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7399020" cy="635"/>
                        </a:xfrm>
                        <a:prstGeom prst="rect">
                          <a:avLst/>
                        </a:prstGeom>
                        <a:solidFill>
                          <a:prstClr val="white"/>
                        </a:solidFill>
                        <a:ln>
                          <a:noFill/>
                        </a:ln>
                      </wps:spPr>
                      <wps:txbx>
                        <w:txbxContent>
                          <w:p w:rsidR="00ED05BD" w:rsidRPr="00DA0590" w:rsidRDefault="00ED05BD" w:rsidP="00DA0590">
                            <w:pPr>
                              <w:pStyle w:val="Caption"/>
                              <w:jc w:val="center"/>
                              <w:rPr>
                                <w:color w:val="auto"/>
                                <w:sz w:val="20"/>
                                <w:szCs w:val="20"/>
                                <w:lang w:val="en-US"/>
                              </w:rPr>
                            </w:pPr>
                            <w:bookmarkStart w:id="100" w:name="_Ref29914326"/>
                            <w:r>
                              <w:rPr>
                                <w:color w:val="auto"/>
                                <w:sz w:val="20"/>
                                <w:szCs w:val="20"/>
                                <w:lang w:val="en-US"/>
                              </w:rPr>
                              <w:t>Figure</w:t>
                            </w:r>
                            <w:r w:rsidRPr="00DA0590">
                              <w:rPr>
                                <w:color w:val="auto"/>
                                <w:sz w:val="20"/>
                                <w:szCs w:val="20"/>
                                <w:lang w:val="en-US"/>
                              </w:rPr>
                              <w:t xml:space="preserve"> </w:t>
                            </w:r>
                            <w:r w:rsidRPr="00DA0590">
                              <w:rPr>
                                <w:color w:val="auto"/>
                                <w:sz w:val="20"/>
                                <w:szCs w:val="20"/>
                              </w:rPr>
                              <w:fldChar w:fldCharType="begin"/>
                            </w:r>
                            <w:r w:rsidRPr="00DA0590">
                              <w:rPr>
                                <w:color w:val="auto"/>
                                <w:sz w:val="20"/>
                                <w:szCs w:val="20"/>
                                <w:lang w:val="en-US"/>
                              </w:rPr>
                              <w:instrText xml:space="preserve"> SEQ Figure \* ARABIC </w:instrText>
                            </w:r>
                            <w:r w:rsidRPr="00DA0590">
                              <w:rPr>
                                <w:color w:val="auto"/>
                                <w:sz w:val="20"/>
                                <w:szCs w:val="20"/>
                              </w:rPr>
                              <w:fldChar w:fldCharType="separate"/>
                            </w:r>
                            <w:r>
                              <w:rPr>
                                <w:noProof/>
                                <w:color w:val="auto"/>
                                <w:sz w:val="20"/>
                                <w:szCs w:val="20"/>
                                <w:lang w:val="en-US"/>
                              </w:rPr>
                              <w:t>36</w:t>
                            </w:r>
                            <w:r w:rsidRPr="00DA0590">
                              <w:rPr>
                                <w:color w:val="auto"/>
                                <w:sz w:val="20"/>
                                <w:szCs w:val="20"/>
                              </w:rPr>
                              <w:fldChar w:fldCharType="end"/>
                            </w:r>
                            <w:bookmarkEnd w:id="100"/>
                            <w:r w:rsidRPr="00DA0590">
                              <w:rPr>
                                <w:color w:val="auto"/>
                                <w:sz w:val="20"/>
                                <w:szCs w:val="20"/>
                                <w:lang w:val="en-US"/>
                              </w:rPr>
                              <w:t xml:space="preserve">: Optical micrographs of the encapsulation experiments of pH-PS with pPS. </w:t>
                            </w:r>
                            <w:r w:rsidRPr="00335E5B">
                              <w:rPr>
                                <w:b/>
                                <w:color w:val="auto"/>
                                <w:sz w:val="20"/>
                                <w:szCs w:val="20"/>
                                <w:lang w:val="en-US"/>
                              </w:rPr>
                              <w:t>A</w:t>
                            </w:r>
                            <w:r w:rsidRPr="00DA0590">
                              <w:rPr>
                                <w:color w:val="auto"/>
                                <w:sz w:val="20"/>
                                <w:szCs w:val="20"/>
                                <w:lang w:val="en-US"/>
                              </w:rPr>
                              <w:t xml:space="preserve">: pH 3, </w:t>
                            </w:r>
                            <w:r w:rsidRPr="00335E5B">
                              <w:rPr>
                                <w:b/>
                                <w:color w:val="auto"/>
                                <w:sz w:val="20"/>
                                <w:szCs w:val="20"/>
                                <w:lang w:val="en-US"/>
                              </w:rPr>
                              <w:t>B</w:t>
                            </w:r>
                            <w:r w:rsidRPr="00DA0590">
                              <w:rPr>
                                <w:color w:val="auto"/>
                                <w:sz w:val="20"/>
                                <w:szCs w:val="20"/>
                                <w:lang w:val="en-US"/>
                              </w:rPr>
                              <w:t xml:space="preserve">: pH 6.5, </w:t>
                            </w:r>
                            <w:r w:rsidRPr="00335E5B">
                              <w:rPr>
                                <w:b/>
                                <w:color w:val="auto"/>
                                <w:sz w:val="20"/>
                                <w:szCs w:val="20"/>
                                <w:lang w:val="en-US"/>
                              </w:rPr>
                              <w:t>C</w:t>
                            </w:r>
                            <w:r w:rsidRPr="00DA0590">
                              <w:rPr>
                                <w:color w:val="auto"/>
                                <w:sz w:val="20"/>
                                <w:szCs w:val="20"/>
                                <w:lang w:val="en-US"/>
                              </w:rPr>
                              <w:t>: pH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BB8158" id="Text Box 23" o:spid="_x0000_s1029" type="#_x0000_t202" style="position:absolute;margin-left:-41.3pt;margin-top:322.1pt;width:582.6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" stroked="f">
                <v:textbox style="mso-fit-shape-to-text:t" inset="0,0,0,0">
                  <w:txbxContent>
                    <w:p w:rsidR="00ED05BD" w:rsidRPr="00DA0590" w:rsidRDefault="00ED05BD" w:rsidP="00DA0590">
                      <w:pPr>
                        <w:pStyle w:val="Caption"/>
                        <w:jc w:val="center"/>
                        <w:rPr>
                          <w:color w:val="auto"/>
                          <w:sz w:val="20"/>
                          <w:szCs w:val="20"/>
                          <w:lang w:val="en-US"/>
                        </w:rPr>
                      </w:pPr>
                      <w:bookmarkStart w:id="104" w:name="_Ref29914326"/>
                      <w:r>
                        <w:rPr>
                          <w:color w:val="auto"/>
                          <w:sz w:val="20"/>
                          <w:szCs w:val="20"/>
                          <w:lang w:val="en-US"/>
                        </w:rPr>
                        <w:t>Figure</w:t>
                      </w:r>
                      <w:r w:rsidRPr="00DA0590">
                        <w:rPr>
                          <w:color w:val="auto"/>
                          <w:sz w:val="20"/>
                          <w:szCs w:val="20"/>
                          <w:lang w:val="en-US"/>
                        </w:rPr>
                        <w:t xml:space="preserve"> </w:t>
                      </w:r>
                      <w:r w:rsidRPr="00DA0590">
                        <w:rPr>
                          <w:color w:val="auto"/>
                          <w:sz w:val="20"/>
                          <w:szCs w:val="20"/>
                        </w:rPr>
                        <w:fldChar w:fldCharType="begin"/>
                      </w:r>
                      <w:r w:rsidRPr="00DA0590">
                        <w:rPr>
                          <w:color w:val="auto"/>
                          <w:sz w:val="20"/>
                          <w:szCs w:val="20"/>
                          <w:lang w:val="en-US"/>
                        </w:rPr>
                        <w:instrText xml:space="preserve"> SEQ Figure \* ARABIC </w:instrText>
                      </w:r>
                      <w:r w:rsidRPr="00DA0590">
                        <w:rPr>
                          <w:color w:val="auto"/>
                          <w:sz w:val="20"/>
                          <w:szCs w:val="20"/>
                        </w:rPr>
                        <w:fldChar w:fldCharType="separate"/>
                      </w:r>
                      <w:r>
                        <w:rPr>
                          <w:noProof/>
                          <w:color w:val="auto"/>
                          <w:sz w:val="20"/>
                          <w:szCs w:val="20"/>
                          <w:lang w:val="en-US"/>
                        </w:rPr>
                        <w:t>36</w:t>
                      </w:r>
                      <w:r w:rsidRPr="00DA0590">
                        <w:rPr>
                          <w:color w:val="auto"/>
                          <w:sz w:val="20"/>
                          <w:szCs w:val="20"/>
                        </w:rPr>
                        <w:fldChar w:fldCharType="end"/>
                      </w:r>
                      <w:bookmarkEnd w:id="104"/>
                      <w:r w:rsidRPr="00DA0590">
                        <w:rPr>
                          <w:color w:val="auto"/>
                          <w:sz w:val="20"/>
                          <w:szCs w:val="20"/>
                          <w:lang w:val="en-US"/>
                        </w:rPr>
                        <w:t xml:space="preserve">: Optical micrographs of the encapsulation experiments of pH-PS with </w:t>
                      </w:r>
                      <w:proofErr w:type="spellStart"/>
                      <w:r w:rsidRPr="00DA0590">
                        <w:rPr>
                          <w:color w:val="auto"/>
                          <w:sz w:val="20"/>
                          <w:szCs w:val="20"/>
                          <w:lang w:val="en-US"/>
                        </w:rPr>
                        <w:t>pPS</w:t>
                      </w:r>
                      <w:proofErr w:type="spellEnd"/>
                      <w:r w:rsidRPr="00DA0590">
                        <w:rPr>
                          <w:color w:val="auto"/>
                          <w:sz w:val="20"/>
                          <w:szCs w:val="20"/>
                          <w:lang w:val="en-US"/>
                        </w:rPr>
                        <w:t xml:space="preserve">. </w:t>
                      </w:r>
                      <w:r w:rsidRPr="00335E5B">
                        <w:rPr>
                          <w:b/>
                          <w:color w:val="auto"/>
                          <w:sz w:val="20"/>
                          <w:szCs w:val="20"/>
                          <w:lang w:val="en-US"/>
                        </w:rPr>
                        <w:t>A</w:t>
                      </w:r>
                      <w:r w:rsidRPr="00DA0590">
                        <w:rPr>
                          <w:color w:val="auto"/>
                          <w:sz w:val="20"/>
                          <w:szCs w:val="20"/>
                          <w:lang w:val="en-US"/>
                        </w:rPr>
                        <w:t xml:space="preserve">: pH 3, </w:t>
                      </w:r>
                      <w:r w:rsidRPr="00335E5B">
                        <w:rPr>
                          <w:b/>
                          <w:color w:val="auto"/>
                          <w:sz w:val="20"/>
                          <w:szCs w:val="20"/>
                          <w:lang w:val="en-US"/>
                        </w:rPr>
                        <w:t>B</w:t>
                      </w:r>
                      <w:r w:rsidRPr="00DA0590">
                        <w:rPr>
                          <w:color w:val="auto"/>
                          <w:sz w:val="20"/>
                          <w:szCs w:val="20"/>
                          <w:lang w:val="en-US"/>
                        </w:rPr>
                        <w:t xml:space="preserve">: pH 6.5, </w:t>
                      </w:r>
                      <w:r w:rsidRPr="00335E5B">
                        <w:rPr>
                          <w:b/>
                          <w:color w:val="auto"/>
                          <w:sz w:val="20"/>
                          <w:szCs w:val="20"/>
                          <w:lang w:val="en-US"/>
                        </w:rPr>
                        <w:t>C</w:t>
                      </w:r>
                      <w:r w:rsidRPr="00DA0590">
                        <w:rPr>
                          <w:color w:val="auto"/>
                          <w:sz w:val="20"/>
                          <w:szCs w:val="20"/>
                          <w:lang w:val="en-US"/>
                        </w:rPr>
                        <w:t>: pH 10.</w:t>
                      </w:r>
                    </w:p>
                  </w:txbxContent>
                </v:textbox>
                <w10:wrap type="topAndBottom"/>
              </v:shape>
            </w:pict>
          </mc:Fallback>
        </mc:AlternateContent>
      </w:r>
      <w:r w:rsidRPr="002056C6">
        <w:rPr>
          <w:noProof/>
        </w:rPr>
        <w:drawing>
          <wp:anchor distT="0" distB="0" distL="114300" distR="114300" simplePos="0" relativeHeight="251660288" behindDoc="0" locked="0" layoutInCell="1" allowOverlap="1">
            <wp:simplePos x="0" y="0"/>
            <wp:positionH relativeFrom="column">
              <wp:posOffset>-554355</wp:posOffset>
            </wp:positionH>
            <wp:positionV relativeFrom="paragraph">
              <wp:posOffset>1616710</wp:posOffset>
            </wp:positionV>
            <wp:extent cx="2389505" cy="2376805"/>
            <wp:effectExtent l="0" t="0" r="0" b="4445"/>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9505" cy="2376805"/>
                    </a:xfrm>
                    <a:prstGeom prst="rect">
                      <a:avLst/>
                    </a:prstGeom>
                    <a:noFill/>
                  </pic:spPr>
                </pic:pic>
              </a:graphicData>
            </a:graphic>
            <wp14:sizeRelH relativeFrom="margin">
              <wp14:pctWidth>0</wp14:pctWidth>
            </wp14:sizeRelH>
            <wp14:sizeRelV relativeFrom="margin">
              <wp14:pctHeight>0</wp14:pctHeight>
            </wp14:sizeRelV>
          </wp:anchor>
        </w:drawing>
      </w:r>
      <w:r w:rsidRPr="002056C6">
        <w:rPr>
          <w:noProof/>
        </w:rPr>
        <w:drawing>
          <wp:anchor distT="0" distB="0" distL="114300" distR="114300" simplePos="0" relativeHeight="251659264" behindDoc="0" locked="0" layoutInCell="1" allowOverlap="1">
            <wp:simplePos x="0" y="0"/>
            <wp:positionH relativeFrom="column">
              <wp:posOffset>1901190</wp:posOffset>
            </wp:positionH>
            <wp:positionV relativeFrom="paragraph">
              <wp:posOffset>1609090</wp:posOffset>
            </wp:positionV>
            <wp:extent cx="2414905" cy="2382520"/>
            <wp:effectExtent l="0" t="0" r="4445"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4905" cy="2382520"/>
                    </a:xfrm>
                    <a:prstGeom prst="rect">
                      <a:avLst/>
                    </a:prstGeom>
                    <a:noFill/>
                  </pic:spPr>
                </pic:pic>
              </a:graphicData>
            </a:graphic>
            <wp14:sizeRelH relativeFrom="margin">
              <wp14:pctWidth>0</wp14:pctWidth>
            </wp14:sizeRelH>
            <wp14:sizeRelV relativeFrom="margin">
              <wp14:pctHeight>0</wp14:pctHeight>
            </wp14:sizeRelV>
          </wp:anchor>
        </w:drawing>
      </w:r>
      <w:r w:rsidRPr="002056C6">
        <w:rPr>
          <w:noProof/>
        </w:rPr>
        <w:drawing>
          <wp:anchor distT="0" distB="0" distL="114300" distR="114300" simplePos="0" relativeHeight="251661312" behindDoc="0" locked="0" layoutInCell="1" allowOverlap="1">
            <wp:simplePos x="0" y="0"/>
            <wp:positionH relativeFrom="column">
              <wp:posOffset>4392295</wp:posOffset>
            </wp:positionH>
            <wp:positionV relativeFrom="paragraph">
              <wp:posOffset>1615279</wp:posOffset>
            </wp:positionV>
            <wp:extent cx="2370455" cy="2382520"/>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0455" cy="2382520"/>
                    </a:xfrm>
                    <a:prstGeom prst="rect">
                      <a:avLst/>
                    </a:prstGeom>
                    <a:noFill/>
                  </pic:spPr>
                </pic:pic>
              </a:graphicData>
            </a:graphic>
            <wp14:sizeRelH relativeFrom="margin">
              <wp14:pctWidth>0</wp14:pctWidth>
            </wp14:sizeRelH>
            <wp14:sizeRelV relativeFrom="margin">
              <wp14:pctHeight>0</wp14:pctHeight>
            </wp14:sizeRelV>
          </wp:anchor>
        </w:drawing>
      </w:r>
      <w:r w:rsidR="00E74C8E" w:rsidRPr="00DA0590">
        <w:rPr>
          <w:lang w:val="en-US"/>
        </w:rPr>
        <w:t xml:space="preserve">The optical micrographs for the encapsulation experiment of pH-PS with pPS at different pH values is shown in </w:t>
      </w:r>
      <w:r w:rsidR="00884EE9" w:rsidRPr="00884EE9">
        <w:rPr>
          <w:lang w:val="en-US"/>
        </w:rPr>
        <w:fldChar w:fldCharType="begin"/>
      </w:r>
      <w:r w:rsidR="00884EE9" w:rsidRPr="00884EE9">
        <w:rPr>
          <w:lang w:val="en-US"/>
        </w:rPr>
        <w:instrText xml:space="preserve"> REF _Ref29914326 \h  \* MERGEFORMAT </w:instrText>
      </w:r>
      <w:r w:rsidR="00884EE9" w:rsidRPr="00884EE9">
        <w:rPr>
          <w:lang w:val="en-US"/>
        </w:rPr>
      </w:r>
      <w:r w:rsidR="00884EE9" w:rsidRPr="00884EE9">
        <w:rPr>
          <w:lang w:val="en-US"/>
        </w:rPr>
        <w:fldChar w:fldCharType="separate"/>
      </w:r>
      <w:r w:rsidR="00C52506" w:rsidRPr="00C52506">
        <w:rPr>
          <w:lang w:val="en-US"/>
        </w:rPr>
        <w:t>Figure</w:t>
      </w:r>
      <w:r w:rsidR="00C52506" w:rsidRPr="00DA0590">
        <w:rPr>
          <w:sz w:val="20"/>
          <w:szCs w:val="20"/>
          <w:lang w:val="en-US"/>
        </w:rPr>
        <w:t xml:space="preserve"> </w:t>
      </w:r>
      <w:r w:rsidR="00C52506" w:rsidRPr="00C52506">
        <w:rPr>
          <w:noProof/>
          <w:lang w:val="en-US"/>
        </w:rPr>
        <w:t>36</w:t>
      </w:r>
      <w:r w:rsidR="00884EE9" w:rsidRPr="00884EE9">
        <w:rPr>
          <w:lang w:val="en-US"/>
        </w:rPr>
        <w:fldChar w:fldCharType="end"/>
      </w:r>
      <w:r w:rsidR="00E74C8E" w:rsidRPr="00DA0590">
        <w:rPr>
          <w:lang w:val="en-US"/>
        </w:rPr>
        <w:t xml:space="preserve">. </w:t>
      </w:r>
      <w:r w:rsidR="00E74C8E" w:rsidRPr="007C52D1">
        <w:rPr>
          <w:lang w:val="en-US"/>
        </w:rPr>
        <w:t>From these micrographs, it could look like the volume fraction of this aggregation was lower compared to the nPS encapsulation experiments. However, the imaging method was improved to reduce the visibility of the other particles in the surrounding focal planes. Again, it can be seen that cluster formation at neutral and acidic pH occurs, while only a few pPS particles cover the surface of pH-PS in basic pH.</w:t>
      </w:r>
      <w:r w:rsidR="00F27802">
        <w:rPr>
          <w:lang w:val="en-US"/>
        </w:rPr>
        <w:t xml:space="preserve"> </w:t>
      </w:r>
      <w:r w:rsidR="00F27802" w:rsidRPr="007C52D1">
        <w:rPr>
          <w:lang w:val="en-US"/>
        </w:rPr>
        <w:t>This counterintuitive observation was further investigated and will be discussed later.</w:t>
      </w:r>
      <w:r w:rsidR="00E74C8E" w:rsidRPr="007C52D1">
        <w:rPr>
          <w:lang w:val="en-US"/>
        </w:rPr>
        <w:t xml:space="preserve"> </w:t>
      </w:r>
      <w:r w:rsidR="00F27802">
        <w:rPr>
          <w:lang w:val="en-US"/>
        </w:rPr>
        <w:t>Just as for the encapsulation with nPS, the clusters all move as a whole particle, meaning that no individual movement of pPS on the surface of pH-PS was observed.</w:t>
      </w:r>
      <w:r w:rsidR="00F27802" w:rsidRPr="007C52D1">
        <w:rPr>
          <w:lang w:val="en-US"/>
        </w:rPr>
        <w:t xml:space="preserve"> </w:t>
      </w:r>
      <w:r w:rsidR="00F27802">
        <w:rPr>
          <w:lang w:val="en-US"/>
        </w:rPr>
        <w:t>This suggests that the clusters are formed via a random</w:t>
      </w:r>
      <w:r w:rsidR="00434B02">
        <w:rPr>
          <w:lang w:val="en-US"/>
        </w:rPr>
        <w:t xml:space="preserve"> sequential</w:t>
      </w:r>
      <w:r w:rsidR="00F27802">
        <w:rPr>
          <w:lang w:val="en-US"/>
        </w:rPr>
        <w:t xml:space="preserve"> </w:t>
      </w:r>
      <w:r w:rsidR="00AD6F1D">
        <w:rPr>
          <w:lang w:val="en-US"/>
        </w:rPr>
        <w:t>adsorption</w:t>
      </w:r>
      <w:r w:rsidR="00F27802">
        <w:rPr>
          <w:lang w:val="en-US"/>
        </w:rPr>
        <w:t xml:space="preserve"> mechanism. </w:t>
      </w:r>
      <w:r w:rsidR="00F27802" w:rsidRPr="007C52D1">
        <w:rPr>
          <w:lang w:val="en-US"/>
        </w:rPr>
        <w:t xml:space="preserve">Further analysis on the formation of these clusters will be discussed later. </w:t>
      </w:r>
    </w:p>
    <w:p w:rsidR="00E74C8E" w:rsidRDefault="00E74C8E" w:rsidP="00FC7A2B">
      <w:pPr>
        <w:spacing w:line="240" w:lineRule="auto"/>
        <w:rPr>
          <w:rStyle w:val="SubtleEmphasis"/>
          <w:i w:val="0"/>
          <w:lang w:val="en-US"/>
        </w:rPr>
      </w:pPr>
      <w:r w:rsidRPr="00176A60">
        <w:rPr>
          <w:lang w:val="en-US"/>
        </w:rPr>
        <w:t xml:space="preserve">After overnight equilibration, it was observed that the neutral sample </w:t>
      </w:r>
      <w:r w:rsidR="00FB53D0">
        <w:rPr>
          <w:lang w:val="en-US"/>
        </w:rPr>
        <w:t>had become</w:t>
      </w:r>
      <w:r w:rsidRPr="00176A60">
        <w:rPr>
          <w:lang w:val="en-US"/>
        </w:rPr>
        <w:t xml:space="preserve"> unstable, as the particles all migrated to the walls of the </w:t>
      </w:r>
      <w:r w:rsidR="00FB53D0">
        <w:rPr>
          <w:lang w:val="en-US"/>
        </w:rPr>
        <w:t>glass vial</w:t>
      </w:r>
      <w:r w:rsidRPr="00176A60">
        <w:rPr>
          <w:lang w:val="en-US"/>
        </w:rPr>
        <w:t>, leaving behind a transparent solution (</w:t>
      </w:r>
      <w:r w:rsidR="00884EE9" w:rsidRPr="00434B02">
        <w:rPr>
          <w:lang w:val="en-US"/>
        </w:rPr>
        <w:fldChar w:fldCharType="begin"/>
      </w:r>
      <w:r w:rsidR="00884EE9" w:rsidRPr="00434B02">
        <w:rPr>
          <w:lang w:val="en-US"/>
        </w:rPr>
        <w:instrText xml:space="preserve"> REF _Ref29914357 \h  \* MERGEFORMAT </w:instrText>
      </w:r>
      <w:r w:rsidR="00884EE9" w:rsidRPr="00434B02">
        <w:rPr>
          <w:lang w:val="en-US"/>
        </w:rPr>
      </w:r>
      <w:r w:rsidR="00884EE9" w:rsidRPr="00434B02">
        <w:rPr>
          <w:lang w:val="en-US"/>
        </w:rPr>
        <w:fldChar w:fldCharType="separate"/>
      </w:r>
      <w:r w:rsidR="00C52506" w:rsidRPr="00434B02">
        <w:rPr>
          <w:lang w:val="en-US"/>
        </w:rPr>
        <w:t xml:space="preserve">Figure </w:t>
      </w:r>
      <w:r w:rsidR="00C52506" w:rsidRPr="00434B02">
        <w:rPr>
          <w:noProof/>
          <w:lang w:val="en-US"/>
        </w:rPr>
        <w:t>37</w:t>
      </w:r>
      <w:r w:rsidR="00884EE9" w:rsidRPr="00434B02">
        <w:rPr>
          <w:lang w:val="en-US"/>
        </w:rPr>
        <w:fldChar w:fldCharType="end"/>
      </w:r>
      <w:r w:rsidRPr="00434B02">
        <w:rPr>
          <w:lang w:val="en-US"/>
        </w:rPr>
        <w:t>).</w:t>
      </w:r>
      <w:r>
        <w:rPr>
          <w:rStyle w:val="SubtleEmphasis"/>
          <w:i w:val="0"/>
          <w:lang w:val="en-US"/>
        </w:rPr>
        <w:t xml:space="preserve"> </w:t>
      </w:r>
      <w:r w:rsidR="00335E5B">
        <w:rPr>
          <w:lang w:val="en-US"/>
        </w:rPr>
        <w:t xml:space="preserve">The same effect </w:t>
      </w:r>
      <w:r w:rsidR="00335E5B">
        <w:rPr>
          <w:lang w:val="en-US"/>
        </w:rPr>
        <w:lastRenderedPageBreak/>
        <w:t>was observed for acidic samples, already after a few minutes of equilibration</w:t>
      </w:r>
      <w:r w:rsidR="00FB53D0">
        <w:rPr>
          <w:lang w:val="en-US"/>
        </w:rPr>
        <w:t>.</w:t>
      </w:r>
      <w:r w:rsidR="00335E5B">
        <w:rPr>
          <w:rStyle w:val="SubtleEmphasis"/>
          <w:i w:val="0"/>
          <w:lang w:val="en-US"/>
        </w:rPr>
        <w:t xml:space="preserve"> </w:t>
      </w:r>
      <w:r w:rsidRPr="00176A60">
        <w:rPr>
          <w:lang w:val="en-US"/>
        </w:rPr>
        <w:t>Additionally, it could be investigated whether this macroscopic aggregate formation was reversible, by adding base.</w:t>
      </w:r>
    </w:p>
    <w:p w:rsidR="009879B7" w:rsidRPr="009879B7" w:rsidRDefault="002D2B62" w:rsidP="00FC7A2B">
      <w:pPr>
        <w:spacing w:line="240" w:lineRule="auto"/>
        <w:jc w:val="center"/>
        <w:rPr>
          <w:rStyle w:val="SubtleEmphasis"/>
          <w:i w:val="0"/>
          <w:color w:val="auto"/>
          <w:sz w:val="20"/>
          <w:szCs w:val="20"/>
          <w:lang w:val="en-US"/>
        </w:rPr>
      </w:pPr>
      <w:r>
        <w:rPr>
          <w:iCs/>
          <w:noProof/>
          <w:color w:val="404040" w:themeColor="text1" w:themeTint="BF"/>
          <w:lang w:val="en-US"/>
        </w:rPr>
        <w:drawing>
          <wp:inline distT="0" distB="0" distL="0" distR="0">
            <wp:extent cx="2639663" cy="191351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PS macro aggregates formation.jpg"/>
                    <pic:cNvPicPr/>
                  </pic:nvPicPr>
                  <pic:blipFill>
                    <a:blip r:embed="rId58">
                      <a:extLst>
                        <a:ext uri="{28A0092B-C50C-407E-A947-70E740481C1C}">
                          <a14:useLocalDpi xmlns:a14="http://schemas.microsoft.com/office/drawing/2010/main" val="0"/>
                        </a:ext>
                      </a:extLst>
                    </a:blip>
                    <a:stretch>
                      <a:fillRect/>
                    </a:stretch>
                  </pic:blipFill>
                  <pic:spPr>
                    <a:xfrm>
                      <a:off x="0" y="0"/>
                      <a:ext cx="2649366" cy="1920544"/>
                    </a:xfrm>
                    <a:prstGeom prst="rect">
                      <a:avLst/>
                    </a:prstGeom>
                  </pic:spPr>
                </pic:pic>
              </a:graphicData>
            </a:graphic>
          </wp:inline>
        </w:drawing>
      </w:r>
    </w:p>
    <w:p w:rsidR="009879B7" w:rsidRPr="009879B7" w:rsidRDefault="00C82962" w:rsidP="00FC7A2B">
      <w:pPr>
        <w:pStyle w:val="Caption"/>
        <w:jc w:val="center"/>
        <w:rPr>
          <w:rStyle w:val="SubtleEmphasis"/>
          <w:color w:val="auto"/>
          <w:sz w:val="20"/>
          <w:szCs w:val="20"/>
          <w:lang w:val="en-US"/>
        </w:rPr>
      </w:pPr>
      <w:bookmarkStart w:id="101" w:name="_Ref29914357"/>
      <w:r>
        <w:rPr>
          <w:color w:val="auto"/>
          <w:sz w:val="20"/>
          <w:szCs w:val="20"/>
          <w:lang w:val="en-US"/>
        </w:rPr>
        <w:t>Figure</w:t>
      </w:r>
      <w:r w:rsidR="009879B7" w:rsidRPr="009879B7">
        <w:rPr>
          <w:color w:val="auto"/>
          <w:sz w:val="20"/>
          <w:szCs w:val="20"/>
          <w:lang w:val="en-US"/>
        </w:rPr>
        <w:t xml:space="preserve"> </w:t>
      </w:r>
      <w:r w:rsidR="009879B7" w:rsidRPr="009879B7">
        <w:rPr>
          <w:color w:val="auto"/>
          <w:sz w:val="20"/>
          <w:szCs w:val="20"/>
        </w:rPr>
        <w:fldChar w:fldCharType="begin"/>
      </w:r>
      <w:r w:rsidR="009879B7" w:rsidRPr="009879B7">
        <w:rPr>
          <w:color w:val="auto"/>
          <w:sz w:val="20"/>
          <w:szCs w:val="20"/>
          <w:lang w:val="en-US"/>
        </w:rPr>
        <w:instrText xml:space="preserve"> SEQ Figure \* ARABIC </w:instrText>
      </w:r>
      <w:r w:rsidR="009879B7" w:rsidRPr="009879B7">
        <w:rPr>
          <w:color w:val="auto"/>
          <w:sz w:val="20"/>
          <w:szCs w:val="20"/>
        </w:rPr>
        <w:fldChar w:fldCharType="separate"/>
      </w:r>
      <w:r w:rsidR="00C52506">
        <w:rPr>
          <w:noProof/>
          <w:color w:val="auto"/>
          <w:sz w:val="20"/>
          <w:szCs w:val="20"/>
          <w:lang w:val="en-US"/>
        </w:rPr>
        <w:t>37</w:t>
      </w:r>
      <w:r w:rsidR="009879B7" w:rsidRPr="009879B7">
        <w:rPr>
          <w:color w:val="auto"/>
          <w:sz w:val="20"/>
          <w:szCs w:val="20"/>
        </w:rPr>
        <w:fldChar w:fldCharType="end"/>
      </w:r>
      <w:bookmarkEnd w:id="101"/>
      <w:r w:rsidR="009879B7" w:rsidRPr="009879B7">
        <w:rPr>
          <w:color w:val="auto"/>
          <w:sz w:val="20"/>
          <w:szCs w:val="20"/>
          <w:lang w:val="en-US"/>
        </w:rPr>
        <w:t>: Migration of macroscopic aggregates to the interface of the dispersion of pH-PS and pPS at neutral pH.</w:t>
      </w:r>
    </w:p>
    <w:p w:rsidR="00E74C8E" w:rsidRPr="00884EE9" w:rsidRDefault="00E74C8E" w:rsidP="00FC7A2B">
      <w:pPr>
        <w:pStyle w:val="Heading3"/>
        <w:numPr>
          <w:ilvl w:val="2"/>
          <w:numId w:val="2"/>
        </w:numPr>
        <w:spacing w:line="240" w:lineRule="auto"/>
        <w:rPr>
          <w:rStyle w:val="SubtleEmphasis"/>
          <w:b/>
          <w:i w:val="0"/>
          <w:color w:val="auto"/>
          <w:lang w:val="en-US"/>
        </w:rPr>
      </w:pPr>
      <w:bookmarkStart w:id="102" w:name="_Toc31892422"/>
      <w:r w:rsidRPr="00884EE9">
        <w:rPr>
          <w:rStyle w:val="SubtleEmphasis"/>
          <w:b/>
          <w:i w:val="0"/>
          <w:color w:val="auto"/>
          <w:lang w:val="en-US"/>
        </w:rPr>
        <w:t>Interpretation encapsulation experiments</w:t>
      </w:r>
      <w:bookmarkEnd w:id="102"/>
    </w:p>
    <w:p w:rsidR="00E74C8E" w:rsidRPr="00884EE9" w:rsidRDefault="00E74C8E" w:rsidP="00FC7A2B">
      <w:pPr>
        <w:spacing w:line="240" w:lineRule="auto"/>
        <w:rPr>
          <w:rStyle w:val="SubtleEmphasis"/>
          <w:i w:val="0"/>
          <w:color w:val="auto"/>
          <w:lang w:val="en-US"/>
        </w:rPr>
      </w:pPr>
      <w:r w:rsidRPr="00884EE9">
        <w:rPr>
          <w:rStyle w:val="SubtleEmphasis"/>
          <w:i w:val="0"/>
          <w:color w:val="auto"/>
          <w:lang w:val="en-US"/>
        </w:rPr>
        <w:t xml:space="preserve">There were some counterintuitive observations for the pH-PS encapsulation with both nPS and pPS, individually. In the following paragraphs, a discussion will be held about the formation of the clusters at their respective pH values. As a general guide through the discussion, the titration curve of pH-PS, nPS and pPS is shown in </w:t>
      </w:r>
      <w:r w:rsidR="00884EE9" w:rsidRPr="00FB53D0">
        <w:rPr>
          <w:rStyle w:val="SubtleEmphasis"/>
          <w:i w:val="0"/>
          <w:color w:val="auto"/>
          <w:lang w:val="en-US"/>
        </w:rPr>
        <w:fldChar w:fldCharType="begin"/>
      </w:r>
      <w:r w:rsidR="00884EE9" w:rsidRPr="00FB53D0">
        <w:rPr>
          <w:rStyle w:val="SubtleEmphasis"/>
          <w:i w:val="0"/>
          <w:color w:val="auto"/>
          <w:lang w:val="en-US"/>
        </w:rPr>
        <w:instrText xml:space="preserve"> REF _Ref29914263 \h  \* MERGEFORMAT </w:instrText>
      </w:r>
      <w:r w:rsidR="00884EE9" w:rsidRPr="00FB53D0">
        <w:rPr>
          <w:rStyle w:val="SubtleEmphasis"/>
          <w:i w:val="0"/>
          <w:color w:val="auto"/>
          <w:lang w:val="en-US"/>
        </w:rPr>
      </w:r>
      <w:r w:rsidR="00884EE9" w:rsidRPr="00FB53D0">
        <w:rPr>
          <w:rStyle w:val="SubtleEmphasis"/>
          <w:i w:val="0"/>
          <w:color w:val="auto"/>
          <w:lang w:val="en-US"/>
        </w:rPr>
        <w:fldChar w:fldCharType="separate"/>
      </w:r>
      <w:r w:rsidR="00C52506" w:rsidRPr="00FB53D0">
        <w:rPr>
          <w:lang w:val="en-US"/>
        </w:rPr>
        <w:t xml:space="preserve">Figure </w:t>
      </w:r>
      <w:r w:rsidR="00C52506" w:rsidRPr="00FB53D0">
        <w:rPr>
          <w:noProof/>
          <w:lang w:val="en-US"/>
        </w:rPr>
        <w:t>33</w:t>
      </w:r>
      <w:r w:rsidR="00884EE9" w:rsidRPr="00FB53D0">
        <w:rPr>
          <w:rStyle w:val="SubtleEmphasis"/>
          <w:i w:val="0"/>
          <w:color w:val="auto"/>
          <w:lang w:val="en-US"/>
        </w:rPr>
        <w:fldChar w:fldCharType="end"/>
      </w:r>
      <w:r w:rsidRPr="00FB53D0">
        <w:rPr>
          <w:rStyle w:val="SubtleEmphasis"/>
          <w:i w:val="0"/>
          <w:color w:val="auto"/>
          <w:lang w:val="en-US"/>
        </w:rPr>
        <w:t>.</w:t>
      </w:r>
    </w:p>
    <w:p w:rsidR="0066726E" w:rsidRPr="00884EE9" w:rsidRDefault="00E74C8E" w:rsidP="00FC7A2B">
      <w:pPr>
        <w:spacing w:line="240" w:lineRule="auto"/>
        <w:rPr>
          <w:rStyle w:val="SubtleEmphasis"/>
          <w:color w:val="auto"/>
          <w:lang w:val="en-US"/>
        </w:rPr>
      </w:pPr>
      <w:r w:rsidRPr="00884EE9">
        <w:rPr>
          <w:rStyle w:val="SubtleEmphasis"/>
          <w:i w:val="0"/>
          <w:color w:val="auto"/>
          <w:lang w:val="en-US"/>
        </w:rPr>
        <w:t xml:space="preserve">It should be noted that for all particle encapsulations, it was observed that the aggregation </w:t>
      </w:r>
      <w:r w:rsidR="00FB53D0">
        <w:rPr>
          <w:rStyle w:val="SubtleEmphasis"/>
          <w:i w:val="0"/>
          <w:color w:val="auto"/>
          <w:lang w:val="en-US"/>
        </w:rPr>
        <w:t xml:space="preserve">presumably </w:t>
      </w:r>
      <w:r w:rsidRPr="00884EE9">
        <w:rPr>
          <w:rStyle w:val="SubtleEmphasis"/>
          <w:i w:val="0"/>
          <w:color w:val="auto"/>
          <w:lang w:val="en-US"/>
        </w:rPr>
        <w:t xml:space="preserve">occurs via a </w:t>
      </w:r>
      <w:r w:rsidR="00F977AA">
        <w:rPr>
          <w:rStyle w:val="SubtleEmphasis"/>
          <w:i w:val="0"/>
          <w:color w:val="auto"/>
          <w:lang w:val="en-US"/>
        </w:rPr>
        <w:t>random sequential</w:t>
      </w:r>
      <w:r w:rsidRPr="00884EE9">
        <w:rPr>
          <w:rStyle w:val="SubtleEmphasis"/>
          <w:i w:val="0"/>
          <w:color w:val="auto"/>
          <w:lang w:val="en-US"/>
        </w:rPr>
        <w:t xml:space="preserve"> a</w:t>
      </w:r>
      <w:r w:rsidR="00F977AA">
        <w:rPr>
          <w:rStyle w:val="SubtleEmphasis"/>
          <w:i w:val="0"/>
          <w:color w:val="auto"/>
          <w:lang w:val="en-US"/>
        </w:rPr>
        <w:t>d</w:t>
      </w:r>
      <w:r w:rsidRPr="00884EE9">
        <w:rPr>
          <w:rStyle w:val="SubtleEmphasis"/>
          <w:i w:val="0"/>
          <w:color w:val="auto"/>
          <w:lang w:val="en-US"/>
        </w:rPr>
        <w:t>sorption mechanism of the nPS and pPS particles on the surface of pH-PS. Proof of this arises from the recorded movies of the samples, where it can be seen that the clusters move as whole particles. There is no individual movement of nPS or pPS on the surface of pH-PS, which indicates that the a</w:t>
      </w:r>
      <w:r w:rsidR="00F977AA">
        <w:rPr>
          <w:rStyle w:val="SubtleEmphasis"/>
          <w:i w:val="0"/>
          <w:color w:val="auto"/>
          <w:lang w:val="en-US"/>
        </w:rPr>
        <w:t>d</w:t>
      </w:r>
      <w:r w:rsidRPr="00884EE9">
        <w:rPr>
          <w:rStyle w:val="SubtleEmphasis"/>
          <w:i w:val="0"/>
          <w:color w:val="auto"/>
          <w:lang w:val="en-US"/>
        </w:rPr>
        <w:t>sorption energy is stronger than the thermal energy kT</w:t>
      </w:r>
      <w:r w:rsidR="00FB53D0">
        <w:rPr>
          <w:rStyle w:val="SubtleEmphasis"/>
          <w:i w:val="0"/>
          <w:color w:val="auto"/>
          <w:lang w:val="en-US"/>
        </w:rPr>
        <w:t>. This makes</w:t>
      </w:r>
      <w:r w:rsidRPr="00884EE9">
        <w:rPr>
          <w:rStyle w:val="SubtleEmphasis"/>
          <w:i w:val="0"/>
          <w:color w:val="auto"/>
          <w:lang w:val="en-US"/>
        </w:rPr>
        <w:t xml:space="preserve"> an optimal packing density practically not viable. </w:t>
      </w:r>
    </w:p>
    <w:p w:rsidR="00E74C8E" w:rsidRPr="00884EE9" w:rsidRDefault="00E74C8E" w:rsidP="00FC7A2B">
      <w:pPr>
        <w:pStyle w:val="Heading4"/>
        <w:numPr>
          <w:ilvl w:val="3"/>
          <w:numId w:val="2"/>
        </w:numPr>
        <w:spacing w:line="240" w:lineRule="auto"/>
        <w:rPr>
          <w:rStyle w:val="SubtleEmphasis"/>
          <w:b/>
          <w:color w:val="auto"/>
          <w:lang w:val="en-US"/>
        </w:rPr>
      </w:pPr>
      <w:r w:rsidRPr="00884EE9">
        <w:rPr>
          <w:rStyle w:val="SubtleEmphasis"/>
          <w:b/>
          <w:color w:val="auto"/>
          <w:lang w:val="en-US"/>
        </w:rPr>
        <w:t>In neutral pH regime</w:t>
      </w:r>
    </w:p>
    <w:p w:rsidR="00FB53D0" w:rsidRDefault="00FB53D0" w:rsidP="00FC7A2B">
      <w:pPr>
        <w:spacing w:line="240" w:lineRule="auto"/>
        <w:rPr>
          <w:rStyle w:val="SubtleEmphasis"/>
          <w:i w:val="0"/>
          <w:color w:val="auto"/>
          <w:lang w:val="en-US"/>
        </w:rPr>
      </w:pPr>
      <w:r w:rsidRPr="00884EE9">
        <w:rPr>
          <w:noProof/>
        </w:rPr>
        <mc:AlternateContent>
          <mc:Choice Requires="wps">
            <w:drawing>
              <wp:anchor distT="0" distB="0" distL="114300" distR="114300" simplePos="0" relativeHeight="251683840" behindDoc="0" locked="0" layoutInCell="1" allowOverlap="1" wp14:anchorId="133D5902" wp14:editId="338C63F7">
                <wp:simplePos x="0" y="0"/>
                <wp:positionH relativeFrom="column">
                  <wp:posOffset>30480</wp:posOffset>
                </wp:positionH>
                <wp:positionV relativeFrom="paragraph">
                  <wp:posOffset>3321050</wp:posOffset>
                </wp:positionV>
                <wp:extent cx="6456680" cy="306705"/>
                <wp:effectExtent l="0" t="0" r="1270" b="0"/>
                <wp:wrapTopAndBottom/>
                <wp:docPr id="24" name="Text Box 24"/>
                <wp:cNvGraphicFramePr/>
                <a:graphic xmlns:a="http://schemas.openxmlformats.org/drawingml/2006/main">
                  <a:graphicData uri="http://schemas.microsoft.com/office/word/2010/wordprocessingShape">
                    <wps:wsp>
                      <wps:cNvSpPr txBox="1"/>
                      <wps:spPr>
                        <a:xfrm>
                          <a:off x="0" y="0"/>
                          <a:ext cx="6456680" cy="306705"/>
                        </a:xfrm>
                        <a:prstGeom prst="rect">
                          <a:avLst/>
                        </a:prstGeom>
                        <a:solidFill>
                          <a:prstClr val="white"/>
                        </a:solidFill>
                        <a:ln>
                          <a:noFill/>
                        </a:ln>
                      </wps:spPr>
                      <wps:txbx>
                        <w:txbxContent>
                          <w:p w:rsidR="00ED05BD" w:rsidRPr="00DA0590" w:rsidRDefault="00ED05BD" w:rsidP="00DA0590">
                            <w:pPr>
                              <w:pStyle w:val="Caption"/>
                              <w:jc w:val="center"/>
                              <w:rPr>
                                <w:noProof/>
                                <w:color w:val="auto"/>
                                <w:sz w:val="20"/>
                                <w:szCs w:val="20"/>
                                <w:lang w:val="en-US"/>
                              </w:rPr>
                            </w:pPr>
                            <w:bookmarkStart w:id="103" w:name="_Ref29914424"/>
                            <w:r>
                              <w:rPr>
                                <w:color w:val="auto"/>
                                <w:sz w:val="20"/>
                                <w:szCs w:val="20"/>
                                <w:lang w:val="en-US"/>
                              </w:rPr>
                              <w:t>Figure</w:t>
                            </w:r>
                            <w:r w:rsidRPr="00DA0590">
                              <w:rPr>
                                <w:color w:val="auto"/>
                                <w:sz w:val="20"/>
                                <w:szCs w:val="20"/>
                                <w:lang w:val="en-US"/>
                              </w:rPr>
                              <w:t xml:space="preserve"> </w:t>
                            </w:r>
                            <w:r w:rsidRPr="00DA0590">
                              <w:rPr>
                                <w:color w:val="auto"/>
                                <w:sz w:val="20"/>
                                <w:szCs w:val="20"/>
                              </w:rPr>
                              <w:fldChar w:fldCharType="begin"/>
                            </w:r>
                            <w:r w:rsidRPr="00DA0590">
                              <w:rPr>
                                <w:color w:val="auto"/>
                                <w:sz w:val="20"/>
                                <w:szCs w:val="20"/>
                                <w:lang w:val="en-US"/>
                              </w:rPr>
                              <w:instrText xml:space="preserve"> SEQ Figure \* ARABIC </w:instrText>
                            </w:r>
                            <w:r w:rsidRPr="00DA0590">
                              <w:rPr>
                                <w:color w:val="auto"/>
                                <w:sz w:val="20"/>
                                <w:szCs w:val="20"/>
                              </w:rPr>
                              <w:fldChar w:fldCharType="separate"/>
                            </w:r>
                            <w:r>
                              <w:rPr>
                                <w:noProof/>
                                <w:color w:val="auto"/>
                                <w:sz w:val="20"/>
                                <w:szCs w:val="20"/>
                                <w:lang w:val="en-US"/>
                              </w:rPr>
                              <w:t>38</w:t>
                            </w:r>
                            <w:r w:rsidRPr="00DA0590">
                              <w:rPr>
                                <w:color w:val="auto"/>
                                <w:sz w:val="20"/>
                                <w:szCs w:val="20"/>
                              </w:rPr>
                              <w:fldChar w:fldCharType="end"/>
                            </w:r>
                            <w:bookmarkEnd w:id="103"/>
                            <w:r w:rsidRPr="00DA0590">
                              <w:rPr>
                                <w:color w:val="auto"/>
                                <w:sz w:val="20"/>
                                <w:szCs w:val="20"/>
                                <w:lang w:val="en-US"/>
                              </w:rPr>
                              <w:t xml:space="preserve">: </w:t>
                            </w:r>
                            <w:r w:rsidRPr="00DA0590">
                              <w:rPr>
                                <w:b/>
                                <w:color w:val="auto"/>
                                <w:sz w:val="20"/>
                                <w:szCs w:val="20"/>
                                <w:lang w:val="en-US"/>
                              </w:rPr>
                              <w:t>A</w:t>
                            </w:r>
                            <w:r w:rsidRPr="00DA0590">
                              <w:rPr>
                                <w:color w:val="auto"/>
                                <w:sz w:val="20"/>
                                <w:szCs w:val="20"/>
                                <w:lang w:val="en-US"/>
                              </w:rPr>
                              <w:t xml:space="preserve">:  Zeta potential distribution of nPS and pH-PS at neutral conditions. </w:t>
                            </w:r>
                            <w:r w:rsidRPr="00DA0590">
                              <w:rPr>
                                <w:b/>
                                <w:color w:val="auto"/>
                                <w:sz w:val="20"/>
                                <w:szCs w:val="20"/>
                                <w:lang w:val="en-US"/>
                              </w:rPr>
                              <w:t>B</w:t>
                            </w:r>
                            <w:r w:rsidRPr="00DA0590">
                              <w:rPr>
                                <w:color w:val="auto"/>
                                <w:sz w:val="20"/>
                                <w:szCs w:val="20"/>
                                <w:lang w:val="en-US"/>
                              </w:rPr>
                              <w:t xml:space="preserve">: Zeta potential distribution of pPS and </w:t>
                            </w:r>
                            <w:r>
                              <w:rPr>
                                <w:color w:val="auto"/>
                                <w:sz w:val="20"/>
                                <w:szCs w:val="20"/>
                                <w:lang w:val="en-US"/>
                              </w:rPr>
                              <w:t xml:space="preserve">    </w:t>
                            </w:r>
                            <w:r w:rsidRPr="00DA0590">
                              <w:rPr>
                                <w:color w:val="auto"/>
                                <w:sz w:val="20"/>
                                <w:szCs w:val="20"/>
                                <w:lang w:val="en-US"/>
                              </w:rPr>
                              <w:t>pH-PS at neutral conditions.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D5902" id="Text Box 24" o:spid="_x0000_s1030" type="#_x0000_t202" style="position:absolute;margin-left:2.4pt;margin-top:261.5pt;width:508.4pt;height:2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" stroked="f">
                <v:textbox inset="0,0,0,0">
                  <w:txbxContent>
                    <w:p w:rsidR="00ED05BD" w:rsidRPr="00DA0590" w:rsidRDefault="00ED05BD" w:rsidP="00DA0590">
                      <w:pPr>
                        <w:pStyle w:val="Caption"/>
                        <w:jc w:val="center"/>
                        <w:rPr>
                          <w:noProof/>
                          <w:color w:val="auto"/>
                          <w:sz w:val="20"/>
                          <w:szCs w:val="20"/>
                          <w:lang w:val="en-US"/>
                        </w:rPr>
                      </w:pPr>
                      <w:bookmarkStart w:id="108" w:name="_Ref29914424"/>
                      <w:r>
                        <w:rPr>
                          <w:color w:val="auto"/>
                          <w:sz w:val="20"/>
                          <w:szCs w:val="20"/>
                          <w:lang w:val="en-US"/>
                        </w:rPr>
                        <w:t>Figure</w:t>
                      </w:r>
                      <w:r w:rsidRPr="00DA0590">
                        <w:rPr>
                          <w:color w:val="auto"/>
                          <w:sz w:val="20"/>
                          <w:szCs w:val="20"/>
                          <w:lang w:val="en-US"/>
                        </w:rPr>
                        <w:t xml:space="preserve"> </w:t>
                      </w:r>
                      <w:r w:rsidRPr="00DA0590">
                        <w:rPr>
                          <w:color w:val="auto"/>
                          <w:sz w:val="20"/>
                          <w:szCs w:val="20"/>
                        </w:rPr>
                        <w:fldChar w:fldCharType="begin"/>
                      </w:r>
                      <w:r w:rsidRPr="00DA0590">
                        <w:rPr>
                          <w:color w:val="auto"/>
                          <w:sz w:val="20"/>
                          <w:szCs w:val="20"/>
                          <w:lang w:val="en-US"/>
                        </w:rPr>
                        <w:instrText xml:space="preserve"> SEQ Figure \* ARABIC </w:instrText>
                      </w:r>
                      <w:r w:rsidRPr="00DA0590">
                        <w:rPr>
                          <w:color w:val="auto"/>
                          <w:sz w:val="20"/>
                          <w:szCs w:val="20"/>
                        </w:rPr>
                        <w:fldChar w:fldCharType="separate"/>
                      </w:r>
                      <w:r>
                        <w:rPr>
                          <w:noProof/>
                          <w:color w:val="auto"/>
                          <w:sz w:val="20"/>
                          <w:szCs w:val="20"/>
                          <w:lang w:val="en-US"/>
                        </w:rPr>
                        <w:t>38</w:t>
                      </w:r>
                      <w:r w:rsidRPr="00DA0590">
                        <w:rPr>
                          <w:color w:val="auto"/>
                          <w:sz w:val="20"/>
                          <w:szCs w:val="20"/>
                        </w:rPr>
                        <w:fldChar w:fldCharType="end"/>
                      </w:r>
                      <w:bookmarkEnd w:id="108"/>
                      <w:r w:rsidRPr="00DA0590">
                        <w:rPr>
                          <w:color w:val="auto"/>
                          <w:sz w:val="20"/>
                          <w:szCs w:val="20"/>
                          <w:lang w:val="en-US"/>
                        </w:rPr>
                        <w:t xml:space="preserve">: </w:t>
                      </w:r>
                      <w:r w:rsidRPr="00DA0590">
                        <w:rPr>
                          <w:b/>
                          <w:color w:val="auto"/>
                          <w:sz w:val="20"/>
                          <w:szCs w:val="20"/>
                          <w:lang w:val="en-US"/>
                        </w:rPr>
                        <w:t>A</w:t>
                      </w:r>
                      <w:r w:rsidRPr="00DA0590">
                        <w:rPr>
                          <w:color w:val="auto"/>
                          <w:sz w:val="20"/>
                          <w:szCs w:val="20"/>
                          <w:lang w:val="en-US"/>
                        </w:rPr>
                        <w:t xml:space="preserve">:  Zeta potential distribution of </w:t>
                      </w:r>
                      <w:proofErr w:type="spellStart"/>
                      <w:r w:rsidRPr="00DA0590">
                        <w:rPr>
                          <w:color w:val="auto"/>
                          <w:sz w:val="20"/>
                          <w:szCs w:val="20"/>
                          <w:lang w:val="en-US"/>
                        </w:rPr>
                        <w:t>nPS</w:t>
                      </w:r>
                      <w:proofErr w:type="spellEnd"/>
                      <w:r w:rsidRPr="00DA0590">
                        <w:rPr>
                          <w:color w:val="auto"/>
                          <w:sz w:val="20"/>
                          <w:szCs w:val="20"/>
                          <w:lang w:val="en-US"/>
                        </w:rPr>
                        <w:t xml:space="preserve"> and pH-PS at neutral conditions. </w:t>
                      </w:r>
                      <w:r w:rsidRPr="00DA0590">
                        <w:rPr>
                          <w:b/>
                          <w:color w:val="auto"/>
                          <w:sz w:val="20"/>
                          <w:szCs w:val="20"/>
                          <w:lang w:val="en-US"/>
                        </w:rPr>
                        <w:t>B</w:t>
                      </w:r>
                      <w:r w:rsidRPr="00DA0590">
                        <w:rPr>
                          <w:color w:val="auto"/>
                          <w:sz w:val="20"/>
                          <w:szCs w:val="20"/>
                          <w:lang w:val="en-US"/>
                        </w:rPr>
                        <w:t xml:space="preserve">: Zeta potential distribution of </w:t>
                      </w:r>
                      <w:proofErr w:type="spellStart"/>
                      <w:r w:rsidRPr="00DA0590">
                        <w:rPr>
                          <w:color w:val="auto"/>
                          <w:sz w:val="20"/>
                          <w:szCs w:val="20"/>
                          <w:lang w:val="en-US"/>
                        </w:rPr>
                        <w:t>pPS</w:t>
                      </w:r>
                      <w:proofErr w:type="spellEnd"/>
                      <w:r w:rsidRPr="00DA0590">
                        <w:rPr>
                          <w:color w:val="auto"/>
                          <w:sz w:val="20"/>
                          <w:szCs w:val="20"/>
                          <w:lang w:val="en-US"/>
                        </w:rPr>
                        <w:t xml:space="preserve"> and </w:t>
                      </w:r>
                      <w:r>
                        <w:rPr>
                          <w:color w:val="auto"/>
                          <w:sz w:val="20"/>
                          <w:szCs w:val="20"/>
                          <w:lang w:val="en-US"/>
                        </w:rPr>
                        <w:t xml:space="preserve">    </w:t>
                      </w:r>
                      <w:r w:rsidRPr="00DA0590">
                        <w:rPr>
                          <w:color w:val="auto"/>
                          <w:sz w:val="20"/>
                          <w:szCs w:val="20"/>
                          <w:lang w:val="en-US"/>
                        </w:rPr>
                        <w:t>pH-PS at neutral conditions.</w:t>
                      </w:r>
                    </w:p>
                  </w:txbxContent>
                </v:textbox>
                <w10:wrap type="topAndBottom"/>
              </v:shape>
            </w:pict>
          </mc:Fallback>
        </mc:AlternateContent>
      </w:r>
      <w:r>
        <w:rPr>
          <w:iCs/>
          <w:noProof/>
          <w:lang w:val="en-US"/>
        </w:rPr>
        <w:drawing>
          <wp:anchor distT="0" distB="0" distL="114300" distR="114300" simplePos="0" relativeHeight="251725824" behindDoc="0" locked="0" layoutInCell="1" allowOverlap="1">
            <wp:simplePos x="0" y="0"/>
            <wp:positionH relativeFrom="column">
              <wp:posOffset>-408874</wp:posOffset>
            </wp:positionH>
            <wp:positionV relativeFrom="paragraph">
              <wp:posOffset>766113</wp:posOffset>
            </wp:positionV>
            <wp:extent cx="6898005" cy="2440940"/>
            <wp:effectExtent l="0" t="0" r="0" b="0"/>
            <wp:wrapThrough wrapText="bothSides">
              <wp:wrapPolygon edited="0">
                <wp:start x="0" y="0"/>
                <wp:lineTo x="0" y="21409"/>
                <wp:lineTo x="21534" y="21409"/>
                <wp:lineTo x="21534" y="0"/>
                <wp:lineTo x="0" y="0"/>
              </wp:wrapPolygon>
            </wp:wrapThrough>
            <wp:docPr id="99" name="Picture 99" descr="A picture containing boat, scale, devic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Zeta potential distribution nPS en pPS pH-PS pH 6.5.jpg"/>
                    <pic:cNvPicPr/>
                  </pic:nvPicPr>
                  <pic:blipFill>
                    <a:blip r:embed="rId59">
                      <a:extLst>
                        <a:ext uri="{28A0092B-C50C-407E-A947-70E740481C1C}">
                          <a14:useLocalDpi xmlns:a14="http://schemas.microsoft.com/office/drawing/2010/main" val="0"/>
                        </a:ext>
                      </a:extLst>
                    </a:blip>
                    <a:stretch>
                      <a:fillRect/>
                    </a:stretch>
                  </pic:blipFill>
                  <pic:spPr>
                    <a:xfrm>
                      <a:off x="0" y="0"/>
                      <a:ext cx="6898005" cy="2440940"/>
                    </a:xfrm>
                    <a:prstGeom prst="rect">
                      <a:avLst/>
                    </a:prstGeom>
                  </pic:spPr>
                </pic:pic>
              </a:graphicData>
            </a:graphic>
            <wp14:sizeRelH relativeFrom="margin">
              <wp14:pctWidth>0</wp14:pctWidth>
            </wp14:sizeRelH>
            <wp14:sizeRelV relativeFrom="margin">
              <wp14:pctHeight>0</wp14:pctHeight>
            </wp14:sizeRelV>
          </wp:anchor>
        </w:drawing>
      </w:r>
      <w:r w:rsidR="00E74C8E" w:rsidRPr="00884EE9">
        <w:rPr>
          <w:rStyle w:val="SubtleEmphasis"/>
          <w:i w:val="0"/>
          <w:color w:val="auto"/>
          <w:lang w:val="en-US"/>
        </w:rPr>
        <w:t>For both the nPS and pPS encapsulations, clusters were observed</w:t>
      </w:r>
      <w:r>
        <w:rPr>
          <w:rStyle w:val="SubtleEmphasis"/>
          <w:i w:val="0"/>
          <w:color w:val="auto"/>
          <w:lang w:val="en-US"/>
        </w:rPr>
        <w:t xml:space="preserve"> to have formed</w:t>
      </w:r>
      <w:r w:rsidR="00E74C8E" w:rsidRPr="00884EE9">
        <w:rPr>
          <w:rStyle w:val="SubtleEmphasis"/>
          <w:i w:val="0"/>
          <w:color w:val="auto"/>
          <w:lang w:val="en-US"/>
        </w:rPr>
        <w:t xml:space="preserve"> at neutral pH. This observation is in contrast with the zeta potential measurement of pH-PS, as the particle should </w:t>
      </w:r>
      <w:r>
        <w:rPr>
          <w:rStyle w:val="SubtleEmphasis"/>
          <w:i w:val="0"/>
          <w:color w:val="auto"/>
          <w:lang w:val="en-US"/>
        </w:rPr>
        <w:t xml:space="preserve">on average </w:t>
      </w:r>
      <w:r w:rsidR="00E74C8E" w:rsidRPr="00884EE9">
        <w:rPr>
          <w:rStyle w:val="SubtleEmphasis"/>
          <w:i w:val="0"/>
          <w:color w:val="auto"/>
          <w:lang w:val="en-US"/>
        </w:rPr>
        <w:t xml:space="preserve">be neutral. However, the co-functionalization of the particle implies that there are still charged groups present on the particle surface. </w:t>
      </w:r>
    </w:p>
    <w:p w:rsidR="00434B02" w:rsidRDefault="00E74C8E" w:rsidP="00FC7A2B">
      <w:pPr>
        <w:spacing w:line="240" w:lineRule="auto"/>
        <w:rPr>
          <w:rStyle w:val="SubtleEmphasis"/>
          <w:i w:val="0"/>
          <w:color w:val="auto"/>
          <w:lang w:val="en-US"/>
        </w:rPr>
      </w:pPr>
      <w:r w:rsidRPr="00884EE9">
        <w:rPr>
          <w:rStyle w:val="SubtleEmphasis"/>
          <w:i w:val="0"/>
          <w:color w:val="auto"/>
          <w:lang w:val="en-US"/>
        </w:rPr>
        <w:lastRenderedPageBreak/>
        <w:t xml:space="preserve">Also, the distribution of charged groups over all particles could not be homogeneous, leaving some particles primarily functionalized with carboxylic acids and other particles with amines. A proof of this could be the zeta potential distribution of nPS, pPS and pH-PS at this pH, as shown previously in </w:t>
      </w:r>
      <w:r w:rsidR="00884EE9" w:rsidRPr="00D960DC">
        <w:rPr>
          <w:rStyle w:val="SubtleEmphasis"/>
          <w:i w:val="0"/>
          <w:color w:val="auto"/>
          <w:lang w:val="en-US"/>
        </w:rPr>
        <w:fldChar w:fldCharType="begin"/>
      </w:r>
      <w:r w:rsidR="00884EE9" w:rsidRPr="00D960DC">
        <w:rPr>
          <w:rStyle w:val="SubtleEmphasis"/>
          <w:i w:val="0"/>
          <w:color w:val="auto"/>
          <w:lang w:val="en-US"/>
        </w:rPr>
        <w:instrText xml:space="preserve"> REF _Ref29914424 \h  \* MERGEFORMAT </w:instrText>
      </w:r>
      <w:r w:rsidR="00884EE9" w:rsidRPr="00D960DC">
        <w:rPr>
          <w:rStyle w:val="SubtleEmphasis"/>
          <w:i w:val="0"/>
          <w:color w:val="auto"/>
          <w:lang w:val="en-US"/>
        </w:rPr>
      </w:r>
      <w:r w:rsidR="00884EE9" w:rsidRPr="00D960DC">
        <w:rPr>
          <w:rStyle w:val="SubtleEmphasis"/>
          <w:i w:val="0"/>
          <w:color w:val="auto"/>
          <w:lang w:val="en-US"/>
        </w:rPr>
        <w:fldChar w:fldCharType="separate"/>
      </w:r>
      <w:r w:rsidR="00C52506" w:rsidRPr="00C52506">
        <w:rPr>
          <w:lang w:val="en-US"/>
        </w:rPr>
        <w:t xml:space="preserve">Figure </w:t>
      </w:r>
      <w:r w:rsidR="00C52506" w:rsidRPr="00C52506">
        <w:rPr>
          <w:noProof/>
          <w:lang w:val="en-US"/>
        </w:rPr>
        <w:t>38</w:t>
      </w:r>
      <w:r w:rsidR="00884EE9" w:rsidRPr="00D960DC">
        <w:rPr>
          <w:rStyle w:val="SubtleEmphasis"/>
          <w:i w:val="0"/>
          <w:color w:val="auto"/>
          <w:lang w:val="en-US"/>
        </w:rPr>
        <w:fldChar w:fldCharType="end"/>
      </w:r>
      <w:r w:rsidR="00FB53D0">
        <w:rPr>
          <w:rStyle w:val="SubtleEmphasis"/>
          <w:i w:val="0"/>
          <w:color w:val="auto"/>
          <w:lang w:val="en-US"/>
        </w:rPr>
        <w:t xml:space="preserve">. </w:t>
      </w:r>
    </w:p>
    <w:p w:rsidR="00EA5E39" w:rsidRDefault="00E74C8E" w:rsidP="00FC7A2B">
      <w:pPr>
        <w:spacing w:line="240" w:lineRule="auto"/>
        <w:rPr>
          <w:rStyle w:val="SubtleEmphasis"/>
          <w:i w:val="0"/>
          <w:color w:val="auto"/>
          <w:lang w:val="en-US"/>
        </w:rPr>
      </w:pPr>
      <w:r w:rsidRPr="00884EE9">
        <w:rPr>
          <w:rStyle w:val="SubtleEmphasis"/>
          <w:i w:val="0"/>
          <w:color w:val="auto"/>
          <w:lang w:val="en-US"/>
        </w:rPr>
        <w:t xml:space="preserve">This distribution shows that some particles have a net positive and some a net negative zeta potential, with a mean of approximately 0mV. Further proof of this argument </w:t>
      </w:r>
      <w:r w:rsidR="00DA0590" w:rsidRPr="00884EE9">
        <w:rPr>
          <w:rStyle w:val="SubtleEmphasis"/>
          <w:i w:val="0"/>
          <w:color w:val="auto"/>
          <w:lang w:val="en-US"/>
        </w:rPr>
        <w:t>is</w:t>
      </w:r>
      <w:r w:rsidRPr="00884EE9">
        <w:rPr>
          <w:rStyle w:val="SubtleEmphasis"/>
          <w:i w:val="0"/>
          <w:color w:val="auto"/>
          <w:lang w:val="en-US"/>
        </w:rPr>
        <w:t xml:space="preserve"> the pKa values for carboxylic acid and substituted amine groups, as this gives insight into the ratio of the charged compared to the uncharged states of acids and bases. A common carboxylic acid that is used as co-monomer in colloidal synthesis is acrylic acid</w:t>
      </w:r>
      <w:r w:rsidRPr="00884EE9">
        <w:rPr>
          <w:rStyle w:val="SubtleEmphasis"/>
          <w:i w:val="0"/>
          <w:color w:val="auto"/>
          <w:lang w:val="en-US"/>
        </w:rPr>
        <w:fldChar w:fldCharType="begin" w:fldLock="1"/>
      </w:r>
      <w:r w:rsidR="00FB6101">
        <w:rPr>
          <w:rStyle w:val="SubtleEmphasis"/>
          <w:i w:val="0"/>
          <w:color w:val="auto"/>
          <w:lang w:val="en-US"/>
        </w:rPr>
        <w:instrText>ADDIN CSL_CITATION { "citationItems" : [ { "id" : "ITEM-1", "itemData" : { "DOI" : "10.1021/la052995a", "ISSN" : "07437463", "abstract" : "Novel, monodisperse charged colloidal particles of polystyrene cross linked with divinylbenzene and surface-grafted with acrylic acid were synthesized by emulsion polymerization and were characterized by estimating the dissociable surface charge by conductivity titration, the particle effective charge by conductivity verses particle concentration, and the particle size by dynamic light scattering and atomic force microscopy. The structural ordering and dynamics were investigated as a function of the volume fraction of the particles using static and dynamic light scattering, respectively. Furthermore, from the electrophoresis measurements, these particles are found to have a high salt tolerance due to increases in charge as a function of salt concentration. \u00a9 2006 American Chemical Society.", "author" : [ { "dropping-particle" : "", "family" : "Mohanty", "given" : "P. S.", "non-dropping-particle" : "", "parse-names" : false, "suffix" : "" }, { "dropping-particle" : "", "family" : "Kesavamoorthy", "given" : "R.", "non-dropping-particle" : "", "parse-names" : false, "suffix" : "" }, { "dropping-particle" : "", "family" : "Matsumoto", "given" : "Kozo", "non-dropping-particle" : "", "parse-names" : false, "suffix" : "" }, { "dropping-particle" : "", "family" : "Matsuoka", "given" : "Hideki", "non-dropping-particle" : "", "parse-names" : false, "suffix" : "" }, { "dropping-particle" : "", "family" : "Venkatesan", "given" : "K. A.", "non-dropping-particle" : "", "parse-names" : false, "suffix" : "" } ], "container-title" : "Langmuir", "id" : "ITEM-1", "issue" : "10", "issued" : { "date-parts" : [ [ "2006" ] ] }, "page" : "4552-4557", "title" : "Synthesis and characterization of charged polystyrene-acrylic acid latex particles", "type" : "article-journal", "volume" : "22" }, "uris" : [ "http://www.mendeley.com/documents/?uuid=d3d01c4d-7b11-43c1-abcd-4bf1dccf7366" ] } ], "mendeley" : { "formattedCitation" : "&lt;sup&gt;76&lt;/sup&gt;", "plainTextFormattedCitation" : "76", "previouslyFormattedCitation" : "&lt;sup&gt;76&lt;/sup&gt;" }, "properties" : { "noteIndex" : 0 }, "schema" : "https://github.com/citation-style-language/schema/raw/master/csl-citation.json" }</w:instrText>
      </w:r>
      <w:r w:rsidRPr="00884EE9">
        <w:rPr>
          <w:rStyle w:val="SubtleEmphasis"/>
          <w:i w:val="0"/>
          <w:color w:val="auto"/>
          <w:lang w:val="en-US"/>
        </w:rPr>
        <w:fldChar w:fldCharType="separate"/>
      </w:r>
      <w:r w:rsidR="00DE131C" w:rsidRPr="00DE131C">
        <w:rPr>
          <w:rStyle w:val="SubtleEmphasis"/>
          <w:i w:val="0"/>
          <w:noProof/>
          <w:color w:val="auto"/>
          <w:vertAlign w:val="superscript"/>
          <w:lang w:val="en-US"/>
        </w:rPr>
        <w:t>76</w:t>
      </w:r>
      <w:r w:rsidRPr="00884EE9">
        <w:rPr>
          <w:rStyle w:val="SubtleEmphasis"/>
          <w:i w:val="0"/>
          <w:color w:val="auto"/>
          <w:lang w:val="en-US"/>
        </w:rPr>
        <w:fldChar w:fldCharType="end"/>
      </w:r>
      <w:r w:rsidRPr="00884EE9">
        <w:rPr>
          <w:rStyle w:val="SubtleEmphasis"/>
          <w:i w:val="0"/>
          <w:color w:val="auto"/>
          <w:lang w:val="en-US"/>
        </w:rPr>
        <w:t>, which has a pKa value of 4.</w:t>
      </w:r>
      <w:r w:rsidR="00FB53D0">
        <w:rPr>
          <w:rStyle w:val="SubtleEmphasis"/>
          <w:i w:val="0"/>
          <w:color w:val="auto"/>
          <w:lang w:val="en-US"/>
        </w:rPr>
        <w:t>25</w:t>
      </w:r>
      <w:r w:rsidRPr="00884EE9">
        <w:rPr>
          <w:rStyle w:val="SubtleEmphasis"/>
          <w:i w:val="0"/>
          <w:color w:val="auto"/>
          <w:lang w:val="en-US"/>
        </w:rPr>
        <w:fldChar w:fldCharType="begin" w:fldLock="1"/>
      </w:r>
      <w:r w:rsidR="00FB6101">
        <w:rPr>
          <w:rStyle w:val="SubtleEmphasis"/>
          <w:i w:val="0"/>
          <w:color w:val="auto"/>
          <w:lang w:val="en-US"/>
        </w:rPr>
        <w:instrText>ADDIN CSL_CITATION { "citationItems" : [ { "id" : "ITEM-1", "itemData" : { "DOI" : "10.6000/1929-5030.2015.04.01.2", "abstract" : "Acrylic, methacrylic and itaconic acids have Br\u00f8nsted acidity given by carboxylic groups, and they are extensively used in polymerization for modification of several soft-mater materials. By this reason it is important to propose better characterization studies and alternatives to obtain more of their physicochemical properties. In this work the pKa values of these acids are obtained by adjusting NMR chemical shifts for hydrogen and carbon nuclei as a function of pH with program HYPNMR, and compared with those obtained by potentiometric and conductometric titrations.", "author" : [ { "dropping-particle" : "", "family" : "Rojas-Hern\u00e1ndez", "given" : "Alberto", "non-dropping-particle" : "", "parse-names" : false, "suffix" : "" }, { "dropping-particle" : "", "family" : "Ibarra-Monta\u00f1o", "given" : "Emma Lilia", "non-dropping-particle" : "", "parse-names" : false, "suffix" : "" }, { "dropping-particle" : "", "family" : "Rodr\u00edguez-Laguna", "given" : "Norma", "non-dropping-particle" : "", "parse-names" : false, "suffix" : "" }, { "dropping-particle" : "", "family" : "An\u00edbal S\u00e1nchez-Hern\u00e1ndez", "given" : "An\u00edbal", "non-dropping-particle" : "", "parse-names" : false, "suffix" : "" } ], "container-title" : "Journal of Applied Solution Chemistry and Modeling", "id" : "ITEM-1", "issue" : "1", "issued" : { "date-parts" : [ [ "2015" ] ] }, "page" : "7-18", "title" : "Determination of pKa Values for Acrylic, Methacrylic and Itaconic Acids by 1H and 13C NMR in Deuterated Water", "type" : "article-journal", "volume" : "4" }, "uris" : [ "http://www.mendeley.com/documents/?uuid=d6250f97-a8da-4cef-9d09-35fda4dee045" ] } ], "mendeley" : { "formattedCitation" : "&lt;sup&gt;44&lt;/sup&gt;", "plainTextFormattedCitation" : "44", "previouslyFormattedCitation" : "&lt;sup&gt;44&lt;/sup&gt;" }, "properties" : { "noteIndex" : 0 }, "schema" : "https://github.com/citation-style-language/schema/raw/master/csl-citation.json" }</w:instrText>
      </w:r>
      <w:r w:rsidRPr="00884EE9">
        <w:rPr>
          <w:rStyle w:val="SubtleEmphasis"/>
          <w:i w:val="0"/>
          <w:color w:val="auto"/>
          <w:lang w:val="en-US"/>
        </w:rPr>
        <w:fldChar w:fldCharType="separate"/>
      </w:r>
      <w:r w:rsidR="00DE131C" w:rsidRPr="00DE131C">
        <w:rPr>
          <w:rStyle w:val="SubtleEmphasis"/>
          <w:i w:val="0"/>
          <w:noProof/>
          <w:color w:val="auto"/>
          <w:vertAlign w:val="superscript"/>
          <w:lang w:val="en-US"/>
        </w:rPr>
        <w:t>44</w:t>
      </w:r>
      <w:r w:rsidRPr="00884EE9">
        <w:rPr>
          <w:rStyle w:val="SubtleEmphasis"/>
          <w:i w:val="0"/>
          <w:color w:val="auto"/>
          <w:lang w:val="en-US"/>
        </w:rPr>
        <w:fldChar w:fldCharType="end"/>
      </w:r>
      <w:r w:rsidRPr="00884EE9">
        <w:rPr>
          <w:rStyle w:val="SubtleEmphasis"/>
          <w:i w:val="0"/>
          <w:color w:val="auto"/>
          <w:lang w:val="en-US"/>
        </w:rPr>
        <w:t xml:space="preserve">. This means that at neutral pH, the negatively charged state is </w:t>
      </w:r>
      <w:r w:rsidR="00F977AA">
        <w:rPr>
          <w:rStyle w:val="SubtleEmphasis"/>
          <w:i w:val="0"/>
          <w:color w:val="auto"/>
          <w:lang w:val="en-US"/>
        </w:rPr>
        <w:t xml:space="preserve">more than </w:t>
      </w:r>
      <w:r w:rsidRPr="00884EE9">
        <w:rPr>
          <w:rStyle w:val="SubtleEmphasis"/>
          <w:i w:val="0"/>
          <w:color w:val="auto"/>
          <w:lang w:val="en-US"/>
        </w:rPr>
        <w:t>100 times more abundant than the uncharged state. For amine co-monomer groups used in colloidal synthesis, the pKa value lies around 7.6</w:t>
      </w:r>
      <w:r w:rsidRPr="00884EE9">
        <w:rPr>
          <w:rStyle w:val="SubtleEmphasis"/>
          <w:i w:val="0"/>
          <w:color w:val="auto"/>
          <w:lang w:val="en-US"/>
        </w:rPr>
        <w:fldChar w:fldCharType="begin" w:fldLock="1"/>
      </w:r>
      <w:r w:rsidR="00FB6101">
        <w:rPr>
          <w:rStyle w:val="SubtleEmphasis"/>
          <w:i w:val="0"/>
          <w:color w:val="auto"/>
          <w:lang w:val="en-US"/>
        </w:rPr>
        <w:instrText>ADDIN CSL_CITATION { "citationItems" : [ { "id" : "ITEM-1", "itemData" : { "DOI" : "10.1021/la049156t", "ISSN" : "07437463", "abstract" : "Emulsion polymerization of 2-(diethylamino)ethyl methacrylate (DEA) in the presence of a bifunctional cross-linker at pH 8-9 afforded novel pH-responsive microgels of 250-700 nm diameter. Both batch and semicontinuous syntheses were explored using thermal and redox initiators. Various strategies were evaluated for achieving colloidal stability, including charge stabilization, surfactant stabilization, and steric stabilization. The latter proved to be the most convenient and effective, and three types of well-defined reactive macromonomers were examined, namely, monomethoxy-capped poly(ethylene glycol) methacrylate (PEGMA), styrene-capped poly[2-(dimethylamino)ethyl methacrylate] (PDMA50-St), and partially quaternized styrene-capped poly[2-(dimethylamino)ethyl methacrylate] (10qPDMA50-St). The resulting microgels were pH-responsive, as expected. Dynamic light scattering and 1H NMR studies confirmed that reversible swelling occurred at low pH due to protonation of the tertiary amine groups on the DEA residues. The critical pH for this latex-to-microgel transition was around pH 6.5-7.0, which corresponds approximately to the known pKa of 7.0-7.3 for linear PDEA homopolymer. The microgel particles were further characterized by electron microscopy and aqueous electrophoresis studies. Their swelling and deswelling kinetics were investigated by turbidimetry. The PDEA-based microgels were compared to poly-[2-(diisopropylamino)ethyl methacrylate] (PDPA) microgels prepared with identical macromonomer stabilizers. These PDPA-based microgels had a lower critical swelling pH of around pH 5.0-5.5, which correlates with the lower pKa of PDPA homopolymer. In addition, the kinetics of swelling for the PDPA microgels was somewhat slower than that observed for PDEA microgels; presumably this is related to the greater hydrophobic character of the former particles.", "author" : [ { "dropping-particle" : "", "family" : "Amalvy", "given" : "J. I.", "non-dropping-particle" : "", "parse-names" : false, "suffix" : "" }, { "dropping-particle" : "", "family" : "Wanless", "given" : "E. J.", "non-dropping-particle" : "", "parse-names" : false, "suffix" : "" }, { "dropping-particle" : "", "family" : "Li", "given" : "Y.", "non-dropping-particle" : "", "parse-names" : false, "suffix" : "" }, { "dropping-particle" : "", "family" : "Michailidou", "given" : "V.", "non-dropping-particle" : "", "parse-names" : false, "suffix" : "" }, { "dropping-particle" : "", "family" : "Armes", "given" : "S. P.", "non-dropping-particle" : "", "parse-names" : false, "suffix" : "" }, { "dropping-particle" : "", "family" : "Duccini", "given" : "Y.", "non-dropping-particle" : "", "parse-names" : false, "suffix" : "" } ], "container-title" : "Langmuir", "id" : "ITEM-1", "issue" : "21", "issued" : { "date-parts" : [ [ "2004" ] ] }, "page" : "8992-8999", "title" : "Synthesis and characterization of novel pH-responsive microgels based on tertiary amine methacrylates", "type" : "article-journal", "volume" : "20" }, "uris" : [ "http://www.mendeley.com/documents/?uuid=0b642d41-bc1d-4453-8137-de186b47df5c" ] } ], "mendeley" : { "formattedCitation" : "&lt;sup&gt;77&lt;/sup&gt;", "plainTextFormattedCitation" : "77", "previouslyFormattedCitation" : "&lt;sup&gt;77&lt;/sup&gt;" }, "properties" : { "noteIndex" : 0 }, "schema" : "https://github.com/citation-style-language/schema/raw/master/csl-citation.json" }</w:instrText>
      </w:r>
      <w:r w:rsidRPr="00884EE9">
        <w:rPr>
          <w:rStyle w:val="SubtleEmphasis"/>
          <w:i w:val="0"/>
          <w:color w:val="auto"/>
          <w:lang w:val="en-US"/>
        </w:rPr>
        <w:fldChar w:fldCharType="separate"/>
      </w:r>
      <w:r w:rsidR="00DE131C" w:rsidRPr="00DE131C">
        <w:rPr>
          <w:rStyle w:val="SubtleEmphasis"/>
          <w:i w:val="0"/>
          <w:noProof/>
          <w:color w:val="auto"/>
          <w:vertAlign w:val="superscript"/>
          <w:lang w:val="en-US"/>
        </w:rPr>
        <w:t>77</w:t>
      </w:r>
      <w:r w:rsidRPr="00884EE9">
        <w:rPr>
          <w:rStyle w:val="SubtleEmphasis"/>
          <w:i w:val="0"/>
          <w:color w:val="auto"/>
          <w:lang w:val="en-US"/>
        </w:rPr>
        <w:fldChar w:fldCharType="end"/>
      </w:r>
      <w:r w:rsidRPr="00884EE9">
        <w:rPr>
          <w:rStyle w:val="SubtleEmphasis"/>
          <w:i w:val="0"/>
          <w:color w:val="auto"/>
          <w:lang w:val="en-US"/>
        </w:rPr>
        <w:t xml:space="preserve">, meaning that at neutral pH, the uncharged state is </w:t>
      </w:r>
      <w:r w:rsidR="00F977AA">
        <w:rPr>
          <w:rStyle w:val="SubtleEmphasis"/>
          <w:i w:val="0"/>
          <w:color w:val="auto"/>
          <w:lang w:val="en-US"/>
        </w:rPr>
        <w:t xml:space="preserve">about </w:t>
      </w:r>
      <w:r w:rsidRPr="00884EE9">
        <w:rPr>
          <w:rStyle w:val="SubtleEmphasis"/>
          <w:i w:val="0"/>
          <w:color w:val="auto"/>
          <w:lang w:val="en-US"/>
        </w:rPr>
        <w:t xml:space="preserve">10 times </w:t>
      </w:r>
      <w:r w:rsidR="00C36F17">
        <w:rPr>
          <w:rStyle w:val="SubtleEmphasis"/>
          <w:i w:val="0"/>
          <w:color w:val="auto"/>
          <w:lang w:val="en-US"/>
        </w:rPr>
        <w:t>less</w:t>
      </w:r>
      <w:r w:rsidRPr="00884EE9">
        <w:rPr>
          <w:rStyle w:val="SubtleEmphasis"/>
          <w:i w:val="0"/>
          <w:color w:val="auto"/>
          <w:lang w:val="en-US"/>
        </w:rPr>
        <w:t xml:space="preserve"> abundant than the charged stat</w:t>
      </w:r>
      <w:r w:rsidR="00C36F17">
        <w:rPr>
          <w:rStyle w:val="SubtleEmphasis"/>
          <w:i w:val="0"/>
          <w:color w:val="auto"/>
          <w:lang w:val="en-US"/>
        </w:rPr>
        <w:t>e</w:t>
      </w:r>
      <w:r w:rsidRPr="00884EE9">
        <w:rPr>
          <w:rStyle w:val="SubtleEmphasis"/>
          <w:i w:val="0"/>
          <w:color w:val="auto"/>
          <w:lang w:val="en-US"/>
        </w:rPr>
        <w:t xml:space="preserve">. </w:t>
      </w:r>
    </w:p>
    <w:p w:rsidR="00E74C8E" w:rsidRPr="00884EE9" w:rsidRDefault="00E74C8E" w:rsidP="00FC7A2B">
      <w:pPr>
        <w:spacing w:line="240" w:lineRule="auto"/>
        <w:rPr>
          <w:rStyle w:val="SubtleEmphasis"/>
          <w:i w:val="0"/>
          <w:color w:val="auto"/>
          <w:lang w:val="en-US"/>
        </w:rPr>
      </w:pPr>
      <w:r w:rsidRPr="00884EE9">
        <w:rPr>
          <w:rStyle w:val="SubtleEmphasis"/>
          <w:i w:val="0"/>
          <w:color w:val="auto"/>
          <w:lang w:val="en-US"/>
        </w:rPr>
        <w:t xml:space="preserve">The packing of the clusters also differs per pH-PS particle, as </w:t>
      </w:r>
      <w:r w:rsidR="009879B7" w:rsidRPr="00884EE9">
        <w:rPr>
          <w:rStyle w:val="SubtleEmphasis"/>
          <w:i w:val="0"/>
          <w:color w:val="auto"/>
          <w:lang w:val="en-US"/>
        </w:rPr>
        <w:t>can be seen from</w:t>
      </w:r>
      <w:r w:rsidR="00434B02" w:rsidRPr="00434B02">
        <w:rPr>
          <w:rStyle w:val="SubtleEmphasis"/>
          <w:i w:val="0"/>
          <w:color w:val="auto"/>
          <w:lang w:val="en-US"/>
        </w:rPr>
        <w:t xml:space="preserve"> </w:t>
      </w:r>
      <w:r w:rsidR="00434B02" w:rsidRPr="00434B02">
        <w:rPr>
          <w:rStyle w:val="SubtleEmphasis"/>
          <w:i w:val="0"/>
          <w:color w:val="auto"/>
          <w:lang w:val="en-US"/>
        </w:rPr>
        <w:fldChar w:fldCharType="begin"/>
      </w:r>
      <w:r w:rsidR="00434B02" w:rsidRPr="00434B02">
        <w:rPr>
          <w:rStyle w:val="SubtleEmphasis"/>
          <w:i w:val="0"/>
          <w:color w:val="auto"/>
          <w:lang w:val="en-US"/>
        </w:rPr>
        <w:instrText xml:space="preserve"> REF _Ref29914292 \h </w:instrText>
      </w:r>
      <w:r w:rsidR="00434B02">
        <w:rPr>
          <w:rStyle w:val="SubtleEmphasis"/>
          <w:i w:val="0"/>
          <w:color w:val="auto"/>
          <w:lang w:val="en-US"/>
        </w:rPr>
        <w:instrText xml:space="preserve"> \* MERGEFORMAT </w:instrText>
      </w:r>
      <w:r w:rsidR="00434B02" w:rsidRPr="00434B02">
        <w:rPr>
          <w:rStyle w:val="SubtleEmphasis"/>
          <w:i w:val="0"/>
          <w:color w:val="auto"/>
          <w:lang w:val="en-US"/>
        </w:rPr>
      </w:r>
      <w:r w:rsidR="00434B02" w:rsidRPr="00434B02">
        <w:rPr>
          <w:rStyle w:val="SubtleEmphasis"/>
          <w:i w:val="0"/>
          <w:color w:val="auto"/>
          <w:lang w:val="en-US"/>
        </w:rPr>
        <w:fldChar w:fldCharType="separate"/>
      </w:r>
      <w:r w:rsidR="00434B02" w:rsidRPr="00434B02">
        <w:rPr>
          <w:lang w:val="en-US"/>
        </w:rPr>
        <w:t xml:space="preserve">Figure </w:t>
      </w:r>
      <w:r w:rsidR="00434B02" w:rsidRPr="00434B02">
        <w:rPr>
          <w:noProof/>
          <w:lang w:val="en-US"/>
        </w:rPr>
        <w:t>34</w:t>
      </w:r>
      <w:r w:rsidR="00434B02" w:rsidRPr="00434B02">
        <w:rPr>
          <w:rStyle w:val="SubtleEmphasis"/>
          <w:i w:val="0"/>
          <w:color w:val="auto"/>
          <w:lang w:val="en-US"/>
        </w:rPr>
        <w:fldChar w:fldCharType="end"/>
      </w:r>
      <w:r w:rsidR="00434B02">
        <w:rPr>
          <w:rStyle w:val="SubtleEmphasis"/>
          <w:i w:val="0"/>
          <w:color w:val="auto"/>
          <w:lang w:val="en-US"/>
        </w:rPr>
        <w:t xml:space="preserve"> and </w:t>
      </w:r>
      <w:r w:rsidR="00434B02" w:rsidRPr="00434B02">
        <w:rPr>
          <w:rStyle w:val="SubtleEmphasis"/>
          <w:i w:val="0"/>
          <w:color w:val="auto"/>
          <w:lang w:val="en-US"/>
        </w:rPr>
        <w:fldChar w:fldCharType="begin"/>
      </w:r>
      <w:r w:rsidR="00434B02" w:rsidRPr="00434B02">
        <w:rPr>
          <w:rStyle w:val="SubtleEmphasis"/>
          <w:i w:val="0"/>
          <w:color w:val="auto"/>
          <w:lang w:val="en-US"/>
        </w:rPr>
        <w:instrText xml:space="preserve"> REF _Ref29914326 \h </w:instrText>
      </w:r>
      <w:r w:rsidR="00434B02">
        <w:rPr>
          <w:rStyle w:val="SubtleEmphasis"/>
          <w:i w:val="0"/>
          <w:color w:val="auto"/>
          <w:lang w:val="en-US"/>
        </w:rPr>
        <w:instrText xml:space="preserve"> \* MERGEFORMAT </w:instrText>
      </w:r>
      <w:r w:rsidR="00434B02" w:rsidRPr="00434B02">
        <w:rPr>
          <w:rStyle w:val="SubtleEmphasis"/>
          <w:i w:val="0"/>
          <w:color w:val="auto"/>
          <w:lang w:val="en-US"/>
        </w:rPr>
      </w:r>
      <w:r w:rsidR="00434B02" w:rsidRPr="00434B02">
        <w:rPr>
          <w:rStyle w:val="SubtleEmphasis"/>
          <w:i w:val="0"/>
          <w:color w:val="auto"/>
          <w:lang w:val="en-US"/>
        </w:rPr>
        <w:fldChar w:fldCharType="separate"/>
      </w:r>
      <w:r w:rsidR="00434B02" w:rsidRPr="00434B02">
        <w:rPr>
          <w:lang w:val="en-US"/>
        </w:rPr>
        <w:t xml:space="preserve">Figure </w:t>
      </w:r>
      <w:r w:rsidR="00434B02" w:rsidRPr="00434B02">
        <w:rPr>
          <w:noProof/>
          <w:lang w:val="en-US"/>
        </w:rPr>
        <w:t>36</w:t>
      </w:r>
      <w:r w:rsidR="00434B02" w:rsidRPr="00434B02">
        <w:rPr>
          <w:rStyle w:val="SubtleEmphasis"/>
          <w:i w:val="0"/>
          <w:color w:val="auto"/>
          <w:lang w:val="en-US"/>
        </w:rPr>
        <w:fldChar w:fldCharType="end"/>
      </w:r>
      <w:r w:rsidRPr="00434B02">
        <w:rPr>
          <w:rStyle w:val="SubtleEmphasis"/>
          <w:i w:val="0"/>
          <w:color w:val="auto"/>
          <w:lang w:val="en-US"/>
        </w:rPr>
        <w:t>. Some</w:t>
      </w:r>
      <w:r w:rsidRPr="00884EE9">
        <w:rPr>
          <w:rStyle w:val="SubtleEmphasis"/>
          <w:i w:val="0"/>
          <w:color w:val="auto"/>
          <w:lang w:val="en-US"/>
        </w:rPr>
        <w:t xml:space="preserve"> pH-PS particles are only covered on specific points on the surface, while others are practically covered completely. This observation provides further proof for the idea that the pH-PS particles are not homogeneously functionalized.</w:t>
      </w:r>
    </w:p>
    <w:p w:rsidR="00434B02" w:rsidRDefault="00E74C8E" w:rsidP="00FC7A2B">
      <w:pPr>
        <w:spacing w:line="240" w:lineRule="auto"/>
        <w:rPr>
          <w:rStyle w:val="SubtleEmphasis"/>
          <w:i w:val="0"/>
          <w:color w:val="auto"/>
          <w:lang w:val="en-US"/>
        </w:rPr>
      </w:pPr>
      <w:r w:rsidRPr="00884EE9">
        <w:rPr>
          <w:rStyle w:val="SubtleEmphasis"/>
          <w:i w:val="0"/>
          <w:color w:val="auto"/>
          <w:lang w:val="en-US"/>
        </w:rPr>
        <w:t xml:space="preserve">This introduces a concept describing the presence of discrete patches of charged groups on the particle </w:t>
      </w:r>
      <w:r w:rsidRPr="00434B02">
        <w:rPr>
          <w:rStyle w:val="SubtleEmphasis"/>
          <w:i w:val="0"/>
          <w:color w:val="auto"/>
          <w:lang w:val="en-US"/>
        </w:rPr>
        <w:t xml:space="preserve">surface of pH-PS. A scanning electron microscope micrograph of a formed cluster at pH 3, shown in </w:t>
      </w:r>
      <w:r w:rsidR="00884EE9" w:rsidRPr="00434B02">
        <w:rPr>
          <w:rStyle w:val="SubtleEmphasis"/>
          <w:i w:val="0"/>
          <w:color w:val="auto"/>
          <w:lang w:val="en-US"/>
        </w:rPr>
        <w:fldChar w:fldCharType="begin"/>
      </w:r>
      <w:r w:rsidR="00884EE9" w:rsidRPr="00434B02">
        <w:rPr>
          <w:rStyle w:val="SubtleEmphasis"/>
          <w:i w:val="0"/>
          <w:color w:val="auto"/>
          <w:lang w:val="en-US"/>
        </w:rPr>
        <w:instrText xml:space="preserve"> REF _Ref29914475 \h  \* MERGEFORMAT </w:instrText>
      </w:r>
      <w:r w:rsidR="00884EE9" w:rsidRPr="00434B02">
        <w:rPr>
          <w:rStyle w:val="SubtleEmphasis"/>
          <w:i w:val="0"/>
          <w:color w:val="auto"/>
          <w:lang w:val="en-US"/>
        </w:rPr>
      </w:r>
      <w:r w:rsidR="00884EE9" w:rsidRPr="00434B02">
        <w:rPr>
          <w:rStyle w:val="SubtleEmphasis"/>
          <w:i w:val="0"/>
          <w:color w:val="auto"/>
          <w:lang w:val="en-US"/>
        </w:rPr>
        <w:fldChar w:fldCharType="separate"/>
      </w:r>
      <w:r w:rsidR="00C52506" w:rsidRPr="00434B02">
        <w:rPr>
          <w:lang w:val="en-US"/>
        </w:rPr>
        <w:t xml:space="preserve">Figure </w:t>
      </w:r>
      <w:r w:rsidR="00C52506" w:rsidRPr="00434B02">
        <w:rPr>
          <w:noProof/>
          <w:lang w:val="en-US"/>
        </w:rPr>
        <w:t>39</w:t>
      </w:r>
      <w:r w:rsidR="00884EE9" w:rsidRPr="00434B02">
        <w:rPr>
          <w:rStyle w:val="SubtleEmphasis"/>
          <w:i w:val="0"/>
          <w:color w:val="auto"/>
          <w:lang w:val="en-US"/>
        </w:rPr>
        <w:fldChar w:fldCharType="end"/>
      </w:r>
      <w:r w:rsidRPr="00434B02">
        <w:rPr>
          <w:rStyle w:val="SubtleEmphasis"/>
          <w:i w:val="0"/>
          <w:color w:val="auto"/>
          <w:lang w:val="en-US"/>
        </w:rPr>
        <w:t xml:space="preserve">, nicely shows the site selective </w:t>
      </w:r>
      <w:r w:rsidR="00AD6F1D" w:rsidRPr="00434B02">
        <w:rPr>
          <w:rStyle w:val="SubtleEmphasis"/>
          <w:i w:val="0"/>
          <w:color w:val="auto"/>
          <w:lang w:val="en-US"/>
        </w:rPr>
        <w:t>adsorption</w:t>
      </w:r>
      <w:r w:rsidRPr="00434B02">
        <w:rPr>
          <w:rStyle w:val="SubtleEmphasis"/>
          <w:i w:val="0"/>
          <w:color w:val="auto"/>
          <w:lang w:val="en-US"/>
        </w:rPr>
        <w:t xml:space="preserve"> of nPS particles on a pH-PS particle surface. Similar clusters have formed at neutral pH, as could be seen from the optical</w:t>
      </w:r>
      <w:r w:rsidRPr="00884EE9">
        <w:rPr>
          <w:rStyle w:val="SubtleEmphasis"/>
          <w:i w:val="0"/>
          <w:color w:val="auto"/>
          <w:lang w:val="en-US"/>
        </w:rPr>
        <w:t xml:space="preserve"> micrographs of that sample. However, the SEM sample had no such clusters which could be imaged clearly, which is why we chose to show this clearly defined cluster at pH 3. </w:t>
      </w:r>
    </w:p>
    <w:p w:rsidR="00EA5E39" w:rsidRPr="0093383A" w:rsidRDefault="001E37DF" w:rsidP="00FC7A2B">
      <w:pPr>
        <w:spacing w:line="240" w:lineRule="auto"/>
        <w:rPr>
          <w:rStyle w:val="SubtleEmphasis"/>
          <w:i w:val="0"/>
          <w:color w:val="auto"/>
          <w:lang w:val="en-US"/>
        </w:rPr>
      </w:pPr>
      <w:r w:rsidRPr="00884EE9">
        <w:rPr>
          <w:rStyle w:val="SubtleEmphasis"/>
          <w:i w:val="0"/>
          <w:color w:val="auto"/>
          <w:lang w:val="en-US"/>
        </w:rPr>
        <w:t>As mentioned before in paragraph 4.3.2, the</w:t>
      </w:r>
      <w:r w:rsidR="00E74C8E" w:rsidRPr="00884EE9">
        <w:rPr>
          <w:rStyle w:val="SubtleEmphasis"/>
          <w:i w:val="0"/>
          <w:color w:val="auto"/>
          <w:lang w:val="en-US"/>
        </w:rPr>
        <w:t xml:space="preserve"> </w:t>
      </w:r>
      <w:r w:rsidR="00AD6F1D">
        <w:rPr>
          <w:rStyle w:val="SubtleEmphasis"/>
          <w:i w:val="0"/>
          <w:color w:val="auto"/>
          <w:lang w:val="en-US"/>
        </w:rPr>
        <w:t>adsorption</w:t>
      </w:r>
      <w:r w:rsidR="00E74C8E" w:rsidRPr="00884EE9">
        <w:rPr>
          <w:rStyle w:val="SubtleEmphasis"/>
          <w:i w:val="0"/>
          <w:color w:val="auto"/>
          <w:lang w:val="en-US"/>
        </w:rPr>
        <w:t xml:space="preserve"> mechanism of nPS on pH-PS presumably occurs via a random </w:t>
      </w:r>
      <w:r w:rsidR="00434B02">
        <w:rPr>
          <w:rStyle w:val="SubtleEmphasis"/>
          <w:i w:val="0"/>
          <w:color w:val="auto"/>
          <w:lang w:val="en-US"/>
        </w:rPr>
        <w:t xml:space="preserve">sequential </w:t>
      </w:r>
      <w:r w:rsidR="00AD6F1D">
        <w:rPr>
          <w:rStyle w:val="SubtleEmphasis"/>
          <w:i w:val="0"/>
          <w:color w:val="auto"/>
          <w:lang w:val="en-US"/>
        </w:rPr>
        <w:t>adsorption</w:t>
      </w:r>
      <w:r w:rsidR="00E74C8E" w:rsidRPr="00884EE9">
        <w:rPr>
          <w:rStyle w:val="SubtleEmphasis"/>
          <w:i w:val="0"/>
          <w:color w:val="auto"/>
          <w:lang w:val="en-US"/>
        </w:rPr>
        <w:t xml:space="preserve"> mechanism, meaning that an optimal packing of the pH-PS particle surface is practically not viable. The partially covered surface of pH-PS is further proof of this random </w:t>
      </w:r>
      <w:r w:rsidR="00434B02">
        <w:rPr>
          <w:rStyle w:val="SubtleEmphasis"/>
          <w:i w:val="0"/>
          <w:color w:val="auto"/>
          <w:lang w:val="en-US"/>
        </w:rPr>
        <w:t xml:space="preserve">sequential </w:t>
      </w:r>
      <w:r w:rsidR="00AD6F1D">
        <w:rPr>
          <w:rStyle w:val="SubtleEmphasis"/>
          <w:i w:val="0"/>
          <w:color w:val="auto"/>
          <w:lang w:val="en-US"/>
        </w:rPr>
        <w:t>adsorption</w:t>
      </w:r>
      <w:r w:rsidR="00E74C8E" w:rsidRPr="00884EE9">
        <w:rPr>
          <w:rStyle w:val="SubtleEmphasis"/>
          <w:i w:val="0"/>
          <w:color w:val="auto"/>
          <w:lang w:val="en-US"/>
        </w:rPr>
        <w:t xml:space="preserve"> mechanism. However, there is still enough space left for additional nPS particles to </w:t>
      </w:r>
      <w:r w:rsidR="00D92D38">
        <w:rPr>
          <w:rStyle w:val="SubtleEmphasis"/>
          <w:i w:val="0"/>
          <w:color w:val="auto"/>
          <w:lang w:val="en-US"/>
        </w:rPr>
        <w:t>adsorb</w:t>
      </w:r>
      <w:r w:rsidR="00E74C8E" w:rsidRPr="00884EE9">
        <w:rPr>
          <w:rStyle w:val="SubtleEmphasis"/>
          <w:i w:val="0"/>
          <w:color w:val="auto"/>
          <w:lang w:val="en-US"/>
        </w:rPr>
        <w:t xml:space="preserve"> on the pH-PS surface, especially considering other </w:t>
      </w:r>
      <w:r w:rsidR="0093383A">
        <w:rPr>
          <w:rStyle w:val="SubtleEmphasis"/>
          <w:i w:val="0"/>
          <w:color w:val="auto"/>
          <w:lang w:val="en-US"/>
        </w:rPr>
        <w:t xml:space="preserve">closely packed </w:t>
      </w:r>
      <w:r w:rsidR="00E74C8E" w:rsidRPr="00884EE9">
        <w:rPr>
          <w:rStyle w:val="SubtleEmphasis"/>
          <w:i w:val="0"/>
          <w:color w:val="auto"/>
          <w:lang w:val="en-US"/>
        </w:rPr>
        <w:t xml:space="preserve">nPS particles are </w:t>
      </w:r>
      <w:r w:rsidR="00D92D38">
        <w:rPr>
          <w:rStyle w:val="SubtleEmphasis"/>
          <w:i w:val="0"/>
          <w:color w:val="auto"/>
          <w:lang w:val="en-US"/>
        </w:rPr>
        <w:t>adsorb</w:t>
      </w:r>
      <w:r w:rsidR="00E74C8E" w:rsidRPr="00884EE9">
        <w:rPr>
          <w:rStyle w:val="SubtleEmphasis"/>
          <w:i w:val="0"/>
          <w:color w:val="auto"/>
          <w:lang w:val="en-US"/>
        </w:rPr>
        <w:t>ed</w:t>
      </w:r>
      <w:r w:rsidR="0093383A">
        <w:rPr>
          <w:rStyle w:val="SubtleEmphasis"/>
          <w:i w:val="0"/>
          <w:color w:val="auto"/>
          <w:lang w:val="en-US"/>
        </w:rPr>
        <w:t>.</w:t>
      </w:r>
      <w:r w:rsidR="00E74C8E" w:rsidRPr="00884EE9">
        <w:rPr>
          <w:rStyle w:val="SubtleEmphasis"/>
          <w:i w:val="0"/>
          <w:color w:val="auto"/>
          <w:lang w:val="en-US"/>
        </w:rPr>
        <w:t xml:space="preserve"> An explanation for this effect could again be the presence of discrete patches of charged groups on the pH-PS particle surface. This would mean that the empty surfaces on pH-PS contain mostly negatively charged carboxylic acid groups</w:t>
      </w:r>
      <w:r w:rsidR="0093383A">
        <w:rPr>
          <w:rStyle w:val="SubtleEmphasis"/>
          <w:i w:val="0"/>
          <w:color w:val="auto"/>
          <w:lang w:val="en-US"/>
        </w:rPr>
        <w:t xml:space="preserve"> or are seemingly neutral due to the presence of both carboxylic acids and amines. At</w:t>
      </w:r>
      <w:r w:rsidR="00E74C8E" w:rsidRPr="00884EE9">
        <w:rPr>
          <w:rStyle w:val="SubtleEmphasis"/>
          <w:i w:val="0"/>
          <w:color w:val="auto"/>
          <w:lang w:val="en-US"/>
        </w:rPr>
        <w:t xml:space="preserve"> the </w:t>
      </w:r>
      <w:r w:rsidR="00AD6F1D">
        <w:rPr>
          <w:rStyle w:val="SubtleEmphasis"/>
          <w:i w:val="0"/>
          <w:color w:val="auto"/>
          <w:lang w:val="en-US"/>
        </w:rPr>
        <w:t>adsorption</w:t>
      </w:r>
      <w:r w:rsidR="00E74C8E" w:rsidRPr="00884EE9">
        <w:rPr>
          <w:rStyle w:val="SubtleEmphasis"/>
          <w:i w:val="0"/>
          <w:color w:val="auto"/>
          <w:lang w:val="en-US"/>
        </w:rPr>
        <w:t xml:space="preserve"> sites, there is a substantial presence of positively charged amine groups </w:t>
      </w:r>
      <w:r w:rsidR="0093383A">
        <w:rPr>
          <w:rStyle w:val="SubtleEmphasis"/>
          <w:i w:val="0"/>
          <w:color w:val="auto"/>
          <w:lang w:val="en-US"/>
        </w:rPr>
        <w:t>that</w:t>
      </w:r>
      <w:r w:rsidR="00E74C8E" w:rsidRPr="00884EE9">
        <w:rPr>
          <w:rStyle w:val="SubtleEmphasis"/>
          <w:i w:val="0"/>
          <w:color w:val="auto"/>
          <w:lang w:val="en-US"/>
        </w:rPr>
        <w:t xml:space="preserve"> attract the negatively charged nPS particles. </w:t>
      </w:r>
      <w:r w:rsidR="00E74C8E" w:rsidRPr="00884EE9">
        <w:rPr>
          <w:iCs/>
          <w:lang w:val="en-US"/>
        </w:rPr>
        <w:br/>
      </w:r>
      <w:r w:rsidR="00E74C8E" w:rsidRPr="00884EE9">
        <w:rPr>
          <w:rStyle w:val="SubtleEmphasis"/>
          <w:i w:val="0"/>
          <w:color w:val="auto"/>
          <w:lang w:val="en-US"/>
        </w:rPr>
        <w:t xml:space="preserve">The hypothesis for the presence of these discrete patches of charged groups on the pH-PS surface will return in further examples and will be discussed in further detail </w:t>
      </w:r>
      <w:r w:rsidR="0093383A">
        <w:rPr>
          <w:rStyle w:val="SubtleEmphasis"/>
          <w:i w:val="0"/>
          <w:color w:val="auto"/>
          <w:lang w:val="en-US"/>
        </w:rPr>
        <w:t>in paragraph 5.3.5</w:t>
      </w:r>
      <w:r w:rsidR="00E74C8E" w:rsidRPr="00884EE9">
        <w:rPr>
          <w:rStyle w:val="SubtleEmphasis"/>
          <w:i w:val="0"/>
          <w:color w:val="auto"/>
          <w:lang w:val="en-US"/>
        </w:rPr>
        <w:t>.</w:t>
      </w:r>
    </w:p>
    <w:p w:rsidR="00E74C8E" w:rsidRPr="00B63C76" w:rsidRDefault="00DA0590" w:rsidP="00FC7A2B">
      <w:pPr>
        <w:pStyle w:val="Heading4"/>
        <w:numPr>
          <w:ilvl w:val="3"/>
          <w:numId w:val="2"/>
        </w:numPr>
        <w:spacing w:line="240" w:lineRule="auto"/>
        <w:rPr>
          <w:rStyle w:val="SubtleEmphasis"/>
          <w:b/>
          <w:color w:val="auto"/>
          <w:lang w:val="en-US"/>
        </w:rPr>
      </w:pPr>
      <w:r>
        <w:rPr>
          <w:rStyle w:val="SubtleEmphasis"/>
          <w:b/>
          <w:color w:val="auto"/>
          <w:lang w:val="en-US"/>
        </w:rPr>
        <w:t>I</w:t>
      </w:r>
      <w:r w:rsidR="00E74C8E" w:rsidRPr="00B63C76">
        <w:rPr>
          <w:rStyle w:val="SubtleEmphasis"/>
          <w:b/>
          <w:color w:val="auto"/>
          <w:lang w:val="en-US"/>
        </w:rPr>
        <w:t>n the acidic pH regime</w:t>
      </w:r>
    </w:p>
    <w:p w:rsidR="00E74C8E" w:rsidRPr="00884EE9" w:rsidRDefault="00E74C8E" w:rsidP="00FC7A2B">
      <w:pPr>
        <w:spacing w:line="240" w:lineRule="auto"/>
        <w:rPr>
          <w:rStyle w:val="SubtleEmphasis"/>
          <w:i w:val="0"/>
          <w:color w:val="auto"/>
          <w:lang w:val="en-US"/>
        </w:rPr>
      </w:pPr>
      <w:r w:rsidRPr="00884EE9">
        <w:rPr>
          <w:rStyle w:val="SubtleEmphasis"/>
          <w:i w:val="0"/>
          <w:color w:val="auto"/>
          <w:lang w:val="en-US"/>
        </w:rPr>
        <w:t xml:space="preserve">Looking at the encapsulation experiments in the acidic pH regime, we see cluster formation of pH-PS with both nPS and pPS. </w:t>
      </w:r>
    </w:p>
    <w:p w:rsidR="00B63C76" w:rsidRPr="00884EE9" w:rsidRDefault="00E74C8E" w:rsidP="00FC7A2B">
      <w:pPr>
        <w:pStyle w:val="Heading5"/>
        <w:numPr>
          <w:ilvl w:val="4"/>
          <w:numId w:val="2"/>
        </w:numPr>
        <w:spacing w:line="240" w:lineRule="auto"/>
        <w:rPr>
          <w:b/>
          <w:iCs/>
          <w:color w:val="auto"/>
          <w:lang w:val="en-US"/>
        </w:rPr>
      </w:pPr>
      <w:r w:rsidRPr="00884EE9">
        <w:rPr>
          <w:rStyle w:val="Heading5Char"/>
          <w:b/>
          <w:color w:val="auto"/>
          <w:lang w:val="en-US"/>
        </w:rPr>
        <w:t>nPS encapsulation in acidic pH</w:t>
      </w:r>
      <w:r w:rsidRPr="00884EE9">
        <w:rPr>
          <w:rStyle w:val="SubtleEmphasis"/>
          <w:b/>
          <w:color w:val="auto"/>
          <w:lang w:val="en-US"/>
        </w:rPr>
        <w:t xml:space="preserve"> </w:t>
      </w:r>
    </w:p>
    <w:p w:rsidR="00E74C8E" w:rsidRPr="00884EE9" w:rsidRDefault="00E74C8E" w:rsidP="00FC7A2B">
      <w:pPr>
        <w:spacing w:line="240" w:lineRule="auto"/>
        <w:rPr>
          <w:rStyle w:val="SubtleEmphasis"/>
          <w:i w:val="0"/>
          <w:color w:val="auto"/>
          <w:lang w:val="en-US"/>
        </w:rPr>
      </w:pPr>
      <w:r w:rsidRPr="00884EE9">
        <w:rPr>
          <w:rStyle w:val="SubtleEmphasis"/>
          <w:i w:val="0"/>
          <w:color w:val="auto"/>
          <w:lang w:val="en-US"/>
        </w:rPr>
        <w:t xml:space="preserve">The nPS encapsulation is expected, as the net positive surface charge on pH-PS is attractive to the negative surface charge of nPS. Under the microscope, we see nicely packed clusters, again together with less densely or non-packed pH-PS particles. This observation again provides an argument for the </w:t>
      </w:r>
      <w:r w:rsidR="0093383A">
        <w:rPr>
          <w:rStyle w:val="SubtleEmphasis"/>
          <w:i w:val="0"/>
          <w:color w:val="auto"/>
          <w:lang w:val="en-US"/>
        </w:rPr>
        <w:t>in</w:t>
      </w:r>
      <w:r w:rsidRPr="00884EE9">
        <w:rPr>
          <w:rStyle w:val="SubtleEmphasis"/>
          <w:i w:val="0"/>
          <w:color w:val="auto"/>
          <w:lang w:val="en-US"/>
        </w:rPr>
        <w:t>homogeneous distribution of functional groups over all pH-PS particles</w:t>
      </w:r>
      <w:r w:rsidR="0093383A">
        <w:rPr>
          <w:rStyle w:val="SubtleEmphasis"/>
          <w:i w:val="0"/>
          <w:color w:val="auto"/>
          <w:lang w:val="en-US"/>
        </w:rPr>
        <w:t>.</w:t>
      </w:r>
    </w:p>
    <w:p w:rsidR="00E74C8E" w:rsidRPr="00884EE9" w:rsidRDefault="00E74C8E" w:rsidP="00FC7A2B">
      <w:pPr>
        <w:spacing w:line="240" w:lineRule="auto"/>
        <w:rPr>
          <w:rStyle w:val="SubtleEmphasis"/>
          <w:i w:val="0"/>
          <w:color w:val="auto"/>
          <w:lang w:val="en-US"/>
        </w:rPr>
      </w:pPr>
      <w:r w:rsidRPr="00884EE9">
        <w:rPr>
          <w:rStyle w:val="SubtleEmphasis"/>
          <w:i w:val="0"/>
          <w:color w:val="auto"/>
          <w:lang w:val="en-US"/>
        </w:rPr>
        <w:t xml:space="preserve">Additionally, a trend was observed where increasing </w:t>
      </w:r>
      <w:r w:rsidR="00DA0590" w:rsidRPr="00884EE9">
        <w:rPr>
          <w:rStyle w:val="SubtleEmphasis"/>
          <w:i w:val="0"/>
          <w:color w:val="auto"/>
          <w:lang w:val="en-US"/>
        </w:rPr>
        <w:t>number</w:t>
      </w:r>
      <w:r w:rsidRPr="00884EE9">
        <w:rPr>
          <w:rStyle w:val="SubtleEmphasis"/>
          <w:i w:val="0"/>
          <w:color w:val="auto"/>
          <w:lang w:val="en-US"/>
        </w:rPr>
        <w:t xml:space="preserve"> of particles aggregate and migrate to the surface with decreasing pH. This trend is paired with time, as the macroscopic aggregate formation occurs</w:t>
      </w:r>
      <w:r w:rsidR="00434B02">
        <w:rPr>
          <w:rStyle w:val="SubtleEmphasis"/>
          <w:i w:val="0"/>
          <w:color w:val="auto"/>
          <w:lang w:val="en-US"/>
        </w:rPr>
        <w:t xml:space="preserve"> </w:t>
      </w:r>
      <w:r w:rsidR="00434B02" w:rsidRPr="00884EE9">
        <w:rPr>
          <w:noProof/>
        </w:rPr>
        <w:lastRenderedPageBreak/>
        <mc:AlternateContent>
          <mc:Choice Requires="wps">
            <w:drawing>
              <wp:anchor distT="0" distB="0" distL="114300" distR="114300" simplePos="0" relativeHeight="251685888" behindDoc="0" locked="0" layoutInCell="1" allowOverlap="1" wp14:anchorId="59DDB124" wp14:editId="28E1A4B8">
                <wp:simplePos x="0" y="0"/>
                <wp:positionH relativeFrom="column">
                  <wp:posOffset>344483</wp:posOffset>
                </wp:positionH>
                <wp:positionV relativeFrom="paragraph">
                  <wp:posOffset>2808927</wp:posOffset>
                </wp:positionV>
                <wp:extent cx="5227955" cy="635"/>
                <wp:effectExtent l="0" t="0" r="0" b="3810"/>
                <wp:wrapTopAndBottom/>
                <wp:docPr id="25" name="Text Box 25"/>
                <wp:cNvGraphicFramePr/>
                <a:graphic xmlns:a="http://schemas.openxmlformats.org/drawingml/2006/main">
                  <a:graphicData uri="http://schemas.microsoft.com/office/word/2010/wordprocessingShape">
                    <wps:wsp>
                      <wps:cNvSpPr txBox="1"/>
                      <wps:spPr>
                        <a:xfrm>
                          <a:off x="0" y="0"/>
                          <a:ext cx="5227955" cy="635"/>
                        </a:xfrm>
                        <a:prstGeom prst="rect">
                          <a:avLst/>
                        </a:prstGeom>
                        <a:solidFill>
                          <a:prstClr val="white"/>
                        </a:solidFill>
                        <a:ln>
                          <a:noFill/>
                        </a:ln>
                      </wps:spPr>
                      <wps:txbx>
                        <w:txbxContent>
                          <w:p w:rsidR="00ED05BD" w:rsidRPr="00DA0590" w:rsidRDefault="00ED05BD" w:rsidP="00DA0590">
                            <w:pPr>
                              <w:pStyle w:val="Caption"/>
                              <w:jc w:val="center"/>
                              <w:rPr>
                                <w:noProof/>
                                <w:color w:val="auto"/>
                                <w:sz w:val="20"/>
                                <w:szCs w:val="20"/>
                                <w:lang w:val="en-US"/>
                              </w:rPr>
                            </w:pPr>
                            <w:bookmarkStart w:id="104" w:name="_Ref29914475"/>
                            <w:r>
                              <w:rPr>
                                <w:color w:val="auto"/>
                                <w:sz w:val="20"/>
                                <w:szCs w:val="20"/>
                                <w:lang w:val="en-US"/>
                              </w:rPr>
                              <w:t>Figure</w:t>
                            </w:r>
                            <w:r w:rsidRPr="00DA0590">
                              <w:rPr>
                                <w:color w:val="auto"/>
                                <w:sz w:val="20"/>
                                <w:szCs w:val="20"/>
                                <w:lang w:val="en-US"/>
                              </w:rPr>
                              <w:t xml:space="preserve"> </w:t>
                            </w:r>
                            <w:r w:rsidRPr="00DA0590">
                              <w:rPr>
                                <w:color w:val="auto"/>
                                <w:sz w:val="20"/>
                                <w:szCs w:val="20"/>
                              </w:rPr>
                              <w:fldChar w:fldCharType="begin"/>
                            </w:r>
                            <w:r w:rsidRPr="00DA0590">
                              <w:rPr>
                                <w:color w:val="auto"/>
                                <w:sz w:val="20"/>
                                <w:szCs w:val="20"/>
                                <w:lang w:val="en-US"/>
                              </w:rPr>
                              <w:instrText xml:space="preserve"> SEQ Figure \* ARABIC </w:instrText>
                            </w:r>
                            <w:r w:rsidRPr="00DA0590">
                              <w:rPr>
                                <w:color w:val="auto"/>
                                <w:sz w:val="20"/>
                                <w:szCs w:val="20"/>
                              </w:rPr>
                              <w:fldChar w:fldCharType="separate"/>
                            </w:r>
                            <w:r>
                              <w:rPr>
                                <w:noProof/>
                                <w:color w:val="auto"/>
                                <w:sz w:val="20"/>
                                <w:szCs w:val="20"/>
                                <w:lang w:val="en-US"/>
                              </w:rPr>
                              <w:t>39</w:t>
                            </w:r>
                            <w:r w:rsidRPr="00DA0590">
                              <w:rPr>
                                <w:color w:val="auto"/>
                                <w:sz w:val="20"/>
                                <w:szCs w:val="20"/>
                              </w:rPr>
                              <w:fldChar w:fldCharType="end"/>
                            </w:r>
                            <w:bookmarkEnd w:id="104"/>
                            <w:r w:rsidRPr="00DA0590">
                              <w:rPr>
                                <w:color w:val="auto"/>
                                <w:sz w:val="20"/>
                                <w:szCs w:val="20"/>
                                <w:lang w:val="en-US"/>
                              </w:rPr>
                              <w:t>: Scanning electron microscope micrograph of a cluster of pH-PS with nPS particles at pH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DDB124" id="Text Box 25" o:spid="_x0000_s1031" type="#_x0000_t202" style="position:absolute;margin-left:27.1pt;margin-top:221.2pt;width:411.65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" stroked="f">
                <v:textbox style="mso-fit-shape-to-text:t" inset="0,0,0,0">
                  <w:txbxContent>
                    <w:p w:rsidR="00ED05BD" w:rsidRPr="00DA0590" w:rsidRDefault="00ED05BD" w:rsidP="00DA0590">
                      <w:pPr>
                        <w:pStyle w:val="Caption"/>
                        <w:jc w:val="center"/>
                        <w:rPr>
                          <w:noProof/>
                          <w:color w:val="auto"/>
                          <w:sz w:val="20"/>
                          <w:szCs w:val="20"/>
                          <w:lang w:val="en-US"/>
                        </w:rPr>
                      </w:pPr>
                      <w:bookmarkStart w:id="110" w:name="_Ref29914475"/>
                      <w:r>
                        <w:rPr>
                          <w:color w:val="auto"/>
                          <w:sz w:val="20"/>
                          <w:szCs w:val="20"/>
                          <w:lang w:val="en-US"/>
                        </w:rPr>
                        <w:t>Figure</w:t>
                      </w:r>
                      <w:r w:rsidRPr="00DA0590">
                        <w:rPr>
                          <w:color w:val="auto"/>
                          <w:sz w:val="20"/>
                          <w:szCs w:val="20"/>
                          <w:lang w:val="en-US"/>
                        </w:rPr>
                        <w:t xml:space="preserve"> </w:t>
                      </w:r>
                      <w:r w:rsidRPr="00DA0590">
                        <w:rPr>
                          <w:color w:val="auto"/>
                          <w:sz w:val="20"/>
                          <w:szCs w:val="20"/>
                        </w:rPr>
                        <w:fldChar w:fldCharType="begin"/>
                      </w:r>
                      <w:r w:rsidRPr="00DA0590">
                        <w:rPr>
                          <w:color w:val="auto"/>
                          <w:sz w:val="20"/>
                          <w:szCs w:val="20"/>
                          <w:lang w:val="en-US"/>
                        </w:rPr>
                        <w:instrText xml:space="preserve"> SEQ Figure \* ARABIC </w:instrText>
                      </w:r>
                      <w:r w:rsidRPr="00DA0590">
                        <w:rPr>
                          <w:color w:val="auto"/>
                          <w:sz w:val="20"/>
                          <w:szCs w:val="20"/>
                        </w:rPr>
                        <w:fldChar w:fldCharType="separate"/>
                      </w:r>
                      <w:r>
                        <w:rPr>
                          <w:noProof/>
                          <w:color w:val="auto"/>
                          <w:sz w:val="20"/>
                          <w:szCs w:val="20"/>
                          <w:lang w:val="en-US"/>
                        </w:rPr>
                        <w:t>39</w:t>
                      </w:r>
                      <w:r w:rsidRPr="00DA0590">
                        <w:rPr>
                          <w:color w:val="auto"/>
                          <w:sz w:val="20"/>
                          <w:szCs w:val="20"/>
                        </w:rPr>
                        <w:fldChar w:fldCharType="end"/>
                      </w:r>
                      <w:bookmarkEnd w:id="110"/>
                      <w:r w:rsidRPr="00DA0590">
                        <w:rPr>
                          <w:color w:val="auto"/>
                          <w:sz w:val="20"/>
                          <w:szCs w:val="20"/>
                          <w:lang w:val="en-US"/>
                        </w:rPr>
                        <w:t xml:space="preserve">: Scanning electron microscope micrograph of a cluster of pH-PS with </w:t>
                      </w:r>
                      <w:proofErr w:type="spellStart"/>
                      <w:r w:rsidRPr="00DA0590">
                        <w:rPr>
                          <w:color w:val="auto"/>
                          <w:sz w:val="20"/>
                          <w:szCs w:val="20"/>
                          <w:lang w:val="en-US"/>
                        </w:rPr>
                        <w:t>nPS</w:t>
                      </w:r>
                      <w:proofErr w:type="spellEnd"/>
                      <w:r w:rsidRPr="00DA0590">
                        <w:rPr>
                          <w:color w:val="auto"/>
                          <w:sz w:val="20"/>
                          <w:szCs w:val="20"/>
                          <w:lang w:val="en-US"/>
                        </w:rPr>
                        <w:t xml:space="preserve"> particles at pH 3.</w:t>
                      </w:r>
                    </w:p>
                  </w:txbxContent>
                </v:textbox>
                <w10:wrap type="topAndBottom"/>
              </v:shape>
            </w:pict>
          </mc:Fallback>
        </mc:AlternateContent>
      </w:r>
      <w:r w:rsidR="00434B02" w:rsidRPr="00884EE9">
        <w:rPr>
          <w:noProof/>
        </w:rPr>
        <w:drawing>
          <wp:anchor distT="0" distB="0" distL="114300" distR="114300" simplePos="0" relativeHeight="251653120" behindDoc="0" locked="0" layoutInCell="1" allowOverlap="1">
            <wp:simplePos x="0" y="0"/>
            <wp:positionH relativeFrom="column">
              <wp:posOffset>1527629</wp:posOffset>
            </wp:positionH>
            <wp:positionV relativeFrom="paragraph">
              <wp:posOffset>519</wp:posOffset>
            </wp:positionV>
            <wp:extent cx="2813685" cy="2813685"/>
            <wp:effectExtent l="0" t="0" r="5715" b="571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3685" cy="2813685"/>
                    </a:xfrm>
                    <a:prstGeom prst="rect">
                      <a:avLst/>
                    </a:prstGeom>
                    <a:noFill/>
                  </pic:spPr>
                </pic:pic>
              </a:graphicData>
            </a:graphic>
            <wp14:sizeRelH relativeFrom="margin">
              <wp14:pctWidth>0</wp14:pctWidth>
            </wp14:sizeRelH>
            <wp14:sizeRelV relativeFrom="margin">
              <wp14:pctHeight>0</wp14:pctHeight>
            </wp14:sizeRelV>
          </wp:anchor>
        </w:drawing>
      </w:r>
      <w:r w:rsidRPr="00884EE9">
        <w:rPr>
          <w:rStyle w:val="SubtleEmphasis"/>
          <w:i w:val="0"/>
          <w:color w:val="auto"/>
          <w:lang w:val="en-US"/>
        </w:rPr>
        <w:t xml:space="preserve">more quickly in stronger acidic pH. A reason for this could be the increasing mean positive surface charge of pH-PS with decreasing pH, which would facilitate the mass aggregation of particles in the dispersion. </w:t>
      </w:r>
    </w:p>
    <w:p w:rsidR="0093383A" w:rsidRDefault="00E74C8E" w:rsidP="0093383A">
      <w:pPr>
        <w:spacing w:line="240" w:lineRule="auto"/>
        <w:rPr>
          <w:rStyle w:val="SubtleEmphasis"/>
          <w:i w:val="0"/>
          <w:color w:val="auto"/>
          <w:lang w:val="en-US"/>
        </w:rPr>
      </w:pPr>
      <w:r w:rsidRPr="00884EE9">
        <w:rPr>
          <w:rStyle w:val="SubtleEmphasis"/>
          <w:i w:val="0"/>
          <w:color w:val="auto"/>
          <w:lang w:val="en-US"/>
        </w:rPr>
        <w:t xml:space="preserve">This migration of pH-PS particles, which can happen already after a few minutes of equilibration at pH 3, could be the reason why we observe a similar distribution of packing of pH-PS in acidic and neutral pH values. It could be that between addition of acid and viewing the sample under the microscope, some pH-PS clusters have already massively aggregated and migrated to the interface of the dispersion. This way, the most strongly attractive pH-PS particles will not be present in the dispersion anymore, as these have formed the macroscopic aggregate network we observe on the interface. An argument for this hypothesis is provided when </w:t>
      </w:r>
      <w:r w:rsidRPr="00434B02">
        <w:rPr>
          <w:rStyle w:val="SubtleEmphasis"/>
          <w:i w:val="0"/>
          <w:color w:val="auto"/>
          <w:lang w:val="en-US"/>
        </w:rPr>
        <w:t xml:space="preserve">considering the zeta potential distribution of both nPS and pH-PS at pH 3. From this distribution, shown in </w:t>
      </w:r>
      <w:r w:rsidR="00884EE9" w:rsidRPr="00434B02">
        <w:rPr>
          <w:rStyle w:val="SubtleEmphasis"/>
          <w:i w:val="0"/>
          <w:color w:val="auto"/>
          <w:lang w:val="en-US"/>
        </w:rPr>
        <w:fldChar w:fldCharType="begin"/>
      </w:r>
      <w:r w:rsidR="00884EE9" w:rsidRPr="00434B02">
        <w:rPr>
          <w:rStyle w:val="SubtleEmphasis"/>
          <w:i w:val="0"/>
          <w:color w:val="auto"/>
          <w:lang w:val="en-US"/>
        </w:rPr>
        <w:instrText xml:space="preserve"> REF _Ref29914516 \h  \* MERGEFORMAT </w:instrText>
      </w:r>
      <w:r w:rsidR="00884EE9" w:rsidRPr="00434B02">
        <w:rPr>
          <w:rStyle w:val="SubtleEmphasis"/>
          <w:i w:val="0"/>
          <w:color w:val="auto"/>
          <w:lang w:val="en-US"/>
        </w:rPr>
      </w:r>
      <w:r w:rsidR="00884EE9" w:rsidRPr="00434B02">
        <w:rPr>
          <w:rStyle w:val="SubtleEmphasis"/>
          <w:i w:val="0"/>
          <w:color w:val="auto"/>
          <w:lang w:val="en-US"/>
        </w:rPr>
        <w:fldChar w:fldCharType="separate"/>
      </w:r>
      <w:r w:rsidR="00C52506" w:rsidRPr="00434B02">
        <w:rPr>
          <w:lang w:val="en-US"/>
        </w:rPr>
        <w:t xml:space="preserve">Figure </w:t>
      </w:r>
      <w:r w:rsidR="00C52506" w:rsidRPr="00434B02">
        <w:rPr>
          <w:noProof/>
          <w:lang w:val="en-US"/>
        </w:rPr>
        <w:t>40</w:t>
      </w:r>
      <w:r w:rsidR="00884EE9" w:rsidRPr="00434B02">
        <w:rPr>
          <w:rStyle w:val="SubtleEmphasis"/>
          <w:i w:val="0"/>
          <w:color w:val="auto"/>
          <w:lang w:val="en-US"/>
        </w:rPr>
        <w:fldChar w:fldCharType="end"/>
      </w:r>
      <w:r w:rsidRPr="00434B02">
        <w:rPr>
          <w:rStyle w:val="SubtleEmphasis"/>
          <w:i w:val="0"/>
          <w:color w:val="auto"/>
          <w:lang w:val="en-US"/>
        </w:rPr>
        <w:t>, it can</w:t>
      </w:r>
      <w:r w:rsidRPr="00884EE9">
        <w:rPr>
          <w:rStyle w:val="SubtleEmphasis"/>
          <w:i w:val="0"/>
          <w:color w:val="auto"/>
          <w:lang w:val="en-US"/>
        </w:rPr>
        <w:t xml:space="preserve"> be seen all particles of pH-PS are positively charged, while for nPS all are negatively charged. </w:t>
      </w:r>
    </w:p>
    <w:p w:rsidR="00DA0590" w:rsidRPr="0093383A" w:rsidRDefault="00E74C8E" w:rsidP="0093383A">
      <w:pPr>
        <w:spacing w:line="240" w:lineRule="auto"/>
        <w:jc w:val="center"/>
        <w:rPr>
          <w:iCs/>
          <w:lang w:val="en-US"/>
        </w:rPr>
      </w:pPr>
      <w:r w:rsidRPr="00884EE9">
        <w:rPr>
          <w:iCs/>
          <w:lang w:val="en-US"/>
        </w:rPr>
        <w:br/>
      </w:r>
      <w:r w:rsidRPr="00884EE9">
        <w:rPr>
          <w:noProof/>
          <w:lang w:val="en-US"/>
        </w:rPr>
        <w:drawing>
          <wp:inline distT="0" distB="0" distL="0" distR="0">
            <wp:extent cx="3942608" cy="2932332"/>
            <wp:effectExtent l="0" t="0" r="127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8361" b="3619"/>
                    <a:stretch/>
                  </pic:blipFill>
                  <pic:spPr bwMode="auto">
                    <a:xfrm>
                      <a:off x="0" y="0"/>
                      <a:ext cx="3950006" cy="2937834"/>
                    </a:xfrm>
                    <a:prstGeom prst="rect">
                      <a:avLst/>
                    </a:prstGeom>
                    <a:noFill/>
                    <a:ln>
                      <a:noFill/>
                    </a:ln>
                    <a:extLst>
                      <a:ext uri="{53640926-AAD7-44D8-BBD7-CCE9431645EC}">
                        <a14:shadowObscured xmlns:a14="http://schemas.microsoft.com/office/drawing/2010/main"/>
                      </a:ext>
                    </a:extLst>
                  </pic:spPr>
                </pic:pic>
              </a:graphicData>
            </a:graphic>
          </wp:inline>
        </w:drawing>
      </w:r>
    </w:p>
    <w:p w:rsidR="00DA0590" w:rsidRPr="00884EE9" w:rsidRDefault="00C82962" w:rsidP="00FC7A2B">
      <w:pPr>
        <w:pStyle w:val="Caption"/>
        <w:jc w:val="center"/>
        <w:rPr>
          <w:color w:val="auto"/>
          <w:sz w:val="20"/>
          <w:szCs w:val="20"/>
          <w:lang w:val="en-US"/>
        </w:rPr>
      </w:pPr>
      <w:bookmarkStart w:id="105" w:name="_Ref29914516"/>
      <w:r>
        <w:rPr>
          <w:color w:val="auto"/>
          <w:sz w:val="20"/>
          <w:szCs w:val="20"/>
          <w:lang w:val="en-US"/>
        </w:rPr>
        <w:t>Figure</w:t>
      </w:r>
      <w:r w:rsidR="00DA0590" w:rsidRPr="00884EE9">
        <w:rPr>
          <w:color w:val="auto"/>
          <w:sz w:val="20"/>
          <w:szCs w:val="20"/>
          <w:lang w:val="en-US"/>
        </w:rPr>
        <w:t xml:space="preserve"> </w:t>
      </w:r>
      <w:r w:rsidR="00DA0590" w:rsidRPr="00884EE9">
        <w:rPr>
          <w:color w:val="auto"/>
          <w:sz w:val="20"/>
          <w:szCs w:val="20"/>
        </w:rPr>
        <w:fldChar w:fldCharType="begin"/>
      </w:r>
      <w:r w:rsidR="00DA0590" w:rsidRPr="00884EE9">
        <w:rPr>
          <w:color w:val="auto"/>
          <w:sz w:val="20"/>
          <w:szCs w:val="20"/>
          <w:lang w:val="en-US"/>
        </w:rPr>
        <w:instrText xml:space="preserve"> SEQ Figure \* ARABIC </w:instrText>
      </w:r>
      <w:r w:rsidR="00DA0590" w:rsidRPr="00884EE9">
        <w:rPr>
          <w:color w:val="auto"/>
          <w:sz w:val="20"/>
          <w:szCs w:val="20"/>
        </w:rPr>
        <w:fldChar w:fldCharType="separate"/>
      </w:r>
      <w:r w:rsidR="00C52506">
        <w:rPr>
          <w:noProof/>
          <w:color w:val="auto"/>
          <w:sz w:val="20"/>
          <w:szCs w:val="20"/>
          <w:lang w:val="en-US"/>
        </w:rPr>
        <w:t>40</w:t>
      </w:r>
      <w:r w:rsidR="00DA0590" w:rsidRPr="00884EE9">
        <w:rPr>
          <w:color w:val="auto"/>
          <w:sz w:val="20"/>
          <w:szCs w:val="20"/>
        </w:rPr>
        <w:fldChar w:fldCharType="end"/>
      </w:r>
      <w:bookmarkEnd w:id="105"/>
      <w:r w:rsidR="00DA0590" w:rsidRPr="00884EE9">
        <w:rPr>
          <w:color w:val="auto"/>
          <w:sz w:val="20"/>
          <w:szCs w:val="20"/>
          <w:lang w:val="en-US"/>
        </w:rPr>
        <w:t>: Zeta potential distribution of nPS and pH-PS at pH 3.</w:t>
      </w:r>
    </w:p>
    <w:p w:rsidR="00E74C8E" w:rsidRPr="00884EE9" w:rsidRDefault="00DA0590" w:rsidP="00FC7A2B">
      <w:pPr>
        <w:spacing w:line="240" w:lineRule="auto"/>
        <w:rPr>
          <w:rStyle w:val="SubtleEmphasis"/>
          <w:color w:val="auto"/>
          <w:lang w:val="en-US"/>
        </w:rPr>
      </w:pPr>
      <w:r w:rsidRPr="00884EE9">
        <w:rPr>
          <w:rStyle w:val="SubtleEmphasis"/>
          <w:i w:val="0"/>
          <w:color w:val="auto"/>
          <w:lang w:val="en-US"/>
        </w:rPr>
        <w:lastRenderedPageBreak/>
        <w:t>A</w:t>
      </w:r>
      <w:r w:rsidR="00E74C8E" w:rsidRPr="00884EE9">
        <w:rPr>
          <w:rStyle w:val="SubtleEmphasis"/>
          <w:i w:val="0"/>
          <w:color w:val="auto"/>
          <w:lang w:val="en-US"/>
        </w:rPr>
        <w:t xml:space="preserve"> way to solve the problem of time between changing the pH and viewing the sample under the microscope, could be by </w:t>
      </w:r>
      <w:r w:rsidR="00E74C8E" w:rsidRPr="00884EE9">
        <w:rPr>
          <w:rStyle w:val="SubtleEmphasis"/>
          <w:color w:val="auto"/>
          <w:lang w:val="en-US"/>
        </w:rPr>
        <w:t xml:space="preserve">in situ </w:t>
      </w:r>
      <w:r w:rsidR="00E74C8E" w:rsidRPr="00884EE9">
        <w:rPr>
          <w:rStyle w:val="SubtleEmphasis"/>
          <w:i w:val="0"/>
          <w:color w:val="auto"/>
          <w:lang w:val="en-US"/>
        </w:rPr>
        <w:t>addition of acid to a basic dispersion of the encapsulation particles</w:t>
      </w:r>
      <w:r w:rsidR="00E74C8E" w:rsidRPr="00884EE9">
        <w:rPr>
          <w:rStyle w:val="SubtleEmphasis"/>
          <w:i w:val="0"/>
          <w:color w:val="auto"/>
          <w:lang w:val="en-US"/>
        </w:rPr>
        <w:fldChar w:fldCharType="begin" w:fldLock="1"/>
      </w:r>
      <w:r w:rsidR="00FB6101">
        <w:rPr>
          <w:rStyle w:val="SubtleEmphasis"/>
          <w:i w:val="0"/>
          <w:color w:val="auto"/>
          <w:lang w:val="en-US"/>
        </w:rPr>
        <w:instrText>ADDIN CSL_CITATION { "citationItems" : [ { "id" : "ITEM-1", "itemData" : { "DOI" : "10.1021/acs.langmuir.7b00845", "ISSN" : "15205827", "PMID" : "28419800", "abstract" : "We report the first example of reversible encapsulation of micron-sized particles by oppositely charged submicron smaller colloids. The reversibility of this encapsulation process is regulated by pH-responsive poly(acrylic acid) (PAA) present in solution. The competitive adsorption between the small colloids and the poly(acrylic acid) on the surface of the large colloids plays a key role in the encapsulation behavior of the system. pH offers an experimental knob to tune the electrostatic interactions between the two oppositely charged particle species via regulation of the charge density of the poly(acrylic acid). This results in an increased surface coverage of the large colloids by the smaller colloids when decreasing pH. Furthermore, the poly(acrylic acid) also acts as a steric barrier limiting the strength of the attractive forces between the oppositely charged particle species, thereby enabling detachment of the smaller colloids. Finally, based on the pH tunability of the encapsulation behavior and the ability of the small colloids to detach, reversible encapsulation is achieved by cycling pH in the presence of the PAA polyelectrolytes. The role of polyelectrolytes revealed in this work provides a new and facile strategy to control heteroaggregation behavior between oppositely charged colloids, paving the way to prepare sophisticated hierarchical assemblies.", "author" : [ { "dropping-particle" : "", "family" : "Guo", "given" : "Yong", "non-dropping-particle" : "", "parse-names" : false, "suffix" : "" }, { "dropping-particle" : "", "family" : "Ravensteijn", "given" : "Bas G.P.", "non-dropping-particle" : "Van", "parse-names" : false, "suffix" : "" }, { "dropping-particle" : "", "family" : "Evers", "given" : "Chris H.J.", "non-dropping-particle" : "", "parse-names" : false, "suffix" : "" }, { "dropping-particle" : "", "family" : "Kegel", "given" : "Willem K.", "non-dropping-particle" : "", "parse-names" : false, "suffix" : "" } ], "container-title" : "Langmuir", "id" : "ITEM-1", "issue" : "18", "issued" : { "date-parts" : [ [ "2017" ] ] }, "page" : "4551-4558", "title" : "pH Reversible Encapsulation of Oppositely Charged Colloids Mediated by Polyelectrolytes", "type" : "article-journal", "volume" : "33" }, "uris" : [ "http://www.mendeley.com/documents/?uuid=d9105bab-9100-4274-8259-b63a4501d278" ] } ], "mendeley" : { "formattedCitation" : "&lt;sup&gt;25&lt;/sup&gt;", "plainTextFormattedCitation" : "25", "previouslyFormattedCitation" : "&lt;sup&gt;25&lt;/sup&gt;" }, "properties" : { "noteIndex" : 0 }, "schema" : "https://github.com/citation-style-language/schema/raw/master/csl-citation.json" }</w:instrText>
      </w:r>
      <w:r w:rsidR="00E74C8E" w:rsidRPr="00884EE9">
        <w:rPr>
          <w:rStyle w:val="SubtleEmphasis"/>
          <w:i w:val="0"/>
          <w:color w:val="auto"/>
          <w:lang w:val="en-US"/>
        </w:rPr>
        <w:fldChar w:fldCharType="separate"/>
      </w:r>
      <w:r w:rsidR="00DE131C" w:rsidRPr="00DE131C">
        <w:rPr>
          <w:rStyle w:val="SubtleEmphasis"/>
          <w:i w:val="0"/>
          <w:noProof/>
          <w:color w:val="auto"/>
          <w:vertAlign w:val="superscript"/>
          <w:lang w:val="en-US"/>
        </w:rPr>
        <w:t>25</w:t>
      </w:r>
      <w:r w:rsidR="00E74C8E" w:rsidRPr="00884EE9">
        <w:rPr>
          <w:rStyle w:val="SubtleEmphasis"/>
          <w:i w:val="0"/>
          <w:color w:val="auto"/>
          <w:lang w:val="en-US"/>
        </w:rPr>
        <w:fldChar w:fldCharType="end"/>
      </w:r>
      <w:r w:rsidR="00E74C8E" w:rsidRPr="00884EE9">
        <w:rPr>
          <w:rStyle w:val="SubtleEmphasis"/>
          <w:i w:val="0"/>
          <w:color w:val="auto"/>
          <w:lang w:val="en-US"/>
        </w:rPr>
        <w:t xml:space="preserve">. This way, one could immediately see the cluster formation and possibly massive aggregation. </w:t>
      </w:r>
    </w:p>
    <w:p w:rsidR="00E74C8E" w:rsidRPr="00884EE9" w:rsidRDefault="00E74C8E" w:rsidP="00FC7A2B">
      <w:pPr>
        <w:spacing w:line="240" w:lineRule="auto"/>
        <w:rPr>
          <w:rStyle w:val="SubtleEmphasis"/>
          <w:i w:val="0"/>
          <w:color w:val="auto"/>
          <w:lang w:val="en-US"/>
        </w:rPr>
      </w:pPr>
      <w:r w:rsidRPr="00884EE9">
        <w:rPr>
          <w:rStyle w:val="SubtleEmphasis"/>
          <w:i w:val="0"/>
          <w:color w:val="auto"/>
          <w:lang w:val="en-US"/>
        </w:rPr>
        <w:t xml:space="preserve">As mentioned earlier in paragraph </w:t>
      </w:r>
      <w:r w:rsidR="00F27802" w:rsidRPr="00884EE9">
        <w:rPr>
          <w:rStyle w:val="SubtleEmphasis"/>
          <w:i w:val="0"/>
          <w:color w:val="auto"/>
          <w:lang w:val="en-US"/>
        </w:rPr>
        <w:t>4.3.1</w:t>
      </w:r>
      <w:r w:rsidRPr="00884EE9">
        <w:rPr>
          <w:rStyle w:val="SubtleEmphasis"/>
          <w:i w:val="0"/>
          <w:color w:val="auto"/>
          <w:lang w:val="en-US"/>
        </w:rPr>
        <w:t xml:space="preserve">, it was investigated whether this migration of particles to the interface as macroscopic aggregates was reversible by adding base to the dispersion. For this, </w:t>
      </w:r>
      <w:r w:rsidR="009879B7" w:rsidRPr="00884EE9">
        <w:rPr>
          <w:rStyle w:val="SubtleEmphasis"/>
          <w:i w:val="0"/>
          <w:color w:val="auto"/>
          <w:lang w:val="en-US"/>
        </w:rPr>
        <w:t>optical</w:t>
      </w:r>
      <w:r w:rsidRPr="00884EE9">
        <w:rPr>
          <w:rStyle w:val="SubtleEmphasis"/>
          <w:i w:val="0"/>
          <w:color w:val="auto"/>
          <w:lang w:val="en-US"/>
        </w:rPr>
        <w:t xml:space="preserve"> micrographs of the resulting basic dispersion of particles after addition of base to the macroscopic aggregates were made, </w:t>
      </w:r>
      <w:r w:rsidR="002A253A" w:rsidRPr="00884EE9">
        <w:rPr>
          <w:rStyle w:val="SubtleEmphasis"/>
          <w:i w:val="0"/>
          <w:color w:val="auto"/>
          <w:lang w:val="en-US"/>
        </w:rPr>
        <w:t>which are</w:t>
      </w:r>
      <w:r w:rsidRPr="00884EE9">
        <w:rPr>
          <w:rStyle w:val="SubtleEmphasis"/>
          <w:i w:val="0"/>
          <w:color w:val="auto"/>
          <w:lang w:val="en-US"/>
        </w:rPr>
        <w:t xml:space="preserve"> shown in </w:t>
      </w:r>
      <w:r w:rsidR="00884EE9" w:rsidRPr="0093383A">
        <w:rPr>
          <w:rStyle w:val="SubtleEmphasis"/>
          <w:i w:val="0"/>
          <w:color w:val="auto"/>
          <w:lang w:val="en-US"/>
        </w:rPr>
        <w:fldChar w:fldCharType="begin"/>
      </w:r>
      <w:r w:rsidR="00884EE9" w:rsidRPr="0093383A">
        <w:rPr>
          <w:rStyle w:val="SubtleEmphasis"/>
          <w:i w:val="0"/>
          <w:color w:val="auto"/>
          <w:lang w:val="en-US"/>
        </w:rPr>
        <w:instrText xml:space="preserve"> REF _Ref29914539 \h  \* MERGEFORMAT </w:instrText>
      </w:r>
      <w:r w:rsidR="00884EE9" w:rsidRPr="0093383A">
        <w:rPr>
          <w:rStyle w:val="SubtleEmphasis"/>
          <w:i w:val="0"/>
          <w:color w:val="auto"/>
          <w:lang w:val="en-US"/>
        </w:rPr>
      </w:r>
      <w:r w:rsidR="00884EE9" w:rsidRPr="0093383A">
        <w:rPr>
          <w:rStyle w:val="SubtleEmphasis"/>
          <w:i w:val="0"/>
          <w:color w:val="auto"/>
          <w:lang w:val="en-US"/>
        </w:rPr>
        <w:fldChar w:fldCharType="separate"/>
      </w:r>
      <w:r w:rsidR="00C52506" w:rsidRPr="0093383A">
        <w:rPr>
          <w:lang w:val="en-US"/>
        </w:rPr>
        <w:t xml:space="preserve">Figure </w:t>
      </w:r>
      <w:r w:rsidR="00C52506" w:rsidRPr="0093383A">
        <w:rPr>
          <w:noProof/>
          <w:lang w:val="en-US"/>
        </w:rPr>
        <w:t>41</w:t>
      </w:r>
      <w:r w:rsidR="00884EE9" w:rsidRPr="0093383A">
        <w:rPr>
          <w:rStyle w:val="SubtleEmphasis"/>
          <w:i w:val="0"/>
          <w:color w:val="auto"/>
          <w:lang w:val="en-US"/>
        </w:rPr>
        <w:fldChar w:fldCharType="end"/>
      </w:r>
      <w:r w:rsidRPr="0093383A">
        <w:rPr>
          <w:rStyle w:val="SubtleEmphasis"/>
          <w:i w:val="0"/>
          <w:color w:val="auto"/>
          <w:lang w:val="en-US"/>
        </w:rPr>
        <w:t>,</w:t>
      </w:r>
      <w:r w:rsidRPr="00884EE9">
        <w:rPr>
          <w:rStyle w:val="SubtleEmphasis"/>
          <w:i w:val="0"/>
          <w:color w:val="auto"/>
          <w:lang w:val="en-US"/>
        </w:rPr>
        <w:t xml:space="preserve"> together with a fluorescent micrograph.</w:t>
      </w:r>
      <w:r w:rsidR="00642219">
        <w:rPr>
          <w:rStyle w:val="SubtleEmphasis"/>
          <w:i w:val="0"/>
          <w:color w:val="auto"/>
          <w:lang w:val="en-US"/>
        </w:rPr>
        <w:t xml:space="preserve"> </w:t>
      </w:r>
      <w:r w:rsidRPr="00884EE9">
        <w:rPr>
          <w:rStyle w:val="SubtleEmphasis"/>
          <w:i w:val="0"/>
          <w:color w:val="auto"/>
          <w:lang w:val="en-US"/>
        </w:rPr>
        <w:t>It can be seen that the surfaces of pH-PS have become mostly uncovered again. Interestingly, the nPS particles have aggregated after this cycle, despite their strong colloidal charge stabilizatio</w:t>
      </w:r>
      <w:r w:rsidR="00EA5E39">
        <w:rPr>
          <w:rStyle w:val="SubtleEmphasis"/>
          <w:i w:val="0"/>
          <w:color w:val="auto"/>
          <w:lang w:val="en-US"/>
        </w:rPr>
        <w:t>n</w:t>
      </w:r>
      <w:r w:rsidR="00884EE9">
        <w:rPr>
          <w:rStyle w:val="SubtleEmphasis"/>
          <w:i w:val="0"/>
          <w:color w:val="auto"/>
          <w:lang w:val="en-US"/>
        </w:rPr>
        <w:t xml:space="preserve"> </w:t>
      </w:r>
      <w:r w:rsidRPr="00884EE9">
        <w:rPr>
          <w:rStyle w:val="SubtleEmphasis"/>
          <w:i w:val="0"/>
          <w:color w:val="auto"/>
          <w:lang w:val="en-US"/>
        </w:rPr>
        <w:t>(</w:t>
      </w:r>
      <w:r w:rsidRPr="00884EE9">
        <w:rPr>
          <w:rStyle w:val="SubtleEmphasis"/>
          <w:rFonts w:cstheme="minorHAnsi"/>
          <w:i w:val="0"/>
          <w:color w:val="auto"/>
          <w:lang w:val="en-US"/>
        </w:rPr>
        <w:t>ζ</w:t>
      </w:r>
      <w:r w:rsidRPr="00884EE9">
        <w:rPr>
          <w:rStyle w:val="SubtleEmphasis"/>
          <w:i w:val="0"/>
          <w:color w:val="auto"/>
          <w:lang w:val="en-US"/>
        </w:rPr>
        <w:t xml:space="preserve"> = -75mV at pH 9-10). </w:t>
      </w:r>
    </w:p>
    <w:p w:rsidR="00642219" w:rsidRDefault="00642219" w:rsidP="00FC7A2B">
      <w:pPr>
        <w:spacing w:line="240" w:lineRule="auto"/>
        <w:rPr>
          <w:rStyle w:val="SubtleEmphasis"/>
          <w:i w:val="0"/>
          <w:color w:val="auto"/>
          <w:lang w:val="en-US"/>
        </w:rPr>
      </w:pPr>
      <w:r>
        <w:rPr>
          <w:noProof/>
        </w:rPr>
        <w:drawing>
          <wp:anchor distT="0" distB="0" distL="114300" distR="114300" simplePos="0" relativeHeight="251654144" behindDoc="0" locked="0" layoutInCell="1" allowOverlap="1">
            <wp:simplePos x="0" y="0"/>
            <wp:positionH relativeFrom="column">
              <wp:posOffset>67310</wp:posOffset>
            </wp:positionH>
            <wp:positionV relativeFrom="paragraph">
              <wp:posOffset>2555412</wp:posOffset>
            </wp:positionV>
            <wp:extent cx="2860614" cy="4019550"/>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60614" cy="40195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626BC5DA" wp14:editId="5B92325B">
                <wp:simplePos x="0" y="0"/>
                <wp:positionH relativeFrom="margin">
                  <wp:posOffset>219075</wp:posOffset>
                </wp:positionH>
                <wp:positionV relativeFrom="paragraph">
                  <wp:posOffset>6631305</wp:posOffset>
                </wp:positionV>
                <wp:extent cx="5649595" cy="352425"/>
                <wp:effectExtent l="0" t="0" r="8255" b="9525"/>
                <wp:wrapSquare wrapText="bothSides"/>
                <wp:docPr id="35" name="Text Box 35"/>
                <wp:cNvGraphicFramePr/>
                <a:graphic xmlns:a="http://schemas.openxmlformats.org/drawingml/2006/main">
                  <a:graphicData uri="http://schemas.microsoft.com/office/word/2010/wordprocessingShape">
                    <wps:wsp>
                      <wps:cNvSpPr txBox="1"/>
                      <wps:spPr>
                        <a:xfrm>
                          <a:off x="0" y="0"/>
                          <a:ext cx="5649595" cy="352425"/>
                        </a:xfrm>
                        <a:prstGeom prst="rect">
                          <a:avLst/>
                        </a:prstGeom>
                        <a:solidFill>
                          <a:prstClr val="white"/>
                        </a:solidFill>
                        <a:ln>
                          <a:noFill/>
                        </a:ln>
                      </wps:spPr>
                      <wps:txbx>
                        <w:txbxContent>
                          <w:p w:rsidR="00ED05BD" w:rsidRPr="00884EE9" w:rsidRDefault="00ED05BD" w:rsidP="005D00CE">
                            <w:pPr>
                              <w:pStyle w:val="Caption"/>
                              <w:jc w:val="center"/>
                              <w:rPr>
                                <w:noProof/>
                                <w:color w:val="auto"/>
                                <w:sz w:val="20"/>
                                <w:szCs w:val="20"/>
                                <w:lang w:val="en-US"/>
                              </w:rPr>
                            </w:pPr>
                            <w:bookmarkStart w:id="106" w:name="_Ref29914539"/>
                            <w:r>
                              <w:rPr>
                                <w:color w:val="auto"/>
                                <w:sz w:val="20"/>
                                <w:szCs w:val="20"/>
                                <w:lang w:val="en-US"/>
                              </w:rPr>
                              <w:t>Figure</w:t>
                            </w:r>
                            <w:r w:rsidRPr="00884EE9">
                              <w:rPr>
                                <w:color w:val="auto"/>
                                <w:sz w:val="20"/>
                                <w:szCs w:val="20"/>
                                <w:lang w:val="en-US"/>
                              </w:rPr>
                              <w:t xml:space="preserve"> </w:t>
                            </w:r>
                            <w:r w:rsidRPr="00884EE9">
                              <w:rPr>
                                <w:color w:val="auto"/>
                                <w:sz w:val="20"/>
                                <w:szCs w:val="20"/>
                              </w:rPr>
                              <w:fldChar w:fldCharType="begin"/>
                            </w:r>
                            <w:r w:rsidRPr="00884EE9">
                              <w:rPr>
                                <w:color w:val="auto"/>
                                <w:sz w:val="20"/>
                                <w:szCs w:val="20"/>
                                <w:lang w:val="en-US"/>
                              </w:rPr>
                              <w:instrText xml:space="preserve"> SEQ Figure \* ARABIC </w:instrText>
                            </w:r>
                            <w:r w:rsidRPr="00884EE9">
                              <w:rPr>
                                <w:color w:val="auto"/>
                                <w:sz w:val="20"/>
                                <w:szCs w:val="20"/>
                              </w:rPr>
                              <w:fldChar w:fldCharType="separate"/>
                            </w:r>
                            <w:r>
                              <w:rPr>
                                <w:noProof/>
                                <w:color w:val="auto"/>
                                <w:sz w:val="20"/>
                                <w:szCs w:val="20"/>
                                <w:lang w:val="en-US"/>
                              </w:rPr>
                              <w:t>41</w:t>
                            </w:r>
                            <w:r w:rsidRPr="00884EE9">
                              <w:rPr>
                                <w:color w:val="auto"/>
                                <w:sz w:val="20"/>
                                <w:szCs w:val="20"/>
                              </w:rPr>
                              <w:fldChar w:fldCharType="end"/>
                            </w:r>
                            <w:bookmarkEnd w:id="106"/>
                            <w:r w:rsidRPr="00884EE9">
                              <w:rPr>
                                <w:color w:val="auto"/>
                                <w:sz w:val="20"/>
                                <w:szCs w:val="20"/>
                                <w:lang w:val="en-US"/>
                              </w:rPr>
                              <w:t xml:space="preserve">: </w:t>
                            </w:r>
                            <w:r>
                              <w:rPr>
                                <w:color w:val="auto"/>
                                <w:sz w:val="20"/>
                                <w:szCs w:val="20"/>
                                <w:lang w:val="en-US"/>
                              </w:rPr>
                              <w:t>Optical micrographs</w:t>
                            </w:r>
                            <w:r w:rsidRPr="00364C1F">
                              <w:rPr>
                                <w:color w:val="auto"/>
                                <w:sz w:val="20"/>
                                <w:szCs w:val="20"/>
                                <w:lang w:val="en-US"/>
                              </w:rPr>
                              <w:t xml:space="preserve"> of the dissemblance of the aggregates from acidic to basic pH.</w:t>
                            </w:r>
                            <w:r>
                              <w:rPr>
                                <w:b/>
                                <w:color w:val="auto"/>
                                <w:sz w:val="20"/>
                                <w:szCs w:val="20"/>
                                <w:lang w:val="en-US"/>
                              </w:rPr>
                              <w:t xml:space="preserve"> A: </w:t>
                            </w:r>
                            <w:r>
                              <w:rPr>
                                <w:color w:val="auto"/>
                                <w:sz w:val="20"/>
                                <w:szCs w:val="20"/>
                                <w:lang w:val="en-US"/>
                              </w:rPr>
                              <w:t xml:space="preserve">Bright field, </w:t>
                            </w:r>
                            <w:r>
                              <w:rPr>
                                <w:b/>
                                <w:color w:val="auto"/>
                                <w:sz w:val="20"/>
                                <w:szCs w:val="20"/>
                                <w:lang w:val="en-US"/>
                              </w:rPr>
                              <w:t>B</w:t>
                            </w:r>
                            <w:r>
                              <w:rPr>
                                <w:color w:val="auto"/>
                                <w:sz w:val="20"/>
                                <w:szCs w:val="20"/>
                                <w:lang w:val="en-US"/>
                              </w:rPr>
                              <w:t>: Bodipy fluorescence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C5DA" id="Text Box 35" o:spid="_x0000_s1032" type="#_x0000_t202" style="position:absolute;margin-left:17.25pt;margin-top:522.15pt;width:444.85pt;height:27.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" stroked="f">
                <v:textbox inset="0,0,0,0">
                  <w:txbxContent>
                    <w:p w:rsidR="00ED05BD" w:rsidRPr="00884EE9" w:rsidRDefault="00ED05BD" w:rsidP="005D00CE">
                      <w:pPr>
                        <w:pStyle w:val="Caption"/>
                        <w:jc w:val="center"/>
                        <w:rPr>
                          <w:noProof/>
                          <w:color w:val="auto"/>
                          <w:sz w:val="20"/>
                          <w:szCs w:val="20"/>
                          <w:lang w:val="en-US"/>
                        </w:rPr>
                      </w:pPr>
                      <w:bookmarkStart w:id="113" w:name="_Ref29914539"/>
                      <w:r>
                        <w:rPr>
                          <w:color w:val="auto"/>
                          <w:sz w:val="20"/>
                          <w:szCs w:val="20"/>
                          <w:lang w:val="en-US"/>
                        </w:rPr>
                        <w:t>Figure</w:t>
                      </w:r>
                      <w:r w:rsidRPr="00884EE9">
                        <w:rPr>
                          <w:color w:val="auto"/>
                          <w:sz w:val="20"/>
                          <w:szCs w:val="20"/>
                          <w:lang w:val="en-US"/>
                        </w:rPr>
                        <w:t xml:space="preserve"> </w:t>
                      </w:r>
                      <w:r w:rsidRPr="00884EE9">
                        <w:rPr>
                          <w:color w:val="auto"/>
                          <w:sz w:val="20"/>
                          <w:szCs w:val="20"/>
                        </w:rPr>
                        <w:fldChar w:fldCharType="begin"/>
                      </w:r>
                      <w:r w:rsidRPr="00884EE9">
                        <w:rPr>
                          <w:color w:val="auto"/>
                          <w:sz w:val="20"/>
                          <w:szCs w:val="20"/>
                          <w:lang w:val="en-US"/>
                        </w:rPr>
                        <w:instrText xml:space="preserve"> SEQ Figure \* ARABIC </w:instrText>
                      </w:r>
                      <w:r w:rsidRPr="00884EE9">
                        <w:rPr>
                          <w:color w:val="auto"/>
                          <w:sz w:val="20"/>
                          <w:szCs w:val="20"/>
                        </w:rPr>
                        <w:fldChar w:fldCharType="separate"/>
                      </w:r>
                      <w:r>
                        <w:rPr>
                          <w:noProof/>
                          <w:color w:val="auto"/>
                          <w:sz w:val="20"/>
                          <w:szCs w:val="20"/>
                          <w:lang w:val="en-US"/>
                        </w:rPr>
                        <w:t>41</w:t>
                      </w:r>
                      <w:r w:rsidRPr="00884EE9">
                        <w:rPr>
                          <w:color w:val="auto"/>
                          <w:sz w:val="20"/>
                          <w:szCs w:val="20"/>
                        </w:rPr>
                        <w:fldChar w:fldCharType="end"/>
                      </w:r>
                      <w:bookmarkEnd w:id="113"/>
                      <w:r w:rsidRPr="00884EE9">
                        <w:rPr>
                          <w:color w:val="auto"/>
                          <w:sz w:val="20"/>
                          <w:szCs w:val="20"/>
                          <w:lang w:val="en-US"/>
                        </w:rPr>
                        <w:t xml:space="preserve">: </w:t>
                      </w:r>
                      <w:r>
                        <w:rPr>
                          <w:color w:val="auto"/>
                          <w:sz w:val="20"/>
                          <w:szCs w:val="20"/>
                          <w:lang w:val="en-US"/>
                        </w:rPr>
                        <w:t>Optical micrographs</w:t>
                      </w:r>
                      <w:r w:rsidRPr="00364C1F">
                        <w:rPr>
                          <w:color w:val="auto"/>
                          <w:sz w:val="20"/>
                          <w:szCs w:val="20"/>
                          <w:lang w:val="en-US"/>
                        </w:rPr>
                        <w:t xml:space="preserve"> of the dissemblance of the aggregates from acidic to basic </w:t>
                      </w:r>
                      <w:proofErr w:type="spellStart"/>
                      <w:r w:rsidRPr="00364C1F">
                        <w:rPr>
                          <w:color w:val="auto"/>
                          <w:sz w:val="20"/>
                          <w:szCs w:val="20"/>
                          <w:lang w:val="en-US"/>
                        </w:rPr>
                        <w:t>pH.</w:t>
                      </w:r>
                      <w:proofErr w:type="spellEnd"/>
                      <w:r>
                        <w:rPr>
                          <w:b/>
                          <w:color w:val="auto"/>
                          <w:sz w:val="20"/>
                          <w:szCs w:val="20"/>
                          <w:lang w:val="en-US"/>
                        </w:rPr>
                        <w:t xml:space="preserve"> A: </w:t>
                      </w:r>
                      <w:r>
                        <w:rPr>
                          <w:color w:val="auto"/>
                          <w:sz w:val="20"/>
                          <w:szCs w:val="20"/>
                          <w:lang w:val="en-US"/>
                        </w:rPr>
                        <w:t xml:space="preserve">Bright field, </w:t>
                      </w:r>
                      <w:r>
                        <w:rPr>
                          <w:b/>
                          <w:color w:val="auto"/>
                          <w:sz w:val="20"/>
                          <w:szCs w:val="20"/>
                          <w:lang w:val="en-US"/>
                        </w:rPr>
                        <w:t>B</w:t>
                      </w:r>
                      <w:r>
                        <w:rPr>
                          <w:color w:val="auto"/>
                          <w:sz w:val="20"/>
                          <w:szCs w:val="20"/>
                          <w:lang w:val="en-US"/>
                        </w:rPr>
                        <w:t xml:space="preserve">: </w:t>
                      </w:r>
                      <w:proofErr w:type="spellStart"/>
                      <w:r>
                        <w:rPr>
                          <w:color w:val="auto"/>
                          <w:sz w:val="20"/>
                          <w:szCs w:val="20"/>
                          <w:lang w:val="en-US"/>
                        </w:rPr>
                        <w:t>Bodipy</w:t>
                      </w:r>
                      <w:proofErr w:type="spellEnd"/>
                      <w:r>
                        <w:rPr>
                          <w:color w:val="auto"/>
                          <w:sz w:val="20"/>
                          <w:szCs w:val="20"/>
                          <w:lang w:val="en-US"/>
                        </w:rPr>
                        <w:t xml:space="preserve"> fluorescence</w:t>
                      </w:r>
                    </w:p>
                  </w:txbxContent>
                </v:textbox>
                <w10:wrap type="square" anchorx="margin"/>
              </v:shape>
            </w:pict>
          </mc:Fallback>
        </mc:AlternateContent>
      </w:r>
      <w:r>
        <w:rPr>
          <w:noProof/>
        </w:rPr>
        <w:drawing>
          <wp:anchor distT="0" distB="0" distL="114300" distR="114300" simplePos="0" relativeHeight="251655168" behindDoc="0" locked="0" layoutInCell="1" allowOverlap="1">
            <wp:simplePos x="0" y="0"/>
            <wp:positionH relativeFrom="column">
              <wp:posOffset>3200401</wp:posOffset>
            </wp:positionH>
            <wp:positionV relativeFrom="paragraph">
              <wp:posOffset>2554606</wp:posOffset>
            </wp:positionV>
            <wp:extent cx="2860614" cy="4019550"/>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6780" cy="4028214"/>
                    </a:xfrm>
                    <a:prstGeom prst="rect">
                      <a:avLst/>
                    </a:prstGeom>
                    <a:noFill/>
                  </pic:spPr>
                </pic:pic>
              </a:graphicData>
            </a:graphic>
            <wp14:sizeRelH relativeFrom="margin">
              <wp14:pctWidth>0</wp14:pctWidth>
            </wp14:sizeRelH>
            <wp14:sizeRelV relativeFrom="margin">
              <wp14:pctHeight>0</wp14:pctHeight>
            </wp14:sizeRelV>
          </wp:anchor>
        </w:drawing>
      </w:r>
      <w:r w:rsidR="00E74C8E" w:rsidRPr="00884EE9">
        <w:rPr>
          <w:rStyle w:val="SubtleEmphasis"/>
          <w:i w:val="0"/>
          <w:color w:val="auto"/>
          <w:lang w:val="en-US"/>
        </w:rPr>
        <w:t>It is proposed that because the nPS particles were completely aggregated by the positive charge of pH-PS in acidic pH (</w:t>
      </w:r>
      <w:r w:rsidR="00E74C8E" w:rsidRPr="00884EE9">
        <w:rPr>
          <w:rStyle w:val="SubtleEmphasis"/>
          <w:rFonts w:cstheme="minorHAnsi"/>
          <w:i w:val="0"/>
          <w:color w:val="auto"/>
          <w:lang w:val="en-US"/>
        </w:rPr>
        <w:t>ζ</w:t>
      </w:r>
      <w:r w:rsidR="00E74C8E" w:rsidRPr="00884EE9">
        <w:rPr>
          <w:rStyle w:val="SubtleEmphasis"/>
          <w:i w:val="0"/>
          <w:color w:val="auto"/>
          <w:lang w:val="en-US"/>
        </w:rPr>
        <w:t xml:space="preserve"> = +35mV at pH 2-3), they have entered each other’s Van der Waals range. In this case, the nPS particles would be practically irreversibly stuck in their Van der Waals energy well</w:t>
      </w:r>
      <w:r>
        <w:rPr>
          <w:rStyle w:val="SubtleEmphasis"/>
          <w:i w:val="0"/>
          <w:color w:val="auto"/>
          <w:lang w:val="en-US"/>
        </w:rPr>
        <w:t xml:space="preserve"> (</w:t>
      </w:r>
      <w:r w:rsidRPr="00642219">
        <w:rPr>
          <w:rStyle w:val="SubtleEmphasis"/>
          <w:i w:val="0"/>
          <w:color w:val="auto"/>
          <w:lang w:val="en-US"/>
        </w:rPr>
        <w:fldChar w:fldCharType="begin"/>
      </w:r>
      <w:r w:rsidRPr="00642219">
        <w:rPr>
          <w:rStyle w:val="SubtleEmphasis"/>
          <w:i w:val="0"/>
          <w:color w:val="auto"/>
          <w:lang w:val="en-US"/>
        </w:rPr>
        <w:instrText xml:space="preserve"> REF _Ref29912486 \h </w:instrText>
      </w:r>
      <w:r>
        <w:rPr>
          <w:rStyle w:val="SubtleEmphasis"/>
          <w:i w:val="0"/>
          <w:color w:val="auto"/>
          <w:lang w:val="en-US"/>
        </w:rPr>
        <w:instrText xml:space="preserve"> \* MERGEFORMAT </w:instrText>
      </w:r>
      <w:r w:rsidRPr="00642219">
        <w:rPr>
          <w:rStyle w:val="SubtleEmphasis"/>
          <w:i w:val="0"/>
          <w:color w:val="auto"/>
          <w:lang w:val="en-US"/>
        </w:rPr>
      </w:r>
      <w:r w:rsidRPr="00642219">
        <w:rPr>
          <w:rStyle w:val="SubtleEmphasis"/>
          <w:i w:val="0"/>
          <w:color w:val="auto"/>
          <w:lang w:val="en-US"/>
        </w:rPr>
        <w:fldChar w:fldCharType="separate"/>
      </w:r>
      <w:r w:rsidRPr="00642219">
        <w:rPr>
          <w:lang w:val="en-US"/>
        </w:rPr>
        <w:t xml:space="preserve">Figure </w:t>
      </w:r>
      <w:r w:rsidRPr="00642219">
        <w:rPr>
          <w:noProof/>
          <w:lang w:val="en-US"/>
        </w:rPr>
        <w:t>2</w:t>
      </w:r>
      <w:r w:rsidRPr="00642219">
        <w:rPr>
          <w:rStyle w:val="SubtleEmphasis"/>
          <w:i w:val="0"/>
          <w:color w:val="auto"/>
          <w:lang w:val="en-US"/>
        </w:rPr>
        <w:fldChar w:fldCharType="end"/>
      </w:r>
      <w:r w:rsidRPr="00642219">
        <w:rPr>
          <w:rStyle w:val="SubtleEmphasis"/>
          <w:i w:val="0"/>
          <w:color w:val="auto"/>
          <w:lang w:val="en-US"/>
        </w:rPr>
        <w:t>B</w:t>
      </w:r>
      <w:r>
        <w:rPr>
          <w:rStyle w:val="SubtleEmphasis"/>
          <w:i w:val="0"/>
          <w:color w:val="auto"/>
          <w:lang w:val="en-US"/>
        </w:rPr>
        <w:t>)</w:t>
      </w:r>
      <w:r w:rsidR="00E74C8E" w:rsidRPr="00642219">
        <w:rPr>
          <w:rStyle w:val="SubtleEmphasis"/>
          <w:i w:val="0"/>
          <w:color w:val="auto"/>
          <w:lang w:val="en-US"/>
        </w:rPr>
        <w:t>. Even</w:t>
      </w:r>
      <w:r w:rsidR="00E74C8E" w:rsidRPr="00884EE9">
        <w:rPr>
          <w:rStyle w:val="SubtleEmphasis"/>
          <w:i w:val="0"/>
          <w:color w:val="auto"/>
          <w:lang w:val="en-US"/>
        </w:rPr>
        <w:t xml:space="preserve"> after addition of more base to increase the negative charge on nPS and after sonication of the sample, these aggregates did not disassemble. Another possibility for this effect could be the increased salt concentration from addition of acid and base to the sample, which could screen the charges. A calculation of the amount of added salt after the pH cycle, assuming salt free conditions in neutral pH, showed that the final salt concentration is 1.26mM. The corresponding Debye screening length </w:t>
      </w:r>
      <w:r w:rsidR="00E74C8E" w:rsidRPr="00884EE9">
        <w:rPr>
          <w:rStyle w:val="SubtleEmphasis"/>
          <w:rFonts w:cstheme="minorHAnsi"/>
          <w:i w:val="0"/>
          <w:color w:val="auto"/>
          <w:lang w:val="en-US"/>
        </w:rPr>
        <w:t>κ</w:t>
      </w:r>
      <w:r w:rsidR="00E74C8E" w:rsidRPr="00884EE9">
        <w:rPr>
          <w:rStyle w:val="SubtleEmphasis"/>
          <w:rFonts w:cstheme="minorHAnsi"/>
          <w:i w:val="0"/>
          <w:color w:val="auto"/>
          <w:vertAlign w:val="superscript"/>
          <w:lang w:val="en-US"/>
        </w:rPr>
        <w:t>-1</w:t>
      </w:r>
      <w:r w:rsidR="00E74C8E" w:rsidRPr="00884EE9">
        <w:rPr>
          <w:rStyle w:val="SubtleEmphasis"/>
          <w:i w:val="0"/>
          <w:color w:val="auto"/>
          <w:lang w:val="en-US"/>
        </w:rPr>
        <w:t xml:space="preserve"> = 8.53 nm is still large enough for particles to feel each other’s charge at small interparticle distances. To further proof this, </w:t>
      </w:r>
      <w:r w:rsidR="00A6605C">
        <w:rPr>
          <w:rStyle w:val="SubtleEmphasis"/>
          <w:i w:val="0"/>
          <w:color w:val="auto"/>
          <w:lang w:val="en-US"/>
        </w:rPr>
        <w:t>a dispersion of only</w:t>
      </w:r>
      <w:r w:rsidR="00E74C8E" w:rsidRPr="00884EE9">
        <w:rPr>
          <w:rStyle w:val="SubtleEmphasis"/>
          <w:i w:val="0"/>
          <w:color w:val="auto"/>
          <w:lang w:val="en-US"/>
        </w:rPr>
        <w:t xml:space="preserve"> nPS particles were put through the same pH cycle, which did not result in the formation of these aggregates. The pH-PS seems to act as a colloidal templating agent, chaperoning the aggregation of strongly equally charged colloidal particles. In contrast to the nPS particles, the pH-PS particles are still nicely dispersed, not forming these homo-aggregates. An explanation for this is the large excess of 100 of the nPS particles, providing enough space between the pH-PS particles in the macroscopic aggregates. </w:t>
      </w:r>
    </w:p>
    <w:p w:rsidR="00364C1F" w:rsidRPr="00884EE9" w:rsidRDefault="00E74C8E" w:rsidP="00FC7A2B">
      <w:pPr>
        <w:spacing w:line="240" w:lineRule="auto"/>
        <w:rPr>
          <w:rStyle w:val="SubtleEmphasis"/>
          <w:i w:val="0"/>
          <w:color w:val="auto"/>
          <w:lang w:val="en-US"/>
        </w:rPr>
      </w:pPr>
      <w:r w:rsidRPr="00884EE9">
        <w:rPr>
          <w:rStyle w:val="SubtleEmphasis"/>
          <w:i w:val="0"/>
          <w:color w:val="auto"/>
          <w:lang w:val="en-US"/>
        </w:rPr>
        <w:lastRenderedPageBreak/>
        <w:t>This prevents the pH-PS particles from entering each other’s Van der Waals range, which t</w:t>
      </w:r>
      <w:r w:rsidRPr="00A6605C">
        <w:rPr>
          <w:rStyle w:val="SubtleEmphasis"/>
          <w:i w:val="0"/>
          <w:color w:val="auto"/>
          <w:lang w:val="en-US"/>
        </w:rPr>
        <w:t xml:space="preserve">hen prevents their aggregation. </w:t>
      </w:r>
      <w:r w:rsidR="002A253A" w:rsidRPr="00A6605C">
        <w:rPr>
          <w:rStyle w:val="SubtleEmphasis"/>
          <w:i w:val="0"/>
          <w:color w:val="auto"/>
          <w:lang w:val="en-US"/>
        </w:rPr>
        <w:t xml:space="preserve">A schematic overview of the proposed dissemblance mechanism is shown in </w:t>
      </w:r>
      <w:r w:rsidR="00884EE9" w:rsidRPr="00A6605C">
        <w:rPr>
          <w:rStyle w:val="SubtleEmphasis"/>
          <w:i w:val="0"/>
          <w:color w:val="auto"/>
          <w:lang w:val="en-US"/>
        </w:rPr>
        <w:fldChar w:fldCharType="begin"/>
      </w:r>
      <w:r w:rsidR="00884EE9" w:rsidRPr="00A6605C">
        <w:rPr>
          <w:rStyle w:val="SubtleEmphasis"/>
          <w:i w:val="0"/>
          <w:color w:val="auto"/>
          <w:lang w:val="en-US"/>
        </w:rPr>
        <w:instrText xml:space="preserve"> REF _Ref29914565 \h  \* MERGEFORMAT </w:instrText>
      </w:r>
      <w:r w:rsidR="00884EE9" w:rsidRPr="00A6605C">
        <w:rPr>
          <w:rStyle w:val="SubtleEmphasis"/>
          <w:i w:val="0"/>
          <w:color w:val="auto"/>
          <w:lang w:val="en-US"/>
        </w:rPr>
      </w:r>
      <w:r w:rsidR="00884EE9" w:rsidRPr="00A6605C">
        <w:rPr>
          <w:rStyle w:val="SubtleEmphasis"/>
          <w:i w:val="0"/>
          <w:color w:val="auto"/>
          <w:lang w:val="en-US"/>
        </w:rPr>
        <w:fldChar w:fldCharType="separate"/>
      </w:r>
      <w:r w:rsidR="00C52506" w:rsidRPr="00C52506">
        <w:rPr>
          <w:lang w:val="en-US"/>
        </w:rPr>
        <w:t xml:space="preserve">Figure </w:t>
      </w:r>
      <w:r w:rsidR="00C52506" w:rsidRPr="00C52506">
        <w:rPr>
          <w:noProof/>
          <w:lang w:val="en-US"/>
        </w:rPr>
        <w:t>42</w:t>
      </w:r>
      <w:r w:rsidR="00884EE9" w:rsidRPr="00A6605C">
        <w:rPr>
          <w:rStyle w:val="SubtleEmphasis"/>
          <w:i w:val="0"/>
          <w:color w:val="auto"/>
          <w:lang w:val="en-US"/>
        </w:rPr>
        <w:fldChar w:fldCharType="end"/>
      </w:r>
      <w:r w:rsidR="00884EE9" w:rsidRPr="00A6605C">
        <w:rPr>
          <w:rStyle w:val="SubtleEmphasis"/>
          <w:i w:val="0"/>
          <w:color w:val="auto"/>
          <w:lang w:val="en-US"/>
        </w:rPr>
        <w:t>.</w:t>
      </w:r>
    </w:p>
    <w:p w:rsidR="00E74C8E" w:rsidRPr="00F15CF9" w:rsidRDefault="00E74C8E" w:rsidP="00FC7A2B">
      <w:pPr>
        <w:spacing w:line="240" w:lineRule="auto"/>
        <w:rPr>
          <w:rStyle w:val="SubtleEmphasis"/>
          <w:i w:val="0"/>
          <w:lang w:val="en-US"/>
        </w:rPr>
      </w:pPr>
      <w:r>
        <w:rPr>
          <w:iCs/>
          <w:color w:val="404040" w:themeColor="text1" w:themeTint="BF"/>
          <w:lang w:val="en-US"/>
        </w:rPr>
        <w:br/>
      </w:r>
    </w:p>
    <w:p w:rsidR="00E74C8E" w:rsidRDefault="00E74C8E" w:rsidP="00FC7A2B">
      <w:pPr>
        <w:spacing w:line="240" w:lineRule="auto"/>
        <w:rPr>
          <w:rStyle w:val="SubtleEmphasis"/>
          <w:lang w:val="en-US"/>
        </w:rPr>
      </w:pPr>
    </w:p>
    <w:p w:rsidR="00E74C8E" w:rsidRPr="00213D07" w:rsidRDefault="00EA5E39" w:rsidP="00FC7A2B">
      <w:pPr>
        <w:pStyle w:val="Heading5"/>
        <w:numPr>
          <w:ilvl w:val="4"/>
          <w:numId w:val="2"/>
        </w:numPr>
        <w:spacing w:line="240" w:lineRule="auto"/>
        <w:rPr>
          <w:rStyle w:val="SubtleEmphasis"/>
          <w:b/>
          <w:i w:val="0"/>
          <w:color w:val="auto"/>
          <w:lang w:val="en-US"/>
        </w:rPr>
      </w:pPr>
      <w:r>
        <w:rPr>
          <w:noProof/>
        </w:rPr>
        <mc:AlternateContent>
          <mc:Choice Requires="wps">
            <w:drawing>
              <wp:anchor distT="0" distB="0" distL="114300" distR="114300" simplePos="0" relativeHeight="251689984" behindDoc="0" locked="0" layoutInCell="1" allowOverlap="1" wp14:anchorId="6A0EDF40" wp14:editId="57978206">
                <wp:simplePos x="0" y="0"/>
                <wp:positionH relativeFrom="margin">
                  <wp:posOffset>286823</wp:posOffset>
                </wp:positionH>
                <wp:positionV relativeFrom="paragraph">
                  <wp:posOffset>2287555</wp:posOffset>
                </wp:positionV>
                <wp:extent cx="5914390" cy="635"/>
                <wp:effectExtent l="0" t="0" r="0" b="3810"/>
                <wp:wrapSquare wrapText="bothSides"/>
                <wp:docPr id="27" name="Text Box 27"/>
                <wp:cNvGraphicFramePr/>
                <a:graphic xmlns:a="http://schemas.openxmlformats.org/drawingml/2006/main">
                  <a:graphicData uri="http://schemas.microsoft.com/office/word/2010/wordprocessingShape">
                    <wps:wsp>
                      <wps:cNvSpPr txBox="1"/>
                      <wps:spPr>
                        <a:xfrm>
                          <a:off x="0" y="0"/>
                          <a:ext cx="5914390" cy="635"/>
                        </a:xfrm>
                        <a:prstGeom prst="rect">
                          <a:avLst/>
                        </a:prstGeom>
                        <a:solidFill>
                          <a:prstClr val="white"/>
                        </a:solidFill>
                        <a:ln>
                          <a:noFill/>
                        </a:ln>
                      </wps:spPr>
                      <wps:txbx>
                        <w:txbxContent>
                          <w:p w:rsidR="00ED05BD" w:rsidRPr="002A253A" w:rsidRDefault="00ED05BD" w:rsidP="00364C1F">
                            <w:pPr>
                              <w:pStyle w:val="Caption"/>
                              <w:jc w:val="center"/>
                              <w:rPr>
                                <w:noProof/>
                                <w:color w:val="auto"/>
                                <w:sz w:val="20"/>
                                <w:szCs w:val="20"/>
                                <w:lang w:val="en-US"/>
                              </w:rPr>
                            </w:pPr>
                            <w:bookmarkStart w:id="107" w:name="_Ref29914565"/>
                            <w:r>
                              <w:rPr>
                                <w:color w:val="auto"/>
                                <w:sz w:val="20"/>
                                <w:szCs w:val="20"/>
                                <w:lang w:val="en-US"/>
                              </w:rPr>
                              <w:t>Figure</w:t>
                            </w:r>
                            <w:r w:rsidRPr="00364C1F">
                              <w:rPr>
                                <w:color w:val="auto"/>
                                <w:sz w:val="20"/>
                                <w:szCs w:val="20"/>
                                <w:lang w:val="en-US"/>
                              </w:rPr>
                              <w:t xml:space="preserve"> </w:t>
                            </w:r>
                            <w:r w:rsidRPr="00364C1F">
                              <w:rPr>
                                <w:color w:val="auto"/>
                                <w:sz w:val="20"/>
                                <w:szCs w:val="20"/>
                              </w:rPr>
                              <w:fldChar w:fldCharType="begin"/>
                            </w:r>
                            <w:r w:rsidRPr="00364C1F">
                              <w:rPr>
                                <w:color w:val="auto"/>
                                <w:sz w:val="20"/>
                                <w:szCs w:val="20"/>
                                <w:lang w:val="en-US"/>
                              </w:rPr>
                              <w:instrText xml:space="preserve"> SEQ Figure \* ARABIC </w:instrText>
                            </w:r>
                            <w:r w:rsidRPr="00364C1F">
                              <w:rPr>
                                <w:color w:val="auto"/>
                                <w:sz w:val="20"/>
                                <w:szCs w:val="20"/>
                              </w:rPr>
                              <w:fldChar w:fldCharType="separate"/>
                            </w:r>
                            <w:r>
                              <w:rPr>
                                <w:noProof/>
                                <w:color w:val="auto"/>
                                <w:sz w:val="20"/>
                                <w:szCs w:val="20"/>
                                <w:lang w:val="en-US"/>
                              </w:rPr>
                              <w:t>42</w:t>
                            </w:r>
                            <w:r w:rsidRPr="00364C1F">
                              <w:rPr>
                                <w:color w:val="auto"/>
                                <w:sz w:val="20"/>
                                <w:szCs w:val="20"/>
                              </w:rPr>
                              <w:fldChar w:fldCharType="end"/>
                            </w:r>
                            <w:bookmarkEnd w:id="107"/>
                            <w:r w:rsidRPr="00364C1F">
                              <w:rPr>
                                <w:color w:val="auto"/>
                                <w:sz w:val="20"/>
                                <w:szCs w:val="20"/>
                                <w:lang w:val="en-US"/>
                              </w:rPr>
                              <w:t xml:space="preserve">: </w:t>
                            </w:r>
                            <w:r w:rsidRPr="00884EE9">
                              <w:rPr>
                                <w:color w:val="auto"/>
                                <w:sz w:val="20"/>
                                <w:szCs w:val="20"/>
                                <w:lang w:val="en-US"/>
                              </w:rPr>
                              <w:t>Schematic overview of the dissemblance of the macroscopic aggregates of pH-PS and nPS from acidic to basic pH.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0EDF40" id="Text Box 27" o:spid="_x0000_s1033" type="#_x0000_t202" style="position:absolute;left:0;text-align:left;margin-left:22.6pt;margin-top:180.1pt;width:465.7pt;height:.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" stroked="f">
                <v:textbox style="mso-fit-shape-to-text:t" inset="0,0,0,0">
                  <w:txbxContent>
                    <w:p w:rsidR="00ED05BD" w:rsidRPr="002A253A" w:rsidRDefault="00ED05BD" w:rsidP="00364C1F">
                      <w:pPr>
                        <w:pStyle w:val="Caption"/>
                        <w:jc w:val="center"/>
                        <w:rPr>
                          <w:noProof/>
                          <w:color w:val="auto"/>
                          <w:sz w:val="20"/>
                          <w:szCs w:val="20"/>
                          <w:lang w:val="en-US"/>
                        </w:rPr>
                      </w:pPr>
                      <w:bookmarkStart w:id="115" w:name="_Ref29914565"/>
                      <w:r>
                        <w:rPr>
                          <w:color w:val="auto"/>
                          <w:sz w:val="20"/>
                          <w:szCs w:val="20"/>
                          <w:lang w:val="en-US"/>
                        </w:rPr>
                        <w:t>Figure</w:t>
                      </w:r>
                      <w:r w:rsidRPr="00364C1F">
                        <w:rPr>
                          <w:color w:val="auto"/>
                          <w:sz w:val="20"/>
                          <w:szCs w:val="20"/>
                          <w:lang w:val="en-US"/>
                        </w:rPr>
                        <w:t xml:space="preserve"> </w:t>
                      </w:r>
                      <w:r w:rsidRPr="00364C1F">
                        <w:rPr>
                          <w:color w:val="auto"/>
                          <w:sz w:val="20"/>
                          <w:szCs w:val="20"/>
                        </w:rPr>
                        <w:fldChar w:fldCharType="begin"/>
                      </w:r>
                      <w:r w:rsidRPr="00364C1F">
                        <w:rPr>
                          <w:color w:val="auto"/>
                          <w:sz w:val="20"/>
                          <w:szCs w:val="20"/>
                          <w:lang w:val="en-US"/>
                        </w:rPr>
                        <w:instrText xml:space="preserve"> SEQ Figure \* ARABIC </w:instrText>
                      </w:r>
                      <w:r w:rsidRPr="00364C1F">
                        <w:rPr>
                          <w:color w:val="auto"/>
                          <w:sz w:val="20"/>
                          <w:szCs w:val="20"/>
                        </w:rPr>
                        <w:fldChar w:fldCharType="separate"/>
                      </w:r>
                      <w:r>
                        <w:rPr>
                          <w:noProof/>
                          <w:color w:val="auto"/>
                          <w:sz w:val="20"/>
                          <w:szCs w:val="20"/>
                          <w:lang w:val="en-US"/>
                        </w:rPr>
                        <w:t>42</w:t>
                      </w:r>
                      <w:r w:rsidRPr="00364C1F">
                        <w:rPr>
                          <w:color w:val="auto"/>
                          <w:sz w:val="20"/>
                          <w:szCs w:val="20"/>
                        </w:rPr>
                        <w:fldChar w:fldCharType="end"/>
                      </w:r>
                      <w:bookmarkEnd w:id="115"/>
                      <w:r w:rsidRPr="00364C1F">
                        <w:rPr>
                          <w:color w:val="auto"/>
                          <w:sz w:val="20"/>
                          <w:szCs w:val="20"/>
                          <w:lang w:val="en-US"/>
                        </w:rPr>
                        <w:t xml:space="preserve">: </w:t>
                      </w:r>
                      <w:r w:rsidRPr="00884EE9">
                        <w:rPr>
                          <w:color w:val="auto"/>
                          <w:sz w:val="20"/>
                          <w:szCs w:val="20"/>
                          <w:lang w:val="en-US"/>
                        </w:rPr>
                        <w:t xml:space="preserve">Schematic overview of the dissemblance of the macroscopic aggregates of pH-PS and </w:t>
                      </w:r>
                      <w:proofErr w:type="spellStart"/>
                      <w:r w:rsidRPr="00884EE9">
                        <w:rPr>
                          <w:color w:val="auto"/>
                          <w:sz w:val="20"/>
                          <w:szCs w:val="20"/>
                          <w:lang w:val="en-US"/>
                        </w:rPr>
                        <w:t>nPS</w:t>
                      </w:r>
                      <w:proofErr w:type="spellEnd"/>
                      <w:r w:rsidRPr="00884EE9">
                        <w:rPr>
                          <w:color w:val="auto"/>
                          <w:sz w:val="20"/>
                          <w:szCs w:val="20"/>
                          <w:lang w:val="en-US"/>
                        </w:rPr>
                        <w:t xml:space="preserve"> from acidic to basic </w:t>
                      </w:r>
                      <w:proofErr w:type="spellStart"/>
                      <w:r w:rsidRPr="00884EE9">
                        <w:rPr>
                          <w:color w:val="auto"/>
                          <w:sz w:val="20"/>
                          <w:szCs w:val="20"/>
                          <w:lang w:val="en-US"/>
                        </w:rPr>
                        <w:t>pH.</w:t>
                      </w:r>
                      <w:proofErr w:type="spellEnd"/>
                    </w:p>
                  </w:txbxContent>
                </v:textbox>
                <w10:wrap type="square" anchorx="margin"/>
              </v:shape>
            </w:pict>
          </mc:Fallback>
        </mc:AlternateContent>
      </w:r>
      <w:r>
        <w:rPr>
          <w:noProof/>
        </w:rPr>
        <w:drawing>
          <wp:anchor distT="0" distB="0" distL="114300" distR="114300" simplePos="0" relativeHeight="251664384" behindDoc="1" locked="0" layoutInCell="1" allowOverlap="1">
            <wp:simplePos x="0" y="0"/>
            <wp:positionH relativeFrom="margin">
              <wp:posOffset>310056</wp:posOffset>
            </wp:positionH>
            <wp:positionV relativeFrom="paragraph">
              <wp:posOffset>-197</wp:posOffset>
            </wp:positionV>
            <wp:extent cx="5760720" cy="2391410"/>
            <wp:effectExtent l="0" t="0" r="0" b="889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2391410"/>
                    </a:xfrm>
                    <a:prstGeom prst="rect">
                      <a:avLst/>
                    </a:prstGeom>
                    <a:noFill/>
                  </pic:spPr>
                </pic:pic>
              </a:graphicData>
            </a:graphic>
            <wp14:sizeRelH relativeFrom="margin">
              <wp14:pctWidth>0</wp14:pctWidth>
            </wp14:sizeRelH>
            <wp14:sizeRelV relativeFrom="margin">
              <wp14:pctHeight>0</wp14:pctHeight>
            </wp14:sizeRelV>
          </wp:anchor>
        </w:drawing>
      </w:r>
      <w:r w:rsidR="00E74C8E" w:rsidRPr="00213D07">
        <w:rPr>
          <w:rStyle w:val="SubtleEmphasis"/>
          <w:b/>
          <w:i w:val="0"/>
          <w:color w:val="auto"/>
          <w:lang w:val="en-US"/>
        </w:rPr>
        <w:t>pPS encapsulation in acidic pH</w:t>
      </w:r>
    </w:p>
    <w:p w:rsidR="00E74C8E" w:rsidRPr="00F15CF9" w:rsidRDefault="00E74C8E" w:rsidP="00FC7A2B">
      <w:pPr>
        <w:spacing w:line="240" w:lineRule="auto"/>
        <w:rPr>
          <w:rStyle w:val="SubtleEmphasis"/>
          <w:i w:val="0"/>
          <w:color w:val="auto"/>
          <w:lang w:val="en-US"/>
        </w:rPr>
      </w:pPr>
      <w:r w:rsidRPr="00F15CF9">
        <w:rPr>
          <w:rStyle w:val="SubtleEmphasis"/>
          <w:i w:val="0"/>
          <w:color w:val="auto"/>
          <w:lang w:val="en-US"/>
        </w:rPr>
        <w:t xml:space="preserve">For the encapsulation of pH-PS particles with pPS, it was unexpected to see so many densely packed clusters in acidic pH. It was expected that an inverse pH trend for cluster formation of nPS with pH-PS would be observed. However, we see similar structures for both particles in acidic pH. Additionally, the mean zeta potential of pPS increases with decreasing pH (from </w:t>
      </w:r>
      <w:r w:rsidRPr="00F15CF9">
        <w:rPr>
          <w:rStyle w:val="SubtleEmphasis"/>
          <w:rFonts w:cstheme="minorHAnsi"/>
          <w:i w:val="0"/>
          <w:color w:val="auto"/>
          <w:lang w:val="en-US"/>
        </w:rPr>
        <w:t>ζ</w:t>
      </w:r>
      <w:r w:rsidRPr="00F15CF9">
        <w:rPr>
          <w:rStyle w:val="SubtleEmphasis"/>
          <w:i w:val="0"/>
          <w:color w:val="auto"/>
          <w:lang w:val="en-US"/>
        </w:rPr>
        <w:t xml:space="preserve"> = +42mV at neutral pH t</w:t>
      </w:r>
      <w:r w:rsidR="00642219">
        <w:rPr>
          <w:rStyle w:val="SubtleEmphasis"/>
          <w:i w:val="0"/>
          <w:color w:val="auto"/>
          <w:lang w:val="en-US"/>
        </w:rPr>
        <w:t>o</w:t>
      </w:r>
      <w:r w:rsidR="009879B7" w:rsidRPr="00F15CF9">
        <w:rPr>
          <w:rStyle w:val="SubtleEmphasis"/>
          <w:i w:val="0"/>
          <w:color w:val="auto"/>
          <w:lang w:val="en-US"/>
        </w:rPr>
        <w:t xml:space="preserve"> </w:t>
      </w:r>
      <w:r w:rsidRPr="00F15CF9">
        <w:rPr>
          <w:rStyle w:val="SubtleEmphasis"/>
          <w:rFonts w:cstheme="minorHAnsi"/>
          <w:i w:val="0"/>
          <w:color w:val="auto"/>
          <w:lang w:val="en-US"/>
        </w:rPr>
        <w:t>ζ</w:t>
      </w:r>
      <w:r w:rsidRPr="00F15CF9">
        <w:rPr>
          <w:rStyle w:val="SubtleEmphasis"/>
          <w:i w:val="0"/>
          <w:color w:val="auto"/>
          <w:lang w:val="en-US"/>
        </w:rPr>
        <w:t xml:space="preserve"> = +60mV at pH 3), which would further increase its repulsion with positively charged pH-PS. This stronger surface charge is further confirmed by the much higher amount of </w:t>
      </w:r>
      <w:r w:rsidR="00D92D38">
        <w:rPr>
          <w:rStyle w:val="SubtleEmphasis"/>
          <w:i w:val="0"/>
          <w:color w:val="auto"/>
          <w:lang w:val="en-US"/>
        </w:rPr>
        <w:t>adsorb</w:t>
      </w:r>
      <w:r w:rsidRPr="00F15CF9">
        <w:rPr>
          <w:rStyle w:val="SubtleEmphasis"/>
          <w:i w:val="0"/>
          <w:color w:val="auto"/>
          <w:lang w:val="en-US"/>
        </w:rPr>
        <w:t>ed pPS particles on the negatively charged glass slider</w:t>
      </w:r>
      <w:r w:rsidR="009879B7" w:rsidRPr="00F15CF9">
        <w:rPr>
          <w:rStyle w:val="SubtleEmphasis"/>
          <w:i w:val="0"/>
          <w:color w:val="auto"/>
          <w:lang w:val="en-US"/>
        </w:rPr>
        <w:t>.</w:t>
      </w:r>
      <w:r w:rsidRPr="00F15CF9">
        <w:rPr>
          <w:rStyle w:val="SubtleEmphasis"/>
          <w:i w:val="0"/>
          <w:color w:val="auto"/>
          <w:lang w:val="en-US"/>
        </w:rPr>
        <w:t xml:space="preserve"> More research is need</w:t>
      </w:r>
      <w:r w:rsidR="00642219">
        <w:rPr>
          <w:rStyle w:val="SubtleEmphasis"/>
          <w:i w:val="0"/>
          <w:color w:val="auto"/>
          <w:lang w:val="en-US"/>
        </w:rPr>
        <w:t>ed</w:t>
      </w:r>
      <w:r w:rsidRPr="00F15CF9">
        <w:rPr>
          <w:rStyle w:val="SubtleEmphasis"/>
          <w:i w:val="0"/>
          <w:color w:val="auto"/>
          <w:lang w:val="en-US"/>
        </w:rPr>
        <w:t xml:space="preserve"> on the formation of clusters of pH-PS with pPS, however, similar arguments used before in th</w:t>
      </w:r>
      <w:r w:rsidR="00642219">
        <w:rPr>
          <w:rStyle w:val="SubtleEmphasis"/>
          <w:i w:val="0"/>
          <w:color w:val="auto"/>
          <w:lang w:val="en-US"/>
        </w:rPr>
        <w:t>e</w:t>
      </w:r>
      <w:r w:rsidRPr="00F15CF9">
        <w:rPr>
          <w:rStyle w:val="SubtleEmphasis"/>
          <w:i w:val="0"/>
          <w:color w:val="auto"/>
          <w:lang w:val="en-US"/>
        </w:rPr>
        <w:t xml:space="preserve"> discussion </w:t>
      </w:r>
      <w:r w:rsidR="00642219">
        <w:rPr>
          <w:rStyle w:val="SubtleEmphasis"/>
          <w:i w:val="0"/>
          <w:color w:val="auto"/>
          <w:lang w:val="en-US"/>
        </w:rPr>
        <w:t xml:space="preserve">thus far </w:t>
      </w:r>
      <w:r w:rsidRPr="00F15CF9">
        <w:rPr>
          <w:rStyle w:val="SubtleEmphasis"/>
          <w:i w:val="0"/>
          <w:color w:val="auto"/>
          <w:lang w:val="en-US"/>
        </w:rPr>
        <w:t xml:space="preserve">can be used again. </w:t>
      </w:r>
    </w:p>
    <w:p w:rsidR="00642219" w:rsidRDefault="00E74C8E" w:rsidP="00FC7A2B">
      <w:pPr>
        <w:spacing w:line="240" w:lineRule="auto"/>
        <w:rPr>
          <w:rStyle w:val="SubtleEmphasis"/>
          <w:i w:val="0"/>
          <w:color w:val="auto"/>
          <w:lang w:val="en-US"/>
        </w:rPr>
      </w:pPr>
      <w:r w:rsidRPr="00F15CF9">
        <w:rPr>
          <w:rStyle w:val="SubtleEmphasis"/>
          <w:i w:val="0"/>
          <w:color w:val="auto"/>
          <w:lang w:val="en-US"/>
        </w:rPr>
        <w:t>The zeta potential distribution of pPS and pH-PS at pH 3 (</w:t>
      </w:r>
      <w:r w:rsidR="00F15CF9" w:rsidRPr="00642219">
        <w:rPr>
          <w:rStyle w:val="SubtleEmphasis"/>
          <w:i w:val="0"/>
          <w:color w:val="auto"/>
          <w:lang w:val="en-US"/>
        </w:rPr>
        <w:fldChar w:fldCharType="begin"/>
      </w:r>
      <w:r w:rsidR="00F15CF9" w:rsidRPr="00642219">
        <w:rPr>
          <w:rStyle w:val="SubtleEmphasis"/>
          <w:i w:val="0"/>
          <w:color w:val="auto"/>
          <w:lang w:val="en-US"/>
        </w:rPr>
        <w:instrText xml:space="preserve"> REF _Ref29914928 \h  \* MERGEFORMAT </w:instrText>
      </w:r>
      <w:r w:rsidR="00F15CF9" w:rsidRPr="00642219">
        <w:rPr>
          <w:rStyle w:val="SubtleEmphasis"/>
          <w:i w:val="0"/>
          <w:color w:val="auto"/>
          <w:lang w:val="en-US"/>
        </w:rPr>
      </w:r>
      <w:r w:rsidR="00F15CF9" w:rsidRPr="00642219">
        <w:rPr>
          <w:rStyle w:val="SubtleEmphasis"/>
          <w:i w:val="0"/>
          <w:color w:val="auto"/>
          <w:lang w:val="en-US"/>
        </w:rPr>
        <w:fldChar w:fldCharType="separate"/>
      </w:r>
      <w:r w:rsidR="00C52506" w:rsidRPr="00642219">
        <w:rPr>
          <w:lang w:val="en-US"/>
        </w:rPr>
        <w:t xml:space="preserve">Figure </w:t>
      </w:r>
      <w:r w:rsidR="00C52506" w:rsidRPr="00642219">
        <w:rPr>
          <w:noProof/>
          <w:lang w:val="en-US"/>
        </w:rPr>
        <w:t>43</w:t>
      </w:r>
      <w:r w:rsidR="00F15CF9" w:rsidRPr="00642219">
        <w:rPr>
          <w:rStyle w:val="SubtleEmphasis"/>
          <w:i w:val="0"/>
          <w:color w:val="auto"/>
          <w:lang w:val="en-US"/>
        </w:rPr>
        <w:fldChar w:fldCharType="end"/>
      </w:r>
      <w:r w:rsidRPr="00642219">
        <w:rPr>
          <w:rStyle w:val="SubtleEmphasis"/>
          <w:i w:val="0"/>
          <w:color w:val="auto"/>
          <w:lang w:val="en-US"/>
        </w:rPr>
        <w:t>)</w:t>
      </w:r>
      <w:r w:rsidRPr="00642219">
        <w:rPr>
          <w:rStyle w:val="SubtleEmphasis"/>
          <w:b/>
          <w:i w:val="0"/>
          <w:color w:val="auto"/>
          <w:lang w:val="en-US"/>
        </w:rPr>
        <w:t xml:space="preserve"> </w:t>
      </w:r>
      <w:r w:rsidRPr="00642219">
        <w:rPr>
          <w:rStyle w:val="SubtleEmphasis"/>
          <w:i w:val="0"/>
          <w:color w:val="auto"/>
          <w:lang w:val="en-US"/>
        </w:rPr>
        <w:t>shows</w:t>
      </w:r>
      <w:r w:rsidRPr="00F15CF9">
        <w:rPr>
          <w:rStyle w:val="SubtleEmphasis"/>
          <w:i w:val="0"/>
          <w:color w:val="auto"/>
          <w:lang w:val="en-US"/>
        </w:rPr>
        <w:t xml:space="preserve"> that there are practically no negatively charged species of pH-PS present in the dispersion and only positively charged species of pPS. It could be that the clusters we observe have formed from pH-PS particles </w:t>
      </w:r>
      <w:r w:rsidR="00642219">
        <w:rPr>
          <w:rStyle w:val="SubtleEmphasis"/>
          <w:i w:val="0"/>
          <w:color w:val="auto"/>
          <w:lang w:val="en-US"/>
        </w:rPr>
        <w:t>that</w:t>
      </w:r>
      <w:r w:rsidRPr="00F15CF9">
        <w:rPr>
          <w:rStyle w:val="SubtleEmphasis"/>
          <w:i w:val="0"/>
          <w:color w:val="auto"/>
          <w:lang w:val="en-US"/>
        </w:rPr>
        <w:t xml:space="preserve"> still have discrete patches of negative charges present on the surface. This can be proved by looking at the pKa value of the carboxylic acid group of acrylic acid. As mentioned before</w:t>
      </w:r>
      <w:r w:rsidR="00F27802" w:rsidRPr="00F15CF9">
        <w:rPr>
          <w:rStyle w:val="SubtleEmphasis"/>
          <w:i w:val="0"/>
          <w:color w:val="auto"/>
          <w:lang w:val="en-US"/>
        </w:rPr>
        <w:t xml:space="preserve"> in paragraph 2.2.1</w:t>
      </w:r>
      <w:r w:rsidRPr="00F15CF9">
        <w:rPr>
          <w:rStyle w:val="SubtleEmphasis"/>
          <w:i w:val="0"/>
          <w:color w:val="auto"/>
          <w:lang w:val="en-US"/>
        </w:rPr>
        <w:t xml:space="preserve">, this value is approximately 4, meaning that the </w:t>
      </w:r>
      <w:r w:rsidR="003B4577" w:rsidRPr="00F15CF9">
        <w:rPr>
          <w:rStyle w:val="SubtleEmphasis"/>
          <w:i w:val="0"/>
          <w:color w:val="auto"/>
          <w:lang w:val="en-US"/>
        </w:rPr>
        <w:t xml:space="preserve">uncharged state </w:t>
      </w:r>
      <w:r w:rsidRPr="00F15CF9">
        <w:rPr>
          <w:rStyle w:val="SubtleEmphasis"/>
          <w:i w:val="0"/>
          <w:color w:val="auto"/>
          <w:lang w:val="en-US"/>
        </w:rPr>
        <w:t>dominates approximately 10 times over the</w:t>
      </w:r>
      <w:r w:rsidR="003B4577" w:rsidRPr="003B4577">
        <w:rPr>
          <w:rStyle w:val="SubtleEmphasis"/>
          <w:i w:val="0"/>
          <w:color w:val="auto"/>
          <w:lang w:val="en-US"/>
        </w:rPr>
        <w:t xml:space="preserve"> </w:t>
      </w:r>
      <w:r w:rsidR="003B4577" w:rsidRPr="00F15CF9">
        <w:rPr>
          <w:rStyle w:val="SubtleEmphasis"/>
          <w:i w:val="0"/>
          <w:color w:val="auto"/>
          <w:lang w:val="en-US"/>
        </w:rPr>
        <w:t>negatively charged state</w:t>
      </w:r>
      <w:r w:rsidRPr="00F15CF9">
        <w:rPr>
          <w:rStyle w:val="SubtleEmphasis"/>
          <w:i w:val="0"/>
          <w:color w:val="auto"/>
          <w:lang w:val="en-US"/>
        </w:rPr>
        <w:t xml:space="preserve"> at pH 3</w:t>
      </w:r>
      <w:r w:rsidR="003B4577">
        <w:rPr>
          <w:rStyle w:val="SubtleEmphasis"/>
          <w:i w:val="0"/>
          <w:color w:val="auto"/>
          <w:lang w:val="en-US"/>
        </w:rPr>
        <w:t>, implying that deprotonated carboxylic acids are still</w:t>
      </w:r>
      <w:r w:rsidR="00642219">
        <w:rPr>
          <w:rStyle w:val="SubtleEmphasis"/>
          <w:i w:val="0"/>
          <w:color w:val="auto"/>
          <w:lang w:val="en-US"/>
        </w:rPr>
        <w:t xml:space="preserve">, however slightly, </w:t>
      </w:r>
      <w:r w:rsidR="003B4577">
        <w:rPr>
          <w:rStyle w:val="SubtleEmphasis"/>
          <w:i w:val="0"/>
          <w:color w:val="auto"/>
          <w:lang w:val="en-US"/>
        </w:rPr>
        <w:t>present</w:t>
      </w:r>
      <w:r w:rsidRPr="00F15CF9">
        <w:rPr>
          <w:rStyle w:val="SubtleEmphasis"/>
          <w:i w:val="0"/>
          <w:color w:val="auto"/>
          <w:lang w:val="en-US"/>
        </w:rPr>
        <w:t>. Either that or, the attractive forces between the particles are not governed by electrostatic interactions, but more hydrophobic or Van der Waals interactions.</w:t>
      </w:r>
      <w:r w:rsidR="00642219">
        <w:rPr>
          <w:rStyle w:val="SubtleEmphasis"/>
          <w:i w:val="0"/>
          <w:color w:val="auto"/>
          <w:lang w:val="en-US"/>
        </w:rPr>
        <w:t xml:space="preserve"> </w:t>
      </w:r>
    </w:p>
    <w:p w:rsidR="00E74C8E" w:rsidRPr="00F15CF9" w:rsidRDefault="00642219" w:rsidP="00FC7A2B">
      <w:pPr>
        <w:spacing w:line="240" w:lineRule="auto"/>
        <w:rPr>
          <w:rStyle w:val="SubtleEmphasis"/>
          <w:b/>
          <w:i w:val="0"/>
          <w:color w:val="auto"/>
          <w:lang w:val="en-US"/>
        </w:rPr>
      </w:pPr>
      <w:r w:rsidRPr="002E3316">
        <w:rPr>
          <w:rStyle w:val="SubtleEmphasis"/>
          <w:i w:val="0"/>
          <w:color w:val="auto"/>
          <w:lang w:val="en-US"/>
        </w:rPr>
        <w:t>Despite the counterintuitive observation of densely packed structures in the acidic pH dispersion of pH-PS and pPS, no visible macroscopic aggregation at the interface of the dispersion was observed</w:t>
      </w:r>
      <w:r>
        <w:rPr>
          <w:rStyle w:val="SubtleEmphasis"/>
          <w:i w:val="0"/>
          <w:color w:val="auto"/>
          <w:lang w:val="en-US"/>
        </w:rPr>
        <w:t xml:space="preserve"> within a timescale of days</w:t>
      </w:r>
      <w:r w:rsidRPr="002E3316">
        <w:rPr>
          <w:rStyle w:val="SubtleEmphasis"/>
          <w:i w:val="0"/>
          <w:color w:val="auto"/>
          <w:lang w:val="en-US"/>
        </w:rPr>
        <w:t>. This is in contrast with this encapsulation in neutral conditions, as in that case, it was observed that a transparent dispersion was formed after overnight equilibration</w:t>
      </w:r>
      <w:r>
        <w:rPr>
          <w:rStyle w:val="SubtleEmphasis"/>
          <w:i w:val="0"/>
          <w:color w:val="auto"/>
          <w:lang w:val="en-US"/>
        </w:rPr>
        <w:t>.</w:t>
      </w:r>
    </w:p>
    <w:p w:rsidR="009879B7" w:rsidRPr="00F15CF9" w:rsidRDefault="00E74C8E" w:rsidP="00FC7A2B">
      <w:pPr>
        <w:keepNext/>
        <w:spacing w:line="240" w:lineRule="auto"/>
        <w:jc w:val="center"/>
      </w:pPr>
      <w:r w:rsidRPr="00F15CF9">
        <w:rPr>
          <w:noProof/>
          <w:lang w:val="en-US"/>
        </w:rPr>
        <w:lastRenderedPageBreak/>
        <w:drawing>
          <wp:inline distT="0" distB="0" distL="0" distR="0">
            <wp:extent cx="4381995" cy="318228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9155" t="2889" b="3817"/>
                    <a:stretch/>
                  </pic:blipFill>
                  <pic:spPr bwMode="auto">
                    <a:xfrm>
                      <a:off x="0" y="0"/>
                      <a:ext cx="4392596" cy="3189980"/>
                    </a:xfrm>
                    <a:prstGeom prst="rect">
                      <a:avLst/>
                    </a:prstGeom>
                    <a:noFill/>
                    <a:ln>
                      <a:noFill/>
                    </a:ln>
                    <a:extLst>
                      <a:ext uri="{53640926-AAD7-44D8-BBD7-CCE9431645EC}">
                        <a14:shadowObscured xmlns:a14="http://schemas.microsoft.com/office/drawing/2010/main"/>
                      </a:ext>
                    </a:extLst>
                  </pic:spPr>
                </pic:pic>
              </a:graphicData>
            </a:graphic>
          </wp:inline>
        </w:drawing>
      </w:r>
    </w:p>
    <w:p w:rsidR="00FC2795" w:rsidRPr="00FC7A2B" w:rsidRDefault="00C82962" w:rsidP="00FC7A2B">
      <w:pPr>
        <w:pStyle w:val="Caption"/>
        <w:jc w:val="center"/>
        <w:rPr>
          <w:rStyle w:val="SubtleEmphasis"/>
          <w:i/>
          <w:iCs/>
          <w:color w:val="auto"/>
          <w:sz w:val="20"/>
          <w:szCs w:val="20"/>
          <w:lang w:val="en-US"/>
        </w:rPr>
      </w:pPr>
      <w:bookmarkStart w:id="108" w:name="_Ref29914928"/>
      <w:r>
        <w:rPr>
          <w:color w:val="auto"/>
          <w:sz w:val="20"/>
          <w:szCs w:val="20"/>
          <w:lang w:val="en-US"/>
        </w:rPr>
        <w:t>Figure</w:t>
      </w:r>
      <w:r w:rsidR="009879B7" w:rsidRPr="00F15CF9">
        <w:rPr>
          <w:color w:val="auto"/>
          <w:sz w:val="20"/>
          <w:szCs w:val="20"/>
          <w:lang w:val="en-US"/>
        </w:rPr>
        <w:t xml:space="preserve"> </w:t>
      </w:r>
      <w:r w:rsidR="009879B7" w:rsidRPr="00F15CF9">
        <w:rPr>
          <w:color w:val="auto"/>
          <w:sz w:val="20"/>
          <w:szCs w:val="20"/>
        </w:rPr>
        <w:fldChar w:fldCharType="begin"/>
      </w:r>
      <w:r w:rsidR="009879B7" w:rsidRPr="00F15CF9">
        <w:rPr>
          <w:color w:val="auto"/>
          <w:sz w:val="20"/>
          <w:szCs w:val="20"/>
          <w:lang w:val="en-US"/>
        </w:rPr>
        <w:instrText xml:space="preserve"> SEQ Figure \* ARABIC </w:instrText>
      </w:r>
      <w:r w:rsidR="009879B7" w:rsidRPr="00F15CF9">
        <w:rPr>
          <w:color w:val="auto"/>
          <w:sz w:val="20"/>
          <w:szCs w:val="20"/>
        </w:rPr>
        <w:fldChar w:fldCharType="separate"/>
      </w:r>
      <w:r w:rsidR="00C52506">
        <w:rPr>
          <w:noProof/>
          <w:color w:val="auto"/>
          <w:sz w:val="20"/>
          <w:szCs w:val="20"/>
          <w:lang w:val="en-US"/>
        </w:rPr>
        <w:t>43</w:t>
      </w:r>
      <w:r w:rsidR="009879B7" w:rsidRPr="00F15CF9">
        <w:rPr>
          <w:color w:val="auto"/>
          <w:sz w:val="20"/>
          <w:szCs w:val="20"/>
        </w:rPr>
        <w:fldChar w:fldCharType="end"/>
      </w:r>
      <w:bookmarkEnd w:id="108"/>
      <w:r w:rsidR="009879B7" w:rsidRPr="00F15CF9">
        <w:rPr>
          <w:color w:val="auto"/>
          <w:sz w:val="20"/>
          <w:szCs w:val="20"/>
          <w:lang w:val="en-US"/>
        </w:rPr>
        <w:t>: Zeta potential distribution of pPS and pH-PS at pH 3.</w:t>
      </w:r>
    </w:p>
    <w:p w:rsidR="00E74C8E" w:rsidRPr="002E3316" w:rsidRDefault="00E74C8E" w:rsidP="00FC7A2B">
      <w:pPr>
        <w:spacing w:line="240" w:lineRule="auto"/>
        <w:rPr>
          <w:rStyle w:val="SubtleEmphasis"/>
          <w:i w:val="0"/>
          <w:color w:val="auto"/>
          <w:lang w:val="en-US"/>
        </w:rPr>
      </w:pPr>
      <w:r w:rsidRPr="002E3316">
        <w:rPr>
          <w:rStyle w:val="SubtleEmphasis"/>
          <w:i w:val="0"/>
          <w:color w:val="auto"/>
          <w:lang w:val="en-US"/>
        </w:rPr>
        <w:t xml:space="preserve">This observation suggests that there are less attractive forces between the pH-PS and pPS particles in acidic pH compared to neutral pH. Comparing the zeta potential distributions of pH-PS at acidic and neutral pH in </w:t>
      </w:r>
      <w:r w:rsidR="002E3316" w:rsidRPr="002E3316">
        <w:rPr>
          <w:rStyle w:val="SubtleEmphasis"/>
          <w:i w:val="0"/>
          <w:color w:val="auto"/>
          <w:lang w:val="en-US"/>
        </w:rPr>
        <w:fldChar w:fldCharType="begin"/>
      </w:r>
      <w:r w:rsidR="002E3316" w:rsidRPr="002E3316">
        <w:rPr>
          <w:rStyle w:val="SubtleEmphasis"/>
          <w:i w:val="0"/>
          <w:color w:val="auto"/>
          <w:lang w:val="en-US"/>
        </w:rPr>
        <w:instrText xml:space="preserve"> REF _Ref29913831 \h  \* MERGEFORMAT </w:instrText>
      </w:r>
      <w:r w:rsidR="002E3316" w:rsidRPr="002E3316">
        <w:rPr>
          <w:rStyle w:val="SubtleEmphasis"/>
          <w:i w:val="0"/>
          <w:color w:val="auto"/>
          <w:lang w:val="en-US"/>
        </w:rPr>
      </w:r>
      <w:r w:rsidR="002E3316" w:rsidRPr="002E3316">
        <w:rPr>
          <w:rStyle w:val="SubtleEmphasis"/>
          <w:i w:val="0"/>
          <w:color w:val="auto"/>
          <w:lang w:val="en-US"/>
        </w:rPr>
        <w:fldChar w:fldCharType="separate"/>
      </w:r>
      <w:r w:rsidR="00C52506" w:rsidRPr="00C52506">
        <w:rPr>
          <w:lang w:val="en-US"/>
        </w:rPr>
        <w:t xml:space="preserve">Figure </w:t>
      </w:r>
      <w:r w:rsidR="00C52506" w:rsidRPr="00C52506">
        <w:rPr>
          <w:noProof/>
          <w:lang w:val="en-US"/>
        </w:rPr>
        <w:t>27</w:t>
      </w:r>
      <w:r w:rsidR="002E3316" w:rsidRPr="002E3316">
        <w:rPr>
          <w:rStyle w:val="SubtleEmphasis"/>
          <w:i w:val="0"/>
          <w:color w:val="auto"/>
          <w:lang w:val="en-US"/>
        </w:rPr>
        <w:fldChar w:fldCharType="end"/>
      </w:r>
      <w:r w:rsidRPr="002E3316">
        <w:rPr>
          <w:rStyle w:val="SubtleEmphasis"/>
          <w:i w:val="0"/>
          <w:color w:val="auto"/>
          <w:lang w:val="en-US"/>
        </w:rPr>
        <w:t xml:space="preserve">, it can be seen that there is a much larger fraction of negatively charged particles at neutral pH compared to acidic pH. This could be an explanation for the observed migration of particles in the neutral pH encapsulation dispersion of pPS with pH-PS. </w:t>
      </w:r>
    </w:p>
    <w:p w:rsidR="00D50CF3" w:rsidRDefault="00E74C8E" w:rsidP="00FC7A2B">
      <w:pPr>
        <w:spacing w:line="240" w:lineRule="auto"/>
        <w:rPr>
          <w:rStyle w:val="SubtleEmphasis"/>
          <w:i w:val="0"/>
          <w:lang w:val="en-US"/>
        </w:rPr>
      </w:pPr>
      <w:r w:rsidRPr="00F15CF9">
        <w:rPr>
          <w:rStyle w:val="SubtleEmphasis"/>
          <w:i w:val="0"/>
          <w:color w:val="auto"/>
          <w:lang w:val="en-US"/>
        </w:rPr>
        <w:t xml:space="preserve">It would be interesting to see whether full encapsulation of a pH-PS particle would be possible after addition of both nPS and pPS. This would, in theory, occupy all charged sites on pH-PS. However, some practical issues arise when this method is applied. First of all, precaution has to be taken to avoid clustering of nPS and pPS, which would complicate the analysis of the observations. This can be avoided by separating the formed clusters after aggregation of pH-PS with either nPS or pPS, after which the other charged particle will be added. Secondly, if discrete patches of charged groups on the particle surface of pH-PS would be present, these would have to be of a certain size to attract an oppositely charged particle. A patch size that is too small could still be of an opposite charge, but the repulsion of the surrounding charged groups could prevent </w:t>
      </w:r>
      <w:r w:rsidR="00AD6F1D">
        <w:rPr>
          <w:rStyle w:val="SubtleEmphasis"/>
          <w:i w:val="0"/>
          <w:color w:val="auto"/>
          <w:lang w:val="en-US"/>
        </w:rPr>
        <w:t>adsorption</w:t>
      </w:r>
      <w:r w:rsidRPr="00F15CF9">
        <w:rPr>
          <w:rStyle w:val="SubtleEmphasis"/>
          <w:i w:val="0"/>
          <w:color w:val="auto"/>
          <w:lang w:val="en-US"/>
        </w:rPr>
        <w:t xml:space="preserve"> of an attractive encapsulating particle. Finally, the cluster formation presumably occurs via a random </w:t>
      </w:r>
      <w:r w:rsidR="00434B02">
        <w:rPr>
          <w:rStyle w:val="SubtleEmphasis"/>
          <w:i w:val="0"/>
          <w:color w:val="auto"/>
          <w:lang w:val="en-US"/>
        </w:rPr>
        <w:t xml:space="preserve">sequential </w:t>
      </w:r>
      <w:r w:rsidR="00AD6F1D">
        <w:rPr>
          <w:rStyle w:val="SubtleEmphasis"/>
          <w:i w:val="0"/>
          <w:color w:val="auto"/>
          <w:lang w:val="en-US"/>
        </w:rPr>
        <w:t>adsorption</w:t>
      </w:r>
      <w:r w:rsidRPr="00F15CF9">
        <w:rPr>
          <w:rStyle w:val="SubtleEmphasis"/>
          <w:i w:val="0"/>
          <w:color w:val="auto"/>
          <w:lang w:val="en-US"/>
        </w:rPr>
        <w:t xml:space="preserve"> mechanism. This makes optimal packing of a pH-PS surface practically unviable.</w:t>
      </w:r>
    </w:p>
    <w:p w:rsidR="00E74C8E" w:rsidRPr="00B63C76" w:rsidRDefault="00E74C8E" w:rsidP="00FC7A2B">
      <w:pPr>
        <w:pStyle w:val="Heading4"/>
        <w:numPr>
          <w:ilvl w:val="3"/>
          <w:numId w:val="2"/>
        </w:numPr>
        <w:spacing w:line="240" w:lineRule="auto"/>
        <w:rPr>
          <w:rStyle w:val="SubtleEmphasis"/>
          <w:b/>
          <w:color w:val="auto"/>
          <w:lang w:val="en-US"/>
        </w:rPr>
      </w:pPr>
      <w:r w:rsidRPr="00B63C76">
        <w:rPr>
          <w:rStyle w:val="SubtleEmphasis"/>
          <w:b/>
          <w:color w:val="auto"/>
          <w:lang w:val="en-US"/>
        </w:rPr>
        <w:t>In the basic pH regime</w:t>
      </w:r>
    </w:p>
    <w:p w:rsidR="00B63C76" w:rsidRPr="00F15CF9" w:rsidRDefault="00E74C8E" w:rsidP="00FC7A2B">
      <w:pPr>
        <w:spacing w:line="240" w:lineRule="auto"/>
        <w:rPr>
          <w:rStyle w:val="SubtleEmphasis"/>
          <w:i w:val="0"/>
          <w:color w:val="auto"/>
          <w:lang w:val="en-US"/>
        </w:rPr>
      </w:pPr>
      <w:r w:rsidRPr="00F15CF9">
        <w:rPr>
          <w:rStyle w:val="SubtleEmphasis"/>
          <w:i w:val="0"/>
          <w:color w:val="auto"/>
          <w:lang w:val="en-US"/>
        </w:rPr>
        <w:t xml:space="preserve">In the case of encapsulation of pH-PS with nPS or with pPS, no densely packed clusters were observed after addition of the particles at basic pH. </w:t>
      </w:r>
    </w:p>
    <w:p w:rsidR="00E74C8E" w:rsidRPr="00F15CF9" w:rsidRDefault="00E74C8E" w:rsidP="00FC7A2B">
      <w:pPr>
        <w:pStyle w:val="Heading5"/>
        <w:numPr>
          <w:ilvl w:val="4"/>
          <w:numId w:val="2"/>
        </w:numPr>
        <w:spacing w:line="240" w:lineRule="auto"/>
        <w:rPr>
          <w:rStyle w:val="SubtleEmphasis"/>
          <w:b/>
          <w:i w:val="0"/>
          <w:color w:val="auto"/>
          <w:lang w:val="en-US"/>
        </w:rPr>
      </w:pPr>
      <w:r w:rsidRPr="00F15CF9">
        <w:rPr>
          <w:rStyle w:val="SubtleEmphasis"/>
          <w:b/>
          <w:i w:val="0"/>
          <w:color w:val="auto"/>
          <w:lang w:val="en-US"/>
        </w:rPr>
        <w:t>nPS encapsulation at basic pH</w:t>
      </w:r>
    </w:p>
    <w:p w:rsidR="00E74C8E" w:rsidRPr="00F15CF9" w:rsidRDefault="00E74C8E" w:rsidP="00FC7A2B">
      <w:pPr>
        <w:spacing w:line="240" w:lineRule="auto"/>
        <w:rPr>
          <w:rStyle w:val="SubtleEmphasis"/>
          <w:i w:val="0"/>
          <w:color w:val="auto"/>
          <w:lang w:val="en-US"/>
        </w:rPr>
      </w:pPr>
      <w:r w:rsidRPr="00F15CF9">
        <w:rPr>
          <w:rStyle w:val="SubtleEmphasis"/>
          <w:i w:val="0"/>
          <w:color w:val="auto"/>
          <w:lang w:val="en-US"/>
        </w:rPr>
        <w:t xml:space="preserve">As expected, no densely packed clusters of pH-PS with nPS particles were observed when viewing the basic dispersion under the optical microscope. At pH 9-10, the pH-PS particle obtains a net negative </w:t>
      </w:r>
      <w:r w:rsidR="00642219">
        <w:rPr>
          <w:rStyle w:val="SubtleEmphasis"/>
          <w:i w:val="0"/>
          <w:color w:val="auto"/>
          <w:lang w:val="en-US"/>
        </w:rPr>
        <w:t>zeta potential</w:t>
      </w:r>
      <w:r w:rsidRPr="00F15CF9">
        <w:rPr>
          <w:rStyle w:val="SubtleEmphasis"/>
          <w:i w:val="0"/>
          <w:color w:val="auto"/>
          <w:lang w:val="en-US"/>
        </w:rPr>
        <w:t xml:space="preserve"> (</w:t>
      </w:r>
      <w:r w:rsidRPr="00F15CF9">
        <w:rPr>
          <w:rStyle w:val="SubtleEmphasis"/>
          <w:rFonts w:cstheme="minorHAnsi"/>
          <w:i w:val="0"/>
          <w:color w:val="auto"/>
          <w:lang w:val="en-US"/>
        </w:rPr>
        <w:t>ζ</w:t>
      </w:r>
      <w:r w:rsidRPr="00F15CF9">
        <w:rPr>
          <w:rStyle w:val="SubtleEmphasis"/>
          <w:i w:val="0"/>
          <w:color w:val="auto"/>
          <w:lang w:val="en-US"/>
        </w:rPr>
        <w:t xml:space="preserve"> = -60mV), exhibiting a repulsive interaction with the encapsulating nPS particles. Additionally, the zeta potential distribution of these particles at pH 10 (</w:t>
      </w:r>
      <w:r w:rsidR="00F15CF9" w:rsidRPr="00642219">
        <w:rPr>
          <w:rStyle w:val="SubtleEmphasis"/>
          <w:i w:val="0"/>
          <w:color w:val="auto"/>
          <w:lang w:val="en-US"/>
        </w:rPr>
        <w:fldChar w:fldCharType="begin"/>
      </w:r>
      <w:r w:rsidR="00F15CF9" w:rsidRPr="00642219">
        <w:rPr>
          <w:rStyle w:val="SubtleEmphasis"/>
          <w:i w:val="0"/>
          <w:color w:val="auto"/>
          <w:lang w:val="en-US"/>
        </w:rPr>
        <w:instrText xml:space="preserve"> REF _Ref29914972 \h  \* MERGEFORMAT </w:instrText>
      </w:r>
      <w:r w:rsidR="00F15CF9" w:rsidRPr="00642219">
        <w:rPr>
          <w:rStyle w:val="SubtleEmphasis"/>
          <w:i w:val="0"/>
          <w:color w:val="auto"/>
          <w:lang w:val="en-US"/>
        </w:rPr>
      </w:r>
      <w:r w:rsidR="00F15CF9" w:rsidRPr="00642219">
        <w:rPr>
          <w:rStyle w:val="SubtleEmphasis"/>
          <w:i w:val="0"/>
          <w:color w:val="auto"/>
          <w:lang w:val="en-US"/>
        </w:rPr>
        <w:fldChar w:fldCharType="separate"/>
      </w:r>
      <w:r w:rsidR="00C52506" w:rsidRPr="00642219">
        <w:rPr>
          <w:lang w:val="en-US"/>
        </w:rPr>
        <w:t xml:space="preserve">Figure </w:t>
      </w:r>
      <w:r w:rsidR="00C52506" w:rsidRPr="00642219">
        <w:rPr>
          <w:noProof/>
          <w:lang w:val="en-US"/>
        </w:rPr>
        <w:t>44</w:t>
      </w:r>
      <w:r w:rsidR="00F15CF9" w:rsidRPr="00642219">
        <w:rPr>
          <w:rStyle w:val="SubtleEmphasis"/>
          <w:i w:val="0"/>
          <w:color w:val="auto"/>
          <w:lang w:val="en-US"/>
        </w:rPr>
        <w:fldChar w:fldCharType="end"/>
      </w:r>
      <w:r w:rsidRPr="00642219">
        <w:rPr>
          <w:rStyle w:val="SubtleEmphasis"/>
          <w:i w:val="0"/>
          <w:color w:val="auto"/>
          <w:lang w:val="en-US"/>
        </w:rPr>
        <w:t>) shows</w:t>
      </w:r>
      <w:r w:rsidRPr="00F15CF9">
        <w:rPr>
          <w:rStyle w:val="SubtleEmphasis"/>
          <w:i w:val="0"/>
          <w:color w:val="auto"/>
          <w:lang w:val="en-US"/>
        </w:rPr>
        <w:t xml:space="preserve"> that all particles in the dispersion have obtained a net negative charge.</w:t>
      </w:r>
    </w:p>
    <w:p w:rsidR="00364C1F" w:rsidRPr="00F15CF9" w:rsidRDefault="00E74C8E" w:rsidP="00FC7A2B">
      <w:pPr>
        <w:keepNext/>
        <w:spacing w:line="240" w:lineRule="auto"/>
        <w:jc w:val="center"/>
        <w:rPr>
          <w:sz w:val="20"/>
          <w:szCs w:val="20"/>
        </w:rPr>
      </w:pPr>
      <w:r w:rsidRPr="00F15CF9">
        <w:rPr>
          <w:noProof/>
          <w:sz w:val="20"/>
          <w:szCs w:val="20"/>
          <w:lang w:val="en-US"/>
        </w:rPr>
        <w:lastRenderedPageBreak/>
        <w:drawing>
          <wp:inline distT="0" distB="0" distL="0" distR="0">
            <wp:extent cx="4720590" cy="335567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849" b="4352"/>
                    <a:stretch/>
                  </pic:blipFill>
                  <pic:spPr bwMode="auto">
                    <a:xfrm>
                      <a:off x="0" y="0"/>
                      <a:ext cx="4738720" cy="3368563"/>
                    </a:xfrm>
                    <a:prstGeom prst="rect">
                      <a:avLst/>
                    </a:prstGeom>
                    <a:noFill/>
                    <a:ln>
                      <a:noFill/>
                    </a:ln>
                    <a:extLst>
                      <a:ext uri="{53640926-AAD7-44D8-BBD7-CCE9431645EC}">
                        <a14:shadowObscured xmlns:a14="http://schemas.microsoft.com/office/drawing/2010/main"/>
                      </a:ext>
                    </a:extLst>
                  </pic:spPr>
                </pic:pic>
              </a:graphicData>
            </a:graphic>
          </wp:inline>
        </w:drawing>
      </w:r>
    </w:p>
    <w:p w:rsidR="00FC7A2B" w:rsidRPr="00642219" w:rsidRDefault="00C82962" w:rsidP="00642219">
      <w:pPr>
        <w:pStyle w:val="Caption"/>
        <w:jc w:val="center"/>
        <w:rPr>
          <w:rStyle w:val="SubtleEmphasis"/>
          <w:color w:val="auto"/>
          <w:sz w:val="20"/>
          <w:szCs w:val="20"/>
          <w:lang w:val="en-US"/>
        </w:rPr>
      </w:pPr>
      <w:bookmarkStart w:id="109" w:name="_Ref29914972"/>
      <w:r>
        <w:rPr>
          <w:color w:val="auto"/>
          <w:sz w:val="20"/>
          <w:szCs w:val="20"/>
          <w:lang w:val="en-US"/>
        </w:rPr>
        <w:t>Figure</w:t>
      </w:r>
      <w:r w:rsidR="00364C1F" w:rsidRPr="00F15CF9">
        <w:rPr>
          <w:color w:val="auto"/>
          <w:sz w:val="20"/>
          <w:szCs w:val="20"/>
          <w:lang w:val="en-US"/>
        </w:rPr>
        <w:t xml:space="preserve"> </w:t>
      </w:r>
      <w:r w:rsidR="00364C1F" w:rsidRPr="00F15CF9">
        <w:rPr>
          <w:color w:val="auto"/>
          <w:sz w:val="20"/>
          <w:szCs w:val="20"/>
        </w:rPr>
        <w:fldChar w:fldCharType="begin"/>
      </w:r>
      <w:r w:rsidR="00364C1F" w:rsidRPr="00F15CF9">
        <w:rPr>
          <w:color w:val="auto"/>
          <w:sz w:val="20"/>
          <w:szCs w:val="20"/>
          <w:lang w:val="en-US"/>
        </w:rPr>
        <w:instrText xml:space="preserve"> SEQ Figure \* ARABIC </w:instrText>
      </w:r>
      <w:r w:rsidR="00364C1F" w:rsidRPr="00F15CF9">
        <w:rPr>
          <w:color w:val="auto"/>
          <w:sz w:val="20"/>
          <w:szCs w:val="20"/>
        </w:rPr>
        <w:fldChar w:fldCharType="separate"/>
      </w:r>
      <w:r w:rsidR="00C52506">
        <w:rPr>
          <w:noProof/>
          <w:color w:val="auto"/>
          <w:sz w:val="20"/>
          <w:szCs w:val="20"/>
          <w:lang w:val="en-US"/>
        </w:rPr>
        <w:t>44</w:t>
      </w:r>
      <w:r w:rsidR="00364C1F" w:rsidRPr="00F15CF9">
        <w:rPr>
          <w:color w:val="auto"/>
          <w:sz w:val="20"/>
          <w:szCs w:val="20"/>
        </w:rPr>
        <w:fldChar w:fldCharType="end"/>
      </w:r>
      <w:bookmarkEnd w:id="109"/>
      <w:r w:rsidR="00364C1F" w:rsidRPr="00F15CF9">
        <w:rPr>
          <w:color w:val="auto"/>
          <w:sz w:val="20"/>
          <w:szCs w:val="20"/>
          <w:lang w:val="en-US"/>
        </w:rPr>
        <w:t>: Zeta potential distribution of nPS and pH-PS at pH 10.</w:t>
      </w:r>
    </w:p>
    <w:p w:rsidR="00E74C8E" w:rsidRPr="00F15CF9" w:rsidRDefault="00A6605C" w:rsidP="00FC7A2B">
      <w:pPr>
        <w:spacing w:line="240" w:lineRule="auto"/>
        <w:rPr>
          <w:rStyle w:val="SubtleEmphasis"/>
          <w:i w:val="0"/>
          <w:color w:val="auto"/>
          <w:lang w:val="en-US"/>
        </w:rPr>
      </w:pPr>
      <w:r>
        <w:rPr>
          <w:rStyle w:val="SubtleEmphasis"/>
          <w:i w:val="0"/>
          <w:color w:val="auto"/>
          <w:lang w:val="en-US"/>
        </w:rPr>
        <w:t>Almost no</w:t>
      </w:r>
      <w:r w:rsidR="00E74C8E" w:rsidRPr="00F15CF9">
        <w:rPr>
          <w:rStyle w:val="SubtleEmphasis"/>
          <w:i w:val="0"/>
          <w:color w:val="auto"/>
          <w:lang w:val="en-US"/>
        </w:rPr>
        <w:t xml:space="preserve"> nPS particles are observed to be a</w:t>
      </w:r>
      <w:r>
        <w:rPr>
          <w:rStyle w:val="SubtleEmphasis"/>
          <w:i w:val="0"/>
          <w:color w:val="auto"/>
          <w:lang w:val="en-US"/>
        </w:rPr>
        <w:t>d</w:t>
      </w:r>
      <w:r w:rsidR="00E74C8E" w:rsidRPr="00F15CF9">
        <w:rPr>
          <w:rStyle w:val="SubtleEmphasis"/>
          <w:i w:val="0"/>
          <w:color w:val="auto"/>
          <w:lang w:val="en-US"/>
        </w:rPr>
        <w:t xml:space="preserve">sorbed on the pH-PS particle surface, which is in agreement with the zeta potential measurements of these particles in basic conditions. The presence of repulsive electrostatic forces for this system is confirmed by the reversibility of the encapsulation, mentioned before in </w:t>
      </w:r>
      <w:r w:rsidR="00642219">
        <w:rPr>
          <w:rStyle w:val="SubtleEmphasis"/>
          <w:i w:val="0"/>
          <w:color w:val="auto"/>
          <w:lang w:val="en-US"/>
        </w:rPr>
        <w:t>paragraph 5.3.1</w:t>
      </w:r>
      <w:r w:rsidR="00E74C8E" w:rsidRPr="00F15CF9">
        <w:rPr>
          <w:rStyle w:val="SubtleEmphasis"/>
          <w:i w:val="0"/>
          <w:color w:val="auto"/>
          <w:lang w:val="en-US"/>
        </w:rPr>
        <w:t xml:space="preserve">. After addition of base, the macroscopically aggregated particles are redispersed again, leaving similarly </w:t>
      </w:r>
      <w:r w:rsidR="00642219">
        <w:rPr>
          <w:rStyle w:val="SubtleEmphasis"/>
          <w:i w:val="0"/>
          <w:color w:val="auto"/>
          <w:lang w:val="en-US"/>
        </w:rPr>
        <w:t>uncovered</w:t>
      </w:r>
      <w:r w:rsidR="00E74C8E" w:rsidRPr="00F15CF9">
        <w:rPr>
          <w:rStyle w:val="SubtleEmphasis"/>
          <w:i w:val="0"/>
          <w:color w:val="auto"/>
          <w:lang w:val="en-US"/>
        </w:rPr>
        <w:t xml:space="preserve"> pH-PS particles as for the basic pH encapsulation experiments. </w:t>
      </w:r>
    </w:p>
    <w:p w:rsidR="003F3848" w:rsidRDefault="00E74C8E" w:rsidP="00FC7A2B">
      <w:pPr>
        <w:spacing w:line="240" w:lineRule="auto"/>
        <w:rPr>
          <w:rStyle w:val="SubtleEmphasis"/>
          <w:i w:val="0"/>
          <w:color w:val="auto"/>
          <w:lang w:val="en-US"/>
        </w:rPr>
      </w:pPr>
      <w:r w:rsidRPr="00F15CF9">
        <w:rPr>
          <w:rStyle w:val="SubtleEmphasis"/>
          <w:i w:val="0"/>
          <w:color w:val="auto"/>
          <w:lang w:val="en-US"/>
        </w:rPr>
        <w:t>On top of that, the a</w:t>
      </w:r>
      <w:r w:rsidR="00A6605C">
        <w:rPr>
          <w:rStyle w:val="SubtleEmphasis"/>
          <w:i w:val="0"/>
          <w:color w:val="auto"/>
          <w:lang w:val="en-US"/>
        </w:rPr>
        <w:t>d</w:t>
      </w:r>
      <w:r w:rsidRPr="00F15CF9">
        <w:rPr>
          <w:rStyle w:val="SubtleEmphasis"/>
          <w:i w:val="0"/>
          <w:color w:val="auto"/>
          <w:lang w:val="en-US"/>
        </w:rPr>
        <w:t xml:space="preserve">sorption of only a few nPS particles on a pH-PS particle surface, ranging from approximately 1 to 5, can be explained by the presence of some positively charged amine groups on the particle surface of pH-PS. These positively charged groups can either form discrete patches of positive charge on the </w:t>
      </w:r>
      <w:r w:rsidR="002975D5" w:rsidRPr="00F15CF9">
        <w:rPr>
          <w:rStyle w:val="SubtleEmphasis"/>
          <w:i w:val="0"/>
          <w:color w:val="auto"/>
          <w:lang w:val="en-US"/>
        </w:rPr>
        <w:t>surface or</w:t>
      </w:r>
      <w:r w:rsidRPr="00F15CF9">
        <w:rPr>
          <w:rStyle w:val="SubtleEmphasis"/>
          <w:i w:val="0"/>
          <w:color w:val="auto"/>
          <w:lang w:val="en-US"/>
        </w:rPr>
        <w:t xml:space="preserve"> neutralize negative charges from the surrounding carboxylic acid groups on the surface. Both could induce particle a</w:t>
      </w:r>
      <w:r w:rsidR="00A6605C">
        <w:rPr>
          <w:rStyle w:val="SubtleEmphasis"/>
          <w:i w:val="0"/>
          <w:color w:val="auto"/>
          <w:lang w:val="en-US"/>
        </w:rPr>
        <w:t>d</w:t>
      </w:r>
      <w:r w:rsidRPr="00F15CF9">
        <w:rPr>
          <w:rStyle w:val="SubtleEmphasis"/>
          <w:i w:val="0"/>
          <w:color w:val="auto"/>
          <w:lang w:val="en-US"/>
        </w:rPr>
        <w:t>sorption of nPS on the pH-PS surface, as the former increases interaction and the later reduces repulsion.</w:t>
      </w:r>
    </w:p>
    <w:p w:rsidR="00E74C8E" w:rsidRPr="008E5272" w:rsidRDefault="00E74C8E" w:rsidP="00FC7A2B">
      <w:pPr>
        <w:spacing w:line="240" w:lineRule="auto"/>
        <w:rPr>
          <w:rStyle w:val="SubtleEmphasis"/>
          <w:i w:val="0"/>
          <w:color w:val="auto"/>
          <w:lang w:val="en-US"/>
        </w:rPr>
      </w:pPr>
      <w:r w:rsidRPr="00F15CF9">
        <w:rPr>
          <w:rStyle w:val="SubtleEmphasis"/>
          <w:i w:val="0"/>
          <w:color w:val="auto"/>
          <w:lang w:val="en-US"/>
        </w:rPr>
        <w:t xml:space="preserve">Even though the zeta potential distribution of pH-PS at basic pH shows that no net positively charged pH-PS particles are present in the dispersion, it is still possible for positively charged amine groups to be present on the particle surface. </w:t>
      </w:r>
      <w:r w:rsidRPr="008E5272">
        <w:rPr>
          <w:rStyle w:val="SubtleEmphasis"/>
          <w:i w:val="0"/>
          <w:color w:val="auto"/>
          <w:lang w:val="en-US"/>
        </w:rPr>
        <w:t>The pKa value for the protonated form of metharcylate amine co-monomers is around 7.6. This means that by definition, half the amount of amine groups are positively charged at pH 7.6</w:t>
      </w:r>
      <w:r w:rsidRPr="008E5272">
        <w:rPr>
          <w:rStyle w:val="SubtleEmphasis"/>
          <w:i w:val="0"/>
          <w:color w:val="auto"/>
          <w:lang w:val="en-US"/>
        </w:rPr>
        <w:fldChar w:fldCharType="begin" w:fldLock="1"/>
      </w:r>
      <w:r w:rsidR="00FB6101">
        <w:rPr>
          <w:rStyle w:val="SubtleEmphasis"/>
          <w:i w:val="0"/>
          <w:color w:val="auto"/>
          <w:lang w:val="en-US"/>
        </w:rPr>
        <w:instrText>ADDIN CSL_CITATION { "citationItems" : [ { "id" : "ITEM-1", "itemData" : { "author" : [ { "dropping-particle" : "", "family" : "Rossotti, F.J.C.; Rossotti", "given" : "H.", "non-dropping-particle" : "", "parse-names" : false, "suffix" : "" } ], "id" : "ITEM-1", "issued" : { "date-parts" : [ [ "1961" ] ] }, "number-of-pages" : "Chapter 2: Activity and Concentration Quotients", "publisher" : "McGraw-Hill", "title" : "Determination of Stability Constants", "type" : "book" }, "uris" : [ "http://www.mendeley.com/documents/?uuid=f003abd5-773d-4b6b-b288-14df037eb56b" ] } ], "mendeley" : { "formattedCitation" : "&lt;sup&gt;78&lt;/sup&gt;", "plainTextFormattedCitation" : "78", "previouslyFormattedCitation" : "&lt;sup&gt;78&lt;/sup&gt;" }, "properties" : { "noteIndex" : 0 }, "schema" : "https://github.com/citation-style-language/schema/raw/master/csl-citation.json" }</w:instrText>
      </w:r>
      <w:r w:rsidRPr="008E5272">
        <w:rPr>
          <w:rStyle w:val="SubtleEmphasis"/>
          <w:i w:val="0"/>
          <w:color w:val="auto"/>
          <w:lang w:val="en-US"/>
        </w:rPr>
        <w:fldChar w:fldCharType="separate"/>
      </w:r>
      <w:r w:rsidR="00DE131C" w:rsidRPr="00DE131C">
        <w:rPr>
          <w:rStyle w:val="SubtleEmphasis"/>
          <w:i w:val="0"/>
          <w:noProof/>
          <w:color w:val="auto"/>
          <w:vertAlign w:val="superscript"/>
          <w:lang w:val="en-US"/>
        </w:rPr>
        <w:t>78</w:t>
      </w:r>
      <w:r w:rsidRPr="008E5272">
        <w:rPr>
          <w:rStyle w:val="SubtleEmphasis"/>
          <w:i w:val="0"/>
          <w:color w:val="auto"/>
          <w:lang w:val="en-US"/>
        </w:rPr>
        <w:fldChar w:fldCharType="end"/>
      </w:r>
      <w:r w:rsidRPr="008E5272">
        <w:rPr>
          <w:rStyle w:val="SubtleEmphasis"/>
          <w:i w:val="0"/>
          <w:color w:val="auto"/>
          <w:lang w:val="en-US"/>
        </w:rPr>
        <w:t xml:space="preserve">. </w:t>
      </w:r>
    </w:p>
    <w:p w:rsidR="00E74C8E" w:rsidRPr="008E5272" w:rsidRDefault="00E74C8E" w:rsidP="00FC7A2B">
      <w:pPr>
        <w:spacing w:line="240" w:lineRule="auto"/>
        <w:rPr>
          <w:rStyle w:val="SubtleEmphasis"/>
          <w:i w:val="0"/>
          <w:color w:val="auto"/>
          <w:lang w:val="en-US"/>
        </w:rPr>
      </w:pPr>
      <w:r w:rsidRPr="008E5272">
        <w:rPr>
          <w:rStyle w:val="SubtleEmphasis"/>
          <w:i w:val="0"/>
          <w:color w:val="auto"/>
          <w:lang w:val="en-US"/>
        </w:rPr>
        <w:t xml:space="preserve">A net neutralization of the oppositely charged species on the particle surface of pH-PS can be approximated as a series of dipoles spread out perfectly over a discrete grid. </w:t>
      </w:r>
      <w:r w:rsidR="00F27802" w:rsidRPr="008E5272">
        <w:rPr>
          <w:rStyle w:val="SubtleEmphasis"/>
          <w:i w:val="0"/>
          <w:color w:val="auto"/>
          <w:lang w:val="en-US"/>
        </w:rPr>
        <w:t xml:space="preserve">A </w:t>
      </w:r>
      <w:r w:rsidRPr="008E5272">
        <w:rPr>
          <w:rStyle w:val="SubtleEmphasis"/>
          <w:i w:val="0"/>
          <w:color w:val="auto"/>
          <w:lang w:val="en-US"/>
        </w:rPr>
        <w:t xml:space="preserve">charged particle does not feel a repulsion or attraction to the dipole at </w:t>
      </w:r>
      <w:r w:rsidR="003A6C75" w:rsidRPr="008E5272">
        <w:rPr>
          <w:rStyle w:val="SubtleEmphasis"/>
          <w:i w:val="0"/>
          <w:color w:val="auto"/>
          <w:lang w:val="en-US"/>
        </w:rPr>
        <w:t>a relatively large</w:t>
      </w:r>
      <w:r w:rsidRPr="008E5272">
        <w:rPr>
          <w:rStyle w:val="SubtleEmphasis"/>
          <w:i w:val="0"/>
          <w:color w:val="auto"/>
          <w:lang w:val="en-US"/>
        </w:rPr>
        <w:t xml:space="preserve"> distance. This means that the charged particle can approach the surface of pH-PS, </w:t>
      </w:r>
      <w:r w:rsidR="00A6605C">
        <w:rPr>
          <w:rStyle w:val="SubtleEmphasis"/>
          <w:i w:val="0"/>
          <w:color w:val="auto"/>
          <w:lang w:val="en-US"/>
        </w:rPr>
        <w:t xml:space="preserve">until it feels the separate negative and positive charges. Then, it </w:t>
      </w:r>
      <w:r w:rsidRPr="008E5272">
        <w:rPr>
          <w:rStyle w:val="SubtleEmphasis"/>
          <w:i w:val="0"/>
          <w:color w:val="auto"/>
          <w:lang w:val="en-US"/>
        </w:rPr>
        <w:t>decides whether or not to a</w:t>
      </w:r>
      <w:r w:rsidR="00A6605C">
        <w:rPr>
          <w:rStyle w:val="SubtleEmphasis"/>
          <w:i w:val="0"/>
          <w:color w:val="auto"/>
          <w:lang w:val="en-US"/>
        </w:rPr>
        <w:t>d</w:t>
      </w:r>
      <w:r w:rsidRPr="008E5272">
        <w:rPr>
          <w:rStyle w:val="SubtleEmphasis"/>
          <w:i w:val="0"/>
          <w:color w:val="auto"/>
          <w:lang w:val="en-US"/>
        </w:rPr>
        <w:t>sorb to the surface. This a</w:t>
      </w:r>
      <w:r w:rsidR="00A6605C">
        <w:rPr>
          <w:rStyle w:val="SubtleEmphasis"/>
          <w:i w:val="0"/>
          <w:color w:val="auto"/>
          <w:lang w:val="en-US"/>
        </w:rPr>
        <w:t>d</w:t>
      </w:r>
      <w:r w:rsidRPr="008E5272">
        <w:rPr>
          <w:rStyle w:val="SubtleEmphasis"/>
          <w:i w:val="0"/>
          <w:color w:val="auto"/>
          <w:lang w:val="en-US"/>
        </w:rPr>
        <w:t>sor</w:t>
      </w:r>
      <w:r w:rsidR="003F3848">
        <w:rPr>
          <w:rStyle w:val="SubtleEmphasis"/>
          <w:i w:val="0"/>
          <w:color w:val="auto"/>
          <w:lang w:val="en-US"/>
        </w:rPr>
        <w:t>ption</w:t>
      </w:r>
      <w:r w:rsidRPr="008E5272">
        <w:rPr>
          <w:rStyle w:val="SubtleEmphasis"/>
          <w:i w:val="0"/>
          <w:color w:val="auto"/>
          <w:lang w:val="en-US"/>
        </w:rPr>
        <w:t xml:space="preserve"> could then depend on the </w:t>
      </w:r>
      <w:r w:rsidR="003F3848">
        <w:rPr>
          <w:rStyle w:val="SubtleEmphasis"/>
          <w:i w:val="0"/>
          <w:color w:val="auto"/>
          <w:lang w:val="en-US"/>
        </w:rPr>
        <w:t>homogeneity of the</w:t>
      </w:r>
      <w:r w:rsidRPr="008E5272">
        <w:rPr>
          <w:rStyle w:val="SubtleEmphasis"/>
          <w:i w:val="0"/>
          <w:color w:val="auto"/>
          <w:lang w:val="en-US"/>
        </w:rPr>
        <w:t xml:space="preserve"> distribution of charged groups over the surface of pH-PS</w:t>
      </w:r>
      <w:r w:rsidR="003F3848">
        <w:rPr>
          <w:rStyle w:val="SubtleEmphasis"/>
          <w:i w:val="0"/>
          <w:color w:val="auto"/>
          <w:lang w:val="en-US"/>
        </w:rPr>
        <w:t>. A</w:t>
      </w:r>
      <w:r w:rsidRPr="008E5272">
        <w:rPr>
          <w:rStyle w:val="SubtleEmphasis"/>
          <w:i w:val="0"/>
          <w:color w:val="auto"/>
          <w:lang w:val="en-US"/>
        </w:rPr>
        <w:t xml:space="preserve"> significantly large enough patch size of charged groups could provide a large enough attractive force for particle </w:t>
      </w:r>
      <w:r w:rsidR="00AD6F1D">
        <w:rPr>
          <w:rStyle w:val="SubtleEmphasis"/>
          <w:i w:val="0"/>
          <w:color w:val="auto"/>
          <w:lang w:val="en-US"/>
        </w:rPr>
        <w:t>adsorption</w:t>
      </w:r>
      <w:r w:rsidRPr="008E5272">
        <w:rPr>
          <w:rStyle w:val="SubtleEmphasis"/>
          <w:i w:val="0"/>
          <w:color w:val="auto"/>
          <w:lang w:val="en-US"/>
        </w:rPr>
        <w:t xml:space="preserve"> to occur.</w:t>
      </w:r>
    </w:p>
    <w:p w:rsidR="00E74C8E" w:rsidRPr="008E5272" w:rsidRDefault="00E74C8E" w:rsidP="00FC7A2B">
      <w:pPr>
        <w:pStyle w:val="Heading5"/>
        <w:numPr>
          <w:ilvl w:val="4"/>
          <w:numId w:val="2"/>
        </w:numPr>
        <w:spacing w:line="240" w:lineRule="auto"/>
        <w:rPr>
          <w:rStyle w:val="SubtleEmphasis"/>
          <w:b/>
          <w:i w:val="0"/>
          <w:color w:val="auto"/>
          <w:lang w:val="en-US"/>
        </w:rPr>
      </w:pPr>
      <w:r w:rsidRPr="008E5272">
        <w:rPr>
          <w:rStyle w:val="SubtleEmphasis"/>
          <w:b/>
          <w:i w:val="0"/>
          <w:color w:val="auto"/>
          <w:lang w:val="en-US"/>
        </w:rPr>
        <w:t>pPS encapsulation at basic pH</w:t>
      </w:r>
    </w:p>
    <w:p w:rsidR="003F3848" w:rsidRDefault="00E74C8E" w:rsidP="00FC7A2B">
      <w:pPr>
        <w:spacing w:line="240" w:lineRule="auto"/>
        <w:rPr>
          <w:rStyle w:val="SubtleEmphasis"/>
          <w:i w:val="0"/>
          <w:color w:val="auto"/>
          <w:lang w:val="en-US"/>
        </w:rPr>
      </w:pPr>
      <w:r w:rsidRPr="008E5272">
        <w:rPr>
          <w:rStyle w:val="SubtleEmphasis"/>
          <w:i w:val="0"/>
          <w:color w:val="auto"/>
          <w:lang w:val="en-US"/>
        </w:rPr>
        <w:t xml:space="preserve">Similar to the encapsulation of pH-PS with nPS, only a few to no pPS particles are </w:t>
      </w:r>
      <w:r w:rsidR="00D92D38">
        <w:rPr>
          <w:rStyle w:val="SubtleEmphasis"/>
          <w:i w:val="0"/>
          <w:color w:val="auto"/>
          <w:lang w:val="en-US"/>
        </w:rPr>
        <w:t>adsorb</w:t>
      </w:r>
      <w:r w:rsidRPr="008E5272">
        <w:rPr>
          <w:rStyle w:val="SubtleEmphasis"/>
          <w:i w:val="0"/>
          <w:color w:val="auto"/>
          <w:lang w:val="en-US"/>
        </w:rPr>
        <w:t xml:space="preserve">ed on the surface of pH-PS. This is a strange result when only the mean zeta potential values of these particles at basic pH is considered. </w:t>
      </w:r>
    </w:p>
    <w:p w:rsidR="00E74C8E" w:rsidRPr="008E5272" w:rsidRDefault="00E74C8E" w:rsidP="00FC7A2B">
      <w:pPr>
        <w:spacing w:line="240" w:lineRule="auto"/>
        <w:rPr>
          <w:rStyle w:val="SubtleEmphasis"/>
          <w:rFonts w:cstheme="minorHAnsi"/>
          <w:i w:val="0"/>
          <w:color w:val="auto"/>
          <w:lang w:val="en-US"/>
        </w:rPr>
      </w:pPr>
      <w:r w:rsidRPr="008E5272">
        <w:rPr>
          <w:rStyle w:val="SubtleEmphasis"/>
          <w:i w:val="0"/>
          <w:color w:val="auto"/>
          <w:lang w:val="en-US"/>
        </w:rPr>
        <w:lastRenderedPageBreak/>
        <w:t>The zeta potential of pH-PS at pH 10 is measured to be -60mV,</w:t>
      </w:r>
      <w:r w:rsidRPr="008E5272">
        <w:rPr>
          <w:rStyle w:val="SubtleEmphasis"/>
          <w:rFonts w:cstheme="minorHAnsi"/>
          <w:i w:val="0"/>
          <w:color w:val="auto"/>
          <w:lang w:val="en-US"/>
        </w:rPr>
        <w:t xml:space="preserve"> while for pPS, this value is +10mV. This would mean that on average, these oppositely charged particles should show strong attractive forces. However, two factors could explain the observed absence of densely packed cluster.</w:t>
      </w:r>
    </w:p>
    <w:p w:rsidR="00E74C8E" w:rsidRPr="008E5272" w:rsidRDefault="00E74C8E" w:rsidP="00FC7A2B">
      <w:pPr>
        <w:spacing w:line="240" w:lineRule="auto"/>
        <w:rPr>
          <w:rStyle w:val="SubtleEmphasis"/>
          <w:rFonts w:cstheme="minorHAnsi"/>
          <w:i w:val="0"/>
          <w:color w:val="auto"/>
          <w:lang w:val="en-US"/>
        </w:rPr>
      </w:pPr>
      <w:r w:rsidRPr="008E5272">
        <w:rPr>
          <w:rStyle w:val="SubtleEmphasis"/>
          <w:rFonts w:cstheme="minorHAnsi"/>
          <w:i w:val="0"/>
          <w:color w:val="auto"/>
          <w:lang w:val="en-US"/>
        </w:rPr>
        <w:t>First of all, the zeta potential distribution of pPS at basic pH (</w:t>
      </w:r>
      <w:r w:rsidR="008E5272">
        <w:rPr>
          <w:rStyle w:val="SubtleEmphasis"/>
          <w:rFonts w:cstheme="minorHAnsi"/>
          <w:i w:val="0"/>
          <w:color w:val="auto"/>
          <w:lang w:val="en-US"/>
        </w:rPr>
        <w:fldChar w:fldCharType="begin"/>
      </w:r>
      <w:r w:rsidR="008E5272" w:rsidRPr="008E5272">
        <w:rPr>
          <w:rStyle w:val="SubtleEmphasis"/>
          <w:rFonts w:cstheme="minorHAnsi"/>
          <w:i w:val="0"/>
          <w:color w:val="auto"/>
          <w:lang w:val="en-US"/>
        </w:rPr>
        <w:instrText xml:space="preserve"> REF _Ref29915052 \h  \* MERGEFORMAT </w:instrText>
      </w:r>
      <w:r w:rsidR="008E5272">
        <w:rPr>
          <w:rStyle w:val="SubtleEmphasis"/>
          <w:rFonts w:cstheme="minorHAnsi"/>
          <w:i w:val="0"/>
          <w:color w:val="auto"/>
          <w:lang w:val="en-US"/>
        </w:rPr>
      </w:r>
      <w:r w:rsidR="008E5272">
        <w:rPr>
          <w:rStyle w:val="SubtleEmphasis"/>
          <w:rFonts w:cstheme="minorHAnsi"/>
          <w:i w:val="0"/>
          <w:color w:val="auto"/>
          <w:lang w:val="en-US"/>
        </w:rPr>
        <w:fldChar w:fldCharType="separate"/>
      </w:r>
      <w:r w:rsidR="00C52506" w:rsidRPr="00C52506">
        <w:rPr>
          <w:lang w:val="en-US"/>
        </w:rPr>
        <w:t>Figure</w:t>
      </w:r>
      <w:r w:rsidR="00C52506" w:rsidRPr="008E5272">
        <w:rPr>
          <w:sz w:val="20"/>
          <w:szCs w:val="20"/>
          <w:lang w:val="en-US"/>
        </w:rPr>
        <w:t xml:space="preserve"> </w:t>
      </w:r>
      <w:r w:rsidR="00C52506" w:rsidRPr="00C52506">
        <w:rPr>
          <w:noProof/>
          <w:lang w:val="en-US"/>
        </w:rPr>
        <w:t>45</w:t>
      </w:r>
      <w:r w:rsidR="008E5272">
        <w:rPr>
          <w:rStyle w:val="SubtleEmphasis"/>
          <w:rFonts w:cstheme="minorHAnsi"/>
          <w:i w:val="0"/>
          <w:color w:val="auto"/>
          <w:lang w:val="en-US"/>
        </w:rPr>
        <w:fldChar w:fldCharType="end"/>
      </w:r>
      <w:r w:rsidRPr="008E5272">
        <w:rPr>
          <w:rStyle w:val="SubtleEmphasis"/>
          <w:rFonts w:cstheme="minorHAnsi"/>
          <w:i w:val="0"/>
          <w:color w:val="auto"/>
          <w:lang w:val="en-US"/>
        </w:rPr>
        <w:t xml:space="preserve">) shows that a significant part of the pPS particles are negatively charged. As </w:t>
      </w:r>
      <w:r w:rsidR="00213D07" w:rsidRPr="008E5272">
        <w:rPr>
          <w:rStyle w:val="SubtleEmphasis"/>
          <w:rFonts w:cstheme="minorHAnsi"/>
          <w:i w:val="0"/>
          <w:color w:val="auto"/>
          <w:lang w:val="en-US"/>
        </w:rPr>
        <w:t>discussed in section 4.2.3</w:t>
      </w:r>
      <w:r w:rsidRPr="008E5272">
        <w:rPr>
          <w:rStyle w:val="SubtleEmphasis"/>
          <w:rFonts w:cstheme="minorHAnsi"/>
          <w:i w:val="0"/>
          <w:color w:val="auto"/>
          <w:lang w:val="en-US"/>
        </w:rPr>
        <w:t xml:space="preserve">, this could be due to </w:t>
      </w:r>
      <w:r w:rsidR="003F3848">
        <w:rPr>
          <w:rStyle w:val="SubtleEmphasis"/>
          <w:rFonts w:cstheme="minorHAnsi"/>
          <w:i w:val="0"/>
          <w:color w:val="auto"/>
          <w:lang w:val="en-US"/>
        </w:rPr>
        <w:t xml:space="preserve">the base catalyzed hydrolysis of the METMAC functionalities. </w:t>
      </w:r>
      <w:r w:rsidRPr="008E5272">
        <w:rPr>
          <w:rStyle w:val="SubtleEmphasis"/>
          <w:rFonts w:cstheme="minorHAnsi"/>
          <w:i w:val="0"/>
          <w:color w:val="auto"/>
          <w:lang w:val="en-US"/>
        </w:rPr>
        <w:t xml:space="preserve">This effect also increases </w:t>
      </w:r>
      <w:r w:rsidR="002508EA">
        <w:rPr>
          <w:rStyle w:val="SubtleEmphasis"/>
          <w:rFonts w:cstheme="minorHAnsi"/>
          <w:i w:val="0"/>
          <w:color w:val="auto"/>
          <w:lang w:val="en-US"/>
        </w:rPr>
        <w:t>over</w:t>
      </w:r>
      <w:r w:rsidRPr="008E5272">
        <w:rPr>
          <w:rStyle w:val="SubtleEmphasis"/>
          <w:rFonts w:cstheme="minorHAnsi"/>
          <w:i w:val="0"/>
          <w:color w:val="auto"/>
          <w:lang w:val="en-US"/>
        </w:rPr>
        <w:t xml:space="preserve"> time, as it was observed that the zeta potential changed from +10mV to -35mV overnight. The result is a net negative charge on the pPS surface, meaning that it should repel the negatively charged pH-PS. This effect could provide an explanation for the observed absence of attractive forces between pH-PS and pPS in basic pH. </w:t>
      </w:r>
    </w:p>
    <w:p w:rsidR="00364C1F" w:rsidRPr="008E5272" w:rsidRDefault="00E74C8E" w:rsidP="00FC7A2B">
      <w:pPr>
        <w:keepNext/>
        <w:spacing w:line="240" w:lineRule="auto"/>
        <w:jc w:val="center"/>
      </w:pPr>
      <w:r w:rsidRPr="008E5272">
        <w:rPr>
          <w:rFonts w:cstheme="minorHAnsi"/>
          <w:noProof/>
          <w:lang w:val="en-US"/>
        </w:rPr>
        <w:drawing>
          <wp:inline distT="0" distB="0" distL="0" distR="0">
            <wp:extent cx="4512044" cy="3232298"/>
            <wp:effectExtent l="0" t="0" r="317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210" r="-6" b="3970"/>
                    <a:stretch/>
                  </pic:blipFill>
                  <pic:spPr bwMode="auto">
                    <a:xfrm>
                      <a:off x="0" y="0"/>
                      <a:ext cx="4519559" cy="3237681"/>
                    </a:xfrm>
                    <a:prstGeom prst="rect">
                      <a:avLst/>
                    </a:prstGeom>
                    <a:noFill/>
                    <a:ln>
                      <a:noFill/>
                    </a:ln>
                    <a:extLst>
                      <a:ext uri="{53640926-AAD7-44D8-BBD7-CCE9431645EC}">
                        <a14:shadowObscured xmlns:a14="http://schemas.microsoft.com/office/drawing/2010/main"/>
                      </a:ext>
                    </a:extLst>
                  </pic:spPr>
                </pic:pic>
              </a:graphicData>
            </a:graphic>
          </wp:inline>
        </w:drawing>
      </w:r>
    </w:p>
    <w:p w:rsidR="00E74C8E" w:rsidRPr="008E5272" w:rsidRDefault="00C82962" w:rsidP="00FC7A2B">
      <w:pPr>
        <w:pStyle w:val="Caption"/>
        <w:jc w:val="center"/>
        <w:rPr>
          <w:rStyle w:val="SubtleEmphasis"/>
          <w:i/>
          <w:iCs/>
          <w:color w:val="auto"/>
          <w:sz w:val="20"/>
          <w:szCs w:val="20"/>
          <w:lang w:val="en-US"/>
        </w:rPr>
      </w:pPr>
      <w:bookmarkStart w:id="110" w:name="_Ref29915052"/>
      <w:r>
        <w:rPr>
          <w:color w:val="auto"/>
          <w:sz w:val="20"/>
          <w:szCs w:val="20"/>
          <w:lang w:val="en-US"/>
        </w:rPr>
        <w:t>Figure</w:t>
      </w:r>
      <w:r w:rsidR="00364C1F" w:rsidRPr="008E5272">
        <w:rPr>
          <w:color w:val="auto"/>
          <w:sz w:val="20"/>
          <w:szCs w:val="20"/>
          <w:lang w:val="en-US"/>
        </w:rPr>
        <w:t xml:space="preserve"> </w:t>
      </w:r>
      <w:r w:rsidR="00364C1F" w:rsidRPr="008E5272">
        <w:rPr>
          <w:color w:val="auto"/>
          <w:sz w:val="20"/>
          <w:szCs w:val="20"/>
        </w:rPr>
        <w:fldChar w:fldCharType="begin"/>
      </w:r>
      <w:r w:rsidR="00364C1F" w:rsidRPr="008E5272">
        <w:rPr>
          <w:color w:val="auto"/>
          <w:sz w:val="20"/>
          <w:szCs w:val="20"/>
          <w:lang w:val="en-US"/>
        </w:rPr>
        <w:instrText xml:space="preserve"> SEQ Figure \* ARABIC </w:instrText>
      </w:r>
      <w:r w:rsidR="00364C1F" w:rsidRPr="008E5272">
        <w:rPr>
          <w:color w:val="auto"/>
          <w:sz w:val="20"/>
          <w:szCs w:val="20"/>
        </w:rPr>
        <w:fldChar w:fldCharType="separate"/>
      </w:r>
      <w:r w:rsidR="00C52506">
        <w:rPr>
          <w:noProof/>
          <w:color w:val="auto"/>
          <w:sz w:val="20"/>
          <w:szCs w:val="20"/>
          <w:lang w:val="en-US"/>
        </w:rPr>
        <w:t>45</w:t>
      </w:r>
      <w:r w:rsidR="00364C1F" w:rsidRPr="008E5272">
        <w:rPr>
          <w:color w:val="auto"/>
          <w:sz w:val="20"/>
          <w:szCs w:val="20"/>
        </w:rPr>
        <w:fldChar w:fldCharType="end"/>
      </w:r>
      <w:bookmarkEnd w:id="110"/>
      <w:r w:rsidR="00364C1F" w:rsidRPr="008E5272">
        <w:rPr>
          <w:color w:val="auto"/>
          <w:sz w:val="20"/>
          <w:szCs w:val="20"/>
          <w:lang w:val="en-US"/>
        </w:rPr>
        <w:t>:  Zeta potential distribution of pPS and pH-PS at pH 10.</w:t>
      </w:r>
      <w:r w:rsidR="00E74C8E" w:rsidRPr="008E5272">
        <w:rPr>
          <w:rStyle w:val="SubtleEmphasis"/>
          <w:rFonts w:cstheme="minorHAnsi"/>
          <w:color w:val="auto"/>
          <w:lang w:val="en-US"/>
        </w:rPr>
        <w:t xml:space="preserve"> </w:t>
      </w:r>
    </w:p>
    <w:p w:rsidR="00E74C8E" w:rsidRPr="008E5272" w:rsidRDefault="00E74C8E" w:rsidP="00FC7A2B">
      <w:pPr>
        <w:spacing w:line="240" w:lineRule="auto"/>
        <w:rPr>
          <w:rStyle w:val="SubtleEmphasis"/>
          <w:i w:val="0"/>
          <w:color w:val="auto"/>
          <w:lang w:val="en-US"/>
        </w:rPr>
      </w:pPr>
      <w:r w:rsidRPr="008E5272">
        <w:rPr>
          <w:rStyle w:val="SubtleEmphasis"/>
          <w:i w:val="0"/>
          <w:color w:val="auto"/>
          <w:lang w:val="en-US"/>
        </w:rPr>
        <w:t xml:space="preserve">Secondly, it was observed that the pH-PS particle dispersion </w:t>
      </w:r>
      <w:r w:rsidR="002508EA">
        <w:rPr>
          <w:rStyle w:val="SubtleEmphasis"/>
          <w:i w:val="0"/>
          <w:color w:val="auto"/>
          <w:lang w:val="en-US"/>
        </w:rPr>
        <w:t xml:space="preserve">had </w:t>
      </w:r>
      <w:r w:rsidRPr="008E5272">
        <w:rPr>
          <w:rStyle w:val="SubtleEmphasis"/>
          <w:i w:val="0"/>
          <w:color w:val="auto"/>
          <w:lang w:val="en-US"/>
        </w:rPr>
        <w:t>become unstable in basic pH on longer timescales, as</w:t>
      </w:r>
      <w:r w:rsidR="00FB6467" w:rsidRPr="008E5272">
        <w:rPr>
          <w:rStyle w:val="SubtleEmphasis"/>
          <w:i w:val="0"/>
          <w:color w:val="auto"/>
          <w:lang w:val="en-US"/>
        </w:rPr>
        <w:t xml:space="preserve"> previously</w:t>
      </w:r>
      <w:r w:rsidRPr="008E5272">
        <w:rPr>
          <w:rStyle w:val="SubtleEmphasis"/>
          <w:i w:val="0"/>
          <w:color w:val="auto"/>
          <w:lang w:val="en-US"/>
        </w:rPr>
        <w:t xml:space="preserve"> shown in </w:t>
      </w:r>
      <w:r w:rsidR="008E5272">
        <w:rPr>
          <w:rStyle w:val="SubtleEmphasis"/>
          <w:i w:val="0"/>
          <w:color w:val="auto"/>
          <w:lang w:val="en-US"/>
        </w:rPr>
        <w:fldChar w:fldCharType="begin"/>
      </w:r>
      <w:r w:rsidR="008E5272" w:rsidRPr="008E5272">
        <w:rPr>
          <w:rStyle w:val="SubtleEmphasis"/>
          <w:i w:val="0"/>
          <w:color w:val="auto"/>
          <w:lang w:val="en-US"/>
        </w:rPr>
        <w:instrText xml:space="preserve"> REF _Ref29913813 \h </w:instrText>
      </w:r>
      <w:r w:rsidR="008E5272">
        <w:rPr>
          <w:rStyle w:val="SubtleEmphasis"/>
          <w:i w:val="0"/>
          <w:color w:val="auto"/>
          <w:lang w:val="en-US"/>
        </w:rPr>
        <w:instrText xml:space="preserve"> \* MERGEFORMAT </w:instrText>
      </w:r>
      <w:r w:rsidR="008E5272">
        <w:rPr>
          <w:rStyle w:val="SubtleEmphasis"/>
          <w:i w:val="0"/>
          <w:color w:val="auto"/>
          <w:lang w:val="en-US"/>
        </w:rPr>
      </w:r>
      <w:r w:rsidR="008E5272">
        <w:rPr>
          <w:rStyle w:val="SubtleEmphasis"/>
          <w:i w:val="0"/>
          <w:color w:val="auto"/>
          <w:lang w:val="en-US"/>
        </w:rPr>
        <w:fldChar w:fldCharType="separate"/>
      </w:r>
      <w:r w:rsidR="00C52506" w:rsidRPr="00C52506">
        <w:rPr>
          <w:lang w:val="en-US"/>
        </w:rPr>
        <w:t>Figure</w:t>
      </w:r>
      <w:r w:rsidR="00C52506" w:rsidRPr="00302DE1">
        <w:rPr>
          <w:sz w:val="20"/>
          <w:szCs w:val="20"/>
          <w:lang w:val="en-US"/>
        </w:rPr>
        <w:t xml:space="preserve"> </w:t>
      </w:r>
      <w:r w:rsidR="00C52506" w:rsidRPr="00C52506">
        <w:rPr>
          <w:noProof/>
          <w:lang w:val="en-US"/>
        </w:rPr>
        <w:t>26</w:t>
      </w:r>
      <w:r w:rsidR="008E5272">
        <w:rPr>
          <w:rStyle w:val="SubtleEmphasis"/>
          <w:i w:val="0"/>
          <w:color w:val="auto"/>
          <w:lang w:val="en-US"/>
        </w:rPr>
        <w:fldChar w:fldCharType="end"/>
      </w:r>
      <w:r w:rsidRPr="008E5272">
        <w:rPr>
          <w:rStyle w:val="SubtleEmphasis"/>
          <w:i w:val="0"/>
          <w:color w:val="auto"/>
          <w:lang w:val="en-US"/>
        </w:rPr>
        <w:t xml:space="preserve">. It is thought that the polymer chains in pH-PS untangle, resulting in macroscopic aggregation through hydrophobic and Van der Waals interactions between these hydrophobic chains. This could mean that on shorter timescales, the surface of a pH-PS particle would not be as representative as in other pH conditions. However, it was observed that the pH-PS particles are nicely dispersed in basic pH conditions, implying that there is significant repulsion between these particles. It is likely that the stabilization originates from the repulsive negative charges on the surface, as this is implied by the zeta potential measurement of pH-PS at basic pH. </w:t>
      </w:r>
    </w:p>
    <w:p w:rsidR="00EA5E39" w:rsidRPr="008E5272" w:rsidRDefault="00E74C8E" w:rsidP="00FC7A2B">
      <w:pPr>
        <w:spacing w:line="240" w:lineRule="auto"/>
        <w:rPr>
          <w:rStyle w:val="SubtleEmphasis"/>
          <w:i w:val="0"/>
          <w:color w:val="auto"/>
          <w:lang w:val="en-US"/>
        </w:rPr>
      </w:pPr>
      <w:r w:rsidRPr="008E5272">
        <w:rPr>
          <w:rStyle w:val="SubtleEmphasis"/>
          <w:i w:val="0"/>
          <w:color w:val="auto"/>
          <w:lang w:val="en-US"/>
        </w:rPr>
        <w:t xml:space="preserve">Potentially, this effect could be explored further by seeing whether the cluster formation of pPS with pH-PS that occurs in neutral and acidic conditions can be reversed by addition of base. If the formed clusters would then disassemble, it would suggest that there are repulsive forces present between pPS and pH-PS. Either that, or the resulting combination of attractive and repulsive forces acting between pPS and pH-PS are in the order of kT, meaning that the cluster formation would reach an equilibrium state where we can observe </w:t>
      </w:r>
      <w:r w:rsidR="00AD6F1D">
        <w:rPr>
          <w:rStyle w:val="SubtleEmphasis"/>
          <w:i w:val="0"/>
          <w:color w:val="auto"/>
          <w:lang w:val="en-US"/>
        </w:rPr>
        <w:t>adsorption</w:t>
      </w:r>
      <w:r w:rsidRPr="008E5272">
        <w:rPr>
          <w:rStyle w:val="SubtleEmphasis"/>
          <w:i w:val="0"/>
          <w:color w:val="auto"/>
          <w:lang w:val="en-US"/>
        </w:rPr>
        <w:t xml:space="preserve"> and desorption of pPS onto the pH-PS particle surface. Preferably, these experiments should be performed on single clusters, so that </w:t>
      </w:r>
      <w:r w:rsidR="002508EA">
        <w:rPr>
          <w:rStyle w:val="SubtleEmphasis"/>
          <w:i w:val="0"/>
          <w:color w:val="auto"/>
          <w:lang w:val="en-US"/>
        </w:rPr>
        <w:t>we</w:t>
      </w:r>
      <w:r w:rsidRPr="008E5272">
        <w:rPr>
          <w:rStyle w:val="SubtleEmphasis"/>
          <w:i w:val="0"/>
          <w:color w:val="auto"/>
          <w:lang w:val="en-US"/>
        </w:rPr>
        <w:t xml:space="preserve"> know that the distribution of functional groups on a pH-PS surface is constant.</w:t>
      </w:r>
    </w:p>
    <w:p w:rsidR="00E74C8E" w:rsidRPr="008E5272" w:rsidRDefault="00E74C8E" w:rsidP="00FC7A2B">
      <w:pPr>
        <w:pStyle w:val="Heading3"/>
        <w:numPr>
          <w:ilvl w:val="2"/>
          <w:numId w:val="2"/>
        </w:numPr>
        <w:spacing w:line="240" w:lineRule="auto"/>
        <w:rPr>
          <w:rStyle w:val="SubtleEmphasis"/>
          <w:rFonts w:cstheme="minorHAnsi"/>
          <w:b/>
          <w:i w:val="0"/>
          <w:color w:val="auto"/>
          <w:lang w:val="en-US"/>
        </w:rPr>
      </w:pPr>
      <w:bookmarkStart w:id="111" w:name="_Toc31892423"/>
      <w:r w:rsidRPr="008E5272">
        <w:rPr>
          <w:rStyle w:val="SubtleEmphasis"/>
          <w:rFonts w:cstheme="minorHAnsi"/>
          <w:b/>
          <w:i w:val="0"/>
          <w:color w:val="auto"/>
          <w:lang w:val="en-US"/>
        </w:rPr>
        <w:lastRenderedPageBreak/>
        <w:t>Concluding remarks</w:t>
      </w:r>
      <w:bookmarkEnd w:id="111"/>
    </w:p>
    <w:p w:rsidR="005D00CE" w:rsidRDefault="000265A1" w:rsidP="00FC7A2B">
      <w:pPr>
        <w:spacing w:line="240" w:lineRule="auto"/>
        <w:rPr>
          <w:rStyle w:val="SubtleEmphasis"/>
          <w:lang w:val="en-US"/>
        </w:rPr>
      </w:pPr>
      <w:r>
        <w:rPr>
          <w:rStyle w:val="SubtleEmphasis"/>
          <w:i w:val="0"/>
          <w:color w:val="auto"/>
          <w:lang w:val="en-US"/>
        </w:rPr>
        <w:t>In this control system, t</w:t>
      </w:r>
      <w:r w:rsidR="00E74C8E" w:rsidRPr="008E5272">
        <w:rPr>
          <w:rStyle w:val="SubtleEmphasis"/>
          <w:i w:val="0"/>
          <w:color w:val="auto"/>
          <w:lang w:val="en-US"/>
        </w:rPr>
        <w:t xml:space="preserve">he pH dependent formation of clusters from oppositely charged particles was achieved. </w:t>
      </w:r>
      <w:r w:rsidR="00A75858" w:rsidRPr="008E5272">
        <w:rPr>
          <w:rStyle w:val="SubtleEmphasis"/>
          <w:i w:val="0"/>
          <w:color w:val="auto"/>
          <w:lang w:val="en-US"/>
        </w:rPr>
        <w:br/>
      </w:r>
      <w:r w:rsidR="00E74C8E" w:rsidRPr="008E5272">
        <w:rPr>
          <w:rStyle w:val="SubtleEmphasis"/>
          <w:i w:val="0"/>
          <w:color w:val="auto"/>
          <w:lang w:val="en-US"/>
        </w:rPr>
        <w:t xml:space="preserve">At neutral pH, both nPS and pPS form a similar packing distribution of clusters when aggregated with pH-PS. This can be explained by the equal presence of both negatively and positively charged groups on the surface of pH-PS in neutral conditions. </w:t>
      </w:r>
      <w:r w:rsidR="00A75858" w:rsidRPr="008E5272">
        <w:rPr>
          <w:rStyle w:val="SubtleEmphasis"/>
          <w:i w:val="0"/>
          <w:color w:val="auto"/>
          <w:lang w:val="en-US"/>
        </w:rPr>
        <w:br/>
      </w:r>
      <w:r w:rsidR="00E74C8E" w:rsidRPr="008E5272">
        <w:rPr>
          <w:rStyle w:val="SubtleEmphasis"/>
          <w:i w:val="0"/>
          <w:color w:val="auto"/>
          <w:lang w:val="en-US"/>
        </w:rPr>
        <w:t>At acidic pH, we observe massive aggregation of nPS with pH-PS, probably due to strong opposite charge attraction. Interestingly, also pPS formed clusters with pH-PS in acidic conditions, even though these</w:t>
      </w:r>
      <w:r w:rsidR="00832844">
        <w:rPr>
          <w:rStyle w:val="SubtleEmphasis"/>
          <w:i w:val="0"/>
          <w:color w:val="auto"/>
          <w:lang w:val="en-US"/>
        </w:rPr>
        <w:t xml:space="preserve"> two particles</w:t>
      </w:r>
      <w:r w:rsidR="00E74C8E" w:rsidRPr="008E5272">
        <w:rPr>
          <w:rStyle w:val="SubtleEmphasis"/>
          <w:i w:val="0"/>
          <w:color w:val="auto"/>
          <w:lang w:val="en-US"/>
        </w:rPr>
        <w:t xml:space="preserve"> should both be positively charged. This could be due to the presence of discrete negatively charged patches on the surface of pH-PS, large enough for a pPS particle to </w:t>
      </w:r>
      <w:r w:rsidR="00D92D38">
        <w:rPr>
          <w:rStyle w:val="SubtleEmphasis"/>
          <w:i w:val="0"/>
          <w:color w:val="auto"/>
          <w:lang w:val="en-US"/>
        </w:rPr>
        <w:t>adsorb</w:t>
      </w:r>
      <w:r w:rsidR="00E74C8E" w:rsidRPr="008E5272">
        <w:rPr>
          <w:rStyle w:val="SubtleEmphasis"/>
          <w:i w:val="0"/>
          <w:color w:val="auto"/>
          <w:lang w:val="en-US"/>
        </w:rPr>
        <w:t xml:space="preserve"> on. </w:t>
      </w:r>
      <w:r w:rsidR="00A75858" w:rsidRPr="008E5272">
        <w:rPr>
          <w:rStyle w:val="SubtleEmphasis"/>
          <w:i w:val="0"/>
          <w:color w:val="auto"/>
          <w:lang w:val="en-US"/>
        </w:rPr>
        <w:br/>
      </w:r>
      <w:r w:rsidR="00E74C8E" w:rsidRPr="008E5272">
        <w:rPr>
          <w:rStyle w:val="SubtleEmphasis"/>
          <w:i w:val="0"/>
          <w:color w:val="auto"/>
          <w:lang w:val="en-US"/>
        </w:rPr>
        <w:t>At basic pH, both nPS and pPS do not form densely packed clusters when aggregated with pH-PS. This is logical for nPS, as also pH-PS obtains a negative charge at this pH. For aggregation with pPS, the absence of clusters was a curious observation, as the pPS and pH-PS should be oppositely charged. This observation could be attributed to the instability of pH-PS at basic pH, resulting in a non-representative particle surface charge</w:t>
      </w:r>
      <w:r w:rsidR="00832844">
        <w:rPr>
          <w:rStyle w:val="SubtleEmphasis"/>
          <w:i w:val="0"/>
          <w:color w:val="auto"/>
          <w:lang w:val="en-US"/>
        </w:rPr>
        <w:t>.</w:t>
      </w:r>
      <w:r w:rsidR="00A75858" w:rsidRPr="008E5272">
        <w:rPr>
          <w:rStyle w:val="SubtleEmphasis"/>
          <w:i w:val="0"/>
          <w:color w:val="auto"/>
          <w:lang w:val="en-US"/>
        </w:rPr>
        <w:br/>
        <w:t>The reversibility of cluster formation for encapsulation of pH-PS with nPS was also probed. Adding base to macroscopically visible aggregates in acidic environment of this encapsulation showed that a turbid suspension can be reobtained, with removal of the macroscopic aggregates. Microscopically, it was also deemed reversible, as occupancy of pH-PS was comparable to that of the basic sample. More pH cycles should be performed to investigate to what extent this system is pH-reversible, also for the pPS encapsulations.</w:t>
      </w:r>
      <w:r w:rsidR="004C4248">
        <w:rPr>
          <w:rStyle w:val="SubtleEmphasis"/>
          <w:i w:val="0"/>
          <w:color w:val="auto"/>
          <w:lang w:val="en-US"/>
        </w:rPr>
        <w:br/>
      </w:r>
      <w:r w:rsidR="001406FA">
        <w:rPr>
          <w:rStyle w:val="SubtleEmphasis"/>
          <w:i w:val="0"/>
          <w:iCs w:val="0"/>
          <w:color w:val="auto"/>
          <w:lang w:val="en-US"/>
        </w:rPr>
        <w:t>The main goal of this system was to mimic viral encapsulation</w:t>
      </w:r>
      <w:r w:rsidR="00832844">
        <w:rPr>
          <w:rStyle w:val="SubtleEmphasis"/>
          <w:i w:val="0"/>
          <w:iCs w:val="0"/>
          <w:color w:val="auto"/>
          <w:lang w:val="en-US"/>
        </w:rPr>
        <w:t xml:space="preserve"> using a static system</w:t>
      </w:r>
      <w:r w:rsidR="001406FA">
        <w:rPr>
          <w:rStyle w:val="SubtleEmphasis"/>
          <w:i w:val="0"/>
          <w:iCs w:val="0"/>
          <w:color w:val="auto"/>
          <w:lang w:val="en-US"/>
        </w:rPr>
        <w:t>. It was elucidated that on the surface of pH-PS, discrete patches of either positive or negative charge could be present. This could facilitate the selective adsorption of particles of a specific size and charge</w:t>
      </w:r>
      <w:r w:rsidR="000E62D8">
        <w:rPr>
          <w:rStyle w:val="SubtleEmphasis"/>
          <w:i w:val="0"/>
          <w:iCs w:val="0"/>
          <w:color w:val="auto"/>
          <w:lang w:val="en-US"/>
        </w:rPr>
        <w:t xml:space="preserve"> onto pH-PS</w:t>
      </w:r>
      <w:r w:rsidR="001406FA">
        <w:rPr>
          <w:rStyle w:val="SubtleEmphasis"/>
          <w:i w:val="0"/>
          <w:iCs w:val="0"/>
          <w:color w:val="auto"/>
          <w:lang w:val="en-US"/>
        </w:rPr>
        <w:t xml:space="preserve">. </w:t>
      </w:r>
      <w:r w:rsidR="000E62D8">
        <w:rPr>
          <w:rStyle w:val="SubtleEmphasis"/>
          <w:i w:val="0"/>
          <w:iCs w:val="0"/>
          <w:color w:val="auto"/>
          <w:lang w:val="en-US"/>
        </w:rPr>
        <w:t>This shows that the average charge of pH-PS does not represent the exact charge distribution over the</w:t>
      </w:r>
      <w:r w:rsidR="00615846">
        <w:rPr>
          <w:rStyle w:val="SubtleEmphasis"/>
          <w:i w:val="0"/>
          <w:iCs w:val="0"/>
          <w:color w:val="auto"/>
          <w:lang w:val="en-US"/>
        </w:rPr>
        <w:t xml:space="preserve"> whole</w:t>
      </w:r>
      <w:r w:rsidR="000E62D8">
        <w:rPr>
          <w:rStyle w:val="SubtleEmphasis"/>
          <w:i w:val="0"/>
          <w:iCs w:val="0"/>
          <w:color w:val="auto"/>
          <w:lang w:val="en-US"/>
        </w:rPr>
        <w:t xml:space="preserve"> particle. An analogy can be drawn to the genetic material and encapsulating proteins used in viral self-assembly. The specific sites where charges are present on both</w:t>
      </w:r>
      <w:r w:rsidR="00503BEC">
        <w:rPr>
          <w:rStyle w:val="SubtleEmphasis"/>
          <w:i w:val="0"/>
          <w:iCs w:val="0"/>
          <w:color w:val="auto"/>
          <w:lang w:val="en-US"/>
        </w:rPr>
        <w:t xml:space="preserve"> the genetic material and the proteins could</w:t>
      </w:r>
      <w:r w:rsidR="00615846">
        <w:rPr>
          <w:rStyle w:val="SubtleEmphasis"/>
          <w:i w:val="0"/>
          <w:iCs w:val="0"/>
          <w:color w:val="auto"/>
          <w:lang w:val="en-US"/>
        </w:rPr>
        <w:t xml:space="preserve"> offer the directionality for</w:t>
      </w:r>
      <w:r w:rsidR="00503BEC">
        <w:rPr>
          <w:rStyle w:val="SubtleEmphasis"/>
          <w:i w:val="0"/>
          <w:iCs w:val="0"/>
          <w:color w:val="auto"/>
          <w:lang w:val="en-US"/>
        </w:rPr>
        <w:t xml:space="preserve"> selective adsorption, and thus</w:t>
      </w:r>
      <w:r w:rsidR="00615846">
        <w:rPr>
          <w:rStyle w:val="SubtleEmphasis"/>
          <w:i w:val="0"/>
          <w:iCs w:val="0"/>
          <w:color w:val="auto"/>
          <w:lang w:val="en-US"/>
        </w:rPr>
        <w:t>,</w:t>
      </w:r>
      <w:r w:rsidR="00503BEC">
        <w:rPr>
          <w:rStyle w:val="SubtleEmphasis"/>
          <w:i w:val="0"/>
          <w:iCs w:val="0"/>
          <w:color w:val="auto"/>
          <w:lang w:val="en-US"/>
        </w:rPr>
        <w:t xml:space="preserve"> the specific viral self-assembly. </w:t>
      </w:r>
      <w:r w:rsidR="00832844">
        <w:rPr>
          <w:rStyle w:val="SubtleEmphasis"/>
          <w:i w:val="0"/>
          <w:iCs w:val="0"/>
          <w:color w:val="auto"/>
          <w:lang w:val="en-US"/>
        </w:rPr>
        <w:t>To an extent, the experimental system used here is static, as final structures of clusters can be clearly observed under the microscope. However, on longer timescales, some samples are observed to have evolved further into macroscopic aggregates. At this point, the system can be seen as static.</w:t>
      </w:r>
    </w:p>
    <w:p w:rsidR="00E74C8E" w:rsidRPr="00A6605C" w:rsidRDefault="00E74C8E" w:rsidP="00FC7A2B">
      <w:pPr>
        <w:pStyle w:val="Heading3"/>
        <w:numPr>
          <w:ilvl w:val="2"/>
          <w:numId w:val="2"/>
        </w:numPr>
        <w:spacing w:line="240" w:lineRule="auto"/>
        <w:rPr>
          <w:rStyle w:val="SubtleEmphasis"/>
          <w:b/>
          <w:i w:val="0"/>
          <w:color w:val="auto"/>
          <w:lang w:val="en-US"/>
        </w:rPr>
      </w:pPr>
      <w:bookmarkStart w:id="112" w:name="_Toc31892424"/>
      <w:r w:rsidRPr="00A6605C">
        <w:rPr>
          <w:rStyle w:val="SubtleEmphasis"/>
          <w:b/>
          <w:i w:val="0"/>
          <w:color w:val="auto"/>
          <w:lang w:val="en-US"/>
        </w:rPr>
        <w:t>Presence of discrete patches of charges on pH-PS</w:t>
      </w:r>
      <w:bookmarkEnd w:id="112"/>
    </w:p>
    <w:p w:rsidR="00E74C8E" w:rsidRPr="0069618E" w:rsidRDefault="00E74C8E" w:rsidP="00FC7A2B">
      <w:pPr>
        <w:spacing w:line="240" w:lineRule="auto"/>
        <w:rPr>
          <w:rStyle w:val="SubtleEmphasis"/>
          <w:i w:val="0"/>
          <w:color w:val="auto"/>
          <w:lang w:val="en-US"/>
        </w:rPr>
      </w:pPr>
      <w:r w:rsidRPr="0069618E">
        <w:rPr>
          <w:rStyle w:val="SubtleEmphasis"/>
          <w:i w:val="0"/>
          <w:color w:val="auto"/>
          <w:lang w:val="en-US"/>
        </w:rPr>
        <w:t>From these experimental data, we hypothesized multiple times that discrete patches of charges could be present on the surface of pH-PS. This hypothesis was based on the observation of the coexistence between densely packed clusters and practically empty pH-PS particles</w:t>
      </w:r>
      <w:r w:rsidR="00832844">
        <w:rPr>
          <w:rStyle w:val="SubtleEmphasis"/>
          <w:i w:val="0"/>
          <w:color w:val="auto"/>
          <w:lang w:val="en-US"/>
        </w:rPr>
        <w:t>, still</w:t>
      </w:r>
      <w:r w:rsidRPr="0069618E">
        <w:rPr>
          <w:rStyle w:val="SubtleEmphasis"/>
          <w:i w:val="0"/>
          <w:color w:val="auto"/>
          <w:lang w:val="en-US"/>
        </w:rPr>
        <w:t xml:space="preserve"> in the presence of permanently charged particles. A large enough charged patch could attract a particle of the opposite charge, facilitating particle </w:t>
      </w:r>
      <w:r w:rsidR="00AD6F1D">
        <w:rPr>
          <w:rStyle w:val="SubtleEmphasis"/>
          <w:i w:val="0"/>
          <w:color w:val="auto"/>
          <w:lang w:val="en-US"/>
        </w:rPr>
        <w:t>adsorption</w:t>
      </w:r>
      <w:r w:rsidRPr="0069618E">
        <w:rPr>
          <w:rStyle w:val="SubtleEmphasis"/>
          <w:i w:val="0"/>
          <w:color w:val="auto"/>
          <w:lang w:val="en-US"/>
        </w:rPr>
        <w:t xml:space="preserve">. A patch that is too small, or an oppositely charged patch, could prevent particle </w:t>
      </w:r>
      <w:r w:rsidR="00AD6F1D">
        <w:rPr>
          <w:rStyle w:val="SubtleEmphasis"/>
          <w:i w:val="0"/>
          <w:color w:val="auto"/>
          <w:lang w:val="en-US"/>
        </w:rPr>
        <w:t>adsorption</w:t>
      </w:r>
      <w:r w:rsidRPr="0069618E">
        <w:rPr>
          <w:rStyle w:val="SubtleEmphasis"/>
          <w:i w:val="0"/>
          <w:color w:val="auto"/>
          <w:lang w:val="en-US"/>
        </w:rPr>
        <w:t xml:space="preserve"> due to the lack of attractive forces and the excess of repulsive forces. The exact formation of these patches remains unknown, as the particles were bought from a company. However, we propose some theories for the formation of these patches, as well as a way to quantify them. </w:t>
      </w:r>
    </w:p>
    <w:p w:rsidR="000265A1" w:rsidRDefault="00E74C8E" w:rsidP="00FC7A2B">
      <w:pPr>
        <w:spacing w:line="240" w:lineRule="auto"/>
        <w:rPr>
          <w:rStyle w:val="SubtleEmphasis"/>
          <w:i w:val="0"/>
          <w:color w:val="auto"/>
          <w:lang w:val="en-US"/>
        </w:rPr>
      </w:pPr>
      <w:r w:rsidRPr="0069618E">
        <w:rPr>
          <w:rStyle w:val="SubtleEmphasis"/>
          <w:i w:val="0"/>
          <w:color w:val="auto"/>
          <w:lang w:val="en-US"/>
        </w:rPr>
        <w:t xml:space="preserve">For simplicity, the synthesis of pH-PS is thought to proceed via a one pot co-polymerization of all components into one particle. In this case, different oligomer chains consisting of styrene and two oppositely charged co-polymers are first formed, after which these are polymerized further, i.e. crosslinked, into a rigid particle. Before the crosslinking step, the oligomers are thought to be mobile, allowing the charged ends to migrate to the polar solvent surface, away from the hydrophobic polystyrene and co-monomer backbone pocket. A balance between different forces will result in the final thermodynamic composition of the particle. One force arises from the interplay between the hydrophobic backbones inside the particle, while the other arises from the Coulombic charge interactions present on the surface of the particle. </w:t>
      </w:r>
    </w:p>
    <w:p w:rsidR="00E74C8E" w:rsidRPr="0069618E" w:rsidRDefault="00E74C8E" w:rsidP="00FC7A2B">
      <w:pPr>
        <w:spacing w:line="240" w:lineRule="auto"/>
        <w:rPr>
          <w:rStyle w:val="SubtleEmphasis"/>
          <w:i w:val="0"/>
          <w:color w:val="auto"/>
          <w:lang w:val="en-US"/>
        </w:rPr>
      </w:pPr>
      <w:r w:rsidRPr="0069618E">
        <w:rPr>
          <w:rStyle w:val="SubtleEmphasis"/>
          <w:i w:val="0"/>
          <w:color w:val="auto"/>
          <w:lang w:val="en-US"/>
        </w:rPr>
        <w:lastRenderedPageBreak/>
        <w:t xml:space="preserve">Assuming that all three components consist of a different backbone, these could phase separate according to their </w:t>
      </w:r>
      <w:r w:rsidR="00832844">
        <w:rPr>
          <w:rStyle w:val="SubtleEmphasis"/>
          <w:i w:val="0"/>
          <w:color w:val="auto"/>
          <w:lang w:val="en-US"/>
        </w:rPr>
        <w:t>‘</w:t>
      </w:r>
      <w:r w:rsidRPr="0069618E">
        <w:rPr>
          <w:rStyle w:val="SubtleEmphasis"/>
          <w:i w:val="0"/>
          <w:color w:val="auto"/>
          <w:lang w:val="en-US"/>
        </w:rPr>
        <w:t>inter-backbone</w:t>
      </w:r>
      <w:r w:rsidR="00832844">
        <w:rPr>
          <w:rStyle w:val="SubtleEmphasis"/>
          <w:i w:val="0"/>
          <w:color w:val="auto"/>
          <w:lang w:val="en-US"/>
        </w:rPr>
        <w:t>’</w:t>
      </w:r>
      <w:r w:rsidRPr="0069618E">
        <w:rPr>
          <w:rStyle w:val="SubtleEmphasis"/>
          <w:i w:val="0"/>
          <w:color w:val="auto"/>
          <w:lang w:val="en-US"/>
        </w:rPr>
        <w:t xml:space="preserve"> potential. This phase separation could proceed via either a spinodal or binodal decomposition pathway (</w:t>
      </w:r>
      <w:r w:rsidR="0069618E" w:rsidRPr="0069618E">
        <w:rPr>
          <w:rStyle w:val="SubtleEmphasis"/>
          <w:i w:val="0"/>
          <w:color w:val="auto"/>
          <w:lang w:val="en-US"/>
        </w:rPr>
        <w:fldChar w:fldCharType="begin"/>
      </w:r>
      <w:r w:rsidR="0069618E" w:rsidRPr="0069618E">
        <w:rPr>
          <w:rStyle w:val="SubtleEmphasis"/>
          <w:i w:val="0"/>
          <w:color w:val="auto"/>
          <w:lang w:val="en-US"/>
        </w:rPr>
        <w:instrText xml:space="preserve"> REF _Ref29915264 \h </w:instrText>
      </w:r>
      <w:r w:rsidR="0069618E">
        <w:rPr>
          <w:rStyle w:val="SubtleEmphasis"/>
          <w:i w:val="0"/>
          <w:color w:val="auto"/>
          <w:lang w:val="en-US"/>
        </w:rPr>
        <w:instrText xml:space="preserve"> \* MERGEFORMAT </w:instrText>
      </w:r>
      <w:r w:rsidR="0069618E" w:rsidRPr="0069618E">
        <w:rPr>
          <w:rStyle w:val="SubtleEmphasis"/>
          <w:i w:val="0"/>
          <w:color w:val="auto"/>
          <w:lang w:val="en-US"/>
        </w:rPr>
      </w:r>
      <w:r w:rsidR="0069618E" w:rsidRPr="0069618E">
        <w:rPr>
          <w:rStyle w:val="SubtleEmphasis"/>
          <w:i w:val="0"/>
          <w:color w:val="auto"/>
          <w:lang w:val="en-US"/>
        </w:rPr>
        <w:fldChar w:fldCharType="separate"/>
      </w:r>
      <w:r w:rsidR="00C52506" w:rsidRPr="00C52506">
        <w:rPr>
          <w:lang w:val="en-US"/>
        </w:rPr>
        <w:t xml:space="preserve">Figure </w:t>
      </w:r>
      <w:r w:rsidR="00C52506" w:rsidRPr="00C52506">
        <w:rPr>
          <w:noProof/>
          <w:lang w:val="en-US"/>
        </w:rPr>
        <w:t>46</w:t>
      </w:r>
      <w:r w:rsidR="0069618E" w:rsidRPr="0069618E">
        <w:rPr>
          <w:rStyle w:val="SubtleEmphasis"/>
          <w:i w:val="0"/>
          <w:color w:val="auto"/>
          <w:lang w:val="en-US"/>
        </w:rPr>
        <w:fldChar w:fldCharType="end"/>
      </w:r>
      <w:r w:rsidRPr="0069618E">
        <w:rPr>
          <w:rStyle w:val="SubtleEmphasis"/>
          <w:i w:val="0"/>
          <w:color w:val="auto"/>
          <w:lang w:val="en-US"/>
        </w:rPr>
        <w:t xml:space="preserve">). </w:t>
      </w:r>
    </w:p>
    <w:p w:rsidR="00E74C8E" w:rsidRPr="0069618E" w:rsidRDefault="00E74C8E" w:rsidP="00FC7A2B">
      <w:pPr>
        <w:spacing w:line="240" w:lineRule="auto"/>
        <w:rPr>
          <w:rStyle w:val="SubtleEmphasis"/>
          <w:i w:val="0"/>
          <w:color w:val="auto"/>
          <w:lang w:val="en-US"/>
        </w:rPr>
      </w:pPr>
    </w:p>
    <w:p w:rsidR="00364C1F" w:rsidRPr="0069618E" w:rsidRDefault="00E74C8E" w:rsidP="00FC7A2B">
      <w:pPr>
        <w:keepNext/>
        <w:spacing w:line="240" w:lineRule="auto"/>
        <w:jc w:val="center"/>
      </w:pPr>
      <w:r w:rsidRPr="0069618E">
        <w:rPr>
          <w:noProof/>
          <w:lang w:val="en-US"/>
        </w:rPr>
        <w:drawing>
          <wp:inline distT="0" distB="0" distL="0" distR="0">
            <wp:extent cx="3247753" cy="1485762"/>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47753" cy="1485762"/>
                    </a:xfrm>
                    <a:prstGeom prst="rect">
                      <a:avLst/>
                    </a:prstGeom>
                    <a:noFill/>
                    <a:ln>
                      <a:noFill/>
                    </a:ln>
                  </pic:spPr>
                </pic:pic>
              </a:graphicData>
            </a:graphic>
          </wp:inline>
        </w:drawing>
      </w:r>
    </w:p>
    <w:p w:rsidR="00364C1F" w:rsidRPr="0069618E" w:rsidRDefault="00C82962" w:rsidP="00FC7A2B">
      <w:pPr>
        <w:pStyle w:val="Caption"/>
        <w:jc w:val="center"/>
        <w:rPr>
          <w:color w:val="auto"/>
          <w:sz w:val="20"/>
          <w:szCs w:val="20"/>
          <w:lang w:val="en-US"/>
        </w:rPr>
      </w:pPr>
      <w:bookmarkStart w:id="113" w:name="_Ref29915264"/>
      <w:r>
        <w:rPr>
          <w:color w:val="auto"/>
          <w:sz w:val="20"/>
          <w:szCs w:val="20"/>
          <w:lang w:val="en-US"/>
        </w:rPr>
        <w:t>Figure</w:t>
      </w:r>
      <w:r w:rsidR="00364C1F" w:rsidRPr="0069618E">
        <w:rPr>
          <w:color w:val="auto"/>
          <w:sz w:val="20"/>
          <w:szCs w:val="20"/>
          <w:lang w:val="en-US"/>
        </w:rPr>
        <w:t xml:space="preserve"> </w:t>
      </w:r>
      <w:r w:rsidR="00364C1F" w:rsidRPr="0069618E">
        <w:rPr>
          <w:color w:val="auto"/>
          <w:sz w:val="20"/>
          <w:szCs w:val="20"/>
        </w:rPr>
        <w:fldChar w:fldCharType="begin"/>
      </w:r>
      <w:r w:rsidR="00364C1F" w:rsidRPr="0069618E">
        <w:rPr>
          <w:color w:val="auto"/>
          <w:sz w:val="20"/>
          <w:szCs w:val="20"/>
          <w:lang w:val="en-US"/>
        </w:rPr>
        <w:instrText xml:space="preserve"> SEQ Figure \* ARABIC </w:instrText>
      </w:r>
      <w:r w:rsidR="00364C1F" w:rsidRPr="0069618E">
        <w:rPr>
          <w:color w:val="auto"/>
          <w:sz w:val="20"/>
          <w:szCs w:val="20"/>
        </w:rPr>
        <w:fldChar w:fldCharType="separate"/>
      </w:r>
      <w:r w:rsidR="00C52506">
        <w:rPr>
          <w:noProof/>
          <w:color w:val="auto"/>
          <w:sz w:val="20"/>
          <w:szCs w:val="20"/>
          <w:lang w:val="en-US"/>
        </w:rPr>
        <w:t>46</w:t>
      </w:r>
      <w:r w:rsidR="00364C1F" w:rsidRPr="0069618E">
        <w:rPr>
          <w:color w:val="auto"/>
          <w:sz w:val="20"/>
          <w:szCs w:val="20"/>
        </w:rPr>
        <w:fldChar w:fldCharType="end"/>
      </w:r>
      <w:bookmarkEnd w:id="113"/>
      <w:r w:rsidR="00364C1F" w:rsidRPr="0069618E">
        <w:rPr>
          <w:color w:val="auto"/>
          <w:sz w:val="20"/>
          <w:szCs w:val="20"/>
          <w:lang w:val="en-US"/>
        </w:rPr>
        <w:t>: Schematic overview for spinodal and binodal decomposition pathways</w:t>
      </w:r>
      <w:r w:rsidR="00754346" w:rsidRPr="0069618E">
        <w:rPr>
          <w:color w:val="auto"/>
          <w:sz w:val="20"/>
          <w:szCs w:val="20"/>
        </w:rPr>
        <w:fldChar w:fldCharType="begin" w:fldLock="1"/>
      </w:r>
      <w:r w:rsidR="00FB6101">
        <w:rPr>
          <w:color w:val="auto"/>
          <w:sz w:val="20"/>
          <w:szCs w:val="20"/>
          <w:lang w:val="en-US"/>
        </w:rPr>
        <w:instrText>ADDIN CSL_CITATION { "citationItems" : [ { "id" : "ITEM-1", "itemData" : { "DOI" : "10.1039/c3sm00130j", "ISSN" : "1744683X", "abstract" : "Bijels are non-equilibrium solid-stabilized emulsions with bicontinuous arrangement of the constituent fluid phases. These multiphase materials spontaneously form through arrested spinodal decomposition in mixtures of partially miscible liquids and neutrally wetting colloids. Here, we present a new solid-stabilized emulsion with an overall bicontinuous morphology similar to a bijel, but with one continuous phase containing a network of colloid-bridged droplets. This dual morphology is the result of combined spinodal decomposition and nucleation and growth in a binary liquid mixture containing colloidal particles with off-neutral wetting properties and partial affinity for one liquid phase. The rheology of these systems, which we call bridged bijels, is nearly identical to their simple bijel counterparts, with a unique exponential dependence of the zero-shear elastic modulus on the colloid volume fraction. However, partitioning of the colloids between the spinodal surface and the fluid domains delays the onset of structural arrest, providing access to domain sizes much larger than available in simple bijels without loss of mechanical stability. This ability greatly expands the potential technological applications of these unique materials. In addition, our findings reveal new strategies for tuning the rheology of bijels and outline new directions for future fundamental research on this unique class of soft materials. \u00a9 2013 The Royal Society of Chemistry.", "author" : [ { "dropping-particle" : "", "family" : "Witt", "given" : "Jessica A.", "non-dropping-particle" : "", "parse-names" : false, "suffix" : "" }, { "dropping-particle" : "", "family" : "Mumm", "given" : "Daniel R.", "non-dropping-particle" : "", "parse-names" : false, "suffix" : "" }, { "dropping-particle" : "", "family" : "Mohraz", "given" : "Ali", "non-dropping-particle" : "", "parse-names" : false, "suffix" : "" } ], "container-title" : "Soft Matter", "id" : "ITEM-1", "issue" : "29", "issued" : { "date-parts" : [ [ "2013" ] ] }, "page" : "6773-6780", "title" : "Bijel reinforcement by droplet bridging: A route to bicontinuous materials with large domains", "type" : "article-journal", "volume" : "9" }, "uris" : [ "http://www.mendeley.com/documents/?uuid=26f5095e-e5ec-46bd-a2e5-320804caf544" ] } ], "mendeley" : { "formattedCitation" : "&lt;sup&gt;79&lt;/sup&gt;", "plainTextFormattedCitation" : "79", "previouslyFormattedCitation" : "&lt;sup&gt;79&lt;/sup&gt;" }, "properties" : { "noteIndex" : 0 }, "schema" : "https://github.com/citation-style-language/schema/raw/master/csl-citation.json" }</w:instrText>
      </w:r>
      <w:r w:rsidR="00754346" w:rsidRPr="0069618E">
        <w:rPr>
          <w:color w:val="auto"/>
          <w:sz w:val="20"/>
          <w:szCs w:val="20"/>
        </w:rPr>
        <w:fldChar w:fldCharType="separate"/>
      </w:r>
      <w:r w:rsidR="00DE131C" w:rsidRPr="00DE131C">
        <w:rPr>
          <w:i w:val="0"/>
          <w:noProof/>
          <w:color w:val="auto"/>
          <w:sz w:val="20"/>
          <w:szCs w:val="20"/>
          <w:vertAlign w:val="superscript"/>
          <w:lang w:val="en-US"/>
        </w:rPr>
        <w:t>79</w:t>
      </w:r>
      <w:r w:rsidR="00754346" w:rsidRPr="0069618E">
        <w:rPr>
          <w:color w:val="auto"/>
          <w:sz w:val="20"/>
          <w:szCs w:val="20"/>
        </w:rPr>
        <w:fldChar w:fldCharType="end"/>
      </w:r>
      <w:r w:rsidR="00754346" w:rsidRPr="0069618E">
        <w:rPr>
          <w:color w:val="auto"/>
          <w:sz w:val="20"/>
          <w:szCs w:val="20"/>
          <w:lang w:val="en-US"/>
        </w:rPr>
        <w:t>.</w:t>
      </w:r>
    </w:p>
    <w:p w:rsidR="00E74C8E" w:rsidRPr="0069618E" w:rsidRDefault="00E74C8E" w:rsidP="00FC7A2B">
      <w:pPr>
        <w:spacing w:line="240" w:lineRule="auto"/>
        <w:rPr>
          <w:rStyle w:val="SubtleEmphasis"/>
          <w:i w:val="0"/>
          <w:color w:val="auto"/>
          <w:lang w:val="en-US"/>
        </w:rPr>
      </w:pPr>
      <w:r w:rsidRPr="0069618E">
        <w:rPr>
          <w:rStyle w:val="SubtleEmphasis"/>
          <w:i w:val="0"/>
          <w:color w:val="auto"/>
          <w:lang w:val="en-US"/>
        </w:rPr>
        <w:t xml:space="preserve">If the interaction between the backbone of the positively charged group with the backbone of the negatively charged group is poor enough, a phase separation of these polymers in the hydrophobic pocket could indirectly lead to the formation of a charged patch on the surface. Depending on the fraction of each of the charged co-polymers during the formation of a particle, a binodal or spinodal decomposition could occur, assuming a constant temperature. If these fractions are equal, a coexistence of both phases within one particle could occur, forming the spinodal decomposition product. If one fraction is sufficiently larger than the other, a binodal decomposition product could form where charged patches are formed in a continuous phase of opposite charges. </w:t>
      </w:r>
      <w:r w:rsidR="00832844">
        <w:rPr>
          <w:rStyle w:val="SubtleEmphasis"/>
          <w:i w:val="0"/>
          <w:color w:val="auto"/>
          <w:lang w:val="en-US"/>
        </w:rPr>
        <w:t>In this case</w:t>
      </w:r>
      <w:r w:rsidRPr="0069618E">
        <w:rPr>
          <w:rStyle w:val="SubtleEmphasis"/>
          <w:i w:val="0"/>
          <w:color w:val="auto"/>
          <w:lang w:val="en-US"/>
        </w:rPr>
        <w:t xml:space="preserve">, the charge accumulation on the surface is a result of the interactions occurring in the hydrophobic pocket of the particle. A schematic representation of both the spinodal and binodal decomposition product is shown in </w:t>
      </w:r>
      <w:r w:rsidR="0069618E" w:rsidRPr="0069618E">
        <w:rPr>
          <w:rStyle w:val="SubtleEmphasis"/>
          <w:i w:val="0"/>
          <w:color w:val="auto"/>
          <w:lang w:val="en-US"/>
        </w:rPr>
        <w:fldChar w:fldCharType="begin"/>
      </w:r>
      <w:r w:rsidR="0069618E" w:rsidRPr="0069618E">
        <w:rPr>
          <w:rStyle w:val="SubtleEmphasis"/>
          <w:i w:val="0"/>
          <w:color w:val="auto"/>
          <w:lang w:val="en-US"/>
        </w:rPr>
        <w:instrText xml:space="preserve"> REF _Ref29915281 \h </w:instrText>
      </w:r>
      <w:r w:rsidR="0069618E">
        <w:rPr>
          <w:rStyle w:val="SubtleEmphasis"/>
          <w:i w:val="0"/>
          <w:color w:val="auto"/>
          <w:lang w:val="en-US"/>
        </w:rPr>
        <w:instrText xml:space="preserve"> \* MERGEFORMAT </w:instrText>
      </w:r>
      <w:r w:rsidR="0069618E" w:rsidRPr="0069618E">
        <w:rPr>
          <w:rStyle w:val="SubtleEmphasis"/>
          <w:i w:val="0"/>
          <w:color w:val="auto"/>
          <w:lang w:val="en-US"/>
        </w:rPr>
      </w:r>
      <w:r w:rsidR="0069618E" w:rsidRPr="0069618E">
        <w:rPr>
          <w:rStyle w:val="SubtleEmphasis"/>
          <w:i w:val="0"/>
          <w:color w:val="auto"/>
          <w:lang w:val="en-US"/>
        </w:rPr>
        <w:fldChar w:fldCharType="separate"/>
      </w:r>
      <w:r w:rsidR="00C52506" w:rsidRPr="00C52506">
        <w:rPr>
          <w:lang w:val="en-US"/>
        </w:rPr>
        <w:t xml:space="preserve">Figure </w:t>
      </w:r>
      <w:r w:rsidR="00C52506" w:rsidRPr="00C52506">
        <w:rPr>
          <w:noProof/>
          <w:lang w:val="en-US"/>
        </w:rPr>
        <w:t>47</w:t>
      </w:r>
      <w:r w:rsidR="0069618E" w:rsidRPr="0069618E">
        <w:rPr>
          <w:rStyle w:val="SubtleEmphasis"/>
          <w:i w:val="0"/>
          <w:color w:val="auto"/>
          <w:lang w:val="en-US"/>
        </w:rPr>
        <w:fldChar w:fldCharType="end"/>
      </w:r>
      <w:r w:rsidRPr="0069618E">
        <w:rPr>
          <w:rStyle w:val="SubtleEmphasis"/>
          <w:i w:val="0"/>
          <w:color w:val="auto"/>
          <w:lang w:val="en-US"/>
        </w:rPr>
        <w:t xml:space="preserve">. </w:t>
      </w:r>
    </w:p>
    <w:p w:rsidR="00754346" w:rsidRPr="0069618E" w:rsidRDefault="00E74C8E" w:rsidP="00FC7A2B">
      <w:pPr>
        <w:keepNext/>
        <w:spacing w:line="240" w:lineRule="auto"/>
        <w:jc w:val="center"/>
      </w:pPr>
      <w:r w:rsidRPr="0069618E">
        <w:rPr>
          <w:noProof/>
          <w:lang w:val="en-US"/>
        </w:rPr>
        <w:drawing>
          <wp:inline distT="0" distB="0" distL="0" distR="0">
            <wp:extent cx="3317240" cy="2057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9">
                      <a:extLst>
                        <a:ext uri="{28A0092B-C50C-407E-A947-70E740481C1C}">
                          <a14:useLocalDpi xmlns:a14="http://schemas.microsoft.com/office/drawing/2010/main" val="0"/>
                        </a:ext>
                      </a:extLst>
                    </a:blip>
                    <a:srcRect b="5622"/>
                    <a:stretch/>
                  </pic:blipFill>
                  <pic:spPr bwMode="auto">
                    <a:xfrm>
                      <a:off x="0" y="0"/>
                      <a:ext cx="3317240" cy="2057400"/>
                    </a:xfrm>
                    <a:prstGeom prst="rect">
                      <a:avLst/>
                    </a:prstGeom>
                    <a:noFill/>
                    <a:ln>
                      <a:noFill/>
                    </a:ln>
                    <a:extLst>
                      <a:ext uri="{53640926-AAD7-44D8-BBD7-CCE9431645EC}">
                        <a14:shadowObscured xmlns:a14="http://schemas.microsoft.com/office/drawing/2010/main"/>
                      </a:ext>
                    </a:extLst>
                  </pic:spPr>
                </pic:pic>
              </a:graphicData>
            </a:graphic>
          </wp:inline>
        </w:drawing>
      </w:r>
    </w:p>
    <w:p w:rsidR="00E74C8E" w:rsidRPr="0069618E" w:rsidRDefault="00C82962" w:rsidP="00FC7A2B">
      <w:pPr>
        <w:pStyle w:val="Caption"/>
        <w:jc w:val="center"/>
        <w:rPr>
          <w:rStyle w:val="SubtleEmphasis"/>
          <w:color w:val="auto"/>
          <w:sz w:val="20"/>
          <w:szCs w:val="20"/>
          <w:lang w:val="en-US"/>
        </w:rPr>
      </w:pPr>
      <w:bookmarkStart w:id="114" w:name="_Ref29915281"/>
      <w:r>
        <w:rPr>
          <w:color w:val="auto"/>
          <w:sz w:val="20"/>
          <w:szCs w:val="20"/>
          <w:lang w:val="en-US"/>
        </w:rPr>
        <w:t>Figure</w:t>
      </w:r>
      <w:r w:rsidR="00754346" w:rsidRPr="0069618E">
        <w:rPr>
          <w:color w:val="auto"/>
          <w:sz w:val="20"/>
          <w:szCs w:val="20"/>
          <w:lang w:val="en-US"/>
        </w:rPr>
        <w:t xml:space="preserve"> </w:t>
      </w:r>
      <w:r w:rsidR="00754346" w:rsidRPr="0069618E">
        <w:rPr>
          <w:color w:val="auto"/>
          <w:sz w:val="20"/>
          <w:szCs w:val="20"/>
        </w:rPr>
        <w:fldChar w:fldCharType="begin"/>
      </w:r>
      <w:r w:rsidR="00754346" w:rsidRPr="0069618E">
        <w:rPr>
          <w:color w:val="auto"/>
          <w:sz w:val="20"/>
          <w:szCs w:val="20"/>
          <w:lang w:val="en-US"/>
        </w:rPr>
        <w:instrText xml:space="preserve"> SEQ Figure \* ARABIC </w:instrText>
      </w:r>
      <w:r w:rsidR="00754346" w:rsidRPr="0069618E">
        <w:rPr>
          <w:color w:val="auto"/>
          <w:sz w:val="20"/>
          <w:szCs w:val="20"/>
        </w:rPr>
        <w:fldChar w:fldCharType="separate"/>
      </w:r>
      <w:r w:rsidR="00C52506">
        <w:rPr>
          <w:noProof/>
          <w:color w:val="auto"/>
          <w:sz w:val="20"/>
          <w:szCs w:val="20"/>
          <w:lang w:val="en-US"/>
        </w:rPr>
        <w:t>47</w:t>
      </w:r>
      <w:r w:rsidR="00754346" w:rsidRPr="0069618E">
        <w:rPr>
          <w:color w:val="auto"/>
          <w:sz w:val="20"/>
          <w:szCs w:val="20"/>
        </w:rPr>
        <w:fldChar w:fldCharType="end"/>
      </w:r>
      <w:bookmarkEnd w:id="114"/>
      <w:r w:rsidR="00754346" w:rsidRPr="0069618E">
        <w:rPr>
          <w:color w:val="auto"/>
          <w:sz w:val="20"/>
          <w:szCs w:val="20"/>
          <w:lang w:val="en-US"/>
        </w:rPr>
        <w:t>: Schematic representation of proposed charge distribution caused by spinodal or binodal decomposition pathways.</w:t>
      </w:r>
    </w:p>
    <w:p w:rsidR="000265A1" w:rsidRDefault="00E74C8E" w:rsidP="00FC7A2B">
      <w:pPr>
        <w:spacing w:line="240" w:lineRule="auto"/>
        <w:rPr>
          <w:rStyle w:val="SubtleEmphasis"/>
          <w:i w:val="0"/>
          <w:color w:val="auto"/>
          <w:lang w:val="en-US"/>
        </w:rPr>
      </w:pPr>
      <w:r w:rsidRPr="0069618E">
        <w:rPr>
          <w:rStyle w:val="SubtleEmphasis"/>
          <w:i w:val="0"/>
          <w:color w:val="auto"/>
          <w:lang w:val="en-US"/>
        </w:rPr>
        <w:t xml:space="preserve">Another theory is proposed as follows. When the charged oligomers are formed, before the crosslinking step, the charged groups will migrate to the surface of the forming particle. These would migrate according to an attractive opposite charge interaction, forming an electronically neutral accumulation of charged groups on the surface. This results in the formation of electronically neutral patches on the surface of pH-PS. According to this theory, an overall electronically neutral grid consisting of positive and negative charges should be present on the surface. However, when one of the charged groups is in excess compared to the oppositely charged group, there are still some leftover charges to distribute. This could lead to accumulation of equally charged groups on the surface. Similar to hydrophobic interactions, the excess charge is extruded from the electronically neutral patches, indirectly forming concentrated regions of equal charges. </w:t>
      </w:r>
    </w:p>
    <w:p w:rsidR="00E74C8E" w:rsidRPr="0069618E" w:rsidRDefault="00E74C8E" w:rsidP="00FC7A2B">
      <w:pPr>
        <w:spacing w:line="240" w:lineRule="auto"/>
        <w:rPr>
          <w:rStyle w:val="SubtleEmphasis"/>
          <w:i w:val="0"/>
          <w:color w:val="auto"/>
          <w:lang w:val="en-US"/>
        </w:rPr>
      </w:pPr>
      <w:r w:rsidRPr="0069618E">
        <w:rPr>
          <w:rStyle w:val="SubtleEmphasis"/>
          <w:i w:val="0"/>
          <w:color w:val="auto"/>
          <w:lang w:val="en-US"/>
        </w:rPr>
        <w:lastRenderedPageBreak/>
        <w:t xml:space="preserve">In this case, the charge accumulation is directly formed due to the Coulombic interactions on the surface. A schematic representation to describe this is shown in </w:t>
      </w:r>
      <w:r w:rsidR="0069618E" w:rsidRPr="0069618E">
        <w:rPr>
          <w:rStyle w:val="SubtleEmphasis"/>
          <w:i w:val="0"/>
          <w:color w:val="auto"/>
          <w:lang w:val="en-US"/>
        </w:rPr>
        <w:fldChar w:fldCharType="begin"/>
      </w:r>
      <w:r w:rsidR="0069618E" w:rsidRPr="0069618E">
        <w:rPr>
          <w:rStyle w:val="SubtleEmphasis"/>
          <w:i w:val="0"/>
          <w:color w:val="auto"/>
          <w:lang w:val="en-US"/>
        </w:rPr>
        <w:instrText xml:space="preserve"> REF _Ref29915298 \h </w:instrText>
      </w:r>
      <w:r w:rsidR="0069618E">
        <w:rPr>
          <w:rStyle w:val="SubtleEmphasis"/>
          <w:i w:val="0"/>
          <w:color w:val="auto"/>
          <w:lang w:val="en-US"/>
        </w:rPr>
        <w:instrText xml:space="preserve"> \* MERGEFORMAT </w:instrText>
      </w:r>
      <w:r w:rsidR="0069618E" w:rsidRPr="0069618E">
        <w:rPr>
          <w:rStyle w:val="SubtleEmphasis"/>
          <w:i w:val="0"/>
          <w:color w:val="auto"/>
          <w:lang w:val="en-US"/>
        </w:rPr>
      </w:r>
      <w:r w:rsidR="0069618E" w:rsidRPr="0069618E">
        <w:rPr>
          <w:rStyle w:val="SubtleEmphasis"/>
          <w:i w:val="0"/>
          <w:color w:val="auto"/>
          <w:lang w:val="en-US"/>
        </w:rPr>
        <w:fldChar w:fldCharType="separate"/>
      </w:r>
      <w:r w:rsidR="00C52506" w:rsidRPr="00C52506">
        <w:rPr>
          <w:lang w:val="en-US"/>
        </w:rPr>
        <w:t xml:space="preserve">Figure </w:t>
      </w:r>
      <w:r w:rsidR="00C52506" w:rsidRPr="00C52506">
        <w:rPr>
          <w:noProof/>
          <w:lang w:val="en-US"/>
        </w:rPr>
        <w:t>48</w:t>
      </w:r>
      <w:r w:rsidR="0069618E" w:rsidRPr="0069618E">
        <w:rPr>
          <w:rStyle w:val="SubtleEmphasis"/>
          <w:i w:val="0"/>
          <w:color w:val="auto"/>
          <w:lang w:val="en-US"/>
        </w:rPr>
        <w:fldChar w:fldCharType="end"/>
      </w:r>
      <w:r w:rsidRPr="0069618E">
        <w:rPr>
          <w:rStyle w:val="SubtleEmphasis"/>
          <w:i w:val="0"/>
          <w:color w:val="auto"/>
          <w:lang w:val="en-US"/>
        </w:rPr>
        <w:t xml:space="preserve">. </w:t>
      </w:r>
    </w:p>
    <w:p w:rsidR="00730438" w:rsidRPr="0069618E" w:rsidRDefault="00E74C8E" w:rsidP="00FC7A2B">
      <w:pPr>
        <w:keepNext/>
        <w:spacing w:line="240" w:lineRule="auto"/>
        <w:jc w:val="center"/>
      </w:pPr>
      <w:r w:rsidRPr="0069618E">
        <w:rPr>
          <w:noProof/>
          <w:lang w:val="en-US"/>
        </w:rPr>
        <w:drawing>
          <wp:inline distT="0" distB="0" distL="0" distR="0">
            <wp:extent cx="3529965" cy="1900767"/>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0">
                      <a:extLst>
                        <a:ext uri="{28A0092B-C50C-407E-A947-70E740481C1C}">
                          <a14:useLocalDpi xmlns:a14="http://schemas.microsoft.com/office/drawing/2010/main" val="0"/>
                        </a:ext>
                      </a:extLst>
                    </a:blip>
                    <a:srcRect b="6400"/>
                    <a:stretch/>
                  </pic:blipFill>
                  <pic:spPr bwMode="auto">
                    <a:xfrm>
                      <a:off x="0" y="0"/>
                      <a:ext cx="3529965" cy="1900767"/>
                    </a:xfrm>
                    <a:prstGeom prst="rect">
                      <a:avLst/>
                    </a:prstGeom>
                    <a:noFill/>
                    <a:ln>
                      <a:noFill/>
                    </a:ln>
                    <a:extLst>
                      <a:ext uri="{53640926-AAD7-44D8-BBD7-CCE9431645EC}">
                        <a14:shadowObscured xmlns:a14="http://schemas.microsoft.com/office/drawing/2010/main"/>
                      </a:ext>
                    </a:extLst>
                  </pic:spPr>
                </pic:pic>
              </a:graphicData>
            </a:graphic>
          </wp:inline>
        </w:drawing>
      </w:r>
    </w:p>
    <w:p w:rsidR="00E74C8E" w:rsidRPr="00EA5E39" w:rsidRDefault="00C82962" w:rsidP="00EA5E39">
      <w:pPr>
        <w:pStyle w:val="Caption"/>
        <w:jc w:val="center"/>
        <w:rPr>
          <w:rStyle w:val="SubtleEmphasis"/>
          <w:i/>
          <w:iCs/>
          <w:color w:val="auto"/>
          <w:sz w:val="20"/>
          <w:szCs w:val="20"/>
          <w:lang w:val="en-US"/>
        </w:rPr>
      </w:pPr>
      <w:bookmarkStart w:id="115" w:name="_Ref29915298"/>
      <w:r>
        <w:rPr>
          <w:color w:val="auto"/>
          <w:sz w:val="20"/>
          <w:szCs w:val="20"/>
          <w:lang w:val="en-US"/>
        </w:rPr>
        <w:t>Figure</w:t>
      </w:r>
      <w:r w:rsidR="00730438" w:rsidRPr="0069618E">
        <w:rPr>
          <w:color w:val="auto"/>
          <w:sz w:val="20"/>
          <w:szCs w:val="20"/>
          <w:lang w:val="en-US"/>
        </w:rPr>
        <w:t xml:space="preserve"> </w:t>
      </w:r>
      <w:r w:rsidR="00730438" w:rsidRPr="0069618E">
        <w:rPr>
          <w:color w:val="auto"/>
          <w:sz w:val="20"/>
          <w:szCs w:val="20"/>
        </w:rPr>
        <w:fldChar w:fldCharType="begin"/>
      </w:r>
      <w:r w:rsidR="00730438" w:rsidRPr="0069618E">
        <w:rPr>
          <w:color w:val="auto"/>
          <w:sz w:val="20"/>
          <w:szCs w:val="20"/>
          <w:lang w:val="en-US"/>
        </w:rPr>
        <w:instrText xml:space="preserve"> SEQ Figure \* ARABIC </w:instrText>
      </w:r>
      <w:r w:rsidR="00730438" w:rsidRPr="0069618E">
        <w:rPr>
          <w:color w:val="auto"/>
          <w:sz w:val="20"/>
          <w:szCs w:val="20"/>
        </w:rPr>
        <w:fldChar w:fldCharType="separate"/>
      </w:r>
      <w:r w:rsidR="00C52506">
        <w:rPr>
          <w:noProof/>
          <w:color w:val="auto"/>
          <w:sz w:val="20"/>
          <w:szCs w:val="20"/>
          <w:lang w:val="en-US"/>
        </w:rPr>
        <w:t>48</w:t>
      </w:r>
      <w:r w:rsidR="00730438" w:rsidRPr="0069618E">
        <w:rPr>
          <w:color w:val="auto"/>
          <w:sz w:val="20"/>
          <w:szCs w:val="20"/>
        </w:rPr>
        <w:fldChar w:fldCharType="end"/>
      </w:r>
      <w:bookmarkEnd w:id="115"/>
      <w:r w:rsidR="00730438" w:rsidRPr="0069618E">
        <w:rPr>
          <w:color w:val="auto"/>
          <w:sz w:val="20"/>
          <w:szCs w:val="20"/>
          <w:lang w:val="en-US"/>
        </w:rPr>
        <w:t>: Schematic representation of proposed charge distribution caused by Coulombic forces that are present on the surface of pH-PS.</w:t>
      </w:r>
    </w:p>
    <w:p w:rsidR="00E74C8E" w:rsidRPr="0069618E" w:rsidRDefault="00E74C8E" w:rsidP="00FC7A2B">
      <w:pPr>
        <w:spacing w:line="240" w:lineRule="auto"/>
        <w:rPr>
          <w:rStyle w:val="SubtleEmphasis"/>
          <w:i w:val="0"/>
          <w:color w:val="auto"/>
          <w:lang w:val="en-US"/>
        </w:rPr>
      </w:pPr>
      <w:r w:rsidRPr="0069618E">
        <w:rPr>
          <w:rStyle w:val="SubtleEmphasis"/>
          <w:i w:val="0"/>
          <w:color w:val="auto"/>
          <w:lang w:val="en-US"/>
        </w:rPr>
        <w:t xml:space="preserve">As the synthesis method for pH-PS is unknown, it cannot be said which of the two mechanisms is the most likely to occur. Presumably, a combination of the proposed mechanisms will lead to the final product mixture. </w:t>
      </w:r>
    </w:p>
    <w:p w:rsidR="00E74C8E" w:rsidRPr="0069618E" w:rsidRDefault="00E74C8E" w:rsidP="00FC7A2B">
      <w:pPr>
        <w:spacing w:line="240" w:lineRule="auto"/>
        <w:rPr>
          <w:rStyle w:val="SubtleEmphasis"/>
          <w:i w:val="0"/>
          <w:color w:val="auto"/>
          <w:lang w:val="en-US"/>
        </w:rPr>
      </w:pPr>
      <w:r w:rsidRPr="0069618E">
        <w:rPr>
          <w:rStyle w:val="SubtleEmphasis"/>
          <w:i w:val="0"/>
          <w:color w:val="auto"/>
          <w:lang w:val="en-US"/>
        </w:rPr>
        <w:t xml:space="preserve">A way to quantify the amount and size of these patches could be done by specific </w:t>
      </w:r>
      <w:r w:rsidR="00AD6F1D">
        <w:rPr>
          <w:rStyle w:val="SubtleEmphasis"/>
          <w:i w:val="0"/>
          <w:color w:val="auto"/>
          <w:lang w:val="en-US"/>
        </w:rPr>
        <w:t>adsorption</w:t>
      </w:r>
      <w:r w:rsidRPr="0069618E">
        <w:rPr>
          <w:rStyle w:val="SubtleEmphasis"/>
          <w:i w:val="0"/>
          <w:color w:val="auto"/>
          <w:lang w:val="en-US"/>
        </w:rPr>
        <w:t xml:space="preserve"> of small enough (fluorescent) nanoparticles on the surface of pH-PS. Adding a high excess of tens of nanometer sized charged fluorescent nanoparticles to a dispersion of pH-PS </w:t>
      </w:r>
      <w:r w:rsidR="00832844">
        <w:rPr>
          <w:rStyle w:val="SubtleEmphasis"/>
          <w:i w:val="0"/>
          <w:color w:val="auto"/>
          <w:lang w:val="en-US"/>
        </w:rPr>
        <w:t>could</w:t>
      </w:r>
      <w:r w:rsidRPr="0069618E">
        <w:rPr>
          <w:rStyle w:val="SubtleEmphasis"/>
          <w:i w:val="0"/>
          <w:color w:val="auto"/>
          <w:lang w:val="en-US"/>
        </w:rPr>
        <w:t xml:space="preserve"> lead to a specific </w:t>
      </w:r>
      <w:r w:rsidR="00AD6F1D">
        <w:rPr>
          <w:rStyle w:val="SubtleEmphasis"/>
          <w:i w:val="0"/>
          <w:color w:val="auto"/>
          <w:lang w:val="en-US"/>
        </w:rPr>
        <w:t>adsorption</w:t>
      </w:r>
      <w:r w:rsidRPr="0069618E">
        <w:rPr>
          <w:rStyle w:val="SubtleEmphasis"/>
          <w:i w:val="0"/>
          <w:color w:val="auto"/>
          <w:lang w:val="en-US"/>
        </w:rPr>
        <w:t xml:space="preserve"> on charged patches. Using a confocal microscope, one could elucidate the location, and to some extent the size, of these charged patches by looking at the site-specific fluorescence signal. Another way is by </w:t>
      </w:r>
      <w:r w:rsidR="00AD6F1D">
        <w:rPr>
          <w:rStyle w:val="SubtleEmphasis"/>
          <w:i w:val="0"/>
          <w:color w:val="auto"/>
          <w:lang w:val="en-US"/>
        </w:rPr>
        <w:t>adsorption</w:t>
      </w:r>
      <w:r w:rsidRPr="0069618E">
        <w:rPr>
          <w:rStyle w:val="SubtleEmphasis"/>
          <w:i w:val="0"/>
          <w:color w:val="auto"/>
          <w:lang w:val="en-US"/>
        </w:rPr>
        <w:t xml:space="preserve"> of small enough charged gold nanoparticles on the surface of pH-PS. These gold nanoparticles have a much higher refractive index than polystyrene, meaning that site specific black spots would be visible on the surface of pH-PS under the optical microscope. </w:t>
      </w:r>
      <w:r w:rsidR="00117484" w:rsidRPr="0069618E">
        <w:rPr>
          <w:rStyle w:val="SubtleEmphasis"/>
          <w:i w:val="0"/>
          <w:color w:val="auto"/>
          <w:lang w:val="en-US"/>
        </w:rPr>
        <w:t xml:space="preserve">Additionally, </w:t>
      </w:r>
      <w:r w:rsidR="00BE6B43" w:rsidRPr="0069618E">
        <w:rPr>
          <w:rStyle w:val="SubtleEmphasis"/>
          <w:i w:val="0"/>
          <w:color w:val="auto"/>
          <w:lang w:val="en-US"/>
        </w:rPr>
        <w:t>scanning ion conductance microscopy</w:t>
      </w:r>
      <w:r w:rsidR="00117484" w:rsidRPr="0069618E">
        <w:rPr>
          <w:rStyle w:val="SubtleEmphasis"/>
          <w:i w:val="0"/>
          <w:color w:val="auto"/>
          <w:lang w:val="en-US"/>
        </w:rPr>
        <w:t xml:space="preserve"> can be used to identify the specific </w:t>
      </w:r>
      <w:r w:rsidR="00832844">
        <w:rPr>
          <w:rStyle w:val="SubtleEmphasis"/>
          <w:i w:val="0"/>
          <w:color w:val="auto"/>
          <w:lang w:val="en-US"/>
        </w:rPr>
        <w:t xml:space="preserve">chemical </w:t>
      </w:r>
      <w:r w:rsidR="00BE6B43" w:rsidRPr="0069618E">
        <w:rPr>
          <w:rStyle w:val="SubtleEmphasis"/>
          <w:i w:val="0"/>
          <w:color w:val="auto"/>
          <w:lang w:val="en-US"/>
        </w:rPr>
        <w:t>sites where charges are present</w:t>
      </w:r>
      <w:r w:rsidR="00BE6B43" w:rsidRPr="0069618E">
        <w:rPr>
          <w:rStyle w:val="SubtleEmphasis"/>
          <w:i w:val="0"/>
          <w:color w:val="auto"/>
          <w:lang w:val="en-US"/>
        </w:rPr>
        <w:fldChar w:fldCharType="begin" w:fldLock="1"/>
      </w:r>
      <w:r w:rsidR="00FB6101">
        <w:rPr>
          <w:rStyle w:val="SubtleEmphasis"/>
          <w:i w:val="0"/>
          <w:color w:val="auto"/>
          <w:lang w:val="en-US"/>
        </w:rPr>
        <w:instrText>ADDIN CSL_CITATION { "citationItems" : [ { "id" : "ITEM-1", "itemData" : { "DOI" : "10.1098/rspa.2016.0889", "ISSN" : "14712946", "abstract" : "Scanning ion conductance microscopy (SICM) is a nanopipette-based technique that has traditionally been used to image topography or to deliver species to an interface, particularly in a biological setting. This article highlights the recent blossoming of SICM into a technique with a much greater diversity of applications and capability that can be used either standalone, with advanced control (potential-time) functions, or in tandem with other methods. SICM can be used to elucidate functional information about interfaces, such as surface charge density or electrochemical activity (ion fluxes). Using a multi-barrel probe format, SICM-related techniques can be employed to deposit nanoscale three-dimensional structures and further functionality is realized when SICM is combined with scanning electrochemical microscopy (SECM), with simultaneous measurements from a single probe opening up considerable prospects for multifunctional imaging. SICM studies are greatly enhanced by finite-element method modelling for quantitative treatment of issues such as resolution, surface charge and (tip) geometry effects. SICM is particularly applicable to the study of living systems, notably single cells, although applications extend to materials characterization and to new methods of printing and nanofabrication. A more thorough understanding of the electrochemical principles and properties of SICM provides a foundation for significant applications of SICM in electrochemistry and interfacial science.", "author" : [ { "dropping-particle" : "", "family" : "Page", "given" : "Ashley", "non-dropping-particle" : "", "parse-names" : false, "suffix" : "" }, { "dropping-particle" : "", "family" : "Perry", "given" : "David", "non-dropping-particle" : "", "parse-names" : false, "suffix" : "" }, { "dropping-particle" : "", "family" : "Unwin", "given" : "Patrick R.", "non-dropping-particle" : "", "parse-names" : false, "suffix" : "" } ], "container-title" : "Proceedings of the Royal Society A: Mathematical, Physical and Engineering Sciences", "id" : "ITEM-1", "issue" : "2200", "issued" : { "date-parts" : [ [ "2017" ] ] }, "title" : "Multifunctional scanning ion conductance microscopy", "type" : "article-journal", "volume" : "473" }, "uris" : [ "http://www.mendeley.com/documents/?uuid=e05d7b9a-4d7f-4636-ace3-30c045deb708" ] } ], "mendeley" : { "formattedCitation" : "&lt;sup&gt;80&lt;/sup&gt;", "plainTextFormattedCitation" : "80", "previouslyFormattedCitation" : "&lt;sup&gt;80&lt;/sup&gt;" }, "properties" : { "noteIndex" : 0 }, "schema" : "https://github.com/citation-style-language/schema/raw/master/csl-citation.json" }</w:instrText>
      </w:r>
      <w:r w:rsidR="00BE6B43" w:rsidRPr="0069618E">
        <w:rPr>
          <w:rStyle w:val="SubtleEmphasis"/>
          <w:i w:val="0"/>
          <w:color w:val="auto"/>
          <w:lang w:val="en-US"/>
        </w:rPr>
        <w:fldChar w:fldCharType="separate"/>
      </w:r>
      <w:r w:rsidR="00DE131C" w:rsidRPr="00DE131C">
        <w:rPr>
          <w:rStyle w:val="SubtleEmphasis"/>
          <w:i w:val="0"/>
          <w:noProof/>
          <w:color w:val="auto"/>
          <w:vertAlign w:val="superscript"/>
          <w:lang w:val="en-US"/>
        </w:rPr>
        <w:t>80</w:t>
      </w:r>
      <w:r w:rsidR="00BE6B43" w:rsidRPr="0069618E">
        <w:rPr>
          <w:rStyle w:val="SubtleEmphasis"/>
          <w:i w:val="0"/>
          <w:color w:val="auto"/>
          <w:lang w:val="en-US"/>
        </w:rPr>
        <w:fldChar w:fldCharType="end"/>
      </w:r>
      <w:r w:rsidR="00BE6B43" w:rsidRPr="0069618E">
        <w:rPr>
          <w:rStyle w:val="SubtleEmphasis"/>
          <w:i w:val="0"/>
          <w:color w:val="auto"/>
          <w:lang w:val="en-US"/>
        </w:rPr>
        <w:t>.</w:t>
      </w:r>
    </w:p>
    <w:p w:rsidR="00E74C8E" w:rsidRPr="0069618E" w:rsidRDefault="00E74C8E" w:rsidP="00FC7A2B">
      <w:pPr>
        <w:pStyle w:val="Subtitle"/>
        <w:spacing w:line="240" w:lineRule="auto"/>
        <w:rPr>
          <w:rStyle w:val="SubtleEmphasis"/>
          <w:i w:val="0"/>
          <w:color w:val="auto"/>
          <w:sz w:val="28"/>
          <w:szCs w:val="28"/>
          <w:lang w:val="en-US"/>
        </w:rPr>
      </w:pPr>
    </w:p>
    <w:p w:rsidR="00E74C8E" w:rsidRPr="0069618E" w:rsidRDefault="00E74C8E" w:rsidP="00FC7A2B">
      <w:pPr>
        <w:pStyle w:val="Subtitle"/>
        <w:spacing w:line="240" w:lineRule="auto"/>
        <w:rPr>
          <w:rStyle w:val="SubtleEmphasis"/>
          <w:i w:val="0"/>
          <w:color w:val="auto"/>
          <w:sz w:val="28"/>
          <w:szCs w:val="28"/>
          <w:lang w:val="en-US"/>
        </w:rPr>
      </w:pPr>
    </w:p>
    <w:p w:rsidR="00E74C8E" w:rsidRPr="0069618E" w:rsidRDefault="00E74C8E" w:rsidP="00FC7A2B">
      <w:pPr>
        <w:pStyle w:val="Subtitle"/>
        <w:spacing w:line="240" w:lineRule="auto"/>
        <w:rPr>
          <w:rStyle w:val="SubtleEmphasis"/>
          <w:i w:val="0"/>
          <w:color w:val="auto"/>
          <w:sz w:val="28"/>
          <w:szCs w:val="28"/>
          <w:lang w:val="en-US"/>
        </w:rPr>
      </w:pPr>
    </w:p>
    <w:p w:rsidR="00E74C8E" w:rsidRPr="0069618E" w:rsidRDefault="00E74C8E" w:rsidP="00FC7A2B">
      <w:pPr>
        <w:pStyle w:val="Subtitle"/>
        <w:spacing w:line="240" w:lineRule="auto"/>
        <w:rPr>
          <w:rStyle w:val="SubtleEmphasis"/>
          <w:i w:val="0"/>
          <w:color w:val="auto"/>
          <w:sz w:val="28"/>
          <w:szCs w:val="28"/>
          <w:lang w:val="en-US"/>
        </w:rPr>
      </w:pPr>
    </w:p>
    <w:p w:rsidR="00E74C8E" w:rsidRPr="0069618E" w:rsidRDefault="00E74C8E" w:rsidP="00FC7A2B">
      <w:pPr>
        <w:pStyle w:val="Subtitle"/>
        <w:spacing w:line="240" w:lineRule="auto"/>
        <w:rPr>
          <w:rStyle w:val="SubtleEmphasis"/>
          <w:i w:val="0"/>
          <w:color w:val="auto"/>
          <w:sz w:val="28"/>
          <w:szCs w:val="28"/>
          <w:lang w:val="en-US"/>
        </w:rPr>
      </w:pPr>
    </w:p>
    <w:p w:rsidR="00E74C8E" w:rsidRPr="0069618E" w:rsidRDefault="00E74C8E" w:rsidP="00FC7A2B">
      <w:pPr>
        <w:pStyle w:val="Subtitle"/>
        <w:spacing w:line="240" w:lineRule="auto"/>
        <w:rPr>
          <w:rStyle w:val="SubtleEmphasis"/>
          <w:i w:val="0"/>
          <w:color w:val="auto"/>
          <w:sz w:val="28"/>
          <w:szCs w:val="28"/>
          <w:lang w:val="en-US"/>
        </w:rPr>
      </w:pPr>
    </w:p>
    <w:p w:rsidR="00E74C8E" w:rsidRPr="0069618E" w:rsidRDefault="00E74C8E" w:rsidP="00FC7A2B">
      <w:pPr>
        <w:pStyle w:val="Subtitle"/>
        <w:spacing w:line="240" w:lineRule="auto"/>
        <w:rPr>
          <w:rStyle w:val="SubtleEmphasis"/>
          <w:i w:val="0"/>
          <w:color w:val="auto"/>
          <w:sz w:val="28"/>
          <w:szCs w:val="28"/>
          <w:lang w:val="en-US"/>
        </w:rPr>
      </w:pPr>
    </w:p>
    <w:p w:rsidR="00E74C8E" w:rsidRPr="0069618E" w:rsidRDefault="00E74C8E" w:rsidP="00FC7A2B">
      <w:pPr>
        <w:pStyle w:val="Subtitle"/>
        <w:spacing w:line="240" w:lineRule="auto"/>
        <w:rPr>
          <w:rStyle w:val="SubtleEmphasis"/>
          <w:i w:val="0"/>
          <w:color w:val="auto"/>
          <w:sz w:val="28"/>
          <w:szCs w:val="28"/>
          <w:lang w:val="en-US"/>
        </w:rPr>
      </w:pPr>
    </w:p>
    <w:p w:rsidR="00E74C8E" w:rsidRPr="0069618E" w:rsidRDefault="00E74C8E" w:rsidP="00FC7A2B">
      <w:pPr>
        <w:pStyle w:val="Subtitle"/>
        <w:spacing w:line="240" w:lineRule="auto"/>
        <w:rPr>
          <w:rStyle w:val="SubtleEmphasis"/>
          <w:i w:val="0"/>
          <w:color w:val="auto"/>
          <w:sz w:val="28"/>
          <w:szCs w:val="28"/>
          <w:lang w:val="en-US"/>
        </w:rPr>
      </w:pPr>
    </w:p>
    <w:p w:rsidR="00E74C8E" w:rsidRPr="0069618E" w:rsidRDefault="00E74C8E" w:rsidP="00FC7A2B">
      <w:pPr>
        <w:pStyle w:val="Subtitle"/>
        <w:spacing w:line="240" w:lineRule="auto"/>
        <w:rPr>
          <w:rStyle w:val="SubtleEmphasis"/>
          <w:i w:val="0"/>
          <w:color w:val="auto"/>
          <w:sz w:val="28"/>
          <w:szCs w:val="28"/>
          <w:lang w:val="en-US"/>
        </w:rPr>
      </w:pPr>
    </w:p>
    <w:p w:rsidR="00E74C8E" w:rsidRPr="0069618E" w:rsidRDefault="00E74C8E" w:rsidP="00FC7A2B">
      <w:pPr>
        <w:pStyle w:val="Heading2"/>
        <w:numPr>
          <w:ilvl w:val="1"/>
          <w:numId w:val="2"/>
        </w:numPr>
        <w:spacing w:line="240" w:lineRule="auto"/>
        <w:rPr>
          <w:rStyle w:val="SubtleEmphasis"/>
          <w:b/>
          <w:i w:val="0"/>
          <w:color w:val="auto"/>
          <w:sz w:val="28"/>
          <w:szCs w:val="28"/>
          <w:lang w:val="en-US"/>
        </w:rPr>
      </w:pPr>
      <w:bookmarkStart w:id="116" w:name="_Toc31892425"/>
      <w:r w:rsidRPr="0069618E">
        <w:rPr>
          <w:rStyle w:val="SubtleEmphasis"/>
          <w:b/>
          <w:i w:val="0"/>
          <w:color w:val="auto"/>
          <w:sz w:val="28"/>
          <w:szCs w:val="28"/>
          <w:lang w:val="en-US"/>
        </w:rPr>
        <w:lastRenderedPageBreak/>
        <w:t xml:space="preserve">Self-assembly and </w:t>
      </w:r>
      <w:r w:rsidR="00D92D38">
        <w:rPr>
          <w:rStyle w:val="SubtleEmphasis"/>
          <w:b/>
          <w:i w:val="0"/>
          <w:color w:val="auto"/>
          <w:sz w:val="28"/>
          <w:szCs w:val="28"/>
          <w:lang w:val="en-US"/>
        </w:rPr>
        <w:t>heteroaggregation</w:t>
      </w:r>
      <w:r w:rsidRPr="0069618E">
        <w:rPr>
          <w:rStyle w:val="SubtleEmphasis"/>
          <w:b/>
          <w:i w:val="0"/>
          <w:color w:val="auto"/>
          <w:sz w:val="28"/>
          <w:szCs w:val="28"/>
          <w:lang w:val="en-US"/>
        </w:rPr>
        <w:t xml:space="preserve"> of zwitterionic dumbbells</w:t>
      </w:r>
      <w:bookmarkEnd w:id="116"/>
    </w:p>
    <w:p w:rsidR="00832844" w:rsidRDefault="000265A1" w:rsidP="00FC7A2B">
      <w:pPr>
        <w:spacing w:line="240" w:lineRule="auto"/>
        <w:rPr>
          <w:rStyle w:val="SubtleEmphasis"/>
          <w:i w:val="0"/>
          <w:color w:val="auto"/>
          <w:lang w:val="en-US"/>
        </w:rPr>
      </w:pPr>
      <w:r w:rsidRPr="0069618E">
        <w:rPr>
          <w:noProof/>
        </w:rPr>
        <mc:AlternateContent>
          <mc:Choice Requires="wps">
            <w:drawing>
              <wp:anchor distT="0" distB="0" distL="114300" distR="114300" simplePos="0" relativeHeight="251705344" behindDoc="0" locked="0" layoutInCell="1" allowOverlap="1" wp14:anchorId="023F5DF1" wp14:editId="54039F45">
                <wp:simplePos x="0" y="0"/>
                <wp:positionH relativeFrom="margin">
                  <wp:posOffset>1724660</wp:posOffset>
                </wp:positionH>
                <wp:positionV relativeFrom="paragraph">
                  <wp:posOffset>4054475</wp:posOffset>
                </wp:positionV>
                <wp:extent cx="2833370" cy="210185"/>
                <wp:effectExtent l="0" t="0" r="5080" b="0"/>
                <wp:wrapTopAndBottom/>
                <wp:docPr id="34" name="Text Box 34"/>
                <wp:cNvGraphicFramePr/>
                <a:graphic xmlns:a="http://schemas.openxmlformats.org/drawingml/2006/main">
                  <a:graphicData uri="http://schemas.microsoft.com/office/word/2010/wordprocessingShape">
                    <wps:wsp>
                      <wps:cNvSpPr txBox="1"/>
                      <wps:spPr>
                        <a:xfrm>
                          <a:off x="0" y="0"/>
                          <a:ext cx="2833370" cy="210185"/>
                        </a:xfrm>
                        <a:prstGeom prst="rect">
                          <a:avLst/>
                        </a:prstGeom>
                        <a:solidFill>
                          <a:prstClr val="white"/>
                        </a:solidFill>
                        <a:ln>
                          <a:noFill/>
                        </a:ln>
                      </wps:spPr>
                      <wps:txbx>
                        <w:txbxContent>
                          <w:p w:rsidR="00ED05BD" w:rsidRPr="00FB6467" w:rsidRDefault="00ED05BD" w:rsidP="00FB6467">
                            <w:pPr>
                              <w:pStyle w:val="Caption"/>
                              <w:jc w:val="center"/>
                              <w:rPr>
                                <w:noProof/>
                                <w:lang w:val="en-US"/>
                              </w:rPr>
                            </w:pPr>
                            <w:bookmarkStart w:id="117" w:name="_Ref29915321"/>
                            <w:r>
                              <w:rPr>
                                <w:color w:val="auto"/>
                                <w:sz w:val="20"/>
                                <w:szCs w:val="20"/>
                                <w:lang w:val="en-US"/>
                              </w:rPr>
                              <w:t>Figure</w:t>
                            </w:r>
                            <w:r w:rsidRPr="00FB6467">
                              <w:rPr>
                                <w:color w:val="auto"/>
                                <w:sz w:val="20"/>
                                <w:szCs w:val="20"/>
                                <w:lang w:val="en-US"/>
                              </w:rPr>
                              <w:t xml:space="preserve"> </w:t>
                            </w:r>
                            <w:r w:rsidRPr="00FB6467">
                              <w:rPr>
                                <w:color w:val="auto"/>
                                <w:sz w:val="20"/>
                                <w:szCs w:val="20"/>
                              </w:rPr>
                              <w:fldChar w:fldCharType="begin"/>
                            </w:r>
                            <w:r w:rsidRPr="00FB6467">
                              <w:rPr>
                                <w:color w:val="auto"/>
                                <w:sz w:val="20"/>
                                <w:szCs w:val="20"/>
                                <w:lang w:val="en-US"/>
                              </w:rPr>
                              <w:instrText xml:space="preserve"> SEQ Figure \* ARABIC </w:instrText>
                            </w:r>
                            <w:r w:rsidRPr="00FB6467">
                              <w:rPr>
                                <w:color w:val="auto"/>
                                <w:sz w:val="20"/>
                                <w:szCs w:val="20"/>
                              </w:rPr>
                              <w:fldChar w:fldCharType="separate"/>
                            </w:r>
                            <w:r>
                              <w:rPr>
                                <w:noProof/>
                                <w:color w:val="auto"/>
                                <w:sz w:val="20"/>
                                <w:szCs w:val="20"/>
                                <w:lang w:val="en-US"/>
                              </w:rPr>
                              <w:t>49</w:t>
                            </w:r>
                            <w:r w:rsidRPr="00FB6467">
                              <w:rPr>
                                <w:color w:val="auto"/>
                                <w:sz w:val="20"/>
                                <w:szCs w:val="20"/>
                              </w:rPr>
                              <w:fldChar w:fldCharType="end"/>
                            </w:r>
                            <w:bookmarkEnd w:id="117"/>
                            <w:r w:rsidRPr="00FB6467">
                              <w:rPr>
                                <w:color w:val="auto"/>
                                <w:sz w:val="20"/>
                                <w:szCs w:val="20"/>
                                <w:lang w:val="en-US"/>
                              </w:rPr>
                              <w:t>: DB-1 dispersion in water at neutral pH</w:t>
                            </w:r>
                            <w:r w:rsidRPr="00FB6467">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F5DF1" id="Text Box 34" o:spid="_x0000_s1034" type="#_x0000_t202" style="position:absolute;margin-left:135.8pt;margin-top:319.25pt;width:223.1pt;height:16.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" stroked="f">
                <v:textbox inset="0,0,0,0">
                  <w:txbxContent>
                    <w:p w:rsidR="00ED05BD" w:rsidRPr="00FB6467" w:rsidRDefault="00ED05BD" w:rsidP="00FB6467">
                      <w:pPr>
                        <w:pStyle w:val="Caption"/>
                        <w:jc w:val="center"/>
                        <w:rPr>
                          <w:noProof/>
                          <w:lang w:val="en-US"/>
                        </w:rPr>
                      </w:pPr>
                      <w:bookmarkStart w:id="126" w:name="_Ref29915321"/>
                      <w:r>
                        <w:rPr>
                          <w:color w:val="auto"/>
                          <w:sz w:val="20"/>
                          <w:szCs w:val="20"/>
                          <w:lang w:val="en-US"/>
                        </w:rPr>
                        <w:t>Figure</w:t>
                      </w:r>
                      <w:r w:rsidRPr="00FB6467">
                        <w:rPr>
                          <w:color w:val="auto"/>
                          <w:sz w:val="20"/>
                          <w:szCs w:val="20"/>
                          <w:lang w:val="en-US"/>
                        </w:rPr>
                        <w:t xml:space="preserve"> </w:t>
                      </w:r>
                      <w:r w:rsidRPr="00FB6467">
                        <w:rPr>
                          <w:color w:val="auto"/>
                          <w:sz w:val="20"/>
                          <w:szCs w:val="20"/>
                        </w:rPr>
                        <w:fldChar w:fldCharType="begin"/>
                      </w:r>
                      <w:r w:rsidRPr="00FB6467">
                        <w:rPr>
                          <w:color w:val="auto"/>
                          <w:sz w:val="20"/>
                          <w:szCs w:val="20"/>
                          <w:lang w:val="en-US"/>
                        </w:rPr>
                        <w:instrText xml:space="preserve"> SEQ Figure \* ARABIC </w:instrText>
                      </w:r>
                      <w:r w:rsidRPr="00FB6467">
                        <w:rPr>
                          <w:color w:val="auto"/>
                          <w:sz w:val="20"/>
                          <w:szCs w:val="20"/>
                        </w:rPr>
                        <w:fldChar w:fldCharType="separate"/>
                      </w:r>
                      <w:r>
                        <w:rPr>
                          <w:noProof/>
                          <w:color w:val="auto"/>
                          <w:sz w:val="20"/>
                          <w:szCs w:val="20"/>
                          <w:lang w:val="en-US"/>
                        </w:rPr>
                        <w:t>49</w:t>
                      </w:r>
                      <w:r w:rsidRPr="00FB6467">
                        <w:rPr>
                          <w:color w:val="auto"/>
                          <w:sz w:val="20"/>
                          <w:szCs w:val="20"/>
                        </w:rPr>
                        <w:fldChar w:fldCharType="end"/>
                      </w:r>
                      <w:bookmarkEnd w:id="126"/>
                      <w:r w:rsidRPr="00FB6467">
                        <w:rPr>
                          <w:color w:val="auto"/>
                          <w:sz w:val="20"/>
                          <w:szCs w:val="20"/>
                          <w:lang w:val="en-US"/>
                        </w:rPr>
                        <w:t xml:space="preserve">: DB-1 dispersion in water at neutral </w:t>
                      </w:r>
                      <w:proofErr w:type="spellStart"/>
                      <w:r w:rsidRPr="00FB6467">
                        <w:rPr>
                          <w:color w:val="auto"/>
                          <w:sz w:val="20"/>
                          <w:szCs w:val="20"/>
                          <w:lang w:val="en-US"/>
                        </w:rPr>
                        <w:t>pH</w:t>
                      </w:r>
                      <w:r w:rsidRPr="00FB6467">
                        <w:rPr>
                          <w:lang w:val="en-US"/>
                        </w:rPr>
                        <w:t>.</w:t>
                      </w:r>
                      <w:proofErr w:type="spellEnd"/>
                    </w:p>
                  </w:txbxContent>
                </v:textbox>
                <w10:wrap type="topAndBottom" anchorx="margin"/>
              </v:shape>
            </w:pict>
          </mc:Fallback>
        </mc:AlternateContent>
      </w:r>
      <w:r w:rsidRPr="0069618E">
        <w:rPr>
          <w:noProof/>
        </w:rPr>
        <w:drawing>
          <wp:anchor distT="0" distB="0" distL="114300" distR="114300" simplePos="0" relativeHeight="251703296" behindDoc="0" locked="0" layoutInCell="1" allowOverlap="1" wp14:anchorId="3193F03E" wp14:editId="13743618">
            <wp:simplePos x="0" y="0"/>
            <wp:positionH relativeFrom="margin">
              <wp:posOffset>1627035</wp:posOffset>
            </wp:positionH>
            <wp:positionV relativeFrom="paragraph">
              <wp:posOffset>1112355</wp:posOffset>
            </wp:positionV>
            <wp:extent cx="2929255" cy="2929255"/>
            <wp:effectExtent l="0" t="0" r="4445" b="444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1">
                      <a:extLst>
                        <a:ext uri="{28A0092B-C50C-407E-A947-70E740481C1C}">
                          <a14:useLocalDpi xmlns:a14="http://schemas.microsoft.com/office/drawing/2010/main" val="0"/>
                        </a:ext>
                      </a:extLst>
                    </a:blip>
                    <a:srcRect l="6401" t="6401"/>
                    <a:stretch/>
                  </pic:blipFill>
                  <pic:spPr bwMode="auto">
                    <a:xfrm>
                      <a:off x="0" y="0"/>
                      <a:ext cx="2929255" cy="2929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C8E" w:rsidRPr="0069618E">
        <w:rPr>
          <w:rStyle w:val="SubtleEmphasis"/>
          <w:i w:val="0"/>
          <w:color w:val="auto"/>
          <w:lang w:val="en-US"/>
        </w:rPr>
        <w:t xml:space="preserve">The </w:t>
      </w:r>
      <w:r>
        <w:rPr>
          <w:rStyle w:val="SubtleEmphasis"/>
          <w:i w:val="0"/>
          <w:color w:val="auto"/>
          <w:lang w:val="en-US"/>
        </w:rPr>
        <w:t xml:space="preserve">main </w:t>
      </w:r>
      <w:r w:rsidR="00E74C8E" w:rsidRPr="0069618E">
        <w:rPr>
          <w:rStyle w:val="SubtleEmphasis"/>
          <w:i w:val="0"/>
          <w:color w:val="auto"/>
          <w:lang w:val="en-US"/>
        </w:rPr>
        <w:t xml:space="preserve">model system that can be employed in the aggregation of oppositely charged particles that is discussed in this work uses zwitterionically charged dumbbells. These dumbbells consist of a positively charged APTES TPM lobe, which is grown around a negatively charged PS particle. </w:t>
      </w:r>
      <w:r w:rsidR="00E74C8E" w:rsidRPr="0069618E">
        <w:rPr>
          <w:iCs/>
          <w:lang w:val="en-US"/>
        </w:rPr>
        <w:br/>
      </w:r>
      <w:r w:rsidR="00E74C8E" w:rsidRPr="0069618E">
        <w:rPr>
          <w:rStyle w:val="SubtleEmphasis"/>
          <w:i w:val="0"/>
          <w:color w:val="auto"/>
          <w:lang w:val="en-US"/>
        </w:rPr>
        <w:t>Before modification of the TPM lobe with the amine functionalized silane APTES, both lobes of the dumbbell are negatively charged. The result is a stable dispersion in water at neutral pH</w:t>
      </w:r>
      <w:r w:rsidR="00FB6467" w:rsidRPr="0069618E">
        <w:rPr>
          <w:rStyle w:val="SubtleEmphasis"/>
          <w:i w:val="0"/>
          <w:color w:val="auto"/>
          <w:lang w:val="en-US"/>
        </w:rPr>
        <w:t xml:space="preserve"> </w:t>
      </w:r>
      <w:r w:rsidR="00E74C8E" w:rsidRPr="0069618E">
        <w:rPr>
          <w:rStyle w:val="SubtleEmphasis"/>
          <w:i w:val="0"/>
          <w:color w:val="auto"/>
          <w:lang w:val="en-US"/>
        </w:rPr>
        <w:t>(</w:t>
      </w:r>
      <w:r w:rsidR="0069618E" w:rsidRPr="0069618E">
        <w:rPr>
          <w:rStyle w:val="SubtleEmphasis"/>
          <w:i w:val="0"/>
          <w:color w:val="auto"/>
          <w:lang w:val="en-US"/>
        </w:rPr>
        <w:fldChar w:fldCharType="begin"/>
      </w:r>
      <w:r w:rsidR="0069618E" w:rsidRPr="0069618E">
        <w:rPr>
          <w:rStyle w:val="SubtleEmphasis"/>
          <w:i w:val="0"/>
          <w:color w:val="auto"/>
          <w:lang w:val="en-US"/>
        </w:rPr>
        <w:instrText xml:space="preserve"> REF _Ref29915321 \h </w:instrText>
      </w:r>
      <w:r w:rsidR="0069618E">
        <w:rPr>
          <w:rStyle w:val="SubtleEmphasis"/>
          <w:i w:val="0"/>
          <w:color w:val="auto"/>
          <w:lang w:val="en-US"/>
        </w:rPr>
        <w:instrText xml:space="preserve"> \* MERGEFORMAT </w:instrText>
      </w:r>
      <w:r w:rsidR="0069618E" w:rsidRPr="0069618E">
        <w:rPr>
          <w:rStyle w:val="SubtleEmphasis"/>
          <w:i w:val="0"/>
          <w:color w:val="auto"/>
          <w:lang w:val="en-US"/>
        </w:rPr>
      </w:r>
      <w:r w:rsidR="0069618E" w:rsidRPr="0069618E">
        <w:rPr>
          <w:rStyle w:val="SubtleEmphasis"/>
          <w:i w:val="0"/>
          <w:color w:val="auto"/>
          <w:lang w:val="en-US"/>
        </w:rPr>
        <w:fldChar w:fldCharType="separate"/>
      </w:r>
      <w:r w:rsidR="00C52506" w:rsidRPr="00C52506">
        <w:rPr>
          <w:lang w:val="en-US"/>
        </w:rPr>
        <w:t xml:space="preserve">Figure </w:t>
      </w:r>
      <w:r w:rsidR="00C52506" w:rsidRPr="00C52506">
        <w:rPr>
          <w:noProof/>
          <w:lang w:val="en-US"/>
        </w:rPr>
        <w:t>49</w:t>
      </w:r>
      <w:r w:rsidR="0069618E" w:rsidRPr="0069618E">
        <w:rPr>
          <w:rStyle w:val="SubtleEmphasis"/>
          <w:i w:val="0"/>
          <w:color w:val="auto"/>
          <w:lang w:val="en-US"/>
        </w:rPr>
        <w:fldChar w:fldCharType="end"/>
      </w:r>
      <w:r w:rsidR="00E74C8E" w:rsidRPr="0069618E">
        <w:rPr>
          <w:rStyle w:val="SubtleEmphasis"/>
          <w:i w:val="0"/>
          <w:color w:val="auto"/>
          <w:lang w:val="en-US"/>
        </w:rPr>
        <w:t xml:space="preserve">), ensured by the repulsion between the negatively charged surface groups on both the </w:t>
      </w:r>
      <w:r>
        <w:rPr>
          <w:rStyle w:val="SubtleEmphasis"/>
          <w:i w:val="0"/>
          <w:color w:val="auto"/>
          <w:lang w:val="en-US"/>
        </w:rPr>
        <w:t>PS</w:t>
      </w:r>
      <w:r w:rsidR="00E74C8E" w:rsidRPr="0069618E">
        <w:rPr>
          <w:rStyle w:val="SubtleEmphasis"/>
          <w:i w:val="0"/>
          <w:color w:val="auto"/>
          <w:lang w:val="en-US"/>
        </w:rPr>
        <w:t xml:space="preserve"> and TPM lobe of the dumbbells. </w:t>
      </w:r>
    </w:p>
    <w:p w:rsidR="00E74C8E" w:rsidRPr="0069618E" w:rsidRDefault="00E74C8E" w:rsidP="00FC7A2B">
      <w:pPr>
        <w:spacing w:line="240" w:lineRule="auto"/>
        <w:rPr>
          <w:rStyle w:val="SubtleEmphasis"/>
          <w:i w:val="0"/>
          <w:color w:val="auto"/>
          <w:lang w:val="en-US"/>
        </w:rPr>
      </w:pPr>
      <w:r w:rsidRPr="0069618E">
        <w:rPr>
          <w:rStyle w:val="SubtleEmphasis"/>
          <w:i w:val="0"/>
          <w:color w:val="auto"/>
          <w:lang w:val="en-US"/>
        </w:rPr>
        <w:t>After modification of the TPM lobe with APTES, the resulting APTES TPM lobe obtains a positive charge from the protonation of the primary amine on APTES by the aqueous medium. The negative charge is removed, as the negatively charged siloxyl groups become chemically buried under the APTES layer. This modification of the TPM surface was successful, as shown by the single particle zeta potential measurements of APTES modified TPM particles (</w:t>
      </w:r>
      <w:r w:rsidR="0069618E" w:rsidRPr="0069618E">
        <w:rPr>
          <w:rStyle w:val="SubtleEmphasis"/>
          <w:i w:val="0"/>
          <w:color w:val="auto"/>
          <w:lang w:val="en-US"/>
        </w:rPr>
        <w:fldChar w:fldCharType="begin"/>
      </w:r>
      <w:r w:rsidR="0069618E" w:rsidRPr="0069618E">
        <w:rPr>
          <w:rStyle w:val="SubtleEmphasis"/>
          <w:i w:val="0"/>
          <w:color w:val="auto"/>
          <w:lang w:val="en-US"/>
        </w:rPr>
        <w:instrText xml:space="preserve"> REF _Ref29651636 \h </w:instrText>
      </w:r>
      <w:r w:rsidR="0069618E">
        <w:rPr>
          <w:rStyle w:val="SubtleEmphasis"/>
          <w:i w:val="0"/>
          <w:color w:val="auto"/>
          <w:lang w:val="en-US"/>
        </w:rPr>
        <w:instrText xml:space="preserve"> \* MERGEFORMAT </w:instrText>
      </w:r>
      <w:r w:rsidR="0069618E" w:rsidRPr="0069618E">
        <w:rPr>
          <w:rStyle w:val="SubtleEmphasis"/>
          <w:i w:val="0"/>
          <w:color w:val="auto"/>
          <w:lang w:val="en-US"/>
        </w:rPr>
      </w:r>
      <w:r w:rsidR="0069618E" w:rsidRPr="0069618E">
        <w:rPr>
          <w:rStyle w:val="SubtleEmphasis"/>
          <w:i w:val="0"/>
          <w:color w:val="auto"/>
          <w:lang w:val="en-US"/>
        </w:rPr>
        <w:fldChar w:fldCharType="separate"/>
      </w:r>
      <w:r w:rsidR="00C52506" w:rsidRPr="00C52506">
        <w:rPr>
          <w:lang w:val="en-US"/>
        </w:rPr>
        <w:t xml:space="preserve">Figure </w:t>
      </w:r>
      <w:r w:rsidR="00C52506" w:rsidRPr="00C52506">
        <w:rPr>
          <w:noProof/>
          <w:lang w:val="en-US"/>
        </w:rPr>
        <w:t>30</w:t>
      </w:r>
      <w:r w:rsidR="0069618E" w:rsidRPr="0069618E">
        <w:rPr>
          <w:rStyle w:val="SubtleEmphasis"/>
          <w:i w:val="0"/>
          <w:color w:val="auto"/>
          <w:lang w:val="en-US"/>
        </w:rPr>
        <w:fldChar w:fldCharType="end"/>
      </w:r>
      <w:r w:rsidRPr="0069618E">
        <w:rPr>
          <w:rStyle w:val="SubtleEmphasis"/>
          <w:i w:val="0"/>
          <w:color w:val="auto"/>
          <w:lang w:val="en-US"/>
        </w:rPr>
        <w:t>).</w:t>
      </w:r>
      <w:r w:rsidRPr="0069618E">
        <w:rPr>
          <w:iCs/>
          <w:lang w:val="en-US"/>
        </w:rPr>
        <w:br/>
      </w:r>
      <w:r w:rsidRPr="0069618E">
        <w:rPr>
          <w:rStyle w:val="SubtleEmphasis"/>
          <w:i w:val="0"/>
          <w:color w:val="auto"/>
          <w:lang w:val="en-US"/>
        </w:rPr>
        <w:t xml:space="preserve">In theory, and partially practically, the synthesis of zwitterionic dumbbells was achieved. However, these dumbbells were not used in any self-assembly or </w:t>
      </w:r>
      <w:r w:rsidR="00D92D38">
        <w:rPr>
          <w:rStyle w:val="SubtleEmphasis"/>
          <w:i w:val="0"/>
          <w:color w:val="auto"/>
          <w:lang w:val="en-US"/>
        </w:rPr>
        <w:t>heteroaggregation</w:t>
      </w:r>
      <w:r w:rsidRPr="0069618E">
        <w:rPr>
          <w:rStyle w:val="SubtleEmphasis"/>
          <w:i w:val="0"/>
          <w:color w:val="auto"/>
          <w:lang w:val="en-US"/>
        </w:rPr>
        <w:t xml:space="preserve"> experiments yet. A combination of different effects hampers the accessibility of well dispersed zwitterionic dumbbells that remain stable for a long time. An overview of these issues and possible solutions are provided in this chapter.  </w:t>
      </w:r>
    </w:p>
    <w:p w:rsidR="00E74C8E" w:rsidRPr="0069618E" w:rsidRDefault="00E74C8E" w:rsidP="00FC7A2B">
      <w:pPr>
        <w:pStyle w:val="Heading3"/>
        <w:numPr>
          <w:ilvl w:val="2"/>
          <w:numId w:val="2"/>
        </w:numPr>
        <w:spacing w:line="240" w:lineRule="auto"/>
        <w:rPr>
          <w:rStyle w:val="SubtleEmphasis"/>
          <w:b/>
          <w:i w:val="0"/>
          <w:color w:val="auto"/>
          <w:lang w:val="en-US"/>
        </w:rPr>
      </w:pPr>
      <w:bookmarkStart w:id="118" w:name="_Toc31892426"/>
      <w:r w:rsidRPr="0069618E">
        <w:rPr>
          <w:rStyle w:val="SubtleEmphasis"/>
          <w:b/>
          <w:i w:val="0"/>
          <w:color w:val="auto"/>
          <w:lang w:val="en-US"/>
        </w:rPr>
        <w:t>Behavior of dumbbells during APTES modification</w:t>
      </w:r>
      <w:bookmarkEnd w:id="118"/>
    </w:p>
    <w:p w:rsidR="00730438" w:rsidRDefault="00E74C8E" w:rsidP="00FC7A2B">
      <w:pPr>
        <w:spacing w:line="240" w:lineRule="auto"/>
        <w:rPr>
          <w:rStyle w:val="SubtleEmphasis"/>
          <w:i w:val="0"/>
          <w:color w:val="auto"/>
          <w:lang w:val="en-US"/>
        </w:rPr>
      </w:pPr>
      <w:r w:rsidRPr="0069618E">
        <w:rPr>
          <w:rStyle w:val="SubtleEmphasis"/>
          <w:i w:val="0"/>
          <w:color w:val="auto"/>
          <w:lang w:val="en-US"/>
        </w:rPr>
        <w:t xml:space="preserve">After APTES modification of the dumbbells, it was observed that many clusters of dumbbells have formed in the unwashed dispersion, as shown in </w:t>
      </w:r>
      <w:r w:rsidR="0069618E" w:rsidRPr="0069618E">
        <w:rPr>
          <w:rStyle w:val="SubtleEmphasis"/>
          <w:i w:val="0"/>
          <w:color w:val="auto"/>
          <w:lang w:val="en-US"/>
        </w:rPr>
        <w:fldChar w:fldCharType="begin"/>
      </w:r>
      <w:r w:rsidR="0069618E" w:rsidRPr="0069618E">
        <w:rPr>
          <w:rStyle w:val="SubtleEmphasis"/>
          <w:i w:val="0"/>
          <w:color w:val="auto"/>
          <w:lang w:val="en-US"/>
        </w:rPr>
        <w:instrText xml:space="preserve"> REF _Ref29915357 \h </w:instrText>
      </w:r>
      <w:r w:rsidR="0069618E">
        <w:rPr>
          <w:rStyle w:val="SubtleEmphasis"/>
          <w:i w:val="0"/>
          <w:color w:val="auto"/>
          <w:lang w:val="en-US"/>
        </w:rPr>
        <w:instrText xml:space="preserve"> \* MERGEFORMAT </w:instrText>
      </w:r>
      <w:r w:rsidR="0069618E" w:rsidRPr="0069618E">
        <w:rPr>
          <w:rStyle w:val="SubtleEmphasis"/>
          <w:i w:val="0"/>
          <w:color w:val="auto"/>
          <w:lang w:val="en-US"/>
        </w:rPr>
      </w:r>
      <w:r w:rsidR="0069618E" w:rsidRPr="0069618E">
        <w:rPr>
          <w:rStyle w:val="SubtleEmphasis"/>
          <w:i w:val="0"/>
          <w:color w:val="auto"/>
          <w:lang w:val="en-US"/>
        </w:rPr>
        <w:fldChar w:fldCharType="separate"/>
      </w:r>
      <w:r w:rsidR="00C52506" w:rsidRPr="00C52506">
        <w:rPr>
          <w:lang w:val="en-US"/>
        </w:rPr>
        <w:t xml:space="preserve">Figure </w:t>
      </w:r>
      <w:r w:rsidR="00C52506" w:rsidRPr="00C52506">
        <w:rPr>
          <w:noProof/>
          <w:lang w:val="en-US"/>
        </w:rPr>
        <w:t>50</w:t>
      </w:r>
      <w:r w:rsidR="0069618E" w:rsidRPr="0069618E">
        <w:rPr>
          <w:rStyle w:val="SubtleEmphasis"/>
          <w:i w:val="0"/>
          <w:color w:val="auto"/>
          <w:lang w:val="en-US"/>
        </w:rPr>
        <w:fldChar w:fldCharType="end"/>
      </w:r>
      <w:r w:rsidRPr="0069618E">
        <w:rPr>
          <w:rStyle w:val="SubtleEmphasis"/>
          <w:i w:val="0"/>
          <w:color w:val="auto"/>
          <w:lang w:val="en-US"/>
        </w:rPr>
        <w:t>. This result should not be surprising, as a particle dispersion consisting of oppositely charged particles should be inherently unstable. Also, it was shown that in ethanol, in which the modification was carried out, the APTES TPM</w:t>
      </w:r>
      <w:r w:rsidR="000265A1">
        <w:rPr>
          <w:rStyle w:val="SubtleEmphasis"/>
          <w:i w:val="0"/>
          <w:color w:val="auto"/>
          <w:lang w:val="en-US"/>
        </w:rPr>
        <w:t>-1</w:t>
      </w:r>
      <w:r w:rsidRPr="0069618E">
        <w:rPr>
          <w:rStyle w:val="SubtleEmphasis"/>
          <w:i w:val="0"/>
          <w:color w:val="auto"/>
          <w:lang w:val="en-US"/>
        </w:rPr>
        <w:t xml:space="preserve"> particles are measured to have a positive zeta potential (</w:t>
      </w:r>
      <w:r w:rsidRPr="0069618E">
        <w:rPr>
          <w:rStyle w:val="SubtleEmphasis"/>
          <w:rFonts w:cstheme="minorHAnsi"/>
          <w:i w:val="0"/>
          <w:color w:val="auto"/>
          <w:lang w:val="en-US"/>
        </w:rPr>
        <w:t>ζ</w:t>
      </w:r>
      <w:r w:rsidRPr="0069618E">
        <w:rPr>
          <w:rStyle w:val="SubtleEmphasis"/>
          <w:i w:val="0"/>
          <w:color w:val="auto"/>
          <w:lang w:val="en-US"/>
        </w:rPr>
        <w:t xml:space="preserve"> =+35mV). No zeta potential measurement of nPS in ethanol was performed, as it is assumed that the sulfon groups on the surface of nPS are much </w:t>
      </w:r>
      <w:r w:rsidR="00A6605C">
        <w:rPr>
          <w:rStyle w:val="SubtleEmphasis"/>
          <w:i w:val="0"/>
          <w:color w:val="auto"/>
          <w:lang w:val="en-US"/>
        </w:rPr>
        <w:t xml:space="preserve">more </w:t>
      </w:r>
      <w:r w:rsidR="00D07486" w:rsidRPr="0069618E">
        <w:rPr>
          <w:rStyle w:val="SubtleEmphasis"/>
          <w:i w:val="0"/>
          <w:color w:val="auto"/>
          <w:lang w:val="en-US"/>
        </w:rPr>
        <w:t>weak</w:t>
      </w:r>
      <w:r w:rsidR="00A6605C">
        <w:rPr>
          <w:rStyle w:val="SubtleEmphasis"/>
          <w:i w:val="0"/>
          <w:color w:val="auto"/>
          <w:lang w:val="en-US"/>
        </w:rPr>
        <w:t>ly</w:t>
      </w:r>
      <w:r w:rsidRPr="0069618E">
        <w:rPr>
          <w:rStyle w:val="SubtleEmphasis"/>
          <w:i w:val="0"/>
          <w:color w:val="auto"/>
          <w:lang w:val="en-US"/>
        </w:rPr>
        <w:t xml:space="preserve"> basic compared to the hydroxyl group of ethanol, meaning that nPS is negatively charged in ethanol.</w:t>
      </w:r>
    </w:p>
    <w:p w:rsidR="000265A1" w:rsidRPr="0069618E" w:rsidRDefault="000265A1" w:rsidP="00FC7A2B">
      <w:pPr>
        <w:spacing w:line="240" w:lineRule="auto"/>
        <w:rPr>
          <w:rStyle w:val="SubtleEmphasis"/>
          <w:i w:val="0"/>
          <w:color w:val="auto"/>
          <w:lang w:val="en-US"/>
        </w:rPr>
      </w:pPr>
      <w:r w:rsidRPr="0069618E">
        <w:rPr>
          <w:rStyle w:val="SubtleEmphasis"/>
          <w:i w:val="0"/>
          <w:color w:val="auto"/>
          <w:lang w:val="en-US"/>
        </w:rPr>
        <w:t>However, what should be considered is that the modification is also carried out in the presence of ammonia. To see what effect this would have on the zeta potential of the APTES T</w:t>
      </w:r>
      <w:r>
        <w:rPr>
          <w:rStyle w:val="SubtleEmphasis"/>
          <w:i w:val="0"/>
          <w:color w:val="auto"/>
          <w:lang w:val="en-US"/>
        </w:rPr>
        <w:t>PM lobe</w:t>
      </w:r>
      <w:r w:rsidRPr="0069618E">
        <w:rPr>
          <w:rStyle w:val="SubtleEmphasis"/>
          <w:i w:val="0"/>
          <w:color w:val="auto"/>
          <w:lang w:val="en-US"/>
        </w:rPr>
        <w:t>, a measurement on single APTES TPM</w:t>
      </w:r>
      <w:r>
        <w:rPr>
          <w:rStyle w:val="SubtleEmphasis"/>
          <w:i w:val="0"/>
          <w:color w:val="auto"/>
          <w:lang w:val="en-US"/>
        </w:rPr>
        <w:t>-1</w:t>
      </w:r>
      <w:r w:rsidRPr="0069618E">
        <w:rPr>
          <w:rStyle w:val="SubtleEmphasis"/>
          <w:i w:val="0"/>
          <w:color w:val="auto"/>
          <w:lang w:val="en-US"/>
        </w:rPr>
        <w:t xml:space="preserve"> particles was performed directly after the modification was done.</w:t>
      </w:r>
      <w:r>
        <w:rPr>
          <w:rStyle w:val="SubtleEmphasis"/>
          <w:i w:val="0"/>
          <w:color w:val="auto"/>
          <w:lang w:val="en-US"/>
        </w:rPr>
        <w:t xml:space="preserve"> </w:t>
      </w:r>
      <w:r w:rsidRPr="0069618E">
        <w:rPr>
          <w:rStyle w:val="SubtleEmphasis"/>
          <w:i w:val="0"/>
          <w:color w:val="auto"/>
          <w:lang w:val="en-US"/>
        </w:rPr>
        <w:t>The measurement showed that the zeta potential of the APTES TPM</w:t>
      </w:r>
      <w:r>
        <w:rPr>
          <w:rStyle w:val="SubtleEmphasis"/>
          <w:i w:val="0"/>
          <w:color w:val="auto"/>
          <w:lang w:val="en-US"/>
        </w:rPr>
        <w:t>-1</w:t>
      </w:r>
      <w:r w:rsidRPr="0069618E">
        <w:rPr>
          <w:rStyle w:val="SubtleEmphasis"/>
          <w:i w:val="0"/>
          <w:color w:val="auto"/>
          <w:lang w:val="en-US"/>
        </w:rPr>
        <w:t xml:space="preserve"> was -40mV. The sign of the zeta potential has inverted for the APTES TPM</w:t>
      </w:r>
      <w:r>
        <w:rPr>
          <w:rStyle w:val="SubtleEmphasis"/>
          <w:i w:val="0"/>
          <w:color w:val="auto"/>
          <w:lang w:val="en-US"/>
        </w:rPr>
        <w:t>-1</w:t>
      </w:r>
      <w:r w:rsidRPr="0069618E">
        <w:rPr>
          <w:rStyle w:val="SubtleEmphasis"/>
          <w:i w:val="0"/>
          <w:color w:val="auto"/>
          <w:lang w:val="en-US"/>
        </w:rPr>
        <w:t xml:space="preserve"> particle in ethanol when ammonia was added. A rationalization is provided by looking at the chargeable groups that are present on the APTES TPM surface.</w:t>
      </w:r>
      <w:r>
        <w:rPr>
          <w:rStyle w:val="SubtleEmphasis"/>
          <w:i w:val="0"/>
          <w:color w:val="auto"/>
          <w:lang w:val="en-US"/>
        </w:rPr>
        <w:t xml:space="preserve"> </w:t>
      </w:r>
    </w:p>
    <w:p w:rsidR="00730438" w:rsidRPr="0069618E" w:rsidRDefault="00730438" w:rsidP="00FC7A2B">
      <w:pPr>
        <w:keepNext/>
        <w:spacing w:line="240" w:lineRule="auto"/>
        <w:jc w:val="center"/>
      </w:pPr>
      <w:r w:rsidRPr="0069618E">
        <w:rPr>
          <w:noProof/>
        </w:rPr>
        <w:lastRenderedPageBreak/>
        <w:drawing>
          <wp:inline distT="0" distB="0" distL="0" distR="0" wp14:anchorId="13E5A5AD" wp14:editId="6C118A5A">
            <wp:extent cx="2705100" cy="2705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pic:spPr>
                </pic:pic>
              </a:graphicData>
            </a:graphic>
          </wp:inline>
        </w:drawing>
      </w:r>
    </w:p>
    <w:p w:rsidR="00E74C8E" w:rsidRPr="0069618E" w:rsidRDefault="00C82962" w:rsidP="00FC7A2B">
      <w:pPr>
        <w:pStyle w:val="Caption"/>
        <w:jc w:val="center"/>
        <w:rPr>
          <w:rStyle w:val="SubtleEmphasis"/>
          <w:i/>
          <w:color w:val="auto"/>
          <w:sz w:val="20"/>
          <w:szCs w:val="20"/>
          <w:lang w:val="en-US"/>
        </w:rPr>
      </w:pPr>
      <w:bookmarkStart w:id="119" w:name="_Ref29915357"/>
      <w:r>
        <w:rPr>
          <w:color w:val="auto"/>
          <w:sz w:val="20"/>
          <w:szCs w:val="20"/>
          <w:lang w:val="en-US"/>
        </w:rPr>
        <w:t>Figure</w:t>
      </w:r>
      <w:r w:rsidR="00730438" w:rsidRPr="0069618E">
        <w:rPr>
          <w:color w:val="auto"/>
          <w:sz w:val="20"/>
          <w:szCs w:val="20"/>
          <w:lang w:val="en-US"/>
        </w:rPr>
        <w:t xml:space="preserve"> </w:t>
      </w:r>
      <w:r w:rsidR="00730438" w:rsidRPr="0069618E">
        <w:rPr>
          <w:color w:val="auto"/>
          <w:sz w:val="20"/>
          <w:szCs w:val="20"/>
        </w:rPr>
        <w:fldChar w:fldCharType="begin"/>
      </w:r>
      <w:r w:rsidR="00730438" w:rsidRPr="0069618E">
        <w:rPr>
          <w:color w:val="auto"/>
          <w:sz w:val="20"/>
          <w:szCs w:val="20"/>
          <w:lang w:val="en-US"/>
        </w:rPr>
        <w:instrText xml:space="preserve"> SEQ Figure \* ARABIC </w:instrText>
      </w:r>
      <w:r w:rsidR="00730438" w:rsidRPr="0069618E">
        <w:rPr>
          <w:color w:val="auto"/>
          <w:sz w:val="20"/>
          <w:szCs w:val="20"/>
        </w:rPr>
        <w:fldChar w:fldCharType="separate"/>
      </w:r>
      <w:r w:rsidR="00C52506">
        <w:rPr>
          <w:noProof/>
          <w:color w:val="auto"/>
          <w:sz w:val="20"/>
          <w:szCs w:val="20"/>
          <w:lang w:val="en-US"/>
        </w:rPr>
        <w:t>50</w:t>
      </w:r>
      <w:r w:rsidR="00730438" w:rsidRPr="0069618E">
        <w:rPr>
          <w:color w:val="auto"/>
          <w:sz w:val="20"/>
          <w:szCs w:val="20"/>
        </w:rPr>
        <w:fldChar w:fldCharType="end"/>
      </w:r>
      <w:bookmarkEnd w:id="119"/>
      <w:r w:rsidR="00730438" w:rsidRPr="0069618E">
        <w:rPr>
          <w:color w:val="auto"/>
          <w:sz w:val="20"/>
          <w:szCs w:val="20"/>
          <w:lang w:val="en-US"/>
        </w:rPr>
        <w:t>: Optical micrograph of unwashed APTES modified dumbbells.</w:t>
      </w:r>
    </w:p>
    <w:p w:rsidR="000265A1" w:rsidRDefault="00E74C8E" w:rsidP="00FC7A2B">
      <w:pPr>
        <w:spacing w:line="240" w:lineRule="auto"/>
        <w:rPr>
          <w:iCs/>
          <w:lang w:val="en-US"/>
        </w:rPr>
      </w:pPr>
      <w:bookmarkStart w:id="120" w:name="_Rmr31718216"/>
      <w:bookmarkStart w:id="121" w:name="_Ref31715087"/>
      <w:r w:rsidRPr="0069618E">
        <w:rPr>
          <w:rStyle w:val="SubtleEmphasis"/>
          <w:i w:val="0"/>
          <w:color w:val="auto"/>
          <w:lang w:val="en-US"/>
        </w:rPr>
        <w:t>Because of the high concentration of ammonia, the primary amines on the APTES layer become uncharged, while the unreacted free siloxyl</w:t>
      </w:r>
      <w:r w:rsidRPr="0069618E">
        <w:rPr>
          <w:rStyle w:val="SubtleEmphasis"/>
          <w:b/>
          <w:i w:val="0"/>
          <w:color w:val="auto"/>
          <w:lang w:val="en-US"/>
        </w:rPr>
        <w:t xml:space="preserve"> </w:t>
      </w:r>
      <w:r w:rsidRPr="0069618E">
        <w:rPr>
          <w:rStyle w:val="SubtleEmphasis"/>
          <w:i w:val="0"/>
          <w:color w:val="auto"/>
          <w:lang w:val="en-US"/>
        </w:rPr>
        <w:t>groups become deprotonated. The result is a net negative charge on the APTES TPM</w:t>
      </w:r>
      <w:r w:rsidR="000265A1">
        <w:rPr>
          <w:rStyle w:val="SubtleEmphasis"/>
          <w:i w:val="0"/>
          <w:color w:val="auto"/>
          <w:lang w:val="en-US"/>
        </w:rPr>
        <w:t>-1</w:t>
      </w:r>
      <w:r w:rsidRPr="0069618E">
        <w:rPr>
          <w:rStyle w:val="SubtleEmphasis"/>
          <w:i w:val="0"/>
          <w:color w:val="auto"/>
          <w:lang w:val="en-US"/>
        </w:rPr>
        <w:t xml:space="preserve"> particle. Adding APTES to the modification environment did not further influence the zeta potential of the APTES TPM</w:t>
      </w:r>
      <w:r w:rsidR="000265A1">
        <w:rPr>
          <w:rStyle w:val="SubtleEmphasis"/>
          <w:i w:val="0"/>
          <w:color w:val="auto"/>
          <w:lang w:val="en-US"/>
        </w:rPr>
        <w:t>-1</w:t>
      </w:r>
      <w:r w:rsidRPr="0069618E">
        <w:rPr>
          <w:rStyle w:val="SubtleEmphasis"/>
          <w:i w:val="0"/>
          <w:color w:val="auto"/>
          <w:lang w:val="en-US"/>
        </w:rPr>
        <w:t xml:space="preserve"> particles. </w:t>
      </w:r>
    </w:p>
    <w:p w:rsidR="00A350C8" w:rsidRPr="0069618E" w:rsidRDefault="00E74C8E" w:rsidP="00FC7A2B">
      <w:pPr>
        <w:spacing w:line="240" w:lineRule="auto"/>
        <w:rPr>
          <w:rStyle w:val="SubtleEmphasis"/>
          <w:i w:val="0"/>
          <w:color w:val="auto"/>
          <w:lang w:val="en-US"/>
        </w:rPr>
      </w:pPr>
      <w:r w:rsidRPr="0069618E">
        <w:rPr>
          <w:rStyle w:val="SubtleEmphasis"/>
          <w:i w:val="0"/>
          <w:color w:val="auto"/>
          <w:lang w:val="en-US"/>
        </w:rPr>
        <w:t>It should be noted, that a dielectric constant of the ternary mixture in which the modification is carried out should be calculated for accurate determination of the zeta potential from the measured electrophoretic mobility. Due to the uncertainty of this value, as it is calculated from a theoretical model, the magnitude of the zeta potential could not be determined accurately. However, the sign of the zeta potential should remain the same, as the direction in which the particles move in an electric field is directly experimentally measured.</w:t>
      </w:r>
      <w:r w:rsidR="00A350C8">
        <w:rPr>
          <w:rStyle w:val="SubtleEmphasis"/>
          <w:i w:val="0"/>
          <w:color w:val="auto"/>
          <w:lang w:val="en-US"/>
        </w:rPr>
        <w:t xml:space="preserve"> So, when c</w:t>
      </w:r>
      <w:r w:rsidR="00A350C8" w:rsidRPr="0069618E">
        <w:rPr>
          <w:rStyle w:val="SubtleEmphasis"/>
          <w:i w:val="0"/>
          <w:color w:val="auto"/>
          <w:lang w:val="en-US"/>
        </w:rPr>
        <w:t xml:space="preserve">onsidering the zeta potential results, it can be said that after the APTES modification of the dumbbells, both the lobes should have obtained a negative surface charge in the modification environment. This contradicts the observation of cluster formation </w:t>
      </w:r>
      <w:r w:rsidR="00A350C8">
        <w:rPr>
          <w:rStyle w:val="SubtleEmphasis"/>
          <w:i w:val="0"/>
          <w:color w:val="auto"/>
          <w:lang w:val="en-US"/>
        </w:rPr>
        <w:t>after</w:t>
      </w:r>
      <w:r w:rsidR="00A350C8" w:rsidRPr="0069618E">
        <w:rPr>
          <w:rStyle w:val="SubtleEmphasis"/>
          <w:i w:val="0"/>
          <w:color w:val="auto"/>
          <w:lang w:val="en-US"/>
        </w:rPr>
        <w:t xml:space="preserve"> the modification of the dumbbells with APTES</w:t>
      </w:r>
      <w:r w:rsidR="00A350C8">
        <w:rPr>
          <w:rStyle w:val="SubtleEmphasis"/>
          <w:i w:val="0"/>
          <w:color w:val="auto"/>
          <w:lang w:val="en-US"/>
        </w:rPr>
        <w:t xml:space="preserve">. </w:t>
      </w:r>
      <w:bookmarkEnd w:id="120"/>
      <w:bookmarkEnd w:id="121"/>
    </w:p>
    <w:p w:rsidR="00E74C8E" w:rsidRPr="00E33741" w:rsidRDefault="00A350C8" w:rsidP="00FC7A2B">
      <w:pPr>
        <w:spacing w:line="240" w:lineRule="auto"/>
        <w:rPr>
          <w:rStyle w:val="SubtleEmphasis"/>
          <w:i w:val="0"/>
          <w:color w:val="auto"/>
          <w:lang w:val="en-US"/>
        </w:rPr>
      </w:pPr>
      <w:r w:rsidRPr="00E33741">
        <w:rPr>
          <w:rStyle w:val="SubtleEmphasis"/>
          <w:i w:val="0"/>
          <w:color w:val="auto"/>
          <w:lang w:val="en-US"/>
        </w:rPr>
        <w:t>To probe at what stage the dumbbells form aggregates</w:t>
      </w:r>
      <w:r w:rsidR="00E74C8E" w:rsidRPr="00E33741">
        <w:rPr>
          <w:rStyle w:val="SubtleEmphasis"/>
          <w:i w:val="0"/>
          <w:color w:val="auto"/>
          <w:lang w:val="en-US"/>
        </w:rPr>
        <w:t xml:space="preserve">, optical micrographs were made of the unmodified dumbbell dispersion stock, the dumbbells in their modification environment before modification and the unwashed APTES modified dumbbells directly after the reaction was finished. These micrographs are shown in </w:t>
      </w:r>
      <w:r w:rsidR="00E33741" w:rsidRPr="00E33741">
        <w:rPr>
          <w:rStyle w:val="SubtleEmphasis"/>
          <w:i w:val="0"/>
          <w:color w:val="auto"/>
          <w:lang w:val="en-US"/>
        </w:rPr>
        <w:fldChar w:fldCharType="begin"/>
      </w:r>
      <w:r w:rsidR="00E33741" w:rsidRPr="00E33741">
        <w:rPr>
          <w:rStyle w:val="SubtleEmphasis"/>
          <w:i w:val="0"/>
          <w:color w:val="auto"/>
          <w:lang w:val="en-US"/>
        </w:rPr>
        <w:instrText xml:space="preserve"> REF _Ref29915383 \h </w:instrText>
      </w:r>
      <w:r w:rsidR="00E33741">
        <w:rPr>
          <w:rStyle w:val="SubtleEmphasis"/>
          <w:i w:val="0"/>
          <w:color w:val="auto"/>
          <w:lang w:val="en-US"/>
        </w:rPr>
        <w:instrText xml:space="preserve"> \* MERGEFORMAT </w:instrText>
      </w:r>
      <w:r w:rsidR="00E33741" w:rsidRPr="00E33741">
        <w:rPr>
          <w:rStyle w:val="SubtleEmphasis"/>
          <w:i w:val="0"/>
          <w:color w:val="auto"/>
          <w:lang w:val="en-US"/>
        </w:rPr>
      </w:r>
      <w:r w:rsidR="00E33741" w:rsidRPr="00E33741">
        <w:rPr>
          <w:rStyle w:val="SubtleEmphasis"/>
          <w:i w:val="0"/>
          <w:color w:val="auto"/>
          <w:lang w:val="en-US"/>
        </w:rPr>
        <w:fldChar w:fldCharType="separate"/>
      </w:r>
      <w:r w:rsidR="00E33741" w:rsidRPr="00E33741">
        <w:rPr>
          <w:lang w:val="en-US"/>
        </w:rPr>
        <w:t xml:space="preserve">Figure </w:t>
      </w:r>
      <w:r w:rsidR="00E33741" w:rsidRPr="00E33741">
        <w:rPr>
          <w:noProof/>
          <w:lang w:val="en-US"/>
        </w:rPr>
        <w:t>51</w:t>
      </w:r>
      <w:r w:rsidR="00E33741" w:rsidRPr="00E33741">
        <w:rPr>
          <w:rStyle w:val="SubtleEmphasis"/>
          <w:i w:val="0"/>
          <w:color w:val="auto"/>
          <w:lang w:val="en-US"/>
        </w:rPr>
        <w:fldChar w:fldCharType="end"/>
      </w:r>
      <w:r w:rsidR="00E74C8E" w:rsidRPr="00E33741">
        <w:rPr>
          <w:rStyle w:val="SubtleEmphasis"/>
          <w:i w:val="0"/>
          <w:color w:val="auto"/>
          <w:lang w:val="en-US"/>
        </w:rPr>
        <w:t xml:space="preserve">. </w:t>
      </w:r>
      <w:r w:rsidR="0069618E" w:rsidRPr="00E33741">
        <w:rPr>
          <w:rStyle w:val="SubtleEmphasis"/>
          <w:i w:val="0"/>
          <w:color w:val="auto"/>
          <w:lang w:val="en-US"/>
        </w:rPr>
        <w:fldChar w:fldCharType="begin"/>
      </w:r>
      <w:r w:rsidR="0069618E" w:rsidRPr="00E33741">
        <w:rPr>
          <w:rStyle w:val="SubtleEmphasis"/>
          <w:i w:val="0"/>
          <w:color w:val="auto"/>
          <w:lang w:val="en-US"/>
        </w:rPr>
        <w:instrText xml:space="preserve"> REF _Ref29915383 \h  \* MERGEFORMAT </w:instrText>
      </w:r>
      <w:r w:rsidR="0069618E" w:rsidRPr="00E33741">
        <w:rPr>
          <w:rStyle w:val="SubtleEmphasis"/>
          <w:i w:val="0"/>
          <w:color w:val="auto"/>
          <w:lang w:val="en-US"/>
        </w:rPr>
      </w:r>
      <w:r w:rsidR="0069618E" w:rsidRPr="00E33741">
        <w:rPr>
          <w:rStyle w:val="SubtleEmphasis"/>
          <w:i w:val="0"/>
          <w:color w:val="auto"/>
          <w:lang w:val="en-US"/>
        </w:rPr>
        <w:fldChar w:fldCharType="separate"/>
      </w:r>
      <w:r w:rsidR="00C52506" w:rsidRPr="00E33741">
        <w:rPr>
          <w:lang w:val="en-US"/>
        </w:rPr>
        <w:t xml:space="preserve">Figure </w:t>
      </w:r>
      <w:r w:rsidR="00C52506" w:rsidRPr="00E33741">
        <w:rPr>
          <w:noProof/>
          <w:lang w:val="en-US"/>
        </w:rPr>
        <w:t>51</w:t>
      </w:r>
      <w:r w:rsidR="0069618E" w:rsidRPr="00E33741">
        <w:rPr>
          <w:rStyle w:val="SubtleEmphasis"/>
          <w:i w:val="0"/>
          <w:color w:val="auto"/>
          <w:lang w:val="en-US"/>
        </w:rPr>
        <w:fldChar w:fldCharType="end"/>
      </w:r>
      <w:r w:rsidR="00E74C8E" w:rsidRPr="00E33741">
        <w:rPr>
          <w:rStyle w:val="SubtleEmphasis"/>
          <w:i w:val="0"/>
          <w:color w:val="auto"/>
          <w:lang w:val="en-US"/>
        </w:rPr>
        <w:t xml:space="preserve">A shows that the unmodified dumbbell dispersion stock is nicely stable, as no aggregates have formed. In </w:t>
      </w:r>
      <w:r w:rsidR="0069618E" w:rsidRPr="00E33741">
        <w:rPr>
          <w:rStyle w:val="SubtleEmphasis"/>
          <w:i w:val="0"/>
          <w:color w:val="auto"/>
          <w:lang w:val="en-US"/>
        </w:rPr>
        <w:fldChar w:fldCharType="begin"/>
      </w:r>
      <w:r w:rsidR="0069618E" w:rsidRPr="00E33741">
        <w:rPr>
          <w:rStyle w:val="SubtleEmphasis"/>
          <w:i w:val="0"/>
          <w:color w:val="auto"/>
          <w:lang w:val="en-US"/>
        </w:rPr>
        <w:instrText xml:space="preserve"> REF _Ref29915383 \h  \* MERGEFORMAT </w:instrText>
      </w:r>
      <w:r w:rsidR="0069618E" w:rsidRPr="00E33741">
        <w:rPr>
          <w:rStyle w:val="SubtleEmphasis"/>
          <w:i w:val="0"/>
          <w:color w:val="auto"/>
          <w:lang w:val="en-US"/>
        </w:rPr>
      </w:r>
      <w:r w:rsidR="0069618E" w:rsidRPr="00E33741">
        <w:rPr>
          <w:rStyle w:val="SubtleEmphasis"/>
          <w:i w:val="0"/>
          <w:color w:val="auto"/>
          <w:lang w:val="en-US"/>
        </w:rPr>
        <w:fldChar w:fldCharType="separate"/>
      </w:r>
      <w:r w:rsidR="00C52506" w:rsidRPr="00E33741">
        <w:rPr>
          <w:lang w:val="en-US"/>
        </w:rPr>
        <w:t xml:space="preserve">Figure </w:t>
      </w:r>
      <w:r w:rsidR="00C52506" w:rsidRPr="00E33741">
        <w:rPr>
          <w:noProof/>
          <w:lang w:val="en-US"/>
        </w:rPr>
        <w:t>51</w:t>
      </w:r>
      <w:r w:rsidR="0069618E" w:rsidRPr="00E33741">
        <w:rPr>
          <w:rStyle w:val="SubtleEmphasis"/>
          <w:i w:val="0"/>
          <w:color w:val="auto"/>
          <w:lang w:val="en-US"/>
        </w:rPr>
        <w:fldChar w:fldCharType="end"/>
      </w:r>
      <w:r w:rsidR="0069618E" w:rsidRPr="00E33741">
        <w:rPr>
          <w:rStyle w:val="SubtleEmphasis"/>
          <w:i w:val="0"/>
          <w:color w:val="auto"/>
          <w:lang w:val="en-US"/>
        </w:rPr>
        <w:t>B</w:t>
      </w:r>
      <w:r w:rsidR="00E74C8E" w:rsidRPr="00E33741">
        <w:rPr>
          <w:rStyle w:val="SubtleEmphasis"/>
          <w:i w:val="0"/>
          <w:color w:val="auto"/>
          <w:lang w:val="en-US"/>
        </w:rPr>
        <w:t xml:space="preserve">, the dumbbells are put in their modification environment, where still primarily single particles are present. After modification, it can be seen from </w:t>
      </w:r>
      <w:r w:rsidR="0069618E" w:rsidRPr="00E33741">
        <w:rPr>
          <w:rStyle w:val="SubtleEmphasis"/>
          <w:i w:val="0"/>
          <w:color w:val="auto"/>
          <w:lang w:val="en-US"/>
        </w:rPr>
        <w:fldChar w:fldCharType="begin"/>
      </w:r>
      <w:r w:rsidR="0069618E" w:rsidRPr="00E33741">
        <w:rPr>
          <w:rStyle w:val="SubtleEmphasis"/>
          <w:i w:val="0"/>
          <w:color w:val="auto"/>
          <w:lang w:val="en-US"/>
        </w:rPr>
        <w:instrText xml:space="preserve"> REF _Ref29915383 \h  \* MERGEFORMAT </w:instrText>
      </w:r>
      <w:r w:rsidR="0069618E" w:rsidRPr="00E33741">
        <w:rPr>
          <w:rStyle w:val="SubtleEmphasis"/>
          <w:i w:val="0"/>
          <w:color w:val="auto"/>
          <w:lang w:val="en-US"/>
        </w:rPr>
      </w:r>
      <w:r w:rsidR="0069618E" w:rsidRPr="00E33741">
        <w:rPr>
          <w:rStyle w:val="SubtleEmphasis"/>
          <w:i w:val="0"/>
          <w:color w:val="auto"/>
          <w:lang w:val="en-US"/>
        </w:rPr>
        <w:fldChar w:fldCharType="separate"/>
      </w:r>
      <w:r w:rsidR="00C52506" w:rsidRPr="00E33741">
        <w:rPr>
          <w:lang w:val="en-US"/>
        </w:rPr>
        <w:t xml:space="preserve">Figure </w:t>
      </w:r>
      <w:r w:rsidR="00C52506" w:rsidRPr="00E33741">
        <w:rPr>
          <w:noProof/>
          <w:lang w:val="en-US"/>
        </w:rPr>
        <w:t>51</w:t>
      </w:r>
      <w:r w:rsidR="0069618E" w:rsidRPr="00E33741">
        <w:rPr>
          <w:rStyle w:val="SubtleEmphasis"/>
          <w:i w:val="0"/>
          <w:color w:val="auto"/>
          <w:lang w:val="en-US"/>
        </w:rPr>
        <w:fldChar w:fldCharType="end"/>
      </w:r>
      <w:r w:rsidR="00E74C8E" w:rsidRPr="00E33741">
        <w:rPr>
          <w:rStyle w:val="SubtleEmphasis"/>
          <w:i w:val="0"/>
          <w:color w:val="auto"/>
          <w:lang w:val="en-US"/>
        </w:rPr>
        <w:t>C that clusters have formed in the dispersion. It seems that the specific modification is the main culprit for the observed cluster formation.</w:t>
      </w:r>
    </w:p>
    <w:p w:rsidR="00D07486" w:rsidRPr="00E33741" w:rsidRDefault="00A350C8" w:rsidP="00A350C8">
      <w:pPr>
        <w:spacing w:line="240" w:lineRule="auto"/>
        <w:rPr>
          <w:rStyle w:val="SubtleEmphasis"/>
          <w:i w:val="0"/>
          <w:iCs w:val="0"/>
          <w:color w:val="auto"/>
          <w:lang w:val="en-US"/>
        </w:rPr>
      </w:pPr>
      <w:r w:rsidRPr="00E33741">
        <w:rPr>
          <w:rStyle w:val="SubtleEmphasis"/>
          <w:i w:val="0"/>
          <w:iCs w:val="0"/>
          <w:color w:val="auto"/>
          <w:lang w:val="en-US"/>
        </w:rPr>
        <w:t>To see whether the chemical or the geometrical nature</w:t>
      </w:r>
      <w:r w:rsidR="00E33741">
        <w:rPr>
          <w:rStyle w:val="SubtleEmphasis"/>
          <w:i w:val="0"/>
          <w:iCs w:val="0"/>
          <w:color w:val="auto"/>
          <w:lang w:val="en-US"/>
        </w:rPr>
        <w:t xml:space="preserve"> of the dumbbells</w:t>
      </w:r>
      <w:r w:rsidRPr="00E33741">
        <w:rPr>
          <w:rStyle w:val="SubtleEmphasis"/>
          <w:i w:val="0"/>
          <w:iCs w:val="0"/>
          <w:color w:val="auto"/>
          <w:lang w:val="en-US"/>
        </w:rPr>
        <w:t xml:space="preserve"> is the cause of this aggregation, a dispersion containing nPS and TPM-1 was put through the same modification as the dumbbells. </w:t>
      </w:r>
      <w:r w:rsidR="002637E3" w:rsidRPr="00E33741">
        <w:rPr>
          <w:rStyle w:val="SubtleEmphasis"/>
          <w:i w:val="0"/>
          <w:iCs w:val="0"/>
          <w:color w:val="auto"/>
          <w:lang w:val="en-US"/>
        </w:rPr>
        <w:t>Bright field and fluorescent images the different stages in the modification is shown in</w:t>
      </w:r>
      <w:r w:rsidR="00E33741" w:rsidRPr="00E33741">
        <w:rPr>
          <w:rStyle w:val="SubtleEmphasis"/>
          <w:i w:val="0"/>
          <w:iCs w:val="0"/>
          <w:color w:val="auto"/>
          <w:lang w:val="en-US"/>
        </w:rPr>
        <w:t xml:space="preserve"> </w:t>
      </w:r>
      <w:r w:rsidR="00E33741" w:rsidRPr="00E33741">
        <w:rPr>
          <w:rStyle w:val="SubtleEmphasis"/>
          <w:i w:val="0"/>
          <w:iCs w:val="0"/>
          <w:color w:val="auto"/>
          <w:lang w:val="en-US"/>
        </w:rPr>
        <w:fldChar w:fldCharType="begin"/>
      </w:r>
      <w:r w:rsidR="00E33741" w:rsidRPr="00E33741">
        <w:rPr>
          <w:rStyle w:val="SubtleEmphasis"/>
          <w:i w:val="0"/>
          <w:iCs w:val="0"/>
          <w:color w:val="auto"/>
          <w:lang w:val="en-US"/>
        </w:rPr>
        <w:instrText xml:space="preserve"> REF _Ref31889065 \h  \* MERGEFORMAT </w:instrText>
      </w:r>
      <w:r w:rsidR="00E33741" w:rsidRPr="00E33741">
        <w:rPr>
          <w:rStyle w:val="SubtleEmphasis"/>
          <w:i w:val="0"/>
          <w:iCs w:val="0"/>
          <w:color w:val="auto"/>
          <w:lang w:val="en-US"/>
        </w:rPr>
      </w:r>
      <w:r w:rsidR="00E33741" w:rsidRPr="00E33741">
        <w:rPr>
          <w:rStyle w:val="SubtleEmphasis"/>
          <w:i w:val="0"/>
          <w:iCs w:val="0"/>
          <w:color w:val="auto"/>
          <w:lang w:val="en-US"/>
        </w:rPr>
        <w:fldChar w:fldCharType="separate"/>
      </w:r>
      <w:r w:rsidR="00E33741" w:rsidRPr="00E33741">
        <w:rPr>
          <w:lang w:val="en-US"/>
        </w:rPr>
        <w:t xml:space="preserve">Figure </w:t>
      </w:r>
      <w:r w:rsidR="00E33741" w:rsidRPr="00E33741">
        <w:rPr>
          <w:noProof/>
          <w:lang w:val="en-US"/>
        </w:rPr>
        <w:t>52</w:t>
      </w:r>
      <w:r w:rsidR="00E33741" w:rsidRPr="00E33741">
        <w:rPr>
          <w:rStyle w:val="SubtleEmphasis"/>
          <w:i w:val="0"/>
          <w:iCs w:val="0"/>
          <w:color w:val="auto"/>
          <w:lang w:val="en-US"/>
        </w:rPr>
        <w:fldChar w:fldCharType="end"/>
      </w:r>
      <w:r w:rsidR="00E33741" w:rsidRPr="00E33741">
        <w:rPr>
          <w:rStyle w:val="SubtleEmphasis"/>
          <w:i w:val="0"/>
          <w:iCs w:val="0"/>
          <w:color w:val="auto"/>
          <w:lang w:val="en-US"/>
        </w:rPr>
        <w:t xml:space="preserve">. </w:t>
      </w:r>
      <w:r w:rsidR="002637E3" w:rsidRPr="00E33741">
        <w:rPr>
          <w:rStyle w:val="SubtleEmphasis"/>
          <w:i w:val="0"/>
          <w:iCs w:val="0"/>
          <w:color w:val="auto"/>
          <w:lang w:val="en-US"/>
        </w:rPr>
        <w:t>When these particles are dispersed in water (</w:t>
      </w:r>
      <w:r w:rsidR="00E33741" w:rsidRPr="00E33741">
        <w:rPr>
          <w:rStyle w:val="SubtleEmphasis"/>
          <w:i w:val="0"/>
          <w:iCs w:val="0"/>
          <w:color w:val="auto"/>
          <w:lang w:val="en-US"/>
        </w:rPr>
        <w:fldChar w:fldCharType="begin"/>
      </w:r>
      <w:r w:rsidR="00E33741" w:rsidRPr="00E33741">
        <w:rPr>
          <w:rStyle w:val="SubtleEmphasis"/>
          <w:i w:val="0"/>
          <w:iCs w:val="0"/>
          <w:color w:val="auto"/>
          <w:lang w:val="en-US"/>
        </w:rPr>
        <w:instrText xml:space="preserve"> REF _Ref31889065 \h  \* MERGEFORMAT </w:instrText>
      </w:r>
      <w:r w:rsidR="00E33741" w:rsidRPr="00E33741">
        <w:rPr>
          <w:rStyle w:val="SubtleEmphasis"/>
          <w:i w:val="0"/>
          <w:iCs w:val="0"/>
          <w:color w:val="auto"/>
          <w:lang w:val="en-US"/>
        </w:rPr>
      </w:r>
      <w:r w:rsidR="00E33741" w:rsidRPr="00E33741">
        <w:rPr>
          <w:rStyle w:val="SubtleEmphasis"/>
          <w:i w:val="0"/>
          <w:iCs w:val="0"/>
          <w:color w:val="auto"/>
          <w:lang w:val="en-US"/>
        </w:rPr>
        <w:fldChar w:fldCharType="separate"/>
      </w:r>
      <w:r w:rsidR="00E33741" w:rsidRPr="00E33741">
        <w:rPr>
          <w:lang w:val="en-US"/>
        </w:rPr>
        <w:t xml:space="preserve">Figure </w:t>
      </w:r>
      <w:r w:rsidR="00E33741" w:rsidRPr="00E33741">
        <w:rPr>
          <w:noProof/>
          <w:lang w:val="en-US"/>
        </w:rPr>
        <w:t>52</w:t>
      </w:r>
      <w:r w:rsidR="00E33741" w:rsidRPr="00E33741">
        <w:rPr>
          <w:rStyle w:val="SubtleEmphasis"/>
          <w:i w:val="0"/>
          <w:iCs w:val="0"/>
          <w:color w:val="auto"/>
          <w:lang w:val="en-US"/>
        </w:rPr>
        <w:fldChar w:fldCharType="end"/>
      </w:r>
      <w:r w:rsidR="002637E3" w:rsidRPr="00E33741">
        <w:rPr>
          <w:rStyle w:val="SubtleEmphasis"/>
          <w:i w:val="0"/>
          <w:iCs w:val="0"/>
          <w:color w:val="auto"/>
          <w:lang w:val="en-US"/>
        </w:rPr>
        <w:t xml:space="preserve">A,D), the particles are nicely dispersed. The same happens when the particles are dispersed in the modification environment, before modification </w:t>
      </w:r>
      <w:r w:rsidR="00E33741" w:rsidRPr="00E33741">
        <w:rPr>
          <w:rStyle w:val="SubtleEmphasis"/>
          <w:i w:val="0"/>
          <w:iCs w:val="0"/>
          <w:color w:val="auto"/>
          <w:lang w:val="en-US"/>
        </w:rPr>
        <w:t>(</w:t>
      </w:r>
      <w:r w:rsidR="00E33741" w:rsidRPr="00E33741">
        <w:rPr>
          <w:rStyle w:val="SubtleEmphasis"/>
          <w:i w:val="0"/>
          <w:iCs w:val="0"/>
          <w:color w:val="auto"/>
          <w:lang w:val="en-US"/>
        </w:rPr>
        <w:fldChar w:fldCharType="begin"/>
      </w:r>
      <w:r w:rsidR="00E33741" w:rsidRPr="00E33741">
        <w:rPr>
          <w:rStyle w:val="SubtleEmphasis"/>
          <w:i w:val="0"/>
          <w:iCs w:val="0"/>
          <w:color w:val="auto"/>
          <w:lang w:val="en-US"/>
        </w:rPr>
        <w:instrText xml:space="preserve"> REF _Ref31889065 \h </w:instrText>
      </w:r>
      <w:r w:rsidR="00E33741">
        <w:rPr>
          <w:rStyle w:val="SubtleEmphasis"/>
          <w:i w:val="0"/>
          <w:iCs w:val="0"/>
          <w:color w:val="auto"/>
          <w:lang w:val="en-US"/>
        </w:rPr>
        <w:instrText xml:space="preserve"> \* MERGEFORMAT </w:instrText>
      </w:r>
      <w:r w:rsidR="00E33741" w:rsidRPr="00E33741">
        <w:rPr>
          <w:rStyle w:val="SubtleEmphasis"/>
          <w:i w:val="0"/>
          <w:iCs w:val="0"/>
          <w:color w:val="auto"/>
          <w:lang w:val="en-US"/>
        </w:rPr>
      </w:r>
      <w:r w:rsidR="00E33741" w:rsidRPr="00E33741">
        <w:rPr>
          <w:rStyle w:val="SubtleEmphasis"/>
          <w:i w:val="0"/>
          <w:iCs w:val="0"/>
          <w:color w:val="auto"/>
          <w:lang w:val="en-US"/>
        </w:rPr>
        <w:fldChar w:fldCharType="separate"/>
      </w:r>
      <w:r w:rsidR="00E33741" w:rsidRPr="00E33741">
        <w:rPr>
          <w:lang w:val="en-US"/>
        </w:rPr>
        <w:t xml:space="preserve">Figure </w:t>
      </w:r>
      <w:r w:rsidR="00E33741" w:rsidRPr="00E33741">
        <w:rPr>
          <w:noProof/>
          <w:lang w:val="en-US"/>
        </w:rPr>
        <w:t>52</w:t>
      </w:r>
      <w:r w:rsidR="00E33741" w:rsidRPr="00E33741">
        <w:rPr>
          <w:rStyle w:val="SubtleEmphasis"/>
          <w:i w:val="0"/>
          <w:iCs w:val="0"/>
          <w:color w:val="auto"/>
          <w:lang w:val="en-US"/>
        </w:rPr>
        <w:fldChar w:fldCharType="end"/>
      </w:r>
      <w:r w:rsidR="002637E3" w:rsidRPr="00E33741">
        <w:rPr>
          <w:rStyle w:val="SubtleEmphasis"/>
          <w:i w:val="0"/>
          <w:iCs w:val="0"/>
          <w:color w:val="auto"/>
          <w:lang w:val="en-US"/>
        </w:rPr>
        <w:t>B,E)</w:t>
      </w:r>
      <w:r w:rsidR="002C2D25" w:rsidRPr="00E33741">
        <w:rPr>
          <w:rStyle w:val="SubtleEmphasis"/>
          <w:i w:val="0"/>
          <w:iCs w:val="0"/>
          <w:color w:val="auto"/>
          <w:lang w:val="en-US"/>
        </w:rPr>
        <w:t>. Then, similar to what was observed for the dumbbell dispersion, the particles have completely aggregated when the modification was performed (</w:t>
      </w:r>
      <w:r w:rsidR="00E33741" w:rsidRPr="00E33741">
        <w:rPr>
          <w:rStyle w:val="SubtleEmphasis"/>
          <w:i w:val="0"/>
          <w:iCs w:val="0"/>
          <w:color w:val="auto"/>
          <w:lang w:val="en-US"/>
        </w:rPr>
        <w:fldChar w:fldCharType="begin"/>
      </w:r>
      <w:r w:rsidR="00E33741" w:rsidRPr="00E33741">
        <w:rPr>
          <w:rStyle w:val="SubtleEmphasis"/>
          <w:i w:val="0"/>
          <w:iCs w:val="0"/>
          <w:color w:val="auto"/>
          <w:lang w:val="en-US"/>
        </w:rPr>
        <w:instrText xml:space="preserve"> REF _Ref31889065 \h </w:instrText>
      </w:r>
      <w:r w:rsidR="00E33741">
        <w:rPr>
          <w:rStyle w:val="SubtleEmphasis"/>
          <w:i w:val="0"/>
          <w:iCs w:val="0"/>
          <w:color w:val="auto"/>
          <w:lang w:val="en-US"/>
        </w:rPr>
        <w:instrText xml:space="preserve"> \* MERGEFORMAT </w:instrText>
      </w:r>
      <w:r w:rsidR="00E33741" w:rsidRPr="00E33741">
        <w:rPr>
          <w:rStyle w:val="SubtleEmphasis"/>
          <w:i w:val="0"/>
          <w:iCs w:val="0"/>
          <w:color w:val="auto"/>
          <w:lang w:val="en-US"/>
        </w:rPr>
      </w:r>
      <w:r w:rsidR="00E33741" w:rsidRPr="00E33741">
        <w:rPr>
          <w:rStyle w:val="SubtleEmphasis"/>
          <w:i w:val="0"/>
          <w:iCs w:val="0"/>
          <w:color w:val="auto"/>
          <w:lang w:val="en-US"/>
        </w:rPr>
        <w:fldChar w:fldCharType="separate"/>
      </w:r>
      <w:r w:rsidR="00E33741" w:rsidRPr="00E33741">
        <w:rPr>
          <w:lang w:val="en-US"/>
        </w:rPr>
        <w:t xml:space="preserve">Figure </w:t>
      </w:r>
      <w:r w:rsidR="00E33741" w:rsidRPr="00E33741">
        <w:rPr>
          <w:noProof/>
          <w:lang w:val="en-US"/>
        </w:rPr>
        <w:t>52</w:t>
      </w:r>
      <w:r w:rsidR="00E33741" w:rsidRPr="00E33741">
        <w:rPr>
          <w:rStyle w:val="SubtleEmphasis"/>
          <w:i w:val="0"/>
          <w:iCs w:val="0"/>
          <w:color w:val="auto"/>
          <w:lang w:val="en-US"/>
        </w:rPr>
        <w:fldChar w:fldCharType="end"/>
      </w:r>
      <w:r w:rsidR="002C2D25" w:rsidRPr="00E33741">
        <w:rPr>
          <w:rStyle w:val="SubtleEmphasis"/>
          <w:i w:val="0"/>
          <w:iCs w:val="0"/>
          <w:color w:val="auto"/>
          <w:lang w:val="en-US"/>
        </w:rPr>
        <w:fldChar w:fldCharType="begin"/>
      </w:r>
      <w:r w:rsidR="002C2D25" w:rsidRPr="00E33741">
        <w:rPr>
          <w:rStyle w:val="SubtleEmphasis"/>
          <w:i w:val="0"/>
          <w:iCs w:val="0"/>
          <w:color w:val="auto"/>
          <w:lang w:val="en-US"/>
        </w:rPr>
        <w:instrText xml:space="preserve"> REF _Ref31715087 \h  \* MERGEFORMAT </w:instrText>
      </w:r>
      <w:r w:rsidR="002C2D25" w:rsidRPr="00E33741">
        <w:rPr>
          <w:rStyle w:val="SubtleEmphasis"/>
          <w:i w:val="0"/>
          <w:iCs w:val="0"/>
          <w:color w:val="auto"/>
          <w:lang w:val="en-US"/>
        </w:rPr>
      </w:r>
      <w:r w:rsidR="002C2D25" w:rsidRPr="00E33741">
        <w:rPr>
          <w:rStyle w:val="SubtleEmphasis"/>
          <w:i w:val="0"/>
          <w:iCs w:val="0"/>
          <w:color w:val="auto"/>
          <w:lang w:val="en-US"/>
        </w:rPr>
        <w:fldChar w:fldCharType="separate"/>
      </w:r>
      <w:r w:rsidR="00C52506" w:rsidRPr="00E33741">
        <w:rPr>
          <w:rStyle w:val="SubtleEmphasis"/>
          <w:i w:val="0"/>
          <w:color w:val="auto"/>
          <w:lang w:val="en-US"/>
        </w:rPr>
        <w:t xml:space="preserve"> </w:t>
      </w:r>
      <w:r w:rsidR="002C2D25" w:rsidRPr="00E33741">
        <w:rPr>
          <w:rStyle w:val="SubtleEmphasis"/>
          <w:i w:val="0"/>
          <w:iCs w:val="0"/>
          <w:color w:val="auto"/>
          <w:lang w:val="en-US"/>
        </w:rPr>
        <w:fldChar w:fldCharType="end"/>
      </w:r>
      <w:r w:rsidR="002C2D25" w:rsidRPr="00E33741">
        <w:rPr>
          <w:rStyle w:val="SubtleEmphasis"/>
          <w:i w:val="0"/>
          <w:iCs w:val="0"/>
          <w:color w:val="auto"/>
          <w:lang w:val="en-US"/>
        </w:rPr>
        <w:t xml:space="preserve">C,F). </w:t>
      </w:r>
    </w:p>
    <w:p w:rsidR="002E3CA4" w:rsidRDefault="002E3CA4" w:rsidP="00FC7A2B">
      <w:pPr>
        <w:spacing w:line="240" w:lineRule="auto"/>
        <w:rPr>
          <w:rStyle w:val="SubtleEmphasis"/>
          <w:i w:val="0"/>
          <w:iCs w:val="0"/>
          <w:color w:val="auto"/>
          <w:lang w:val="en-US"/>
        </w:rPr>
      </w:pPr>
      <w:r>
        <w:rPr>
          <w:noProof/>
        </w:rPr>
        <w:lastRenderedPageBreak/>
        <mc:AlternateContent>
          <mc:Choice Requires="wps">
            <w:drawing>
              <wp:anchor distT="0" distB="0" distL="114300" distR="114300" simplePos="0" relativeHeight="251736064" behindDoc="0" locked="0" layoutInCell="1" allowOverlap="1" wp14:anchorId="7543AD11" wp14:editId="40536873">
                <wp:simplePos x="0" y="0"/>
                <wp:positionH relativeFrom="column">
                  <wp:posOffset>-262578</wp:posOffset>
                </wp:positionH>
                <wp:positionV relativeFrom="paragraph">
                  <wp:posOffset>7357733</wp:posOffset>
                </wp:positionV>
                <wp:extent cx="6634480" cy="361950"/>
                <wp:effectExtent l="0" t="0" r="0" b="0"/>
                <wp:wrapThrough wrapText="bothSides">
                  <wp:wrapPolygon edited="0">
                    <wp:start x="0" y="0"/>
                    <wp:lineTo x="0" y="20463"/>
                    <wp:lineTo x="21521" y="20463"/>
                    <wp:lineTo x="21521"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6634480" cy="361950"/>
                        </a:xfrm>
                        <a:prstGeom prst="rect">
                          <a:avLst/>
                        </a:prstGeom>
                        <a:solidFill>
                          <a:prstClr val="white"/>
                        </a:solidFill>
                        <a:ln>
                          <a:noFill/>
                        </a:ln>
                      </wps:spPr>
                      <wps:txbx>
                        <w:txbxContent>
                          <w:p w:rsidR="00ED05BD" w:rsidRPr="00A350C8" w:rsidRDefault="00ED05BD" w:rsidP="00A350C8">
                            <w:pPr>
                              <w:pStyle w:val="Caption"/>
                              <w:jc w:val="center"/>
                              <w:rPr>
                                <w:noProof/>
                                <w:color w:val="auto"/>
                                <w:sz w:val="20"/>
                                <w:szCs w:val="20"/>
                                <w:lang w:val="en-US"/>
                              </w:rPr>
                            </w:pPr>
                            <w:bookmarkStart w:id="122" w:name="_Ref31889065"/>
                            <w:r w:rsidRPr="00A350C8">
                              <w:rPr>
                                <w:color w:val="auto"/>
                                <w:sz w:val="20"/>
                                <w:szCs w:val="20"/>
                                <w:lang w:val="en-US"/>
                              </w:rPr>
                              <w:t xml:space="preserve">Figure </w:t>
                            </w:r>
                            <w:r w:rsidRPr="00A350C8">
                              <w:rPr>
                                <w:color w:val="auto"/>
                                <w:sz w:val="20"/>
                                <w:szCs w:val="20"/>
                              </w:rPr>
                              <w:fldChar w:fldCharType="begin"/>
                            </w:r>
                            <w:r w:rsidRPr="00A350C8">
                              <w:rPr>
                                <w:color w:val="auto"/>
                                <w:sz w:val="20"/>
                                <w:szCs w:val="20"/>
                                <w:lang w:val="en-US"/>
                              </w:rPr>
                              <w:instrText xml:space="preserve"> SEQ Figure \* ARABIC </w:instrText>
                            </w:r>
                            <w:r w:rsidRPr="00A350C8">
                              <w:rPr>
                                <w:color w:val="auto"/>
                                <w:sz w:val="20"/>
                                <w:szCs w:val="20"/>
                              </w:rPr>
                              <w:fldChar w:fldCharType="separate"/>
                            </w:r>
                            <w:r w:rsidRPr="00A350C8">
                              <w:rPr>
                                <w:noProof/>
                                <w:color w:val="auto"/>
                                <w:sz w:val="20"/>
                                <w:szCs w:val="20"/>
                                <w:lang w:val="en-US"/>
                              </w:rPr>
                              <w:t>52</w:t>
                            </w:r>
                            <w:r w:rsidRPr="00A350C8">
                              <w:rPr>
                                <w:color w:val="auto"/>
                                <w:sz w:val="20"/>
                                <w:szCs w:val="20"/>
                              </w:rPr>
                              <w:fldChar w:fldCharType="end"/>
                            </w:r>
                            <w:bookmarkEnd w:id="122"/>
                            <w:r w:rsidRPr="00A350C8">
                              <w:rPr>
                                <w:color w:val="auto"/>
                                <w:sz w:val="20"/>
                                <w:szCs w:val="20"/>
                                <w:lang w:val="en-US"/>
                              </w:rPr>
                              <w:t>: Bright field and layered Bodipy</w:t>
                            </w:r>
                            <w:r>
                              <w:rPr>
                                <w:color w:val="auto"/>
                                <w:sz w:val="20"/>
                                <w:szCs w:val="20"/>
                                <w:lang w:val="en-US"/>
                              </w:rPr>
                              <w:t xml:space="preserve"> (yellow)</w:t>
                            </w:r>
                            <w:r w:rsidRPr="00A350C8">
                              <w:rPr>
                                <w:color w:val="auto"/>
                                <w:sz w:val="20"/>
                                <w:szCs w:val="20"/>
                                <w:lang w:val="en-US"/>
                              </w:rPr>
                              <w:t>/Rhod-B</w:t>
                            </w:r>
                            <w:r>
                              <w:rPr>
                                <w:color w:val="auto"/>
                                <w:sz w:val="20"/>
                                <w:szCs w:val="20"/>
                                <w:lang w:val="en-US"/>
                              </w:rPr>
                              <w:t xml:space="preserve"> (red)</w:t>
                            </w:r>
                            <w:r w:rsidRPr="00A350C8">
                              <w:rPr>
                                <w:color w:val="auto"/>
                                <w:sz w:val="20"/>
                                <w:szCs w:val="20"/>
                                <w:lang w:val="en-US"/>
                              </w:rPr>
                              <w:t xml:space="preserve"> layered fluorescent images of the dispersion containing nPS and TPM-1. </w:t>
                            </w:r>
                            <w:r w:rsidRPr="002637E3">
                              <w:rPr>
                                <w:b/>
                                <w:bCs/>
                                <w:color w:val="auto"/>
                                <w:sz w:val="20"/>
                                <w:szCs w:val="20"/>
                                <w:lang w:val="en-US"/>
                              </w:rPr>
                              <w:t>A,D</w:t>
                            </w:r>
                            <w:r w:rsidRPr="00A350C8">
                              <w:rPr>
                                <w:color w:val="auto"/>
                                <w:sz w:val="20"/>
                                <w:szCs w:val="20"/>
                                <w:lang w:val="en-US"/>
                              </w:rPr>
                              <w:t xml:space="preserve">: In water. </w:t>
                            </w:r>
                            <w:r w:rsidRPr="002637E3">
                              <w:rPr>
                                <w:b/>
                                <w:bCs/>
                                <w:color w:val="auto"/>
                                <w:sz w:val="20"/>
                                <w:szCs w:val="20"/>
                                <w:lang w:val="en-US"/>
                              </w:rPr>
                              <w:t>B,E</w:t>
                            </w:r>
                            <w:r w:rsidRPr="00A350C8">
                              <w:rPr>
                                <w:color w:val="auto"/>
                                <w:sz w:val="20"/>
                                <w:szCs w:val="20"/>
                                <w:lang w:val="en-US"/>
                              </w:rPr>
                              <w:t xml:space="preserve">: In modification environment. </w:t>
                            </w:r>
                            <w:r w:rsidRPr="002637E3">
                              <w:rPr>
                                <w:b/>
                                <w:bCs/>
                                <w:color w:val="auto"/>
                                <w:sz w:val="20"/>
                                <w:szCs w:val="20"/>
                                <w:lang w:val="en-US"/>
                              </w:rPr>
                              <w:t>C,F</w:t>
                            </w:r>
                            <w:r w:rsidRPr="00A350C8">
                              <w:rPr>
                                <w:color w:val="auto"/>
                                <w:sz w:val="20"/>
                                <w:szCs w:val="20"/>
                                <w:lang w:val="en-US"/>
                              </w:rPr>
                              <w:t>: Unwashed after modification.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3AD11" id="Text Box 18" o:spid="_x0000_s1035" type="#_x0000_t202" style="position:absolute;margin-left:-20.7pt;margin-top:579.35pt;width:522.4pt;height:28.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" stroked="f">
                <v:textbox inset="0,0,0,0">
                  <w:txbxContent>
                    <w:p w:rsidR="00ED05BD" w:rsidRPr="00A350C8" w:rsidRDefault="00ED05BD" w:rsidP="00A350C8">
                      <w:pPr>
                        <w:pStyle w:val="Caption"/>
                        <w:jc w:val="center"/>
                        <w:rPr>
                          <w:noProof/>
                          <w:color w:val="auto"/>
                          <w:sz w:val="20"/>
                          <w:szCs w:val="20"/>
                          <w:lang w:val="en-US"/>
                        </w:rPr>
                      </w:pPr>
                      <w:bookmarkStart w:id="132" w:name="_Ref31889065"/>
                      <w:r w:rsidRPr="00A350C8">
                        <w:rPr>
                          <w:color w:val="auto"/>
                          <w:sz w:val="20"/>
                          <w:szCs w:val="20"/>
                          <w:lang w:val="en-US"/>
                        </w:rPr>
                        <w:t xml:space="preserve">Figure </w:t>
                      </w:r>
                      <w:r w:rsidRPr="00A350C8">
                        <w:rPr>
                          <w:color w:val="auto"/>
                          <w:sz w:val="20"/>
                          <w:szCs w:val="20"/>
                        </w:rPr>
                        <w:fldChar w:fldCharType="begin"/>
                      </w:r>
                      <w:r w:rsidRPr="00A350C8">
                        <w:rPr>
                          <w:color w:val="auto"/>
                          <w:sz w:val="20"/>
                          <w:szCs w:val="20"/>
                          <w:lang w:val="en-US"/>
                        </w:rPr>
                        <w:instrText xml:space="preserve"> SEQ Figure \* ARABIC </w:instrText>
                      </w:r>
                      <w:r w:rsidRPr="00A350C8">
                        <w:rPr>
                          <w:color w:val="auto"/>
                          <w:sz w:val="20"/>
                          <w:szCs w:val="20"/>
                        </w:rPr>
                        <w:fldChar w:fldCharType="separate"/>
                      </w:r>
                      <w:r w:rsidRPr="00A350C8">
                        <w:rPr>
                          <w:noProof/>
                          <w:color w:val="auto"/>
                          <w:sz w:val="20"/>
                          <w:szCs w:val="20"/>
                          <w:lang w:val="en-US"/>
                        </w:rPr>
                        <w:t>52</w:t>
                      </w:r>
                      <w:r w:rsidRPr="00A350C8">
                        <w:rPr>
                          <w:color w:val="auto"/>
                          <w:sz w:val="20"/>
                          <w:szCs w:val="20"/>
                        </w:rPr>
                        <w:fldChar w:fldCharType="end"/>
                      </w:r>
                      <w:bookmarkEnd w:id="132"/>
                      <w:r w:rsidRPr="00A350C8">
                        <w:rPr>
                          <w:color w:val="auto"/>
                          <w:sz w:val="20"/>
                          <w:szCs w:val="20"/>
                          <w:lang w:val="en-US"/>
                        </w:rPr>
                        <w:t xml:space="preserve">: Bright field and layered </w:t>
                      </w:r>
                      <w:proofErr w:type="spellStart"/>
                      <w:r w:rsidRPr="00A350C8">
                        <w:rPr>
                          <w:color w:val="auto"/>
                          <w:sz w:val="20"/>
                          <w:szCs w:val="20"/>
                          <w:lang w:val="en-US"/>
                        </w:rPr>
                        <w:t>Bodipy</w:t>
                      </w:r>
                      <w:proofErr w:type="spellEnd"/>
                      <w:r>
                        <w:rPr>
                          <w:color w:val="auto"/>
                          <w:sz w:val="20"/>
                          <w:szCs w:val="20"/>
                          <w:lang w:val="en-US"/>
                        </w:rPr>
                        <w:t xml:space="preserve"> (yellow)</w:t>
                      </w:r>
                      <w:r w:rsidRPr="00A350C8">
                        <w:rPr>
                          <w:color w:val="auto"/>
                          <w:sz w:val="20"/>
                          <w:szCs w:val="20"/>
                          <w:lang w:val="en-US"/>
                        </w:rPr>
                        <w:t>/</w:t>
                      </w:r>
                      <w:proofErr w:type="spellStart"/>
                      <w:r w:rsidRPr="00A350C8">
                        <w:rPr>
                          <w:color w:val="auto"/>
                          <w:sz w:val="20"/>
                          <w:szCs w:val="20"/>
                          <w:lang w:val="en-US"/>
                        </w:rPr>
                        <w:t>Rhod</w:t>
                      </w:r>
                      <w:proofErr w:type="spellEnd"/>
                      <w:r w:rsidRPr="00A350C8">
                        <w:rPr>
                          <w:color w:val="auto"/>
                          <w:sz w:val="20"/>
                          <w:szCs w:val="20"/>
                          <w:lang w:val="en-US"/>
                        </w:rPr>
                        <w:t>-B</w:t>
                      </w:r>
                      <w:r>
                        <w:rPr>
                          <w:color w:val="auto"/>
                          <w:sz w:val="20"/>
                          <w:szCs w:val="20"/>
                          <w:lang w:val="en-US"/>
                        </w:rPr>
                        <w:t xml:space="preserve"> (red)</w:t>
                      </w:r>
                      <w:r w:rsidRPr="00A350C8">
                        <w:rPr>
                          <w:color w:val="auto"/>
                          <w:sz w:val="20"/>
                          <w:szCs w:val="20"/>
                          <w:lang w:val="en-US"/>
                        </w:rPr>
                        <w:t xml:space="preserve"> layered fluorescent images of the dispersion containing </w:t>
                      </w:r>
                      <w:proofErr w:type="spellStart"/>
                      <w:r w:rsidRPr="00A350C8">
                        <w:rPr>
                          <w:color w:val="auto"/>
                          <w:sz w:val="20"/>
                          <w:szCs w:val="20"/>
                          <w:lang w:val="en-US"/>
                        </w:rPr>
                        <w:t>nPS</w:t>
                      </w:r>
                      <w:proofErr w:type="spellEnd"/>
                      <w:r w:rsidRPr="00A350C8">
                        <w:rPr>
                          <w:color w:val="auto"/>
                          <w:sz w:val="20"/>
                          <w:szCs w:val="20"/>
                          <w:lang w:val="en-US"/>
                        </w:rPr>
                        <w:t xml:space="preserve"> and TPM-1. </w:t>
                      </w:r>
                      <w:r w:rsidRPr="002637E3">
                        <w:rPr>
                          <w:b/>
                          <w:bCs/>
                          <w:color w:val="auto"/>
                          <w:sz w:val="20"/>
                          <w:szCs w:val="20"/>
                          <w:lang w:val="en-US"/>
                        </w:rPr>
                        <w:t>A,D</w:t>
                      </w:r>
                      <w:r w:rsidRPr="00A350C8">
                        <w:rPr>
                          <w:color w:val="auto"/>
                          <w:sz w:val="20"/>
                          <w:szCs w:val="20"/>
                          <w:lang w:val="en-US"/>
                        </w:rPr>
                        <w:t xml:space="preserve">: In water. </w:t>
                      </w:r>
                      <w:r w:rsidRPr="002637E3">
                        <w:rPr>
                          <w:b/>
                          <w:bCs/>
                          <w:color w:val="auto"/>
                          <w:sz w:val="20"/>
                          <w:szCs w:val="20"/>
                          <w:lang w:val="en-US"/>
                        </w:rPr>
                        <w:t>B,E</w:t>
                      </w:r>
                      <w:r w:rsidRPr="00A350C8">
                        <w:rPr>
                          <w:color w:val="auto"/>
                          <w:sz w:val="20"/>
                          <w:szCs w:val="20"/>
                          <w:lang w:val="en-US"/>
                        </w:rPr>
                        <w:t xml:space="preserve">: In modification environment. </w:t>
                      </w:r>
                      <w:r w:rsidRPr="002637E3">
                        <w:rPr>
                          <w:b/>
                          <w:bCs/>
                          <w:color w:val="auto"/>
                          <w:sz w:val="20"/>
                          <w:szCs w:val="20"/>
                          <w:lang w:val="en-US"/>
                        </w:rPr>
                        <w:t>C,F</w:t>
                      </w:r>
                      <w:r w:rsidRPr="00A350C8">
                        <w:rPr>
                          <w:color w:val="auto"/>
                          <w:sz w:val="20"/>
                          <w:szCs w:val="20"/>
                          <w:lang w:val="en-US"/>
                        </w:rPr>
                        <w:t>: Unwashed after modification.</w:t>
                      </w:r>
                    </w:p>
                  </w:txbxContent>
                </v:textbox>
                <w10:wrap type="through"/>
              </v:shape>
            </w:pict>
          </mc:Fallback>
        </mc:AlternateContent>
      </w:r>
      <w:r>
        <w:rPr>
          <w:iCs/>
          <w:noProof/>
          <w:lang w:val="en-US"/>
        </w:rPr>
        <w:drawing>
          <wp:anchor distT="0" distB="0" distL="114300" distR="114300" simplePos="0" relativeHeight="251734016" behindDoc="0" locked="0" layoutInCell="1" allowOverlap="1">
            <wp:simplePos x="0" y="0"/>
            <wp:positionH relativeFrom="column">
              <wp:posOffset>-451545</wp:posOffset>
            </wp:positionH>
            <wp:positionV relativeFrom="paragraph">
              <wp:posOffset>2681090</wp:posOffset>
            </wp:positionV>
            <wp:extent cx="7071360" cy="4675505"/>
            <wp:effectExtent l="0" t="0" r="0" b="0"/>
            <wp:wrapThrough wrapText="bothSides">
              <wp:wrapPolygon edited="0">
                <wp:start x="0" y="0"/>
                <wp:lineTo x="0" y="21474"/>
                <wp:lineTo x="21530" y="21474"/>
                <wp:lineTo x="21530" y="0"/>
                <wp:lineTo x="0" y="0"/>
              </wp:wrapPolygon>
            </wp:wrapThrough>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lectie alle plaatjes.jpg"/>
                    <pic:cNvPicPr/>
                  </pic:nvPicPr>
                  <pic:blipFill>
                    <a:blip r:embed="rId73">
                      <a:extLst>
                        <a:ext uri="{28A0092B-C50C-407E-A947-70E740481C1C}">
                          <a14:useLocalDpi xmlns:a14="http://schemas.microsoft.com/office/drawing/2010/main" val="0"/>
                        </a:ext>
                      </a:extLst>
                    </a:blip>
                    <a:stretch>
                      <a:fillRect/>
                    </a:stretch>
                  </pic:blipFill>
                  <pic:spPr>
                    <a:xfrm>
                      <a:off x="0" y="0"/>
                      <a:ext cx="7071360" cy="4675505"/>
                    </a:xfrm>
                    <a:prstGeom prst="rect">
                      <a:avLst/>
                    </a:prstGeom>
                  </pic:spPr>
                </pic:pic>
              </a:graphicData>
            </a:graphic>
            <wp14:sizeRelH relativeFrom="margin">
              <wp14:pctWidth>0</wp14:pctWidth>
            </wp14:sizeRelH>
            <wp14:sizeRelV relativeFrom="margin">
              <wp14:pctHeight>0</wp14:pctHeight>
            </wp14:sizeRelV>
          </wp:anchor>
        </w:drawing>
      </w:r>
      <w:r w:rsidR="00E33741" w:rsidRPr="0069618E">
        <w:rPr>
          <w:noProof/>
        </w:rPr>
        <mc:AlternateContent>
          <mc:Choice Requires="wps">
            <w:drawing>
              <wp:anchor distT="0" distB="0" distL="114300" distR="114300" simplePos="0" relativeHeight="251692032" behindDoc="0" locked="0" layoutInCell="1" allowOverlap="1" wp14:anchorId="4051252D" wp14:editId="040BFEDA">
                <wp:simplePos x="0" y="0"/>
                <wp:positionH relativeFrom="column">
                  <wp:posOffset>167640</wp:posOffset>
                </wp:positionH>
                <wp:positionV relativeFrom="paragraph">
                  <wp:posOffset>2346325</wp:posOffset>
                </wp:positionV>
                <wp:extent cx="5684520" cy="335915"/>
                <wp:effectExtent l="0" t="0" r="0" b="6985"/>
                <wp:wrapTopAndBottom/>
                <wp:docPr id="28" name="Text Box 28"/>
                <wp:cNvGraphicFramePr/>
                <a:graphic xmlns:a="http://schemas.openxmlformats.org/drawingml/2006/main">
                  <a:graphicData uri="http://schemas.microsoft.com/office/word/2010/wordprocessingShape">
                    <wps:wsp>
                      <wps:cNvSpPr txBox="1"/>
                      <wps:spPr>
                        <a:xfrm>
                          <a:off x="0" y="0"/>
                          <a:ext cx="5684520" cy="335915"/>
                        </a:xfrm>
                        <a:prstGeom prst="rect">
                          <a:avLst/>
                        </a:prstGeom>
                        <a:solidFill>
                          <a:prstClr val="white"/>
                        </a:solidFill>
                        <a:ln>
                          <a:noFill/>
                        </a:ln>
                      </wps:spPr>
                      <wps:txbx>
                        <w:txbxContent>
                          <w:p w:rsidR="00ED05BD" w:rsidRPr="00730438" w:rsidRDefault="00ED05BD" w:rsidP="004F00F9">
                            <w:pPr>
                              <w:pStyle w:val="Caption"/>
                              <w:jc w:val="center"/>
                              <w:rPr>
                                <w:noProof/>
                                <w:color w:val="auto"/>
                                <w:sz w:val="20"/>
                                <w:szCs w:val="20"/>
                                <w:lang w:val="en-US"/>
                              </w:rPr>
                            </w:pPr>
                            <w:bookmarkStart w:id="123" w:name="_Ref29915383"/>
                            <w:r>
                              <w:rPr>
                                <w:color w:val="auto"/>
                                <w:sz w:val="20"/>
                                <w:szCs w:val="20"/>
                                <w:lang w:val="en-US"/>
                              </w:rPr>
                              <w:t>Figure</w:t>
                            </w:r>
                            <w:r w:rsidRPr="00730438">
                              <w:rPr>
                                <w:color w:val="auto"/>
                                <w:sz w:val="20"/>
                                <w:szCs w:val="20"/>
                                <w:lang w:val="en-US"/>
                              </w:rPr>
                              <w:t xml:space="preserve"> </w:t>
                            </w:r>
                            <w:r w:rsidRPr="00730438">
                              <w:rPr>
                                <w:color w:val="auto"/>
                                <w:sz w:val="20"/>
                                <w:szCs w:val="20"/>
                              </w:rPr>
                              <w:fldChar w:fldCharType="begin"/>
                            </w:r>
                            <w:r w:rsidRPr="00730438">
                              <w:rPr>
                                <w:color w:val="auto"/>
                                <w:sz w:val="20"/>
                                <w:szCs w:val="20"/>
                                <w:lang w:val="en-US"/>
                              </w:rPr>
                              <w:instrText xml:space="preserve"> SEQ Figure \* ARABIC </w:instrText>
                            </w:r>
                            <w:r w:rsidRPr="00730438">
                              <w:rPr>
                                <w:color w:val="auto"/>
                                <w:sz w:val="20"/>
                                <w:szCs w:val="20"/>
                              </w:rPr>
                              <w:fldChar w:fldCharType="separate"/>
                            </w:r>
                            <w:r>
                              <w:rPr>
                                <w:noProof/>
                                <w:color w:val="auto"/>
                                <w:sz w:val="20"/>
                                <w:szCs w:val="20"/>
                                <w:lang w:val="en-US"/>
                              </w:rPr>
                              <w:t>51</w:t>
                            </w:r>
                            <w:r w:rsidRPr="00730438">
                              <w:rPr>
                                <w:color w:val="auto"/>
                                <w:sz w:val="20"/>
                                <w:szCs w:val="20"/>
                              </w:rPr>
                              <w:fldChar w:fldCharType="end"/>
                            </w:r>
                            <w:bookmarkEnd w:id="123"/>
                            <w:r w:rsidRPr="00730438">
                              <w:rPr>
                                <w:color w:val="auto"/>
                                <w:sz w:val="20"/>
                                <w:szCs w:val="20"/>
                                <w:lang w:val="en-US"/>
                              </w:rPr>
                              <w:t xml:space="preserve">: Optical micrographs of DB-1. </w:t>
                            </w:r>
                            <w:r w:rsidRPr="00730438">
                              <w:rPr>
                                <w:b/>
                                <w:color w:val="auto"/>
                                <w:sz w:val="20"/>
                                <w:szCs w:val="20"/>
                                <w:lang w:val="en-US"/>
                              </w:rPr>
                              <w:t>A</w:t>
                            </w:r>
                            <w:r w:rsidRPr="00730438">
                              <w:rPr>
                                <w:color w:val="auto"/>
                                <w:sz w:val="20"/>
                                <w:szCs w:val="20"/>
                                <w:lang w:val="en-US"/>
                              </w:rPr>
                              <w:t xml:space="preserve">: Unmodified in water, </w:t>
                            </w:r>
                            <w:r w:rsidRPr="00730438">
                              <w:rPr>
                                <w:b/>
                                <w:color w:val="auto"/>
                                <w:sz w:val="20"/>
                                <w:szCs w:val="20"/>
                                <w:lang w:val="en-US"/>
                              </w:rPr>
                              <w:t>B</w:t>
                            </w:r>
                            <w:r w:rsidRPr="00730438">
                              <w:rPr>
                                <w:color w:val="auto"/>
                                <w:sz w:val="20"/>
                                <w:szCs w:val="20"/>
                                <w:lang w:val="en-US"/>
                              </w:rPr>
                              <w:t xml:space="preserve">: Unmodified in modification environment, </w:t>
                            </w:r>
                            <w:r w:rsidRPr="00730438">
                              <w:rPr>
                                <w:b/>
                                <w:color w:val="auto"/>
                                <w:sz w:val="20"/>
                                <w:szCs w:val="20"/>
                                <w:lang w:val="en-US"/>
                              </w:rPr>
                              <w:t>C</w:t>
                            </w:r>
                            <w:r w:rsidRPr="00730438">
                              <w:rPr>
                                <w:color w:val="auto"/>
                                <w:sz w:val="20"/>
                                <w:szCs w:val="20"/>
                                <w:lang w:val="en-US"/>
                              </w:rPr>
                              <w:t>: Modified in modification environment.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1252D" id="Text Box 28" o:spid="_x0000_s1036" type="#_x0000_t202" style="position:absolute;margin-left:13.2pt;margin-top:184.75pt;width:447.6pt;height:2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" stroked="f">
                <v:textbox inset="0,0,0,0">
                  <w:txbxContent>
                    <w:p w:rsidR="00ED05BD" w:rsidRPr="00730438" w:rsidRDefault="00ED05BD" w:rsidP="004F00F9">
                      <w:pPr>
                        <w:pStyle w:val="Caption"/>
                        <w:jc w:val="center"/>
                        <w:rPr>
                          <w:noProof/>
                          <w:color w:val="auto"/>
                          <w:sz w:val="20"/>
                          <w:szCs w:val="20"/>
                          <w:lang w:val="en-US"/>
                        </w:rPr>
                      </w:pPr>
                      <w:bookmarkStart w:id="134" w:name="_Ref29915383"/>
                      <w:r>
                        <w:rPr>
                          <w:color w:val="auto"/>
                          <w:sz w:val="20"/>
                          <w:szCs w:val="20"/>
                          <w:lang w:val="en-US"/>
                        </w:rPr>
                        <w:t>Figure</w:t>
                      </w:r>
                      <w:r w:rsidRPr="00730438">
                        <w:rPr>
                          <w:color w:val="auto"/>
                          <w:sz w:val="20"/>
                          <w:szCs w:val="20"/>
                          <w:lang w:val="en-US"/>
                        </w:rPr>
                        <w:t xml:space="preserve"> </w:t>
                      </w:r>
                      <w:r w:rsidRPr="00730438">
                        <w:rPr>
                          <w:color w:val="auto"/>
                          <w:sz w:val="20"/>
                          <w:szCs w:val="20"/>
                        </w:rPr>
                        <w:fldChar w:fldCharType="begin"/>
                      </w:r>
                      <w:r w:rsidRPr="00730438">
                        <w:rPr>
                          <w:color w:val="auto"/>
                          <w:sz w:val="20"/>
                          <w:szCs w:val="20"/>
                          <w:lang w:val="en-US"/>
                        </w:rPr>
                        <w:instrText xml:space="preserve"> SEQ Figure \* ARABIC </w:instrText>
                      </w:r>
                      <w:r w:rsidRPr="00730438">
                        <w:rPr>
                          <w:color w:val="auto"/>
                          <w:sz w:val="20"/>
                          <w:szCs w:val="20"/>
                        </w:rPr>
                        <w:fldChar w:fldCharType="separate"/>
                      </w:r>
                      <w:r>
                        <w:rPr>
                          <w:noProof/>
                          <w:color w:val="auto"/>
                          <w:sz w:val="20"/>
                          <w:szCs w:val="20"/>
                          <w:lang w:val="en-US"/>
                        </w:rPr>
                        <w:t>51</w:t>
                      </w:r>
                      <w:r w:rsidRPr="00730438">
                        <w:rPr>
                          <w:color w:val="auto"/>
                          <w:sz w:val="20"/>
                          <w:szCs w:val="20"/>
                        </w:rPr>
                        <w:fldChar w:fldCharType="end"/>
                      </w:r>
                      <w:bookmarkEnd w:id="134"/>
                      <w:r w:rsidRPr="00730438">
                        <w:rPr>
                          <w:color w:val="auto"/>
                          <w:sz w:val="20"/>
                          <w:szCs w:val="20"/>
                          <w:lang w:val="en-US"/>
                        </w:rPr>
                        <w:t xml:space="preserve">: Optical micrographs of DB-1. </w:t>
                      </w:r>
                      <w:r w:rsidRPr="00730438">
                        <w:rPr>
                          <w:b/>
                          <w:color w:val="auto"/>
                          <w:sz w:val="20"/>
                          <w:szCs w:val="20"/>
                          <w:lang w:val="en-US"/>
                        </w:rPr>
                        <w:t>A</w:t>
                      </w:r>
                      <w:r w:rsidRPr="00730438">
                        <w:rPr>
                          <w:color w:val="auto"/>
                          <w:sz w:val="20"/>
                          <w:szCs w:val="20"/>
                          <w:lang w:val="en-US"/>
                        </w:rPr>
                        <w:t xml:space="preserve">: Unmodified in water, </w:t>
                      </w:r>
                      <w:r w:rsidRPr="00730438">
                        <w:rPr>
                          <w:b/>
                          <w:color w:val="auto"/>
                          <w:sz w:val="20"/>
                          <w:szCs w:val="20"/>
                          <w:lang w:val="en-US"/>
                        </w:rPr>
                        <w:t>B</w:t>
                      </w:r>
                      <w:r w:rsidRPr="00730438">
                        <w:rPr>
                          <w:color w:val="auto"/>
                          <w:sz w:val="20"/>
                          <w:szCs w:val="20"/>
                          <w:lang w:val="en-US"/>
                        </w:rPr>
                        <w:t xml:space="preserve">: Unmodified in modification environment, </w:t>
                      </w:r>
                      <w:r w:rsidRPr="00730438">
                        <w:rPr>
                          <w:b/>
                          <w:color w:val="auto"/>
                          <w:sz w:val="20"/>
                          <w:szCs w:val="20"/>
                          <w:lang w:val="en-US"/>
                        </w:rPr>
                        <w:t>C</w:t>
                      </w:r>
                      <w:r w:rsidRPr="00730438">
                        <w:rPr>
                          <w:color w:val="auto"/>
                          <w:sz w:val="20"/>
                          <w:szCs w:val="20"/>
                          <w:lang w:val="en-US"/>
                        </w:rPr>
                        <w:t>: Modified in modification environment.</w:t>
                      </w:r>
                    </w:p>
                  </w:txbxContent>
                </v:textbox>
                <w10:wrap type="topAndBottom"/>
              </v:shape>
            </w:pict>
          </mc:Fallback>
        </mc:AlternateContent>
      </w:r>
      <w:r w:rsidR="00E33741" w:rsidRPr="0069618E">
        <w:rPr>
          <w:noProof/>
        </w:rPr>
        <w:drawing>
          <wp:anchor distT="0" distB="0" distL="114300" distR="114300" simplePos="0" relativeHeight="251667456" behindDoc="0" locked="0" layoutInCell="1" allowOverlap="1">
            <wp:simplePos x="0" y="0"/>
            <wp:positionH relativeFrom="column">
              <wp:posOffset>-500380</wp:posOffset>
            </wp:positionH>
            <wp:positionV relativeFrom="paragraph">
              <wp:posOffset>0</wp:posOffset>
            </wp:positionV>
            <wp:extent cx="2349500" cy="2349500"/>
            <wp:effectExtent l="0" t="0" r="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pic:spPr>
                </pic:pic>
              </a:graphicData>
            </a:graphic>
            <wp14:sizeRelH relativeFrom="margin">
              <wp14:pctWidth>0</wp14:pctWidth>
            </wp14:sizeRelH>
            <wp14:sizeRelV relativeFrom="margin">
              <wp14:pctHeight>0</wp14:pctHeight>
            </wp14:sizeRelV>
          </wp:anchor>
        </w:drawing>
      </w:r>
      <w:r w:rsidR="00E33741" w:rsidRPr="0069618E">
        <w:rPr>
          <w:noProof/>
        </w:rPr>
        <w:drawing>
          <wp:anchor distT="0" distB="0" distL="114300" distR="114300" simplePos="0" relativeHeight="251668480" behindDoc="0" locked="0" layoutInCell="1" allowOverlap="1">
            <wp:simplePos x="0" y="0"/>
            <wp:positionH relativeFrom="margin">
              <wp:posOffset>1927225</wp:posOffset>
            </wp:positionH>
            <wp:positionV relativeFrom="paragraph">
              <wp:posOffset>0</wp:posOffset>
            </wp:positionV>
            <wp:extent cx="2365375" cy="2360930"/>
            <wp:effectExtent l="0" t="0" r="0" b="127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5375" cy="2360930"/>
                    </a:xfrm>
                    <a:prstGeom prst="rect">
                      <a:avLst/>
                    </a:prstGeom>
                    <a:noFill/>
                  </pic:spPr>
                </pic:pic>
              </a:graphicData>
            </a:graphic>
            <wp14:sizeRelH relativeFrom="margin">
              <wp14:pctWidth>0</wp14:pctWidth>
            </wp14:sizeRelH>
            <wp14:sizeRelV relativeFrom="margin">
              <wp14:pctHeight>0</wp14:pctHeight>
            </wp14:sizeRelV>
          </wp:anchor>
        </w:drawing>
      </w:r>
      <w:r w:rsidR="00E33741" w:rsidRPr="0069618E">
        <w:rPr>
          <w:noProof/>
        </w:rPr>
        <w:drawing>
          <wp:anchor distT="0" distB="0" distL="114300" distR="114300" simplePos="0" relativeHeight="251669504" behindDoc="0" locked="0" layoutInCell="1" allowOverlap="1">
            <wp:simplePos x="0" y="0"/>
            <wp:positionH relativeFrom="column">
              <wp:posOffset>4380230</wp:posOffset>
            </wp:positionH>
            <wp:positionV relativeFrom="paragraph">
              <wp:posOffset>371</wp:posOffset>
            </wp:positionV>
            <wp:extent cx="2358390" cy="2358390"/>
            <wp:effectExtent l="0" t="0" r="3810" b="381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58390" cy="2358390"/>
                    </a:xfrm>
                    <a:prstGeom prst="rect">
                      <a:avLst/>
                    </a:prstGeom>
                    <a:noFill/>
                  </pic:spPr>
                </pic:pic>
              </a:graphicData>
            </a:graphic>
            <wp14:sizeRelH relativeFrom="margin">
              <wp14:pctWidth>0</wp14:pctWidth>
            </wp14:sizeRelH>
            <wp14:sizeRelV relativeFrom="margin">
              <wp14:pctHeight>0</wp14:pctHeight>
            </wp14:sizeRelV>
          </wp:anchor>
        </w:drawing>
      </w:r>
      <w:r w:rsidR="005E1324">
        <w:rPr>
          <w:rStyle w:val="SubtleEmphasis"/>
          <w:i w:val="0"/>
          <w:iCs w:val="0"/>
          <w:color w:val="auto"/>
          <w:lang w:val="en-US"/>
        </w:rPr>
        <w:t>Based on these results, we presume that some forces facilitate the complete aggregation of the nPS and TPM-1 particles, i.e. the dumbbells, during the actual modification.</w:t>
      </w:r>
      <w:r w:rsidR="00327F66">
        <w:rPr>
          <w:rStyle w:val="SubtleEmphasis"/>
          <w:i w:val="0"/>
          <w:iCs w:val="0"/>
          <w:color w:val="auto"/>
          <w:lang w:val="en-US"/>
        </w:rPr>
        <w:t xml:space="preserve"> When the TPM-1 particles are put through the modification, these are still stable </w:t>
      </w:r>
      <w:r w:rsidR="00327F66" w:rsidRPr="00327F66">
        <w:rPr>
          <w:rStyle w:val="SubtleEmphasis"/>
          <w:i w:val="0"/>
          <w:iCs w:val="0"/>
          <w:color w:val="auto"/>
          <w:lang w:val="en-US"/>
        </w:rPr>
        <w:t>afterwards (</w:t>
      </w:r>
      <w:r w:rsidR="00327F66" w:rsidRPr="00327F66">
        <w:rPr>
          <w:rStyle w:val="SubtleEmphasis"/>
          <w:i w:val="0"/>
          <w:iCs w:val="0"/>
          <w:color w:val="auto"/>
          <w:lang w:val="en-US"/>
        </w:rPr>
        <w:fldChar w:fldCharType="begin"/>
      </w:r>
      <w:r w:rsidR="00327F66" w:rsidRPr="00327F66">
        <w:rPr>
          <w:rStyle w:val="SubtleEmphasis"/>
          <w:i w:val="0"/>
          <w:iCs w:val="0"/>
          <w:color w:val="auto"/>
          <w:lang w:val="en-US"/>
        </w:rPr>
        <w:instrText xml:space="preserve"> REF _Ref29913469 \h </w:instrText>
      </w:r>
      <w:r w:rsidR="00327F66">
        <w:rPr>
          <w:rStyle w:val="SubtleEmphasis"/>
          <w:i w:val="0"/>
          <w:iCs w:val="0"/>
          <w:color w:val="auto"/>
          <w:lang w:val="en-US"/>
        </w:rPr>
        <w:instrText xml:space="preserve"> \* MERGEFORMAT </w:instrText>
      </w:r>
      <w:r w:rsidR="00327F66" w:rsidRPr="00327F66">
        <w:rPr>
          <w:rStyle w:val="SubtleEmphasis"/>
          <w:i w:val="0"/>
          <w:iCs w:val="0"/>
          <w:color w:val="auto"/>
          <w:lang w:val="en-US"/>
        </w:rPr>
      </w:r>
      <w:r w:rsidR="00327F66" w:rsidRPr="00327F66">
        <w:rPr>
          <w:rStyle w:val="SubtleEmphasis"/>
          <w:i w:val="0"/>
          <w:iCs w:val="0"/>
          <w:color w:val="auto"/>
          <w:lang w:val="en-US"/>
        </w:rPr>
        <w:fldChar w:fldCharType="separate"/>
      </w:r>
      <w:r w:rsidR="00C52506" w:rsidRPr="00C52506">
        <w:rPr>
          <w:lang w:val="en-US"/>
        </w:rPr>
        <w:t xml:space="preserve">Figure </w:t>
      </w:r>
      <w:r w:rsidR="00C52506" w:rsidRPr="00C52506">
        <w:rPr>
          <w:noProof/>
          <w:lang w:val="en-US"/>
        </w:rPr>
        <w:t>23</w:t>
      </w:r>
      <w:r w:rsidR="00327F66" w:rsidRPr="00327F66">
        <w:rPr>
          <w:rStyle w:val="SubtleEmphasis"/>
          <w:i w:val="0"/>
          <w:iCs w:val="0"/>
          <w:color w:val="auto"/>
          <w:lang w:val="en-US"/>
        </w:rPr>
        <w:fldChar w:fldCharType="end"/>
      </w:r>
      <w:r w:rsidR="00327F66">
        <w:rPr>
          <w:rStyle w:val="SubtleEmphasis"/>
          <w:i w:val="0"/>
          <w:iCs w:val="0"/>
          <w:color w:val="auto"/>
          <w:lang w:val="en-US"/>
        </w:rPr>
        <w:t xml:space="preserve">). This suggests that the nPS particles function as the glue that drives the aggregation. </w:t>
      </w:r>
      <w:r w:rsidR="002E0306">
        <w:rPr>
          <w:rStyle w:val="SubtleEmphasis"/>
          <w:i w:val="0"/>
          <w:iCs w:val="0"/>
          <w:color w:val="auto"/>
          <w:lang w:val="en-US"/>
        </w:rPr>
        <w:t>The glue-like properties of nPS could be of a chemical or physical nature. It could be that during the modification, a chemical cross-linking reaction facilitated by the</w:t>
      </w:r>
      <w:r w:rsidR="00C00C63">
        <w:rPr>
          <w:rStyle w:val="SubtleEmphasis"/>
          <w:i w:val="0"/>
          <w:iCs w:val="0"/>
          <w:color w:val="auto"/>
          <w:lang w:val="en-US"/>
        </w:rPr>
        <w:t xml:space="preserve"> re</w:t>
      </w:r>
      <w:r w:rsidR="002E0306">
        <w:rPr>
          <w:rStyle w:val="SubtleEmphasis"/>
          <w:i w:val="0"/>
          <w:iCs w:val="0"/>
          <w:color w:val="auto"/>
          <w:lang w:val="en-US"/>
        </w:rPr>
        <w:t>agents</w:t>
      </w:r>
      <w:r w:rsidR="00C00C63">
        <w:rPr>
          <w:rStyle w:val="SubtleEmphasis"/>
          <w:i w:val="0"/>
          <w:iCs w:val="0"/>
          <w:color w:val="auto"/>
          <w:lang w:val="en-US"/>
        </w:rPr>
        <w:t xml:space="preserve"> that are present in the dispersion</w:t>
      </w:r>
      <w:r w:rsidR="002E0306">
        <w:rPr>
          <w:rStyle w:val="SubtleEmphasis"/>
          <w:i w:val="0"/>
          <w:iCs w:val="0"/>
          <w:color w:val="auto"/>
          <w:lang w:val="en-US"/>
        </w:rPr>
        <w:t xml:space="preserve"> occurs between the surfaces of nPS and TPM-1. </w:t>
      </w:r>
    </w:p>
    <w:p w:rsidR="00EA5E39" w:rsidRPr="00F909E3" w:rsidRDefault="002E0306" w:rsidP="00FC7A2B">
      <w:pPr>
        <w:spacing w:line="240" w:lineRule="auto"/>
        <w:rPr>
          <w:rStyle w:val="SubtleEmphasis"/>
          <w:i w:val="0"/>
          <w:iCs w:val="0"/>
          <w:color w:val="auto"/>
          <w:lang w:val="en-US"/>
        </w:rPr>
      </w:pPr>
      <w:r>
        <w:rPr>
          <w:rStyle w:val="SubtleEmphasis"/>
          <w:i w:val="0"/>
          <w:iCs w:val="0"/>
          <w:color w:val="auto"/>
          <w:lang w:val="en-US"/>
        </w:rPr>
        <w:lastRenderedPageBreak/>
        <w:t xml:space="preserve">As for a physical explanation, the charge stabilization of the particles are not well defined during the modification. It could be that, despite the negative zeta potential on all components during the modification, the charge stabilization between the particles is lost. </w:t>
      </w:r>
    </w:p>
    <w:p w:rsidR="00001E4D" w:rsidRPr="0069618E" w:rsidRDefault="003E27E0" w:rsidP="00FC7A2B">
      <w:pPr>
        <w:spacing w:line="240" w:lineRule="auto"/>
        <w:rPr>
          <w:rStyle w:val="SubtleEmphasis"/>
          <w:i w:val="0"/>
          <w:color w:val="auto"/>
          <w:lang w:val="en-US"/>
        </w:rPr>
      </w:pPr>
      <w:r>
        <w:rPr>
          <w:rStyle w:val="SubtleEmphasis"/>
          <w:i w:val="0"/>
          <w:color w:val="auto"/>
          <w:lang w:val="en-US"/>
        </w:rPr>
        <w:t>Because</w:t>
      </w:r>
      <w:r w:rsidR="00E74C8E" w:rsidRPr="0069618E">
        <w:rPr>
          <w:rStyle w:val="SubtleEmphasis"/>
          <w:i w:val="0"/>
          <w:color w:val="auto"/>
          <w:lang w:val="en-US"/>
        </w:rPr>
        <w:t xml:space="preserve"> electrostatic interactions in complex solvent systems are not well established, it could be that the dumbbells do not feel the repulsive stabilization charge over larges distances. The modification environment consists of one part water, 22.5 parts EtOH, 1.67 parts of ammonia and 0.08 parts of APTES (see table </w:t>
      </w:r>
      <w:r w:rsidR="00001E4D" w:rsidRPr="0069618E">
        <w:rPr>
          <w:rStyle w:val="SubtleEmphasis"/>
          <w:i w:val="0"/>
          <w:color w:val="auto"/>
          <w:lang w:val="en-US"/>
        </w:rPr>
        <w:t>4</w:t>
      </w:r>
      <w:r w:rsidR="00E74C8E" w:rsidRPr="0069618E">
        <w:rPr>
          <w:rStyle w:val="SubtleEmphasis"/>
          <w:i w:val="0"/>
          <w:color w:val="auto"/>
          <w:lang w:val="en-US"/>
        </w:rPr>
        <w:t>). A calculation of the dielectric constant of this complex solvent, could provide more insight into the instability of the dispersion after modification</w:t>
      </w:r>
      <w:r w:rsidR="00FC7A2B">
        <w:rPr>
          <w:rStyle w:val="SubtleEmphasis"/>
          <w:i w:val="0"/>
          <w:color w:val="auto"/>
          <w:lang w:val="en-US"/>
        </w:rPr>
        <w:t>.</w:t>
      </w:r>
    </w:p>
    <w:tbl>
      <w:tblPr>
        <w:tblStyle w:val="TableGrid"/>
        <w:tblW w:w="0" w:type="auto"/>
        <w:jc w:val="center"/>
        <w:tblLook w:val="04A0" w:firstRow="1" w:lastRow="0" w:firstColumn="1" w:lastColumn="0" w:noHBand="0" w:noVBand="1"/>
      </w:tblPr>
      <w:tblGrid>
        <w:gridCol w:w="1984"/>
        <w:gridCol w:w="1418"/>
      </w:tblGrid>
      <w:tr w:rsidR="004F00F9" w:rsidRPr="0069618E" w:rsidTr="00B86972">
        <w:trPr>
          <w:jc w:val="center"/>
        </w:trPr>
        <w:tc>
          <w:tcPr>
            <w:tcW w:w="1984" w:type="dxa"/>
            <w:tcBorders>
              <w:top w:val="single" w:sz="4" w:space="0" w:color="auto"/>
              <w:left w:val="single" w:sz="4" w:space="0" w:color="auto"/>
              <w:bottom w:val="single" w:sz="4" w:space="0" w:color="auto"/>
              <w:right w:val="single" w:sz="4" w:space="0" w:color="auto"/>
            </w:tcBorders>
            <w:hideMark/>
          </w:tcPr>
          <w:p w:rsidR="004F00F9" w:rsidRPr="0069618E" w:rsidRDefault="004F00F9" w:rsidP="00FC7A2B">
            <w:pPr>
              <w:spacing w:after="0" w:line="240" w:lineRule="auto"/>
              <w:rPr>
                <w:rStyle w:val="SubtleEmphasis"/>
                <w:b/>
                <w:i w:val="0"/>
                <w:color w:val="auto"/>
                <w:lang w:val="en-US"/>
              </w:rPr>
            </w:pPr>
            <w:r w:rsidRPr="0069618E">
              <w:rPr>
                <w:rStyle w:val="SubtleEmphasis"/>
                <w:b/>
                <w:i w:val="0"/>
                <w:color w:val="auto"/>
                <w:lang w:val="en-US"/>
              </w:rPr>
              <w:t>Modification composition</w:t>
            </w:r>
          </w:p>
        </w:tc>
        <w:tc>
          <w:tcPr>
            <w:tcW w:w="1418" w:type="dxa"/>
            <w:tcBorders>
              <w:top w:val="single" w:sz="4" w:space="0" w:color="auto"/>
              <w:left w:val="single" w:sz="4" w:space="0" w:color="auto"/>
              <w:bottom w:val="single" w:sz="4" w:space="0" w:color="auto"/>
              <w:right w:val="single" w:sz="4" w:space="0" w:color="auto"/>
            </w:tcBorders>
            <w:hideMark/>
          </w:tcPr>
          <w:p w:rsidR="004F00F9" w:rsidRPr="0069618E" w:rsidRDefault="004F00F9" w:rsidP="00FC7A2B">
            <w:pPr>
              <w:spacing w:after="0" w:line="240" w:lineRule="auto"/>
              <w:rPr>
                <w:rStyle w:val="SubtleEmphasis"/>
                <w:b/>
                <w:i w:val="0"/>
                <w:color w:val="auto"/>
                <w:lang w:val="en-US"/>
              </w:rPr>
            </w:pPr>
            <w:r w:rsidRPr="0069618E">
              <w:rPr>
                <w:rStyle w:val="SubtleEmphasis"/>
                <w:b/>
                <w:i w:val="0"/>
                <w:color w:val="auto"/>
                <w:lang w:val="en-US"/>
              </w:rPr>
              <w:t>V (mL)</w:t>
            </w:r>
          </w:p>
        </w:tc>
      </w:tr>
      <w:tr w:rsidR="004F00F9" w:rsidRPr="0069618E" w:rsidTr="00B86972">
        <w:trPr>
          <w:jc w:val="center"/>
        </w:trPr>
        <w:tc>
          <w:tcPr>
            <w:tcW w:w="1984" w:type="dxa"/>
            <w:tcBorders>
              <w:top w:val="single" w:sz="4" w:space="0" w:color="auto"/>
              <w:left w:val="single" w:sz="4" w:space="0" w:color="auto"/>
              <w:bottom w:val="single" w:sz="4" w:space="0" w:color="auto"/>
              <w:right w:val="single" w:sz="4" w:space="0" w:color="auto"/>
            </w:tcBorders>
            <w:hideMark/>
          </w:tcPr>
          <w:p w:rsidR="004F00F9" w:rsidRPr="0069618E" w:rsidRDefault="004F00F9" w:rsidP="00FC7A2B">
            <w:pPr>
              <w:spacing w:after="0" w:line="240" w:lineRule="auto"/>
              <w:rPr>
                <w:rStyle w:val="SubtleEmphasis"/>
                <w:i w:val="0"/>
                <w:color w:val="auto"/>
                <w:lang w:val="en-US"/>
              </w:rPr>
            </w:pPr>
            <w:r w:rsidRPr="0069618E">
              <w:rPr>
                <w:rStyle w:val="SubtleEmphasis"/>
                <w:i w:val="0"/>
                <w:color w:val="auto"/>
                <w:lang w:val="en-US"/>
              </w:rPr>
              <w:t>Dumbbell dispersion in water</w:t>
            </w:r>
          </w:p>
        </w:tc>
        <w:tc>
          <w:tcPr>
            <w:tcW w:w="1418" w:type="dxa"/>
            <w:tcBorders>
              <w:top w:val="single" w:sz="4" w:space="0" w:color="auto"/>
              <w:left w:val="single" w:sz="4" w:space="0" w:color="auto"/>
              <w:bottom w:val="single" w:sz="4" w:space="0" w:color="auto"/>
              <w:right w:val="single" w:sz="4" w:space="0" w:color="auto"/>
            </w:tcBorders>
            <w:hideMark/>
          </w:tcPr>
          <w:p w:rsidR="004F00F9" w:rsidRPr="0069618E" w:rsidRDefault="004F00F9" w:rsidP="00FC7A2B">
            <w:pPr>
              <w:spacing w:after="0" w:line="240" w:lineRule="auto"/>
              <w:rPr>
                <w:rStyle w:val="SubtleEmphasis"/>
                <w:i w:val="0"/>
                <w:color w:val="auto"/>
                <w:lang w:val="en-US"/>
              </w:rPr>
            </w:pPr>
            <w:r w:rsidRPr="0069618E">
              <w:rPr>
                <w:rStyle w:val="SubtleEmphasis"/>
                <w:i w:val="0"/>
                <w:color w:val="auto"/>
                <w:lang w:val="en-US"/>
              </w:rPr>
              <w:t>1</w:t>
            </w:r>
          </w:p>
        </w:tc>
      </w:tr>
      <w:tr w:rsidR="004F00F9" w:rsidRPr="0069618E" w:rsidTr="00B86972">
        <w:trPr>
          <w:jc w:val="center"/>
        </w:trPr>
        <w:tc>
          <w:tcPr>
            <w:tcW w:w="1984" w:type="dxa"/>
            <w:tcBorders>
              <w:top w:val="single" w:sz="4" w:space="0" w:color="auto"/>
              <w:left w:val="single" w:sz="4" w:space="0" w:color="auto"/>
              <w:bottom w:val="single" w:sz="4" w:space="0" w:color="auto"/>
              <w:right w:val="single" w:sz="4" w:space="0" w:color="auto"/>
            </w:tcBorders>
            <w:hideMark/>
          </w:tcPr>
          <w:p w:rsidR="004F00F9" w:rsidRPr="0069618E" w:rsidRDefault="004F00F9" w:rsidP="00FC7A2B">
            <w:pPr>
              <w:spacing w:after="0" w:line="240" w:lineRule="auto"/>
              <w:rPr>
                <w:rStyle w:val="SubtleEmphasis"/>
                <w:i w:val="0"/>
                <w:color w:val="auto"/>
                <w:lang w:val="en-US"/>
              </w:rPr>
            </w:pPr>
            <w:r w:rsidRPr="0069618E">
              <w:rPr>
                <w:rStyle w:val="SubtleEmphasis"/>
                <w:i w:val="0"/>
                <w:color w:val="auto"/>
                <w:lang w:val="en-US"/>
              </w:rPr>
              <w:t>Ethanol</w:t>
            </w:r>
          </w:p>
        </w:tc>
        <w:tc>
          <w:tcPr>
            <w:tcW w:w="1418" w:type="dxa"/>
            <w:tcBorders>
              <w:top w:val="single" w:sz="4" w:space="0" w:color="auto"/>
              <w:left w:val="single" w:sz="4" w:space="0" w:color="auto"/>
              <w:bottom w:val="single" w:sz="4" w:space="0" w:color="auto"/>
              <w:right w:val="single" w:sz="4" w:space="0" w:color="auto"/>
            </w:tcBorders>
            <w:hideMark/>
          </w:tcPr>
          <w:p w:rsidR="004F00F9" w:rsidRPr="0069618E" w:rsidRDefault="004F00F9" w:rsidP="00FC7A2B">
            <w:pPr>
              <w:spacing w:after="0" w:line="240" w:lineRule="auto"/>
              <w:rPr>
                <w:rStyle w:val="SubtleEmphasis"/>
                <w:i w:val="0"/>
                <w:color w:val="auto"/>
                <w:lang w:val="en-US"/>
              </w:rPr>
            </w:pPr>
            <w:r w:rsidRPr="0069618E">
              <w:rPr>
                <w:rStyle w:val="SubtleEmphasis"/>
                <w:i w:val="0"/>
                <w:color w:val="auto"/>
                <w:lang w:val="en-US"/>
              </w:rPr>
              <w:t>22.5</w:t>
            </w:r>
          </w:p>
        </w:tc>
      </w:tr>
      <w:tr w:rsidR="004F00F9" w:rsidRPr="0069618E" w:rsidTr="00B86972">
        <w:trPr>
          <w:jc w:val="center"/>
        </w:trPr>
        <w:tc>
          <w:tcPr>
            <w:tcW w:w="1984" w:type="dxa"/>
            <w:tcBorders>
              <w:top w:val="single" w:sz="4" w:space="0" w:color="auto"/>
              <w:left w:val="single" w:sz="4" w:space="0" w:color="auto"/>
              <w:bottom w:val="single" w:sz="4" w:space="0" w:color="auto"/>
              <w:right w:val="single" w:sz="4" w:space="0" w:color="auto"/>
            </w:tcBorders>
            <w:hideMark/>
          </w:tcPr>
          <w:p w:rsidR="004F00F9" w:rsidRPr="0069618E" w:rsidRDefault="004F00F9" w:rsidP="00FC7A2B">
            <w:pPr>
              <w:spacing w:after="0" w:line="240" w:lineRule="auto"/>
              <w:rPr>
                <w:rStyle w:val="SubtleEmphasis"/>
                <w:i w:val="0"/>
                <w:color w:val="auto"/>
                <w:lang w:val="en-US"/>
              </w:rPr>
            </w:pPr>
            <w:r w:rsidRPr="0069618E">
              <w:rPr>
                <w:rStyle w:val="SubtleEmphasis"/>
                <w:i w:val="0"/>
                <w:color w:val="auto"/>
                <w:lang w:val="en-US"/>
              </w:rPr>
              <w:t>Ammonia</w:t>
            </w:r>
          </w:p>
        </w:tc>
        <w:tc>
          <w:tcPr>
            <w:tcW w:w="1418" w:type="dxa"/>
            <w:tcBorders>
              <w:top w:val="single" w:sz="4" w:space="0" w:color="auto"/>
              <w:left w:val="single" w:sz="4" w:space="0" w:color="auto"/>
              <w:bottom w:val="single" w:sz="4" w:space="0" w:color="auto"/>
              <w:right w:val="single" w:sz="4" w:space="0" w:color="auto"/>
            </w:tcBorders>
            <w:hideMark/>
          </w:tcPr>
          <w:p w:rsidR="004F00F9" w:rsidRPr="0069618E" w:rsidRDefault="004F00F9" w:rsidP="00FC7A2B">
            <w:pPr>
              <w:spacing w:after="0" w:line="240" w:lineRule="auto"/>
              <w:rPr>
                <w:rStyle w:val="SubtleEmphasis"/>
                <w:i w:val="0"/>
                <w:color w:val="auto"/>
                <w:lang w:val="en-US"/>
              </w:rPr>
            </w:pPr>
            <w:r w:rsidRPr="0069618E">
              <w:rPr>
                <w:rStyle w:val="SubtleEmphasis"/>
                <w:i w:val="0"/>
                <w:color w:val="auto"/>
                <w:lang w:val="en-US"/>
              </w:rPr>
              <w:t>1.67</w:t>
            </w:r>
          </w:p>
        </w:tc>
      </w:tr>
      <w:tr w:rsidR="004F00F9" w:rsidRPr="0069618E" w:rsidTr="00B86972">
        <w:trPr>
          <w:jc w:val="center"/>
        </w:trPr>
        <w:tc>
          <w:tcPr>
            <w:tcW w:w="1984" w:type="dxa"/>
            <w:tcBorders>
              <w:top w:val="single" w:sz="4" w:space="0" w:color="auto"/>
              <w:left w:val="single" w:sz="4" w:space="0" w:color="auto"/>
              <w:bottom w:val="single" w:sz="4" w:space="0" w:color="auto"/>
              <w:right w:val="single" w:sz="4" w:space="0" w:color="auto"/>
            </w:tcBorders>
            <w:hideMark/>
          </w:tcPr>
          <w:p w:rsidR="004F00F9" w:rsidRPr="0069618E" w:rsidRDefault="004F00F9" w:rsidP="00FC7A2B">
            <w:pPr>
              <w:spacing w:after="0" w:line="240" w:lineRule="auto"/>
              <w:rPr>
                <w:rStyle w:val="SubtleEmphasis"/>
                <w:i w:val="0"/>
                <w:color w:val="auto"/>
                <w:lang w:val="en-US"/>
              </w:rPr>
            </w:pPr>
            <w:r w:rsidRPr="0069618E">
              <w:rPr>
                <w:rStyle w:val="SubtleEmphasis"/>
                <w:i w:val="0"/>
                <w:color w:val="auto"/>
                <w:lang w:val="en-US"/>
              </w:rPr>
              <w:t>APTES</w:t>
            </w:r>
          </w:p>
        </w:tc>
        <w:tc>
          <w:tcPr>
            <w:tcW w:w="1418" w:type="dxa"/>
            <w:tcBorders>
              <w:top w:val="single" w:sz="4" w:space="0" w:color="auto"/>
              <w:left w:val="single" w:sz="4" w:space="0" w:color="auto"/>
              <w:bottom w:val="single" w:sz="4" w:space="0" w:color="auto"/>
              <w:right w:val="single" w:sz="4" w:space="0" w:color="auto"/>
            </w:tcBorders>
            <w:hideMark/>
          </w:tcPr>
          <w:p w:rsidR="004F00F9" w:rsidRPr="0069618E" w:rsidRDefault="004F00F9" w:rsidP="00FC7A2B">
            <w:pPr>
              <w:spacing w:after="0" w:line="240" w:lineRule="auto"/>
              <w:rPr>
                <w:rStyle w:val="SubtleEmphasis"/>
                <w:i w:val="0"/>
                <w:color w:val="auto"/>
                <w:lang w:val="en-US"/>
              </w:rPr>
            </w:pPr>
            <w:r w:rsidRPr="0069618E">
              <w:rPr>
                <w:rStyle w:val="SubtleEmphasis"/>
                <w:i w:val="0"/>
                <w:color w:val="auto"/>
                <w:lang w:val="en-US"/>
              </w:rPr>
              <w:t>0.08</w:t>
            </w:r>
          </w:p>
        </w:tc>
      </w:tr>
    </w:tbl>
    <w:p w:rsidR="00C00C63" w:rsidRDefault="00A04E9D" w:rsidP="00EA5E39">
      <w:pPr>
        <w:pStyle w:val="Caption"/>
        <w:keepNext/>
        <w:jc w:val="center"/>
        <w:rPr>
          <w:rStyle w:val="SubtleEmphasis"/>
          <w:i/>
          <w:color w:val="auto"/>
          <w:lang w:val="en-US"/>
        </w:rPr>
      </w:pPr>
      <w:r w:rsidRPr="0069618E">
        <w:rPr>
          <w:color w:val="auto"/>
          <w:sz w:val="20"/>
          <w:szCs w:val="20"/>
          <w:lang w:val="en-US"/>
        </w:rPr>
        <w:t>T</w:t>
      </w:r>
      <w:r w:rsidR="004F00F9" w:rsidRPr="0069618E">
        <w:rPr>
          <w:color w:val="auto"/>
          <w:sz w:val="20"/>
          <w:szCs w:val="20"/>
          <w:lang w:val="en-US"/>
        </w:rPr>
        <w:t xml:space="preserve">able </w:t>
      </w:r>
      <w:r w:rsidR="004F00F9" w:rsidRPr="0069618E">
        <w:rPr>
          <w:color w:val="auto"/>
          <w:sz w:val="20"/>
          <w:szCs w:val="20"/>
        </w:rPr>
        <w:fldChar w:fldCharType="begin"/>
      </w:r>
      <w:r w:rsidR="004F00F9" w:rsidRPr="0069618E">
        <w:rPr>
          <w:color w:val="auto"/>
          <w:sz w:val="20"/>
          <w:szCs w:val="20"/>
          <w:lang w:val="en-US"/>
        </w:rPr>
        <w:instrText xml:space="preserve"> SEQ Table \* ARABIC </w:instrText>
      </w:r>
      <w:r w:rsidR="004F00F9" w:rsidRPr="0069618E">
        <w:rPr>
          <w:color w:val="auto"/>
          <w:sz w:val="20"/>
          <w:szCs w:val="20"/>
        </w:rPr>
        <w:fldChar w:fldCharType="separate"/>
      </w:r>
      <w:r w:rsidR="00C52506">
        <w:rPr>
          <w:noProof/>
          <w:color w:val="auto"/>
          <w:sz w:val="20"/>
          <w:szCs w:val="20"/>
          <w:lang w:val="en-US"/>
        </w:rPr>
        <w:t>4</w:t>
      </w:r>
      <w:r w:rsidR="004F00F9" w:rsidRPr="0069618E">
        <w:rPr>
          <w:color w:val="auto"/>
          <w:sz w:val="20"/>
          <w:szCs w:val="20"/>
        </w:rPr>
        <w:fldChar w:fldCharType="end"/>
      </w:r>
      <w:r w:rsidR="004F00F9" w:rsidRPr="0069618E">
        <w:rPr>
          <w:color w:val="auto"/>
          <w:sz w:val="20"/>
          <w:szCs w:val="20"/>
          <w:lang w:val="en-US"/>
        </w:rPr>
        <w:t>: APTES Modification environment used for all TPM modifications.</w:t>
      </w:r>
    </w:p>
    <w:p w:rsidR="002637E3" w:rsidRPr="0069618E" w:rsidRDefault="00E74C8E" w:rsidP="00FC7A2B">
      <w:pPr>
        <w:spacing w:line="240" w:lineRule="auto"/>
        <w:rPr>
          <w:rStyle w:val="SubtleEmphasis"/>
          <w:i w:val="0"/>
          <w:color w:val="auto"/>
          <w:lang w:val="en-US"/>
        </w:rPr>
      </w:pPr>
      <w:r w:rsidRPr="0069618E">
        <w:rPr>
          <w:rStyle w:val="SubtleEmphasis"/>
          <w:i w:val="0"/>
          <w:color w:val="auto"/>
          <w:lang w:val="en-US"/>
        </w:rPr>
        <w:t>Assuming no inter solvent interactions, the dielectric constant of this ternary solvent mixture can be calculated using the weighted average of the solvent concentrations, combined with their corresponding dielectric constant (</w:t>
      </w:r>
      <w:r w:rsidR="00001E4D" w:rsidRPr="0069618E">
        <w:rPr>
          <w:rStyle w:val="SubtleEmphasis"/>
          <w:i w:val="0"/>
          <w:color w:val="auto"/>
          <w:lang w:val="en-US"/>
        </w:rPr>
        <w:t>equation 1</w:t>
      </w:r>
      <w:r w:rsidR="00726196">
        <w:rPr>
          <w:rStyle w:val="SubtleEmphasis"/>
          <w:i w:val="0"/>
          <w:color w:val="auto"/>
          <w:lang w:val="en-US"/>
        </w:rPr>
        <w:t>4</w:t>
      </w:r>
      <w:r w:rsidRPr="0069618E">
        <w:rPr>
          <w:rStyle w:val="SubtleEmphasis"/>
          <w:i w:val="0"/>
          <w:color w:val="auto"/>
          <w:lang w:val="en-US"/>
        </w:rPr>
        <w:t>)</w:t>
      </w:r>
      <w:r w:rsidRPr="0069618E">
        <w:rPr>
          <w:rStyle w:val="SubtleEmphasis"/>
          <w:i w:val="0"/>
          <w:color w:val="auto"/>
          <w:lang w:val="en-US"/>
        </w:rPr>
        <w:fldChar w:fldCharType="begin" w:fldLock="1"/>
      </w:r>
      <w:r w:rsidR="00FB6101">
        <w:rPr>
          <w:rStyle w:val="SubtleEmphasis"/>
          <w:i w:val="0"/>
          <w:color w:val="auto"/>
          <w:lang w:val="en-US"/>
        </w:rPr>
        <w:instrText>ADDIN CSL_CITATION { "citationItems" : [ { "id" : "ITEM-1", "itemData" : { "DOI" : "10.1016/j.ijpharm.2003.09.010", "ISSN" : "03785173", "abstract" : "A simple computational method for calculating dielectric constants of solvent mixtures based on Redlich-Kister extension was proposed. The model was applied to the experimental dielectric constant of binary and ternary solvent mixtures at fixed and/or various temperatures and showed accurate results. Overall average percentage deviation (OAPD) between calculated and experimental dielectric constants was calculated as an accuracy criterion. The OAPDs for correlative and predictive analyses of dielectric constants in binary solvents at a fixed temperature were 0.56 and 1.42%, respectively. The corresponding values for binary solvents at different temperatures were 1.29 and 1.92%, respectively. The OAPDs for correlative and predictive analyses of dielectric constants of a nonaqueous ternary solvent mixture at various temperatures were 1.61 and 3.05%. The accuracy of the proposed models has also been compared with those of previously published models and results showed that the proposed models were superior and capable of providing more accurate results. \u00a9 2003 Elsevier B.V. All rights reserved.", "author" : [ { "dropping-particle" : "", "family" : "Jouyban", "given" : "Abolghasem", "non-dropping-particle" : "", "parse-names" : false, "suffix" : "" }, { "dropping-particle" : "", "family" : "Soltanpour", "given" : "Shahla", "non-dropping-particle" : "", "parse-names" : false, "suffix" : "" }, { "dropping-particle" : "", "family" : "Chan", "given" : "Hak Kim", "non-dropping-particle" : "", "parse-names" : false, "suffix" : "" } ], "container-title" : "International Journal of Pharmaceutics", "id" : "ITEM-1", "issue" : "2", "issued" : { "date-parts" : [ [ "2004" ] ] }, "page" : "353-360", "title" : "A simple relationship between dielectric constant of mixed solvents with solvent composition and temperature", "type" : "article-journal", "volume" : "269" }, "uris" : [ "http://www.mendeley.com/documents/?uuid=ac09d75e-add9-4017-9ac5-a2b9e73336b3" ] } ], "mendeley" : { "formattedCitation" : "&lt;sup&gt;81&lt;/sup&gt;", "plainTextFormattedCitation" : "81", "previouslyFormattedCitation" : "&lt;sup&gt;81&lt;/sup&gt;" }, "properties" : { "noteIndex" : 0 }, "schema" : "https://github.com/citation-style-language/schema/raw/master/csl-citation.json" }</w:instrText>
      </w:r>
      <w:r w:rsidRPr="0069618E">
        <w:rPr>
          <w:rStyle w:val="SubtleEmphasis"/>
          <w:i w:val="0"/>
          <w:color w:val="auto"/>
          <w:lang w:val="en-US"/>
        </w:rPr>
        <w:fldChar w:fldCharType="separate"/>
      </w:r>
      <w:r w:rsidR="00DE131C" w:rsidRPr="00DE131C">
        <w:rPr>
          <w:rStyle w:val="SubtleEmphasis"/>
          <w:i w:val="0"/>
          <w:noProof/>
          <w:color w:val="auto"/>
          <w:vertAlign w:val="superscript"/>
          <w:lang w:val="en-US"/>
        </w:rPr>
        <w:t>81</w:t>
      </w:r>
      <w:r w:rsidRPr="0069618E">
        <w:rPr>
          <w:rStyle w:val="SubtleEmphasis"/>
          <w:i w:val="0"/>
          <w:color w:val="auto"/>
          <w:lang w:val="en-US"/>
        </w:rPr>
        <w:fldChar w:fldCharType="end"/>
      </w:r>
      <w:r w:rsidRPr="0069618E">
        <w:rPr>
          <w:rStyle w:val="SubtleEmphasis"/>
          <w:i w:val="0"/>
          <w:color w:val="auto"/>
          <w:lang w:val="en-US"/>
        </w:rPr>
        <w:t>.</w:t>
      </w:r>
    </w:p>
    <w:p w:rsidR="00FD41D8" w:rsidRPr="0069618E" w:rsidRDefault="00767BE6" w:rsidP="00FC7A2B">
      <w:pPr>
        <w:spacing w:line="240" w:lineRule="auto"/>
        <w:jc w:val="both"/>
        <w:rPr>
          <w:rStyle w:val="SubtleEmphasis"/>
          <w:rFonts w:eastAsiaTheme="minorEastAsia" w:cstheme="minorHAnsi"/>
          <w:i w:val="0"/>
          <w:iCs w:val="0"/>
          <w:color w:val="auto"/>
          <w:lang w:val="en-US"/>
        </w:rPr>
      </w:pPr>
      <m:oMathPara>
        <m:oMath>
          <m:eqArr>
            <m:eqArrPr>
              <m:maxDist m:val="1"/>
              <m:ctrlPr>
                <w:rPr>
                  <w:rStyle w:val="SubtleEmphasis"/>
                  <w:rFonts w:ascii="Cambria Math" w:eastAsiaTheme="minorEastAsia" w:hAnsi="Cambria Math"/>
                  <w:i w:val="0"/>
                  <w:iCs w:val="0"/>
                  <w:color w:val="auto"/>
                  <w:lang w:val="en-US"/>
                </w:rPr>
              </m:ctrlPr>
            </m:eqArrPr>
            <m:e>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ε</m:t>
                  </m:r>
                </m:e>
                <m:sub>
                  <m:r>
                    <m:rPr>
                      <m:sty m:val="p"/>
                    </m:rPr>
                    <w:rPr>
                      <w:rStyle w:val="SubtleEmphasis"/>
                      <w:rFonts w:ascii="Cambria Math" w:hAnsi="Cambria Math"/>
                      <w:color w:val="auto"/>
                      <w:lang w:val="en-US"/>
                    </w:rPr>
                    <m:t>Combined</m:t>
                  </m:r>
                </m:sub>
              </m:sSub>
              <m:r>
                <m:rPr>
                  <m:sty m:val="p"/>
                </m:rPr>
                <w:rPr>
                  <w:rStyle w:val="SubtleEmphasis"/>
                  <w:rFonts w:ascii="Cambria Math" w:hAnsi="Cambria Math"/>
                  <w:color w:val="auto"/>
                  <w:lang w:val="en-US"/>
                </w:rPr>
                <m:t>=</m:t>
              </m:r>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ε</m:t>
                  </m:r>
                </m:e>
                <m:sub>
                  <m:r>
                    <m:rPr>
                      <m:sty m:val="p"/>
                    </m:rPr>
                    <w:rPr>
                      <w:rStyle w:val="SubtleEmphasis"/>
                      <w:rFonts w:ascii="Cambria Math" w:hAnsi="Cambria Math"/>
                      <w:color w:val="auto"/>
                      <w:lang w:val="en-US"/>
                    </w:rPr>
                    <m:t>1</m:t>
                  </m:r>
                </m:sub>
              </m:sSub>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φ</m:t>
                  </m:r>
                </m:e>
                <m:sub>
                  <m:r>
                    <m:rPr>
                      <m:sty m:val="p"/>
                    </m:rPr>
                    <w:rPr>
                      <w:rStyle w:val="SubtleEmphasis"/>
                      <w:rFonts w:ascii="Cambria Math" w:hAnsi="Cambria Math"/>
                      <w:color w:val="auto"/>
                      <w:lang w:val="en-US"/>
                    </w:rPr>
                    <m:t>1</m:t>
                  </m:r>
                </m:sub>
              </m:sSub>
              <m:r>
                <m:rPr>
                  <m:sty m:val="p"/>
                </m:rPr>
                <w:rPr>
                  <w:rStyle w:val="SubtleEmphasis"/>
                  <w:rFonts w:ascii="Cambria Math" w:hAnsi="Cambria Math"/>
                  <w:color w:val="auto"/>
                  <w:lang w:val="en-US"/>
                </w:rPr>
                <m:t>+</m:t>
              </m:r>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ε</m:t>
                  </m:r>
                </m:e>
                <m:sub>
                  <m:r>
                    <m:rPr>
                      <m:sty m:val="p"/>
                    </m:rPr>
                    <w:rPr>
                      <w:rStyle w:val="SubtleEmphasis"/>
                      <w:rFonts w:ascii="Cambria Math" w:hAnsi="Cambria Math"/>
                      <w:color w:val="auto"/>
                      <w:lang w:val="en-US"/>
                    </w:rPr>
                    <m:t>2</m:t>
                  </m:r>
                </m:sub>
              </m:sSub>
              <m:sSub>
                <m:sSubPr>
                  <m:ctrlPr>
                    <w:rPr>
                      <w:rStyle w:val="SubtleEmphasis"/>
                      <w:rFonts w:ascii="Cambria Math" w:eastAsiaTheme="minorEastAsia" w:hAnsi="Cambria Math"/>
                      <w:i w:val="0"/>
                      <w:iCs w:val="0"/>
                      <w:color w:val="auto"/>
                      <w:lang w:val="en-US"/>
                    </w:rPr>
                  </m:ctrlPr>
                </m:sSubPr>
                <m:e>
                  <m:r>
                    <m:rPr>
                      <m:sty m:val="p"/>
                    </m:rPr>
                    <w:rPr>
                      <w:rStyle w:val="SubtleEmphasis"/>
                      <w:rFonts w:ascii="Cambria Math" w:eastAsiaTheme="minorEastAsia" w:hAnsi="Cambria Math"/>
                      <w:color w:val="auto"/>
                      <w:lang w:val="en-US"/>
                    </w:rPr>
                    <m:t>φ</m:t>
                  </m:r>
                </m:e>
                <m:sub>
                  <m:r>
                    <m:rPr>
                      <m:sty m:val="p"/>
                    </m:rPr>
                    <w:rPr>
                      <w:rStyle w:val="SubtleEmphasis"/>
                      <w:rFonts w:ascii="Cambria Math" w:eastAsiaTheme="minorEastAsia" w:hAnsi="Cambria Math"/>
                      <w:color w:val="auto"/>
                      <w:lang w:val="en-US"/>
                    </w:rPr>
                    <m:t>2</m:t>
                  </m:r>
                </m:sub>
              </m:sSub>
              <m:r>
                <m:rPr>
                  <m:sty m:val="p"/>
                </m:rPr>
                <w:rPr>
                  <w:rStyle w:val="SubtleEmphasis"/>
                  <w:rFonts w:ascii="Cambria Math" w:eastAsiaTheme="minorEastAsia" w:hAnsi="Cambria Math"/>
                  <w:color w:val="auto"/>
                  <w:lang w:val="en-US"/>
                </w:rPr>
                <m:t>+</m:t>
              </m:r>
              <m:sSub>
                <m:sSubPr>
                  <m:ctrlPr>
                    <w:rPr>
                      <w:rStyle w:val="SubtleEmphasis"/>
                      <w:rFonts w:ascii="Cambria Math" w:eastAsiaTheme="minorEastAsia" w:hAnsi="Cambria Math"/>
                      <w:i w:val="0"/>
                      <w:iCs w:val="0"/>
                      <w:color w:val="auto"/>
                      <w:lang w:val="en-US"/>
                    </w:rPr>
                  </m:ctrlPr>
                </m:sSubPr>
                <m:e>
                  <m:r>
                    <m:rPr>
                      <m:sty m:val="p"/>
                    </m:rPr>
                    <w:rPr>
                      <w:rStyle w:val="SubtleEmphasis"/>
                      <w:rFonts w:ascii="Cambria Math" w:eastAsiaTheme="minorEastAsia" w:hAnsi="Cambria Math"/>
                      <w:color w:val="auto"/>
                      <w:lang w:val="en-US"/>
                    </w:rPr>
                    <m:t>ε</m:t>
                  </m:r>
                </m:e>
                <m:sub>
                  <m:r>
                    <m:rPr>
                      <m:sty m:val="p"/>
                    </m:rPr>
                    <w:rPr>
                      <w:rStyle w:val="SubtleEmphasis"/>
                      <w:rFonts w:ascii="Cambria Math" w:eastAsiaTheme="minorEastAsia" w:hAnsi="Cambria Math"/>
                      <w:color w:val="auto"/>
                      <w:lang w:val="en-US"/>
                    </w:rPr>
                    <m:t>3</m:t>
                  </m:r>
                </m:sub>
              </m:sSub>
              <m:sSub>
                <m:sSubPr>
                  <m:ctrlPr>
                    <w:rPr>
                      <w:rStyle w:val="SubtleEmphasis"/>
                      <w:rFonts w:ascii="Cambria Math" w:eastAsiaTheme="minorEastAsia" w:hAnsi="Cambria Math"/>
                      <w:i w:val="0"/>
                      <w:iCs w:val="0"/>
                      <w:color w:val="auto"/>
                      <w:lang w:val="en-US"/>
                    </w:rPr>
                  </m:ctrlPr>
                </m:sSubPr>
                <m:e>
                  <m:r>
                    <m:rPr>
                      <m:sty m:val="p"/>
                    </m:rPr>
                    <w:rPr>
                      <w:rStyle w:val="SubtleEmphasis"/>
                      <w:rFonts w:ascii="Cambria Math" w:eastAsiaTheme="minorEastAsia" w:hAnsi="Cambria Math"/>
                      <w:color w:val="auto"/>
                      <w:lang w:val="en-US"/>
                    </w:rPr>
                    <m:t>φ</m:t>
                  </m:r>
                </m:e>
                <m:sub>
                  <m:r>
                    <m:rPr>
                      <m:sty m:val="p"/>
                    </m:rPr>
                    <w:rPr>
                      <w:rStyle w:val="SubtleEmphasis"/>
                      <w:rFonts w:ascii="Cambria Math" w:eastAsiaTheme="minorEastAsia" w:hAnsi="Cambria Math"/>
                      <w:color w:val="auto"/>
                      <w:lang w:val="en-US"/>
                    </w:rPr>
                    <m:t>3</m:t>
                  </m:r>
                </m:sub>
              </m:sSub>
              <m:r>
                <m:rPr>
                  <m:sty m:val="p"/>
                </m:rPr>
                <w:rPr>
                  <w:rStyle w:val="SubtleEmphasis"/>
                  <w:rFonts w:ascii="Cambria Math" w:hAnsi="Cambria Math"/>
                  <w:color w:val="auto"/>
                  <w:lang w:val="en-US"/>
                </w:rPr>
                <m:t>#</m:t>
              </m:r>
              <m:d>
                <m:dPr>
                  <m:ctrlPr>
                    <w:rPr>
                      <w:rStyle w:val="SubtleEmphasis"/>
                      <w:rFonts w:ascii="Cambria Math" w:eastAsiaTheme="minorEastAsia" w:hAnsi="Cambria Math"/>
                      <w:i w:val="0"/>
                      <w:iCs w:val="0"/>
                      <w:color w:val="auto"/>
                      <w:lang w:val="en-US"/>
                    </w:rPr>
                  </m:ctrlPr>
                </m:dPr>
                <m:e>
                  <m:r>
                    <m:rPr>
                      <m:sty m:val="p"/>
                    </m:rPr>
                    <w:rPr>
                      <w:rStyle w:val="SubtleEmphasis"/>
                      <w:rFonts w:ascii="Cambria Math" w:eastAsiaTheme="minorEastAsia" w:hAnsi="Cambria Math"/>
                      <w:color w:val="auto"/>
                      <w:lang w:val="en-US"/>
                    </w:rPr>
                    <m:t>14</m:t>
                  </m:r>
                </m:e>
              </m:d>
              <m:ctrlPr>
                <w:rPr>
                  <w:rStyle w:val="SubtleEmphasis"/>
                  <w:rFonts w:ascii="Cambria Math" w:hAnsi="Cambria Math"/>
                  <w:i w:val="0"/>
                  <w:iCs w:val="0"/>
                  <w:color w:val="auto"/>
                  <w:lang w:val="en-US"/>
                </w:rPr>
              </m:ctrlPr>
            </m:e>
          </m:eqArr>
        </m:oMath>
      </m:oMathPara>
    </w:p>
    <w:p w:rsidR="00E74C8E" w:rsidRPr="0069618E" w:rsidRDefault="00E74C8E" w:rsidP="00FC7A2B">
      <w:pPr>
        <w:spacing w:line="240" w:lineRule="auto"/>
        <w:rPr>
          <w:rStyle w:val="SubtleEmphasis"/>
          <w:i w:val="0"/>
          <w:color w:val="auto"/>
          <w:lang w:val="en-US"/>
        </w:rPr>
      </w:pPr>
      <w:r w:rsidRPr="0069618E">
        <w:rPr>
          <w:rStyle w:val="SubtleEmphasis"/>
          <w:i w:val="0"/>
          <w:color w:val="auto"/>
          <w:lang w:val="en-US"/>
        </w:rPr>
        <w:t xml:space="preserve">Where </w:t>
      </w:r>
      <w:r w:rsidRPr="0069618E">
        <w:rPr>
          <w:rStyle w:val="SubtleEmphasis"/>
          <w:rFonts w:cstheme="minorHAnsi"/>
          <w:i w:val="0"/>
          <w:color w:val="auto"/>
          <w:lang w:val="en-US"/>
        </w:rPr>
        <w:t>ε</w:t>
      </w:r>
      <w:r w:rsidRPr="0069618E">
        <w:rPr>
          <w:rStyle w:val="SubtleEmphasis"/>
          <w:rFonts w:cstheme="minorHAnsi"/>
          <w:i w:val="0"/>
          <w:color w:val="auto"/>
          <w:vertAlign w:val="subscript"/>
          <w:lang w:val="en-US"/>
        </w:rPr>
        <w:t>Combined</w:t>
      </w:r>
      <w:r w:rsidRPr="0069618E">
        <w:rPr>
          <w:rStyle w:val="SubtleEmphasis"/>
          <w:rFonts w:cstheme="minorHAnsi"/>
          <w:i w:val="0"/>
          <w:color w:val="auto"/>
          <w:lang w:val="en-US"/>
        </w:rPr>
        <w:t>, ε</w:t>
      </w:r>
      <w:r w:rsidRPr="0069618E">
        <w:rPr>
          <w:rStyle w:val="SubtleEmphasis"/>
          <w:rFonts w:cstheme="minorHAnsi"/>
          <w:i w:val="0"/>
          <w:color w:val="auto"/>
          <w:vertAlign w:val="subscript"/>
          <w:lang w:val="en-US"/>
        </w:rPr>
        <w:t>1</w:t>
      </w:r>
      <w:r w:rsidRPr="0069618E">
        <w:rPr>
          <w:rStyle w:val="SubtleEmphasis"/>
          <w:rFonts w:cstheme="minorHAnsi"/>
          <w:i w:val="0"/>
          <w:color w:val="auto"/>
          <w:lang w:val="en-US"/>
        </w:rPr>
        <w:t xml:space="preserve">, </w:t>
      </w:r>
      <w:r w:rsidRPr="0069618E">
        <w:rPr>
          <w:rStyle w:val="SubtleEmphasis"/>
          <w:rFonts w:cstheme="minorHAnsi"/>
          <w:i w:val="0"/>
          <w:color w:val="auto"/>
          <w:vertAlign w:val="subscript"/>
          <w:lang w:val="en-US"/>
        </w:rPr>
        <w:t xml:space="preserve"> </w:t>
      </w:r>
      <w:r w:rsidRPr="0069618E">
        <w:rPr>
          <w:rStyle w:val="SubtleEmphasis"/>
          <w:rFonts w:cstheme="minorHAnsi"/>
          <w:i w:val="0"/>
          <w:color w:val="auto"/>
          <w:lang w:val="en-US"/>
        </w:rPr>
        <w:t>ε</w:t>
      </w:r>
      <w:r w:rsidRPr="0069618E">
        <w:rPr>
          <w:rStyle w:val="SubtleEmphasis"/>
          <w:rFonts w:cstheme="minorHAnsi"/>
          <w:i w:val="0"/>
          <w:color w:val="auto"/>
          <w:vertAlign w:val="subscript"/>
          <w:lang w:val="en-US"/>
        </w:rPr>
        <w:t xml:space="preserve">2 </w:t>
      </w:r>
      <w:r w:rsidRPr="0069618E">
        <w:rPr>
          <w:rStyle w:val="SubtleEmphasis"/>
          <w:rFonts w:cstheme="minorHAnsi"/>
          <w:i w:val="0"/>
          <w:color w:val="auto"/>
          <w:lang w:val="en-US"/>
        </w:rPr>
        <w:t>and ε</w:t>
      </w:r>
      <w:r w:rsidRPr="0069618E">
        <w:rPr>
          <w:rStyle w:val="SubtleEmphasis"/>
          <w:rFonts w:cstheme="minorHAnsi"/>
          <w:i w:val="0"/>
          <w:color w:val="auto"/>
          <w:vertAlign w:val="subscript"/>
          <w:lang w:val="en-US"/>
        </w:rPr>
        <w:t xml:space="preserve">3 </w:t>
      </w:r>
      <w:r w:rsidRPr="0069618E">
        <w:rPr>
          <w:rStyle w:val="SubtleEmphasis"/>
          <w:rFonts w:cstheme="minorHAnsi"/>
          <w:i w:val="0"/>
          <w:color w:val="auto"/>
          <w:lang w:val="en-US"/>
        </w:rPr>
        <w:t xml:space="preserve">are the combined dielectric constant of the solvent mixture, and the dielectric constant of solvent 1, 2 and 3 respectively. And </w:t>
      </w:r>
      <w:r w:rsidRPr="0069618E">
        <w:rPr>
          <w:rStyle w:val="SubtleEmphasis"/>
          <w:rFonts w:cstheme="minorHAnsi"/>
          <w:color w:val="auto"/>
          <w:lang w:val="en-US"/>
        </w:rPr>
        <w:t>φ</w:t>
      </w:r>
      <w:r w:rsidRPr="0069618E">
        <w:rPr>
          <w:rStyle w:val="SubtleEmphasis"/>
          <w:rFonts w:cstheme="minorHAnsi"/>
          <w:i w:val="0"/>
          <w:color w:val="auto"/>
          <w:vertAlign w:val="subscript"/>
          <w:lang w:val="en-US"/>
        </w:rPr>
        <w:t>1</w:t>
      </w:r>
      <w:r w:rsidRPr="0069618E">
        <w:rPr>
          <w:rStyle w:val="SubtleEmphasis"/>
          <w:rFonts w:cstheme="minorHAnsi"/>
          <w:i w:val="0"/>
          <w:color w:val="auto"/>
          <w:lang w:val="en-US"/>
        </w:rPr>
        <w:t>,</w:t>
      </w:r>
      <w:r w:rsidRPr="0069618E">
        <w:rPr>
          <w:rStyle w:val="SubtleEmphasis"/>
          <w:rFonts w:cstheme="minorHAnsi"/>
          <w:color w:val="auto"/>
          <w:lang w:val="en-US"/>
        </w:rPr>
        <w:t xml:space="preserve"> φ</w:t>
      </w:r>
      <w:r w:rsidRPr="0069618E">
        <w:rPr>
          <w:rStyle w:val="SubtleEmphasis"/>
          <w:rFonts w:cstheme="minorHAnsi"/>
          <w:i w:val="0"/>
          <w:color w:val="auto"/>
          <w:vertAlign w:val="subscript"/>
          <w:lang w:val="en-US"/>
        </w:rPr>
        <w:t>2</w:t>
      </w:r>
      <w:r w:rsidRPr="0069618E">
        <w:rPr>
          <w:rStyle w:val="SubtleEmphasis"/>
          <w:rFonts w:cstheme="minorHAnsi"/>
          <w:i w:val="0"/>
          <w:color w:val="auto"/>
          <w:lang w:val="en-US"/>
        </w:rPr>
        <w:t xml:space="preserve"> and</w:t>
      </w:r>
      <w:r w:rsidRPr="0069618E">
        <w:rPr>
          <w:rStyle w:val="SubtleEmphasis"/>
          <w:rFonts w:cstheme="minorHAnsi"/>
          <w:color w:val="auto"/>
          <w:lang w:val="en-US"/>
        </w:rPr>
        <w:t xml:space="preserve"> φ</w:t>
      </w:r>
      <w:r w:rsidRPr="0069618E">
        <w:rPr>
          <w:rStyle w:val="SubtleEmphasis"/>
          <w:rFonts w:cstheme="minorHAnsi"/>
          <w:i w:val="0"/>
          <w:color w:val="auto"/>
          <w:vertAlign w:val="subscript"/>
          <w:lang w:val="en-US"/>
        </w:rPr>
        <w:t>3</w:t>
      </w:r>
      <w:r w:rsidRPr="0069618E">
        <w:rPr>
          <w:rStyle w:val="SubtleEmphasis"/>
          <w:rFonts w:cstheme="minorHAnsi"/>
          <w:i w:val="0"/>
          <w:color w:val="auto"/>
          <w:lang w:val="en-US"/>
        </w:rPr>
        <w:t xml:space="preserve"> are the volume fractions of solvent 1, 2 and 3 respectively. Using the dielectric constant values available in literature for water, ammonia and ethanol</w:t>
      </w:r>
      <w:r w:rsidRPr="0069618E">
        <w:rPr>
          <w:rStyle w:val="SubtleEmphasis"/>
          <w:rFonts w:cstheme="minorHAnsi"/>
          <w:i w:val="0"/>
          <w:color w:val="auto"/>
          <w:lang w:val="en-US"/>
        </w:rPr>
        <w:fldChar w:fldCharType="begin" w:fldLock="1"/>
      </w:r>
      <w:r w:rsidR="00FB6101">
        <w:rPr>
          <w:rStyle w:val="SubtleEmphasis"/>
          <w:rFonts w:cstheme="minorHAnsi"/>
          <w:i w:val="0"/>
          <w:color w:val="auto"/>
          <w:lang w:val="en-US"/>
        </w:rPr>
        <w:instrText>ADDIN CSL_CITATION { "citationItems" : [ { "id" : "ITEM-1", "itemData" : { "DOI" : "10.1021/j100593a053", "ISSN" : "00223654", "abstract" : "The dielectric constant of pure liquid ammonia has been measured from -35 to +50\u00b0C. In addition previous works have been reviewed so as to allow the estimation of a \"best\" value for the dielectric constant anywhere between -75 and +50\u00b0C. Anomalies had been reported in the temperature coefficient of the association between solvated electrons and cations. They are explained in the light of these new measurements.", "author" : [ { "dropping-particle" : "", "family" : "Billaud", "given" : "G\u00e9rard", "non-dropping-particle" : "", "parse-names" : false, "suffix" : "" }, { "dropping-particle" : "", "family" : "Demortier", "given" : "Antoine", "non-dropping-particle" : "", "parse-names" : false, "suffix" : "" } ], "container-title" : "The Journal of Physical Chemistry", "id" : "ITEM-1", "issue" : "26", "issued" : { "date-parts" : [ [ "1975" ] ] }, "page" : "3053-3055", "title" : "Dielectric constant of liquid ammonia from -35 to +50\u00b0C and its influence on the association between solvated electrons and cation", "type" : "article-journal", "volume" : "79" }, "uris" : [ "http://www.mendeley.com/documents/?uuid=972e89e3-53d0-461e-a06e-ca84a4f141c5" ] }, { "id" : "ITEM-2", "itemData" : { "DOI" : "10.1007/s10953-010-9538-5", "ISSN" : "00959782", "abstract" : "The dielectric constants (relative permittivities) of water, methanol, ethanol, bu-tanol and acetone were measured at 91.3 kPa and (283.15 and 293.15) K and are reported here. The dielectric constants were determined by using a new setup based on a low-pass filter. The obtained dielectric constant values are compared with those reported in the literature, and are consistent with those reported in the literature. The obtained dielectric constant data were also compared with those calculated by the Kirkwood model. The comparisons indicated that Kirkwood model can be successfully used for calculation of dielectric constants of the pure fluids. \u00a9 Springer Science+Business Media, LLC 2010.", "author" : [ { "dropping-particle" : "", "family" : "Mohsen-Nia", "given" : "M.", "non-dropping-particle" : "", "parse-names" : false, "suffix" : "" }, { "dropping-particle" : "", "family" : "Amiri", "given" : "H.", "non-dropping-particle" : "", "parse-names" : false, "suffix" : "" }, { "dropping-particle" : "", "family" : "Jazi", "given" : "B.", "non-dropping-particle" : "", "parse-names" : false, "suffix" : "" } ], "container-title" : "Journal of Solution Chemistry", "id" : "ITEM-2", "issue" : "5", "issued" : { "date-parts" : [ [ "2010" ] ] }, "page" : "701-708", "title" : "Dielectric constants of water, methanol, ethanol, butanol and acetone: Measurement and computational study", "type" : "article-journal", "volume" : "39" }, "uris" : [ "http://www.mendeley.com/documents/?uuid=0f8cc665-8631-4443-a669-ae349bcc053c" ] } ], "mendeley" : { "formattedCitation" : "&lt;sup&gt;82,83&lt;/sup&gt;", "plainTextFormattedCitation" : "82,83", "previouslyFormattedCitation" : "&lt;sup&gt;82,83&lt;/sup&gt;" }, "properties" : { "noteIndex" : 0 }, "schema" : "https://github.com/citation-style-language/schema/raw/master/csl-citation.json" }</w:instrText>
      </w:r>
      <w:r w:rsidRPr="0069618E">
        <w:rPr>
          <w:rStyle w:val="SubtleEmphasis"/>
          <w:rFonts w:cstheme="minorHAnsi"/>
          <w:i w:val="0"/>
          <w:color w:val="auto"/>
          <w:lang w:val="en-US"/>
        </w:rPr>
        <w:fldChar w:fldCharType="separate"/>
      </w:r>
      <w:r w:rsidR="00DE131C" w:rsidRPr="00DE131C">
        <w:rPr>
          <w:rStyle w:val="SubtleEmphasis"/>
          <w:rFonts w:cstheme="minorHAnsi"/>
          <w:i w:val="0"/>
          <w:noProof/>
          <w:color w:val="auto"/>
          <w:vertAlign w:val="superscript"/>
          <w:lang w:val="en-US"/>
        </w:rPr>
        <w:t>82,83</w:t>
      </w:r>
      <w:r w:rsidRPr="0069618E">
        <w:rPr>
          <w:rStyle w:val="SubtleEmphasis"/>
          <w:rFonts w:cstheme="minorHAnsi"/>
          <w:i w:val="0"/>
          <w:color w:val="auto"/>
          <w:lang w:val="en-US"/>
        </w:rPr>
        <w:fldChar w:fldCharType="end"/>
      </w:r>
      <w:r w:rsidRPr="0069618E">
        <w:rPr>
          <w:rStyle w:val="SubtleEmphasis"/>
          <w:rFonts w:cstheme="minorHAnsi"/>
          <w:i w:val="0"/>
          <w:color w:val="auto"/>
          <w:lang w:val="en-US"/>
        </w:rPr>
        <w:t>, the calculation of ε</w:t>
      </w:r>
      <w:r w:rsidRPr="0069618E">
        <w:rPr>
          <w:rStyle w:val="SubtleEmphasis"/>
          <w:rFonts w:cstheme="minorHAnsi"/>
          <w:i w:val="0"/>
          <w:color w:val="auto"/>
          <w:vertAlign w:val="subscript"/>
          <w:lang w:val="en-US"/>
        </w:rPr>
        <w:t>Combined</w:t>
      </w:r>
      <w:r w:rsidRPr="0069618E">
        <w:rPr>
          <w:rStyle w:val="SubtleEmphasis"/>
          <w:rFonts w:cstheme="minorHAnsi"/>
          <w:i w:val="0"/>
          <w:color w:val="auto"/>
          <w:lang w:val="en-US"/>
        </w:rPr>
        <w:t xml:space="preserve"> resulted in a value of 25.8. This differs only slightly from ethanol, where ε</w:t>
      </w:r>
      <w:r w:rsidRPr="0069618E">
        <w:rPr>
          <w:rStyle w:val="SubtleEmphasis"/>
          <w:rFonts w:cstheme="minorHAnsi"/>
          <w:i w:val="0"/>
          <w:color w:val="auto"/>
          <w:vertAlign w:val="subscript"/>
          <w:lang w:val="en-US"/>
        </w:rPr>
        <w:t>0</w:t>
      </w:r>
      <w:r w:rsidRPr="0069618E">
        <w:rPr>
          <w:rStyle w:val="SubtleEmphasis"/>
          <w:rFonts w:cstheme="minorHAnsi"/>
          <w:i w:val="0"/>
          <w:color w:val="auto"/>
          <w:lang w:val="en-US"/>
        </w:rPr>
        <w:t xml:space="preserve"> = 25</w:t>
      </w:r>
      <w:r w:rsidR="00C00C63">
        <w:rPr>
          <w:rStyle w:val="SubtleEmphasis"/>
          <w:rFonts w:cstheme="minorHAnsi"/>
          <w:i w:val="0"/>
          <w:color w:val="auto"/>
          <w:lang w:val="en-US"/>
        </w:rPr>
        <w:t>. This means</w:t>
      </w:r>
      <w:r w:rsidRPr="0069618E">
        <w:rPr>
          <w:rStyle w:val="SubtleEmphasis"/>
          <w:rFonts w:cstheme="minorHAnsi"/>
          <w:i w:val="0"/>
          <w:color w:val="auto"/>
          <w:lang w:val="en-US"/>
        </w:rPr>
        <w:t xml:space="preserve"> that </w:t>
      </w:r>
      <w:r w:rsidR="00C00C63">
        <w:rPr>
          <w:rStyle w:val="SubtleEmphasis"/>
          <w:rFonts w:cstheme="minorHAnsi"/>
          <w:i w:val="0"/>
          <w:color w:val="auto"/>
          <w:lang w:val="en-US"/>
        </w:rPr>
        <w:t>based, on the assumptions mentioned above,</w:t>
      </w:r>
      <w:r w:rsidR="00C00C63" w:rsidRPr="0069618E">
        <w:rPr>
          <w:rStyle w:val="SubtleEmphasis"/>
          <w:rFonts w:cstheme="minorHAnsi"/>
          <w:i w:val="0"/>
          <w:color w:val="auto"/>
          <w:lang w:val="en-US"/>
        </w:rPr>
        <w:t xml:space="preserve"> </w:t>
      </w:r>
      <w:r w:rsidR="00C00C63">
        <w:rPr>
          <w:rStyle w:val="SubtleEmphasis"/>
          <w:rFonts w:cstheme="minorHAnsi"/>
          <w:i w:val="0"/>
          <w:color w:val="auto"/>
          <w:lang w:val="en-US"/>
        </w:rPr>
        <w:t xml:space="preserve">the </w:t>
      </w:r>
      <w:r w:rsidRPr="0069618E">
        <w:rPr>
          <w:rStyle w:val="SubtleEmphasis"/>
          <w:rFonts w:cstheme="minorHAnsi"/>
          <w:i w:val="0"/>
          <w:color w:val="auto"/>
          <w:lang w:val="en-US"/>
        </w:rPr>
        <w:t xml:space="preserve">colloidal </w:t>
      </w:r>
      <w:r w:rsidR="00C00C63">
        <w:rPr>
          <w:rStyle w:val="SubtleEmphasis"/>
          <w:rFonts w:cstheme="minorHAnsi"/>
          <w:i w:val="0"/>
          <w:color w:val="auto"/>
          <w:lang w:val="en-US"/>
        </w:rPr>
        <w:t xml:space="preserve">charge stabilization of the </w:t>
      </w:r>
      <w:r w:rsidRPr="0069618E">
        <w:rPr>
          <w:rStyle w:val="SubtleEmphasis"/>
          <w:rFonts w:cstheme="minorHAnsi"/>
          <w:i w:val="0"/>
          <w:color w:val="auto"/>
          <w:lang w:val="en-US"/>
        </w:rPr>
        <w:t xml:space="preserve">particles should still be </w:t>
      </w:r>
      <w:r w:rsidR="00C00C63">
        <w:rPr>
          <w:rStyle w:val="SubtleEmphasis"/>
          <w:rFonts w:cstheme="minorHAnsi"/>
          <w:i w:val="0"/>
          <w:color w:val="auto"/>
          <w:lang w:val="en-US"/>
        </w:rPr>
        <w:t>sufficient</w:t>
      </w:r>
      <w:r w:rsidRPr="0069618E">
        <w:rPr>
          <w:rStyle w:val="SubtleEmphasis"/>
          <w:rFonts w:cstheme="minorHAnsi"/>
          <w:i w:val="0"/>
          <w:color w:val="auto"/>
          <w:lang w:val="en-US"/>
        </w:rPr>
        <w:t xml:space="preserve"> in the ternary solvent mixture</w:t>
      </w:r>
      <w:r w:rsidR="00C00C63">
        <w:rPr>
          <w:rStyle w:val="SubtleEmphasis"/>
          <w:rFonts w:cstheme="minorHAnsi"/>
          <w:i w:val="0"/>
          <w:color w:val="auto"/>
          <w:lang w:val="en-US"/>
        </w:rPr>
        <w:t>.</w:t>
      </w:r>
    </w:p>
    <w:p w:rsidR="00382E0F" w:rsidRDefault="00C00C63" w:rsidP="00FC7A2B">
      <w:pPr>
        <w:spacing w:line="240" w:lineRule="auto"/>
        <w:rPr>
          <w:rStyle w:val="SubtleEmphasis"/>
          <w:i w:val="0"/>
          <w:color w:val="auto"/>
          <w:lang w:val="en-US"/>
        </w:rPr>
      </w:pPr>
      <w:r>
        <w:rPr>
          <w:rStyle w:val="SubtleEmphasis"/>
          <w:i w:val="0"/>
          <w:color w:val="auto"/>
          <w:lang w:val="en-US"/>
        </w:rPr>
        <w:t>The instability of the dumbbell dispersion after modification hampers the use of the dumbbells for encapsulation experiments. This instability is presumably due to the glue-like properties of nPS particles in the dispersion, as the TPM-1 particles are still stable after these are separately modified. The zeta potential of the separate components does not shed light on the observed instability, as the sign on all components is the same. The</w:t>
      </w:r>
      <w:r w:rsidR="00D9152B">
        <w:rPr>
          <w:rStyle w:val="SubtleEmphasis"/>
          <w:i w:val="0"/>
          <w:color w:val="auto"/>
          <w:lang w:val="en-US"/>
        </w:rPr>
        <w:t xml:space="preserve"> theorized</w:t>
      </w:r>
      <w:r>
        <w:rPr>
          <w:rStyle w:val="SubtleEmphasis"/>
          <w:i w:val="0"/>
          <w:color w:val="auto"/>
          <w:lang w:val="en-US"/>
        </w:rPr>
        <w:t xml:space="preserve"> </w:t>
      </w:r>
      <w:r w:rsidR="00D9152B">
        <w:rPr>
          <w:rStyle w:val="SubtleEmphasis"/>
          <w:i w:val="0"/>
          <w:color w:val="auto"/>
          <w:lang w:val="en-US"/>
        </w:rPr>
        <w:t xml:space="preserve">dielectric constant of the ternary solvent mixture also does not explain the observed instability. Whatever the cause of this aggregation might be, a new system is required to obtain the desired zwitterionic dumbbells. </w:t>
      </w:r>
      <w:r w:rsidR="00DE3AB1">
        <w:rPr>
          <w:rStyle w:val="SubtleEmphasis"/>
          <w:i w:val="0"/>
          <w:color w:val="auto"/>
          <w:lang w:val="en-US"/>
        </w:rPr>
        <w:br/>
      </w:r>
      <w:r w:rsidR="00DE3AB1">
        <w:rPr>
          <w:rStyle w:val="SubtleEmphasis"/>
          <w:i w:val="0"/>
          <w:color w:val="auto"/>
          <w:lang w:val="en-US"/>
        </w:rPr>
        <w:br/>
      </w:r>
    </w:p>
    <w:p w:rsidR="000D0D26" w:rsidRDefault="000D0D26" w:rsidP="00FC7A2B">
      <w:pPr>
        <w:spacing w:line="240" w:lineRule="auto"/>
        <w:rPr>
          <w:rStyle w:val="SubtleEmphasis"/>
          <w:i w:val="0"/>
          <w:color w:val="auto"/>
          <w:lang w:val="en-US"/>
        </w:rPr>
      </w:pPr>
    </w:p>
    <w:p w:rsidR="000D0D26" w:rsidRDefault="000D0D26" w:rsidP="00FC7A2B">
      <w:pPr>
        <w:spacing w:line="240" w:lineRule="auto"/>
        <w:rPr>
          <w:rStyle w:val="SubtleEmphasis"/>
          <w:i w:val="0"/>
          <w:color w:val="auto"/>
          <w:lang w:val="en-US"/>
        </w:rPr>
      </w:pPr>
    </w:p>
    <w:p w:rsidR="000D0D26" w:rsidRDefault="000D0D26" w:rsidP="00FC7A2B">
      <w:pPr>
        <w:spacing w:line="240" w:lineRule="auto"/>
        <w:rPr>
          <w:rStyle w:val="SubtleEmphasis"/>
          <w:i w:val="0"/>
          <w:color w:val="auto"/>
          <w:lang w:val="en-US"/>
        </w:rPr>
      </w:pPr>
    </w:p>
    <w:p w:rsidR="000D0D26" w:rsidRDefault="000D0D26" w:rsidP="00FC7A2B">
      <w:pPr>
        <w:spacing w:line="240" w:lineRule="auto"/>
        <w:rPr>
          <w:rStyle w:val="SubtleEmphasis"/>
          <w:i w:val="0"/>
          <w:color w:val="auto"/>
          <w:lang w:val="en-US"/>
        </w:rPr>
      </w:pPr>
    </w:p>
    <w:p w:rsidR="000D0D26" w:rsidRDefault="000D0D26" w:rsidP="00FC7A2B">
      <w:pPr>
        <w:spacing w:line="240" w:lineRule="auto"/>
        <w:rPr>
          <w:rStyle w:val="SubtleEmphasis"/>
          <w:i w:val="0"/>
          <w:color w:val="auto"/>
          <w:lang w:val="en-US"/>
        </w:rPr>
      </w:pPr>
    </w:p>
    <w:p w:rsidR="00C00C63" w:rsidRDefault="00C00C63" w:rsidP="00FC7A2B">
      <w:pPr>
        <w:spacing w:line="240" w:lineRule="auto"/>
        <w:rPr>
          <w:rStyle w:val="SubtleEmphasis"/>
          <w:i w:val="0"/>
          <w:color w:val="auto"/>
          <w:lang w:val="en-US"/>
        </w:rPr>
      </w:pPr>
    </w:p>
    <w:p w:rsidR="000D0D26" w:rsidRPr="0069618E" w:rsidRDefault="000D0D26" w:rsidP="00FC7A2B">
      <w:pPr>
        <w:spacing w:line="240" w:lineRule="auto"/>
        <w:rPr>
          <w:rStyle w:val="SubtleEmphasis"/>
          <w:i w:val="0"/>
          <w:color w:val="auto"/>
          <w:lang w:val="en-US"/>
        </w:rPr>
      </w:pPr>
    </w:p>
    <w:p w:rsidR="00E74C8E" w:rsidRPr="0069618E" w:rsidRDefault="00E74C8E" w:rsidP="00FC7A2B">
      <w:pPr>
        <w:pStyle w:val="Heading3"/>
        <w:numPr>
          <w:ilvl w:val="2"/>
          <w:numId w:val="2"/>
        </w:numPr>
        <w:spacing w:line="240" w:lineRule="auto"/>
        <w:rPr>
          <w:rStyle w:val="SubtleEmphasis"/>
          <w:b/>
          <w:i w:val="0"/>
          <w:color w:val="auto"/>
          <w:lang w:val="en-US"/>
        </w:rPr>
      </w:pPr>
      <w:bookmarkStart w:id="124" w:name="_Toc31892427"/>
      <w:r w:rsidRPr="0069618E">
        <w:rPr>
          <w:rStyle w:val="SubtleEmphasis"/>
          <w:b/>
          <w:i w:val="0"/>
          <w:color w:val="auto"/>
          <w:lang w:val="en-US"/>
        </w:rPr>
        <w:lastRenderedPageBreak/>
        <w:t>Potential encapsulation experiments with zwitterionic dumbbells</w:t>
      </w:r>
      <w:bookmarkEnd w:id="124"/>
    </w:p>
    <w:p w:rsidR="00E74C8E" w:rsidRPr="0069618E" w:rsidRDefault="00E74C8E" w:rsidP="00FC7A2B">
      <w:pPr>
        <w:spacing w:line="240" w:lineRule="auto"/>
        <w:rPr>
          <w:rStyle w:val="SubtleEmphasis"/>
          <w:i w:val="0"/>
          <w:color w:val="auto"/>
          <w:lang w:val="en-US"/>
        </w:rPr>
      </w:pPr>
      <w:r w:rsidRPr="0069618E">
        <w:rPr>
          <w:rStyle w:val="SubtleEmphasis"/>
          <w:i w:val="0"/>
          <w:color w:val="auto"/>
          <w:lang w:val="en-US"/>
        </w:rPr>
        <w:t xml:space="preserve">Due to the inherent instability of the dumbbell dispersion after modification of the TPM lobe, it is practically not viable to perform encapsulation experiments with these particles. Another way to obtain zwitterionic dumbbells can be seen from the titration curve shown </w:t>
      </w:r>
      <w:r w:rsidRPr="00487567">
        <w:rPr>
          <w:rStyle w:val="SubtleEmphasis"/>
          <w:i w:val="0"/>
          <w:color w:val="auto"/>
          <w:lang w:val="en-US"/>
        </w:rPr>
        <w:t xml:space="preserve">in </w:t>
      </w:r>
      <w:r w:rsidR="00487567" w:rsidRPr="00487567">
        <w:rPr>
          <w:rStyle w:val="SubtleEmphasis"/>
          <w:i w:val="0"/>
          <w:color w:val="auto"/>
          <w:lang w:val="en-US"/>
        </w:rPr>
        <w:fldChar w:fldCharType="begin"/>
      </w:r>
      <w:r w:rsidR="00487567" w:rsidRPr="00487567">
        <w:rPr>
          <w:rStyle w:val="SubtleEmphasis"/>
          <w:i w:val="0"/>
          <w:color w:val="auto"/>
          <w:lang w:val="en-US"/>
        </w:rPr>
        <w:instrText xml:space="preserve"> REF _Ref29915551 \h </w:instrText>
      </w:r>
      <w:r w:rsidR="00487567">
        <w:rPr>
          <w:rStyle w:val="SubtleEmphasis"/>
          <w:i w:val="0"/>
          <w:color w:val="auto"/>
          <w:lang w:val="en-US"/>
        </w:rPr>
        <w:instrText xml:space="preserve"> \* MERGEFORMAT </w:instrText>
      </w:r>
      <w:r w:rsidR="00487567" w:rsidRPr="00487567">
        <w:rPr>
          <w:rStyle w:val="SubtleEmphasis"/>
          <w:i w:val="0"/>
          <w:color w:val="auto"/>
          <w:lang w:val="en-US"/>
        </w:rPr>
      </w:r>
      <w:r w:rsidR="00487567" w:rsidRPr="00487567">
        <w:rPr>
          <w:rStyle w:val="SubtleEmphasis"/>
          <w:i w:val="0"/>
          <w:color w:val="auto"/>
          <w:lang w:val="en-US"/>
        </w:rPr>
        <w:fldChar w:fldCharType="separate"/>
      </w:r>
      <w:r w:rsidR="00C52506" w:rsidRPr="00C52506">
        <w:rPr>
          <w:lang w:val="en-US"/>
        </w:rPr>
        <w:t xml:space="preserve">Figure </w:t>
      </w:r>
      <w:r w:rsidR="00C52506" w:rsidRPr="00C52506">
        <w:rPr>
          <w:noProof/>
          <w:lang w:val="en-US"/>
        </w:rPr>
        <w:t>53</w:t>
      </w:r>
      <w:r w:rsidR="00487567" w:rsidRPr="00487567">
        <w:rPr>
          <w:rStyle w:val="SubtleEmphasis"/>
          <w:i w:val="0"/>
          <w:color w:val="auto"/>
          <w:lang w:val="en-US"/>
        </w:rPr>
        <w:fldChar w:fldCharType="end"/>
      </w:r>
      <w:r w:rsidRPr="00487567">
        <w:rPr>
          <w:rStyle w:val="SubtleEmphasis"/>
          <w:i w:val="0"/>
          <w:color w:val="auto"/>
          <w:lang w:val="en-US"/>
        </w:rPr>
        <w:t>. At</w:t>
      </w:r>
      <w:r w:rsidRPr="0069618E">
        <w:rPr>
          <w:rStyle w:val="SubtleEmphasis"/>
          <w:i w:val="0"/>
          <w:color w:val="auto"/>
          <w:lang w:val="en-US"/>
        </w:rPr>
        <w:t xml:space="preserve"> pH 2, the TPM lobe on the dumbbell obtains a positive charge, while the nPS lobe maintains its negative charge. The positively charged species that form on the TPM lobe are protonated siloxyl groups, which are chemically similar to protonated water molecules. A downside to the use of this zwitterionic dumbbell is the relatively low magnitude of the zeta potential on both lobes. The TPM lobe only has a zeta potential of +15 mV at pH 2. To potentially increase this magnitude, more acid can be added to push the protonation of the siloxyl groups even more. However, this way, the</w:t>
      </w:r>
      <w:r w:rsidR="004146CF" w:rsidRPr="0069618E">
        <w:rPr>
          <w:rStyle w:val="SubtleEmphasis"/>
          <w:i w:val="0"/>
          <w:color w:val="auto"/>
          <w:lang w:val="en-US"/>
        </w:rPr>
        <w:t xml:space="preserve"> </w:t>
      </w:r>
      <w:r w:rsidRPr="0069618E">
        <w:rPr>
          <w:rStyle w:val="SubtleEmphasis"/>
          <w:i w:val="0"/>
          <w:color w:val="auto"/>
          <w:lang w:val="en-US"/>
        </w:rPr>
        <w:t xml:space="preserve">magnitude of the zeta potential of the nPS lobe further decreases from -30mV. A balanced pH should thus be required to obtain the most ideally charged zwitterionic dumbbell. </w:t>
      </w:r>
    </w:p>
    <w:p w:rsidR="00772F61" w:rsidRPr="0069618E" w:rsidRDefault="00E74C8E" w:rsidP="00FC7A2B">
      <w:pPr>
        <w:keepNext/>
        <w:spacing w:line="240" w:lineRule="auto"/>
        <w:jc w:val="center"/>
      </w:pPr>
      <w:r w:rsidRPr="0069618E">
        <w:rPr>
          <w:noProof/>
          <w:lang w:val="en-US"/>
        </w:rPr>
        <w:drawing>
          <wp:inline distT="0" distB="0" distL="0" distR="0">
            <wp:extent cx="4887927" cy="348615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6548" t="2314" r="9983" b="13501"/>
                    <a:stretch/>
                  </pic:blipFill>
                  <pic:spPr bwMode="auto">
                    <a:xfrm>
                      <a:off x="0" y="0"/>
                      <a:ext cx="4905049" cy="3498362"/>
                    </a:xfrm>
                    <a:prstGeom prst="rect">
                      <a:avLst/>
                    </a:prstGeom>
                    <a:noFill/>
                    <a:ln>
                      <a:noFill/>
                    </a:ln>
                    <a:extLst>
                      <a:ext uri="{53640926-AAD7-44D8-BBD7-CCE9431645EC}">
                        <a14:shadowObscured xmlns:a14="http://schemas.microsoft.com/office/drawing/2010/main"/>
                      </a:ext>
                    </a:extLst>
                  </pic:spPr>
                </pic:pic>
              </a:graphicData>
            </a:graphic>
          </wp:inline>
        </w:drawing>
      </w:r>
    </w:p>
    <w:p w:rsidR="00E74C8E" w:rsidRPr="0069618E" w:rsidRDefault="00C82962" w:rsidP="00FC7A2B">
      <w:pPr>
        <w:pStyle w:val="Caption"/>
        <w:jc w:val="center"/>
        <w:rPr>
          <w:color w:val="auto"/>
          <w:sz w:val="20"/>
          <w:szCs w:val="20"/>
          <w:lang w:val="en-US"/>
        </w:rPr>
      </w:pPr>
      <w:bookmarkStart w:id="125" w:name="_Ref29915551"/>
      <w:r>
        <w:rPr>
          <w:color w:val="auto"/>
          <w:sz w:val="20"/>
          <w:szCs w:val="20"/>
          <w:lang w:val="en-US"/>
        </w:rPr>
        <w:t>Figure</w:t>
      </w:r>
      <w:r w:rsidR="00772F61" w:rsidRPr="0069618E">
        <w:rPr>
          <w:color w:val="auto"/>
          <w:sz w:val="20"/>
          <w:szCs w:val="20"/>
          <w:lang w:val="en-US"/>
        </w:rPr>
        <w:t xml:space="preserve"> </w:t>
      </w:r>
      <w:r w:rsidR="00772F61" w:rsidRPr="0069618E">
        <w:rPr>
          <w:color w:val="auto"/>
          <w:sz w:val="20"/>
          <w:szCs w:val="20"/>
        </w:rPr>
        <w:fldChar w:fldCharType="begin"/>
      </w:r>
      <w:r w:rsidR="00772F61" w:rsidRPr="0069618E">
        <w:rPr>
          <w:color w:val="auto"/>
          <w:sz w:val="20"/>
          <w:szCs w:val="20"/>
          <w:lang w:val="en-US"/>
        </w:rPr>
        <w:instrText xml:space="preserve"> SEQ Figure \* ARABIC </w:instrText>
      </w:r>
      <w:r w:rsidR="00772F61" w:rsidRPr="0069618E">
        <w:rPr>
          <w:color w:val="auto"/>
          <w:sz w:val="20"/>
          <w:szCs w:val="20"/>
        </w:rPr>
        <w:fldChar w:fldCharType="separate"/>
      </w:r>
      <w:r w:rsidR="00C52506">
        <w:rPr>
          <w:noProof/>
          <w:color w:val="auto"/>
          <w:sz w:val="20"/>
          <w:szCs w:val="20"/>
          <w:lang w:val="en-US"/>
        </w:rPr>
        <w:t>53</w:t>
      </w:r>
      <w:r w:rsidR="00772F61" w:rsidRPr="0069618E">
        <w:rPr>
          <w:color w:val="auto"/>
          <w:sz w:val="20"/>
          <w:szCs w:val="20"/>
        </w:rPr>
        <w:fldChar w:fldCharType="end"/>
      </w:r>
      <w:bookmarkEnd w:id="125"/>
      <w:r w:rsidR="00772F61" w:rsidRPr="0069618E">
        <w:rPr>
          <w:color w:val="auto"/>
          <w:sz w:val="20"/>
          <w:szCs w:val="20"/>
          <w:lang w:val="en-US"/>
        </w:rPr>
        <w:t>: Titration curve of TPM, nPS and pH-PS.</w:t>
      </w:r>
    </w:p>
    <w:p w:rsidR="0009623F" w:rsidRDefault="00E74C8E" w:rsidP="00FC7A2B">
      <w:pPr>
        <w:spacing w:line="240" w:lineRule="auto"/>
        <w:rPr>
          <w:rStyle w:val="SubtleEmphasis"/>
          <w:i w:val="0"/>
          <w:color w:val="auto"/>
          <w:lang w:val="en-US"/>
        </w:rPr>
      </w:pPr>
      <w:r w:rsidRPr="0069618E">
        <w:rPr>
          <w:rStyle w:val="SubtleEmphasis"/>
          <w:i w:val="0"/>
          <w:color w:val="auto"/>
          <w:lang w:val="en-US"/>
        </w:rPr>
        <w:t xml:space="preserve">Performing experiments based on this system involve the self-assembly of the zwitterionic dumbbells with one another or the </w:t>
      </w:r>
      <w:r w:rsidR="00D92D38">
        <w:rPr>
          <w:rStyle w:val="SubtleEmphasis"/>
          <w:i w:val="0"/>
          <w:color w:val="auto"/>
          <w:lang w:val="en-US"/>
        </w:rPr>
        <w:t>heteroaggregation</w:t>
      </w:r>
      <w:r w:rsidRPr="0069618E">
        <w:rPr>
          <w:rStyle w:val="SubtleEmphasis"/>
          <w:i w:val="0"/>
          <w:color w:val="auto"/>
          <w:lang w:val="en-US"/>
        </w:rPr>
        <w:t xml:space="preserve"> with pH-PS. For the self-assembly, only acid should be added to a stable dumbbell dispersion to observe the formation of different structures. To obtain a stable dumbbell dispersion, base can be added to the neutral dispersion to increase the magnitude of the surface charge on both lobes, increasing the colloidal charge stabilization. Potentially, the reversibility of this system can be probed by putting the dumbbells through an acid-base pH cycle. What is important to then keep in mind, is the total salt concentration in the dispersion after a certain amount of cycles, as it could </w:t>
      </w:r>
      <w:r w:rsidR="002E3CA4">
        <w:rPr>
          <w:rStyle w:val="SubtleEmphasis"/>
          <w:i w:val="0"/>
          <w:color w:val="auto"/>
          <w:lang w:val="en-US"/>
        </w:rPr>
        <w:t>screen</w:t>
      </w:r>
      <w:r w:rsidRPr="0069618E">
        <w:rPr>
          <w:rStyle w:val="SubtleEmphasis"/>
          <w:i w:val="0"/>
          <w:color w:val="auto"/>
          <w:lang w:val="en-US"/>
        </w:rPr>
        <w:t xml:space="preserve"> the surface charge of the dumbbell lobes. It was calculated that going from pH 6.5, to pH 10, to pH 2 and back to pH 10, the total amount of added salt is 1.58 mM. This results in a Debye screening length of </w:t>
      </w:r>
      <w:r w:rsidRPr="0069618E">
        <w:rPr>
          <w:rStyle w:val="SubtleEmphasis"/>
          <w:rFonts w:cstheme="minorHAnsi"/>
          <w:i w:val="0"/>
          <w:color w:val="auto"/>
          <w:lang w:val="en-US"/>
        </w:rPr>
        <w:t>κ</w:t>
      </w:r>
      <w:r w:rsidRPr="0069618E">
        <w:rPr>
          <w:rStyle w:val="SubtleEmphasis"/>
          <w:i w:val="0"/>
          <w:color w:val="auto"/>
          <w:vertAlign w:val="superscript"/>
          <w:lang w:val="en-US"/>
        </w:rPr>
        <w:t>-1</w:t>
      </w:r>
      <w:r w:rsidRPr="0069618E">
        <w:rPr>
          <w:rStyle w:val="SubtleEmphasis"/>
          <w:i w:val="0"/>
          <w:color w:val="auto"/>
          <w:lang w:val="en-US"/>
        </w:rPr>
        <w:t xml:space="preserve"> = 7.62 nm, which is still large for the dumbbells to feel each other’s charge at small interparticle distances.</w:t>
      </w:r>
    </w:p>
    <w:p w:rsidR="00E33741" w:rsidRDefault="00E74C8E" w:rsidP="00FC7A2B">
      <w:pPr>
        <w:spacing w:line="240" w:lineRule="auto"/>
        <w:rPr>
          <w:rStyle w:val="SubtleEmphasis"/>
          <w:i w:val="0"/>
          <w:color w:val="auto"/>
          <w:lang w:val="en-US"/>
        </w:rPr>
      </w:pPr>
      <w:r w:rsidRPr="0069618E">
        <w:rPr>
          <w:rStyle w:val="SubtleEmphasis"/>
          <w:i w:val="0"/>
          <w:color w:val="auto"/>
          <w:lang w:val="en-US"/>
        </w:rPr>
        <w:t xml:space="preserve">The </w:t>
      </w:r>
      <w:r w:rsidR="00D92D38">
        <w:rPr>
          <w:rStyle w:val="SubtleEmphasis"/>
          <w:i w:val="0"/>
          <w:color w:val="auto"/>
          <w:lang w:val="en-US"/>
        </w:rPr>
        <w:t>heteroaggregation</w:t>
      </w:r>
      <w:r w:rsidRPr="0069618E">
        <w:rPr>
          <w:rStyle w:val="SubtleEmphasis"/>
          <w:i w:val="0"/>
          <w:color w:val="auto"/>
          <w:lang w:val="en-US"/>
        </w:rPr>
        <w:t xml:space="preserve"> of the zwitterionic dumbbells with pH-PS can be performed in a similar way. At high pH, pH-PS and the dumbbells should repel each other due to the strong negative surface charge present on all particles. At low pH, the negatively charged surface of the nPS lobe of the dumbbell should show an attractive interaction with positively charged surface of pH-PS. At the same time, the positively charged surface of the TPM lobe is directed away from pH-PS, which introduces an extra chemical and geometrical constraint to the encapsulation system. </w:t>
      </w:r>
    </w:p>
    <w:p w:rsidR="002E3CA4" w:rsidRDefault="00E74C8E" w:rsidP="00FC7A2B">
      <w:pPr>
        <w:spacing w:line="240" w:lineRule="auto"/>
        <w:rPr>
          <w:rStyle w:val="SubtleEmphasis"/>
          <w:i w:val="0"/>
          <w:color w:val="auto"/>
          <w:lang w:val="en-US"/>
        </w:rPr>
      </w:pPr>
      <w:r w:rsidRPr="0069618E">
        <w:rPr>
          <w:rStyle w:val="SubtleEmphasis"/>
          <w:i w:val="0"/>
          <w:color w:val="auto"/>
          <w:lang w:val="en-US"/>
        </w:rPr>
        <w:lastRenderedPageBreak/>
        <w:t xml:space="preserve">Additionally, the reversibility of this system can be probed by putting this system through a similar pH cycle as mentioned for the zwitterionic dumbbell self-assembly experiments. With these proposed </w:t>
      </w:r>
      <w:r w:rsidR="00D92D38">
        <w:rPr>
          <w:rStyle w:val="SubtleEmphasis"/>
          <w:i w:val="0"/>
          <w:color w:val="auto"/>
          <w:lang w:val="en-US"/>
        </w:rPr>
        <w:t>heteroaggregation</w:t>
      </w:r>
      <w:r w:rsidRPr="0069618E">
        <w:rPr>
          <w:rStyle w:val="SubtleEmphasis"/>
          <w:i w:val="0"/>
          <w:color w:val="auto"/>
          <w:lang w:val="en-US"/>
        </w:rPr>
        <w:t xml:space="preserve"> experiments, there will probably be competition between hetero- and </w:t>
      </w:r>
      <w:r w:rsidR="00D92D38">
        <w:rPr>
          <w:rStyle w:val="SubtleEmphasis"/>
          <w:i w:val="0"/>
          <w:color w:val="auto"/>
          <w:lang w:val="en-US"/>
        </w:rPr>
        <w:t>homoaggregation</w:t>
      </w:r>
      <w:r w:rsidRPr="0069618E">
        <w:rPr>
          <w:rStyle w:val="SubtleEmphasis"/>
          <w:i w:val="0"/>
          <w:color w:val="auto"/>
          <w:lang w:val="en-US"/>
        </w:rPr>
        <w:t>.</w:t>
      </w:r>
      <w:r w:rsidR="002E3CA4">
        <w:rPr>
          <w:rStyle w:val="SubtleEmphasis"/>
          <w:i w:val="0"/>
          <w:color w:val="auto"/>
          <w:lang w:val="en-US"/>
        </w:rPr>
        <w:t xml:space="preserve"> </w:t>
      </w:r>
    </w:p>
    <w:p w:rsidR="00E74C8E" w:rsidRDefault="002E3CA4" w:rsidP="00FC7A2B">
      <w:pPr>
        <w:spacing w:line="240" w:lineRule="auto"/>
        <w:rPr>
          <w:rStyle w:val="SubtleEmphasis"/>
          <w:i w:val="0"/>
          <w:color w:val="auto"/>
          <w:lang w:val="en-US"/>
        </w:rPr>
      </w:pPr>
      <w:r>
        <w:rPr>
          <w:rStyle w:val="SubtleEmphasis"/>
          <w:i w:val="0"/>
          <w:color w:val="auto"/>
          <w:lang w:val="en-US"/>
        </w:rPr>
        <w:t>Dumbbells</w:t>
      </w:r>
      <w:r w:rsidR="00CE0DD8" w:rsidRPr="0069618E">
        <w:rPr>
          <w:rStyle w:val="SubtleEmphasis"/>
          <w:i w:val="0"/>
          <w:color w:val="auto"/>
          <w:lang w:val="en-US"/>
        </w:rPr>
        <w:t xml:space="preserve"> with differing lobe size ratios could</w:t>
      </w:r>
      <w:r>
        <w:rPr>
          <w:rStyle w:val="SubtleEmphasis"/>
          <w:i w:val="0"/>
          <w:color w:val="auto"/>
          <w:lang w:val="en-US"/>
        </w:rPr>
        <w:t xml:space="preserve"> also</w:t>
      </w:r>
      <w:r w:rsidR="00CE0DD8" w:rsidRPr="0069618E">
        <w:rPr>
          <w:rStyle w:val="SubtleEmphasis"/>
          <w:i w:val="0"/>
          <w:color w:val="auto"/>
          <w:lang w:val="en-US"/>
        </w:rPr>
        <w:t xml:space="preserve"> be synthesized to probe the effect of size on the encapsulation. </w:t>
      </w:r>
      <w:r w:rsidR="00EF3880" w:rsidRPr="0069618E">
        <w:rPr>
          <w:rStyle w:val="SubtleEmphasis"/>
          <w:i w:val="0"/>
          <w:color w:val="auto"/>
          <w:lang w:val="en-US"/>
        </w:rPr>
        <w:t>Not only encapsulation, but also self-assembly of these zwitterionic dumbbells could be an interesting system to investigate.</w:t>
      </w:r>
    </w:p>
    <w:p w:rsidR="0029754E" w:rsidRPr="00E02773" w:rsidRDefault="004F000A" w:rsidP="00FC7A2B">
      <w:pPr>
        <w:spacing w:line="240" w:lineRule="auto"/>
        <w:rPr>
          <w:rStyle w:val="SubtleEmphasis"/>
          <w:i w:val="0"/>
          <w:color w:val="auto"/>
          <w:lang w:val="en-US"/>
        </w:rPr>
      </w:pPr>
      <w:r>
        <w:rPr>
          <w:rStyle w:val="SubtleEmphasis"/>
          <w:i w:val="0"/>
          <w:color w:val="auto"/>
          <w:lang w:val="en-US"/>
        </w:rPr>
        <w:t>To maximize the amount of dumbbells that can pack a larger sphere, the geometrical formulas from section 2.4.2 will be employed. Filling in the numbers for DB-1, where R</w:t>
      </w:r>
      <w:r>
        <w:rPr>
          <w:rStyle w:val="SubtleEmphasis"/>
          <w:i w:val="0"/>
          <w:color w:val="auto"/>
          <w:vertAlign w:val="subscript"/>
          <w:lang w:val="en-US"/>
        </w:rPr>
        <w:t>s</w:t>
      </w:r>
      <w:r>
        <w:rPr>
          <w:rStyle w:val="SubtleEmphasis"/>
          <w:i w:val="0"/>
          <w:color w:val="auto"/>
          <w:lang w:val="en-US"/>
        </w:rPr>
        <w:t xml:space="preserve"> = 860</w:t>
      </w:r>
      <w:r w:rsidR="00E02773">
        <w:rPr>
          <w:rStyle w:val="SubtleEmphasis"/>
          <w:i w:val="0"/>
          <w:color w:val="auto"/>
          <w:lang w:val="en-US"/>
        </w:rPr>
        <w:t xml:space="preserve"> </w:t>
      </w:r>
      <w:r>
        <w:rPr>
          <w:rStyle w:val="SubtleEmphasis"/>
          <w:i w:val="0"/>
          <w:color w:val="auto"/>
          <w:lang w:val="en-US"/>
        </w:rPr>
        <w:t>nm and R</w:t>
      </w:r>
      <w:r>
        <w:rPr>
          <w:rStyle w:val="SubtleEmphasis"/>
          <w:i w:val="0"/>
          <w:color w:val="auto"/>
          <w:vertAlign w:val="subscript"/>
          <w:lang w:val="en-US"/>
        </w:rPr>
        <w:t>r</w:t>
      </w:r>
      <w:r>
        <w:rPr>
          <w:rStyle w:val="SubtleEmphasis"/>
          <w:i w:val="0"/>
          <w:color w:val="auto"/>
          <w:lang w:val="en-US"/>
        </w:rPr>
        <w:t xml:space="preserve"> = 1000</w:t>
      </w:r>
      <w:r w:rsidR="00E02773">
        <w:rPr>
          <w:rStyle w:val="SubtleEmphasis"/>
          <w:i w:val="0"/>
          <w:color w:val="auto"/>
          <w:lang w:val="en-US"/>
        </w:rPr>
        <w:t xml:space="preserve"> </w:t>
      </w:r>
      <w:r>
        <w:rPr>
          <w:rStyle w:val="SubtleEmphasis"/>
          <w:i w:val="0"/>
          <w:color w:val="auto"/>
          <w:lang w:val="en-US"/>
        </w:rPr>
        <w:t xml:space="preserve">nm, results in an optimal packing angle of </w:t>
      </w:r>
      <w:r>
        <w:rPr>
          <w:rStyle w:val="SubtleEmphasis"/>
          <w:rFonts w:cstheme="minorHAnsi"/>
          <w:i w:val="0"/>
          <w:color w:val="auto"/>
          <w:lang w:val="en-US"/>
        </w:rPr>
        <w:t>θ</w:t>
      </w:r>
      <w:r>
        <w:rPr>
          <w:rStyle w:val="SubtleEmphasis"/>
          <w:i w:val="0"/>
          <w:color w:val="auto"/>
          <w:vertAlign w:val="subscript"/>
          <w:lang w:val="en-US"/>
        </w:rPr>
        <w:t>db</w:t>
      </w:r>
      <w:r>
        <w:rPr>
          <w:rStyle w:val="SubtleEmphasis"/>
          <w:i w:val="0"/>
          <w:color w:val="auto"/>
          <w:lang w:val="en-US"/>
        </w:rPr>
        <w:t xml:space="preserve"> = 4.32</w:t>
      </w:r>
      <w:r w:rsidRPr="004F000A">
        <w:rPr>
          <w:iCs/>
          <w:lang w:val="en-US"/>
        </w:rPr>
        <w:t>°</w:t>
      </w:r>
      <w:r>
        <w:rPr>
          <w:iCs/>
          <w:lang w:val="en-US"/>
        </w:rPr>
        <w:t>. This means that a larger sphere with R</w:t>
      </w:r>
      <w:r>
        <w:rPr>
          <w:iCs/>
          <w:vertAlign w:val="subscript"/>
          <w:lang w:val="en-US"/>
        </w:rPr>
        <w:t>Ideal</w:t>
      </w:r>
      <w:r>
        <w:rPr>
          <w:iCs/>
          <w:lang w:val="en-US"/>
        </w:rPr>
        <w:t xml:space="preserve"> = </w:t>
      </w:r>
      <w:r w:rsidR="007034AB">
        <w:rPr>
          <w:iCs/>
          <w:lang w:val="en-US"/>
        </w:rPr>
        <w:t xml:space="preserve">10.6 </w:t>
      </w:r>
      <w:r w:rsidR="007034AB">
        <w:rPr>
          <w:rFonts w:cstheme="minorHAnsi"/>
          <w:iCs/>
          <w:lang w:val="en-US"/>
        </w:rPr>
        <w:t>μ</w:t>
      </w:r>
      <w:r w:rsidR="007034AB">
        <w:rPr>
          <w:iCs/>
          <w:lang w:val="en-US"/>
        </w:rPr>
        <w:t>m is necessary to pack between 2072 and 4112 dumbbells.</w:t>
      </w:r>
      <w:r w:rsidR="00E02773">
        <w:rPr>
          <w:iCs/>
          <w:lang w:val="en-US"/>
        </w:rPr>
        <w:t xml:space="preserve"> For DB-2, where </w:t>
      </w:r>
      <w:r w:rsidR="00E02773">
        <w:rPr>
          <w:rStyle w:val="SubtleEmphasis"/>
          <w:i w:val="0"/>
          <w:color w:val="auto"/>
          <w:lang w:val="en-US"/>
        </w:rPr>
        <w:t>R</w:t>
      </w:r>
      <w:r w:rsidR="00E02773">
        <w:rPr>
          <w:rStyle w:val="SubtleEmphasis"/>
          <w:i w:val="0"/>
          <w:color w:val="auto"/>
          <w:vertAlign w:val="subscript"/>
          <w:lang w:val="en-US"/>
        </w:rPr>
        <w:t>s</w:t>
      </w:r>
      <w:r w:rsidR="00E02773">
        <w:rPr>
          <w:rStyle w:val="SubtleEmphasis"/>
          <w:i w:val="0"/>
          <w:color w:val="auto"/>
          <w:lang w:val="en-US"/>
        </w:rPr>
        <w:t xml:space="preserve"> = 860 nm and R</w:t>
      </w:r>
      <w:r w:rsidR="00E02773">
        <w:rPr>
          <w:rStyle w:val="SubtleEmphasis"/>
          <w:i w:val="0"/>
          <w:color w:val="auto"/>
          <w:vertAlign w:val="subscript"/>
          <w:lang w:val="en-US"/>
        </w:rPr>
        <w:t>r</w:t>
      </w:r>
      <w:r w:rsidR="00E02773">
        <w:rPr>
          <w:rStyle w:val="SubtleEmphasis"/>
          <w:i w:val="0"/>
          <w:color w:val="auto"/>
          <w:lang w:val="en-US"/>
        </w:rPr>
        <w:t xml:space="preserve"> = 2400 nm, the optimal packing angle is </w:t>
      </w:r>
      <w:r w:rsidR="00E02773">
        <w:rPr>
          <w:rStyle w:val="SubtleEmphasis"/>
          <w:rFonts w:cstheme="minorHAnsi"/>
          <w:i w:val="0"/>
          <w:color w:val="auto"/>
          <w:lang w:val="en-US"/>
        </w:rPr>
        <w:t>θ</w:t>
      </w:r>
      <w:r w:rsidR="00E02773">
        <w:rPr>
          <w:rStyle w:val="SubtleEmphasis"/>
          <w:i w:val="0"/>
          <w:color w:val="auto"/>
          <w:vertAlign w:val="subscript"/>
          <w:lang w:val="en-US"/>
        </w:rPr>
        <w:t>db</w:t>
      </w:r>
      <w:r w:rsidR="00E02773">
        <w:rPr>
          <w:rStyle w:val="SubtleEmphasis"/>
          <w:i w:val="0"/>
          <w:color w:val="auto"/>
          <w:lang w:val="en-US"/>
        </w:rPr>
        <w:t xml:space="preserve"> = 28.2</w:t>
      </w:r>
      <w:r w:rsidR="00E02773" w:rsidRPr="004F000A">
        <w:rPr>
          <w:iCs/>
          <w:lang w:val="en-US"/>
        </w:rPr>
        <w:t>°</w:t>
      </w:r>
      <w:r w:rsidR="00E02773">
        <w:rPr>
          <w:iCs/>
          <w:lang w:val="en-US"/>
        </w:rPr>
        <w:t>. For these values a radius R</w:t>
      </w:r>
      <w:r w:rsidR="00E02773">
        <w:rPr>
          <w:iCs/>
          <w:vertAlign w:val="subscript"/>
          <w:lang w:val="en-US"/>
        </w:rPr>
        <w:t>Ideal</w:t>
      </w:r>
      <w:r w:rsidR="00E02773">
        <w:rPr>
          <w:iCs/>
          <w:lang w:val="en-US"/>
        </w:rPr>
        <w:t xml:space="preserve"> = 960 nm is necessary to pack slightly less than 60 dumbbells.</w:t>
      </w:r>
    </w:p>
    <w:p w:rsidR="00E74C8E" w:rsidRPr="0069618E" w:rsidRDefault="00001E4D" w:rsidP="00FC7A2B">
      <w:pPr>
        <w:pStyle w:val="Heading1"/>
        <w:numPr>
          <w:ilvl w:val="0"/>
          <w:numId w:val="2"/>
        </w:numPr>
        <w:spacing w:line="240" w:lineRule="auto"/>
        <w:rPr>
          <w:rStyle w:val="SubtleEmphasis"/>
          <w:b/>
          <w:i w:val="0"/>
          <w:color w:val="auto"/>
          <w:lang w:val="en-US"/>
        </w:rPr>
      </w:pPr>
      <w:bookmarkStart w:id="126" w:name="_Toc31892428"/>
      <w:r w:rsidRPr="0069618E">
        <w:rPr>
          <w:rStyle w:val="SubtleEmphasis"/>
          <w:b/>
          <w:i w:val="0"/>
          <w:color w:val="auto"/>
          <w:lang w:val="en-US"/>
        </w:rPr>
        <w:t>Conclusion &amp; Outlook</w:t>
      </w:r>
      <w:bookmarkEnd w:id="126"/>
    </w:p>
    <w:p w:rsidR="00252220" w:rsidRPr="00252220" w:rsidRDefault="00252220" w:rsidP="00FC7A2B">
      <w:pPr>
        <w:spacing w:line="240" w:lineRule="auto"/>
        <w:rPr>
          <w:rStyle w:val="SubtleEmphasis"/>
          <w:i w:val="0"/>
          <w:color w:val="auto"/>
          <w:lang w:val="en-US"/>
        </w:rPr>
      </w:pPr>
      <w:r>
        <w:rPr>
          <w:rStyle w:val="SubtleEmphasis"/>
          <w:i w:val="0"/>
          <w:color w:val="auto"/>
          <w:lang w:val="en-US"/>
        </w:rPr>
        <w:t>B</w:t>
      </w:r>
      <w:r w:rsidRPr="00252220">
        <w:rPr>
          <w:rStyle w:val="SubtleEmphasis"/>
          <w:i w:val="0"/>
          <w:color w:val="auto"/>
          <w:lang w:val="en-US"/>
        </w:rPr>
        <w:t>iphasic dumbbells</w:t>
      </w:r>
      <w:r>
        <w:rPr>
          <w:rStyle w:val="SubtleEmphasis"/>
          <w:i w:val="0"/>
          <w:color w:val="auto"/>
          <w:lang w:val="en-US"/>
        </w:rPr>
        <w:t>, consisting of a PS and a TPM lobe,</w:t>
      </w:r>
      <w:r w:rsidRPr="00252220">
        <w:rPr>
          <w:rStyle w:val="SubtleEmphasis"/>
          <w:i w:val="0"/>
          <w:color w:val="auto"/>
          <w:lang w:val="en-US"/>
        </w:rPr>
        <w:t xml:space="preserve"> were </w:t>
      </w:r>
      <w:r>
        <w:rPr>
          <w:rStyle w:val="SubtleEmphasis"/>
          <w:i w:val="0"/>
          <w:color w:val="auto"/>
          <w:lang w:val="en-US"/>
        </w:rPr>
        <w:t xml:space="preserve">successfully </w:t>
      </w:r>
      <w:r w:rsidRPr="00252220">
        <w:rPr>
          <w:rStyle w:val="SubtleEmphasis"/>
          <w:i w:val="0"/>
          <w:color w:val="auto"/>
          <w:lang w:val="en-US"/>
        </w:rPr>
        <w:t>synthesized. These were subsequently modified</w:t>
      </w:r>
      <w:r w:rsidR="002E3CA4">
        <w:rPr>
          <w:rStyle w:val="SubtleEmphasis"/>
          <w:i w:val="0"/>
          <w:color w:val="auto"/>
          <w:lang w:val="en-US"/>
        </w:rPr>
        <w:t xml:space="preserve"> with APTES</w:t>
      </w:r>
      <w:r w:rsidRPr="00252220">
        <w:rPr>
          <w:rStyle w:val="SubtleEmphasis"/>
          <w:i w:val="0"/>
          <w:color w:val="auto"/>
          <w:lang w:val="en-US"/>
        </w:rPr>
        <w:t>, which</w:t>
      </w:r>
      <w:r>
        <w:rPr>
          <w:rStyle w:val="SubtleEmphasis"/>
          <w:i w:val="0"/>
          <w:color w:val="auto"/>
          <w:lang w:val="en-US"/>
        </w:rPr>
        <w:t xml:space="preserve"> </w:t>
      </w:r>
      <w:r w:rsidRPr="00252220">
        <w:rPr>
          <w:rStyle w:val="SubtleEmphasis"/>
          <w:i w:val="0"/>
          <w:color w:val="auto"/>
          <w:lang w:val="en-US"/>
        </w:rPr>
        <w:t xml:space="preserve">resulted in an unstable suspension. Potentially, a zwitterionic biphasic dumbbell can be made by adding enough acid to a naked dumbbell dispersion, as the TPM lobe obtains a positive charge around pH 3. </w:t>
      </w:r>
      <w:r>
        <w:rPr>
          <w:rStyle w:val="SubtleEmphasis"/>
          <w:i w:val="0"/>
          <w:color w:val="auto"/>
          <w:lang w:val="en-US"/>
        </w:rPr>
        <w:t xml:space="preserve">The encapsulation properties of these dumbbells with </w:t>
      </w:r>
      <w:r w:rsidR="002E3CA4">
        <w:rPr>
          <w:rStyle w:val="SubtleEmphasis"/>
          <w:i w:val="0"/>
          <w:color w:val="auto"/>
          <w:lang w:val="en-US"/>
        </w:rPr>
        <w:t>the large</w:t>
      </w:r>
      <w:r>
        <w:rPr>
          <w:rStyle w:val="SubtleEmphasis"/>
          <w:i w:val="0"/>
          <w:color w:val="auto"/>
          <w:lang w:val="en-US"/>
        </w:rPr>
        <w:t xml:space="preserve"> core particle pH-PS was not yet probed. D</w:t>
      </w:r>
      <w:r w:rsidRPr="00252220">
        <w:rPr>
          <w:rStyle w:val="SubtleEmphasis"/>
          <w:i w:val="0"/>
          <w:color w:val="auto"/>
          <w:lang w:val="en-US"/>
        </w:rPr>
        <w:t xml:space="preserve">ifferent size ratios of dumbbells can be synthesized to see what effect </w:t>
      </w:r>
      <w:r>
        <w:rPr>
          <w:rStyle w:val="SubtleEmphasis"/>
          <w:i w:val="0"/>
          <w:color w:val="auto"/>
          <w:lang w:val="en-US"/>
        </w:rPr>
        <w:t xml:space="preserve">of </w:t>
      </w:r>
      <w:r w:rsidRPr="00252220">
        <w:rPr>
          <w:rStyle w:val="SubtleEmphasis"/>
          <w:i w:val="0"/>
          <w:color w:val="auto"/>
          <w:lang w:val="en-US"/>
        </w:rPr>
        <w:t>size</w:t>
      </w:r>
      <w:r>
        <w:rPr>
          <w:rStyle w:val="SubtleEmphasis"/>
          <w:i w:val="0"/>
          <w:color w:val="auto"/>
          <w:lang w:val="en-US"/>
        </w:rPr>
        <w:t xml:space="preserve"> ratio</w:t>
      </w:r>
      <w:r w:rsidRPr="00252220">
        <w:rPr>
          <w:rStyle w:val="SubtleEmphasis"/>
          <w:i w:val="0"/>
          <w:color w:val="auto"/>
          <w:lang w:val="en-US"/>
        </w:rPr>
        <w:t xml:space="preserve"> has on the encapsulation process. Self-assembly of these zwitterionic dumbbells could also be an interesting system to investigate further. </w:t>
      </w:r>
    </w:p>
    <w:p w:rsidR="00851964" w:rsidRPr="00E02773" w:rsidRDefault="00252220" w:rsidP="00FC7A2B">
      <w:pPr>
        <w:spacing w:line="240" w:lineRule="auto"/>
        <w:rPr>
          <w:rStyle w:val="SubtleEmphasis"/>
          <w:i w:val="0"/>
          <w:color w:val="auto"/>
          <w:lang w:val="en-US"/>
        </w:rPr>
      </w:pPr>
      <w:r>
        <w:rPr>
          <w:rStyle w:val="SubtleEmphasis"/>
          <w:i w:val="0"/>
          <w:color w:val="auto"/>
          <w:lang w:val="en-US"/>
        </w:rPr>
        <w:t>As a control experiment, t</w:t>
      </w:r>
      <w:r w:rsidR="00A87770" w:rsidRPr="00E02773">
        <w:rPr>
          <w:rStyle w:val="SubtleEmphasis"/>
          <w:i w:val="0"/>
          <w:color w:val="auto"/>
          <w:lang w:val="en-US"/>
        </w:rPr>
        <w:t>he pH reversible encapsulation of</w:t>
      </w:r>
      <w:r w:rsidR="002E3CA4">
        <w:rPr>
          <w:rStyle w:val="SubtleEmphasis"/>
          <w:i w:val="0"/>
          <w:color w:val="auto"/>
          <w:lang w:val="en-US"/>
        </w:rPr>
        <w:t xml:space="preserve"> the</w:t>
      </w:r>
      <w:r w:rsidR="00A87770" w:rsidRPr="00E02773">
        <w:rPr>
          <w:rStyle w:val="SubtleEmphasis"/>
          <w:i w:val="0"/>
          <w:color w:val="auto"/>
          <w:lang w:val="en-US"/>
        </w:rPr>
        <w:t xml:space="preserve"> large charged core particle </w:t>
      </w:r>
      <w:r w:rsidR="002E3CA4">
        <w:rPr>
          <w:rStyle w:val="SubtleEmphasis"/>
          <w:i w:val="0"/>
          <w:color w:val="auto"/>
          <w:lang w:val="en-US"/>
        </w:rPr>
        <w:t xml:space="preserve">pH-PS </w:t>
      </w:r>
      <w:r w:rsidR="00A87770" w:rsidRPr="00E02773">
        <w:rPr>
          <w:rStyle w:val="SubtleEmphasis"/>
          <w:i w:val="0"/>
          <w:color w:val="auto"/>
          <w:lang w:val="en-US"/>
        </w:rPr>
        <w:t xml:space="preserve">with smaller oppositely charged particles was successfully probed. </w:t>
      </w:r>
      <w:r w:rsidR="00EA3EAC" w:rsidRPr="00E02773">
        <w:rPr>
          <w:rStyle w:val="SubtleEmphasis"/>
          <w:i w:val="0"/>
          <w:color w:val="auto"/>
          <w:lang w:val="en-US"/>
        </w:rPr>
        <w:t xml:space="preserve">Clusters of these particles were observed at different pH values, for which rationalities were provided. </w:t>
      </w:r>
      <w:r w:rsidR="00F77B0F" w:rsidRPr="00E02773">
        <w:rPr>
          <w:rStyle w:val="SubtleEmphasis"/>
          <w:i w:val="0"/>
          <w:color w:val="auto"/>
          <w:lang w:val="en-US"/>
        </w:rPr>
        <w:t xml:space="preserve">The reversibility of these systems could be further probed by performing more than one pH cycle. </w:t>
      </w:r>
      <w:r w:rsidR="00C50B8C" w:rsidRPr="00E02773">
        <w:rPr>
          <w:rStyle w:val="SubtleEmphasis"/>
          <w:i w:val="0"/>
          <w:color w:val="auto"/>
          <w:lang w:val="en-US"/>
        </w:rPr>
        <w:t>Additionally, the pH could be changed</w:t>
      </w:r>
      <w:r w:rsidR="00C50B8C" w:rsidRPr="00E02773">
        <w:rPr>
          <w:rStyle w:val="SubtleEmphasis"/>
          <w:color w:val="auto"/>
          <w:lang w:val="en-US"/>
        </w:rPr>
        <w:t xml:space="preserve"> in situ</w:t>
      </w:r>
      <w:r w:rsidR="00C50B8C" w:rsidRPr="00E02773">
        <w:rPr>
          <w:rStyle w:val="SubtleEmphasis"/>
          <w:i w:val="0"/>
          <w:color w:val="auto"/>
          <w:lang w:val="en-US"/>
        </w:rPr>
        <w:t xml:space="preserve"> while looking under the optical microscope, to observe the actual </w:t>
      </w:r>
      <w:r w:rsidR="00AD6F1D">
        <w:rPr>
          <w:rStyle w:val="SubtleEmphasis"/>
          <w:i w:val="0"/>
          <w:color w:val="auto"/>
          <w:lang w:val="en-US"/>
        </w:rPr>
        <w:t>adsorption</w:t>
      </w:r>
      <w:r w:rsidR="00C50B8C" w:rsidRPr="00E02773">
        <w:rPr>
          <w:rStyle w:val="SubtleEmphasis"/>
          <w:i w:val="0"/>
          <w:color w:val="auto"/>
          <w:lang w:val="en-US"/>
        </w:rPr>
        <w:t xml:space="preserve"> and desorption of the smaller particles on pH-PS.</w:t>
      </w:r>
      <w:r w:rsidR="00EF3880" w:rsidRPr="00E02773">
        <w:rPr>
          <w:rStyle w:val="SubtleEmphasis"/>
          <w:i w:val="0"/>
          <w:color w:val="auto"/>
          <w:lang w:val="en-US"/>
        </w:rPr>
        <w:t xml:space="preserve"> </w:t>
      </w:r>
    </w:p>
    <w:p w:rsidR="00487567" w:rsidRPr="00E02773" w:rsidRDefault="00B74C12" w:rsidP="00FC7A2B">
      <w:pPr>
        <w:spacing w:line="240" w:lineRule="auto"/>
        <w:rPr>
          <w:rStyle w:val="SubtleEmphasis"/>
          <w:i w:val="0"/>
          <w:color w:val="auto"/>
          <w:lang w:val="en-US"/>
        </w:rPr>
      </w:pPr>
      <w:r w:rsidRPr="00E02773">
        <w:rPr>
          <w:rStyle w:val="SubtleEmphasis"/>
          <w:i w:val="0"/>
          <w:color w:val="auto"/>
          <w:lang w:val="en-US"/>
        </w:rPr>
        <w:t xml:space="preserve">For encapsulation of pH-PS with pPS at high pH, it was </w:t>
      </w:r>
      <w:r w:rsidR="00156BA4" w:rsidRPr="00E02773">
        <w:rPr>
          <w:rStyle w:val="SubtleEmphasis"/>
          <w:i w:val="0"/>
          <w:color w:val="auto"/>
          <w:lang w:val="en-US"/>
        </w:rPr>
        <w:t>counterintuitively observed that no clusters had formed. It was found that pPS inverted its charge at high pH, likely being the result of base catalyzed hydrolysis of the ester group on the METMAC comonomer. Synthesizing pPS with a permanently charged comonomer that does not have an ester group, i.e. DADMAC, could solve this issue.</w:t>
      </w:r>
      <w:r w:rsidRPr="00E02773">
        <w:rPr>
          <w:rStyle w:val="SubtleEmphasis"/>
          <w:i w:val="0"/>
          <w:color w:val="auto"/>
          <w:lang w:val="en-US"/>
        </w:rPr>
        <w:t xml:space="preserve"> </w:t>
      </w:r>
      <w:r w:rsidR="00851964" w:rsidRPr="00E02773">
        <w:rPr>
          <w:rStyle w:val="SubtleEmphasis"/>
          <w:i w:val="0"/>
          <w:color w:val="auto"/>
          <w:lang w:val="en-US"/>
        </w:rPr>
        <w:t xml:space="preserve">For the encapsulation at neutral or low pH, it was observed that macroscopic aggregates had formed on the </w:t>
      </w:r>
      <w:r w:rsidR="00AD6F1D">
        <w:rPr>
          <w:rStyle w:val="SubtleEmphasis"/>
          <w:i w:val="0"/>
          <w:color w:val="auto"/>
          <w:lang w:val="en-US"/>
        </w:rPr>
        <w:t>liquid interface</w:t>
      </w:r>
      <w:r w:rsidR="00851964" w:rsidRPr="00E02773">
        <w:rPr>
          <w:rStyle w:val="SubtleEmphasis"/>
          <w:i w:val="0"/>
          <w:color w:val="auto"/>
          <w:lang w:val="en-US"/>
        </w:rPr>
        <w:t xml:space="preserve">. The reversibility of this formation could be further probed by adding base and seeing what the macroscopic and microscopic effect is on the encapsulation. </w:t>
      </w:r>
    </w:p>
    <w:p w:rsidR="00210359" w:rsidRPr="00E02773" w:rsidRDefault="00EA3EAC" w:rsidP="00FC7A2B">
      <w:pPr>
        <w:spacing w:line="240" w:lineRule="auto"/>
        <w:rPr>
          <w:rStyle w:val="SubtleEmphasis"/>
          <w:i w:val="0"/>
          <w:color w:val="auto"/>
          <w:lang w:val="en-US"/>
        </w:rPr>
      </w:pPr>
      <w:r w:rsidRPr="00E02773">
        <w:rPr>
          <w:rStyle w:val="SubtleEmphasis"/>
          <w:i w:val="0"/>
          <w:color w:val="auto"/>
          <w:lang w:val="en-US"/>
        </w:rPr>
        <w:t xml:space="preserve">It is proposed that there are discrete patches of charges present on pH-PS, onto which the smaller oppositely charged particles specifically </w:t>
      </w:r>
      <w:r w:rsidR="00D92D38">
        <w:rPr>
          <w:rStyle w:val="SubtleEmphasis"/>
          <w:i w:val="0"/>
          <w:color w:val="auto"/>
          <w:lang w:val="en-US"/>
        </w:rPr>
        <w:t>adsorb</w:t>
      </w:r>
      <w:r w:rsidRPr="00E02773">
        <w:rPr>
          <w:rStyle w:val="SubtleEmphasis"/>
          <w:i w:val="0"/>
          <w:color w:val="auto"/>
          <w:lang w:val="en-US"/>
        </w:rPr>
        <w:t xml:space="preserve"> via a random</w:t>
      </w:r>
      <w:r w:rsidR="00434B02">
        <w:rPr>
          <w:rStyle w:val="SubtleEmphasis"/>
          <w:i w:val="0"/>
          <w:color w:val="auto"/>
          <w:lang w:val="en-US"/>
        </w:rPr>
        <w:t xml:space="preserve"> sequential</w:t>
      </w:r>
      <w:r w:rsidRPr="00E02773">
        <w:rPr>
          <w:rStyle w:val="SubtleEmphasis"/>
          <w:i w:val="0"/>
          <w:color w:val="auto"/>
          <w:lang w:val="en-US"/>
        </w:rPr>
        <w:t xml:space="preserve"> </w:t>
      </w:r>
      <w:r w:rsidR="00AD6F1D">
        <w:rPr>
          <w:rStyle w:val="SubtleEmphasis"/>
          <w:i w:val="0"/>
          <w:color w:val="auto"/>
          <w:lang w:val="en-US"/>
        </w:rPr>
        <w:t>adsorption</w:t>
      </w:r>
      <w:r w:rsidRPr="00E02773">
        <w:rPr>
          <w:rStyle w:val="SubtleEmphasis"/>
          <w:i w:val="0"/>
          <w:color w:val="auto"/>
          <w:lang w:val="en-US"/>
        </w:rPr>
        <w:t xml:space="preserve"> mechanism.</w:t>
      </w:r>
      <w:r w:rsidR="00E02773">
        <w:rPr>
          <w:rStyle w:val="SubtleEmphasis"/>
          <w:i w:val="0"/>
          <w:color w:val="auto"/>
          <w:lang w:val="en-US"/>
        </w:rPr>
        <w:t xml:space="preserve"> </w:t>
      </w:r>
      <w:r w:rsidR="0065031C" w:rsidRPr="00E02773">
        <w:rPr>
          <w:rStyle w:val="SubtleEmphasis"/>
          <w:i w:val="0"/>
          <w:color w:val="auto"/>
          <w:lang w:val="en-US"/>
        </w:rPr>
        <w:t xml:space="preserve">The size and charge identity of these charged patches could be further probed by </w:t>
      </w:r>
      <w:r w:rsidR="00D92D38">
        <w:rPr>
          <w:rStyle w:val="SubtleEmphasis"/>
          <w:i w:val="0"/>
          <w:color w:val="auto"/>
          <w:lang w:val="en-US"/>
        </w:rPr>
        <w:t>adsor</w:t>
      </w:r>
      <w:r w:rsidR="002E3CA4">
        <w:rPr>
          <w:rStyle w:val="SubtleEmphasis"/>
          <w:i w:val="0"/>
          <w:color w:val="auto"/>
          <w:lang w:val="en-US"/>
        </w:rPr>
        <w:t>ption</w:t>
      </w:r>
      <w:r w:rsidR="0065031C" w:rsidRPr="00E02773">
        <w:rPr>
          <w:rStyle w:val="SubtleEmphasis"/>
          <w:i w:val="0"/>
          <w:color w:val="auto"/>
          <w:lang w:val="en-US"/>
        </w:rPr>
        <w:t xml:space="preserve"> of very small charged, fluorescent or gold particles</w:t>
      </w:r>
      <w:r w:rsidR="00382E0F" w:rsidRPr="00E02773">
        <w:rPr>
          <w:rStyle w:val="SubtleEmphasis"/>
          <w:i w:val="0"/>
          <w:color w:val="auto"/>
          <w:lang w:val="en-US"/>
        </w:rPr>
        <w:t xml:space="preserve">, to see what sites these particles </w:t>
      </w:r>
      <w:r w:rsidR="00D92D38">
        <w:rPr>
          <w:rStyle w:val="SubtleEmphasis"/>
          <w:i w:val="0"/>
          <w:color w:val="auto"/>
          <w:lang w:val="en-US"/>
        </w:rPr>
        <w:t>adsorb</w:t>
      </w:r>
      <w:r w:rsidR="00382E0F" w:rsidRPr="00E02773">
        <w:rPr>
          <w:rStyle w:val="SubtleEmphasis"/>
          <w:i w:val="0"/>
          <w:color w:val="auto"/>
          <w:lang w:val="en-US"/>
        </w:rPr>
        <w:t xml:space="preserve"> on. Additionally, s</w:t>
      </w:r>
      <w:r w:rsidR="0065031C" w:rsidRPr="00E02773">
        <w:rPr>
          <w:rStyle w:val="SubtleEmphasis"/>
          <w:i w:val="0"/>
          <w:color w:val="auto"/>
          <w:lang w:val="en-US"/>
        </w:rPr>
        <w:t>canning ion conductance microscopy</w:t>
      </w:r>
      <w:r w:rsidR="00382E0F" w:rsidRPr="00E02773">
        <w:rPr>
          <w:rStyle w:val="SubtleEmphasis"/>
          <w:i w:val="0"/>
          <w:color w:val="auto"/>
          <w:lang w:val="en-US"/>
        </w:rPr>
        <w:t xml:space="preserve"> could be used to identify the exact sites of the charges on pH-PS</w:t>
      </w:r>
      <w:r w:rsidR="0065031C" w:rsidRPr="00E02773">
        <w:rPr>
          <w:rStyle w:val="SubtleEmphasis"/>
          <w:i w:val="0"/>
          <w:color w:val="auto"/>
          <w:lang w:val="en-US"/>
        </w:rPr>
        <w:t xml:space="preserve">. </w:t>
      </w:r>
      <w:r w:rsidR="00EF3880" w:rsidRPr="00E02773">
        <w:rPr>
          <w:rStyle w:val="SubtleEmphasis"/>
          <w:i w:val="0"/>
          <w:color w:val="auto"/>
          <w:lang w:val="en-US"/>
        </w:rPr>
        <w:t>To increase the occupancy of pH-PS with the smaller oppositely charged particles, the clusters formed from one encapsulation could be isolated and aggregated with the other oppositely charged particles. This way, all charged patches present on pH-PS could be occupied.</w:t>
      </w:r>
    </w:p>
    <w:p w:rsidR="00E33741" w:rsidRDefault="00C82962" w:rsidP="00FC7A2B">
      <w:pPr>
        <w:spacing w:line="240" w:lineRule="auto"/>
        <w:rPr>
          <w:rStyle w:val="SubtleEmphasis"/>
          <w:i w:val="0"/>
          <w:color w:val="auto"/>
          <w:lang w:val="en-US"/>
        </w:rPr>
      </w:pPr>
      <w:r>
        <w:rPr>
          <w:rStyle w:val="SubtleEmphasis"/>
          <w:i w:val="0"/>
          <w:color w:val="auto"/>
          <w:lang w:val="en-US"/>
        </w:rPr>
        <w:t>The potential of mimicking viral encapsulation with this system was explored. It was elucidated that when a core particle is co-functionalized with pH</w:t>
      </w:r>
      <w:r w:rsidR="002E3CA4">
        <w:rPr>
          <w:rStyle w:val="SubtleEmphasis"/>
          <w:i w:val="0"/>
          <w:color w:val="auto"/>
          <w:lang w:val="en-US"/>
        </w:rPr>
        <w:t xml:space="preserve"> </w:t>
      </w:r>
      <w:r>
        <w:rPr>
          <w:rStyle w:val="SubtleEmphasis"/>
          <w:i w:val="0"/>
          <w:color w:val="auto"/>
          <w:lang w:val="en-US"/>
        </w:rPr>
        <w:t xml:space="preserve">responsive groups, discrete patches of </w:t>
      </w:r>
      <w:r w:rsidR="0068611F">
        <w:rPr>
          <w:rStyle w:val="SubtleEmphasis"/>
          <w:i w:val="0"/>
          <w:color w:val="auto"/>
          <w:lang w:val="en-US"/>
        </w:rPr>
        <w:t xml:space="preserve">either positive or negative </w:t>
      </w:r>
      <w:r>
        <w:rPr>
          <w:rStyle w:val="SubtleEmphasis"/>
          <w:i w:val="0"/>
          <w:color w:val="auto"/>
          <w:lang w:val="en-US"/>
        </w:rPr>
        <w:t>charge</w:t>
      </w:r>
      <w:r w:rsidR="0068611F">
        <w:rPr>
          <w:rStyle w:val="SubtleEmphasis"/>
          <w:i w:val="0"/>
          <w:color w:val="auto"/>
          <w:lang w:val="en-US"/>
        </w:rPr>
        <w:t>s</w:t>
      </w:r>
      <w:r>
        <w:rPr>
          <w:rStyle w:val="SubtleEmphasis"/>
          <w:i w:val="0"/>
          <w:color w:val="auto"/>
          <w:lang w:val="en-US"/>
        </w:rPr>
        <w:t xml:space="preserve"> could be present on</w:t>
      </w:r>
      <w:r w:rsidR="007F43C1">
        <w:rPr>
          <w:rStyle w:val="SubtleEmphasis"/>
          <w:i w:val="0"/>
          <w:color w:val="auto"/>
          <w:lang w:val="en-US"/>
        </w:rPr>
        <w:t xml:space="preserve"> its</w:t>
      </w:r>
      <w:r>
        <w:rPr>
          <w:rStyle w:val="SubtleEmphasis"/>
          <w:i w:val="0"/>
          <w:color w:val="auto"/>
          <w:lang w:val="en-US"/>
        </w:rPr>
        <w:t xml:space="preserve"> surface. This way, adsorption of particles of a specific size and charge</w:t>
      </w:r>
      <w:r w:rsidR="007F43C1">
        <w:rPr>
          <w:rStyle w:val="SubtleEmphasis"/>
          <w:i w:val="0"/>
          <w:color w:val="auto"/>
          <w:lang w:val="en-US"/>
        </w:rPr>
        <w:t xml:space="preserve"> </w:t>
      </w:r>
      <w:r w:rsidR="0068611F">
        <w:rPr>
          <w:rStyle w:val="SubtleEmphasis"/>
          <w:i w:val="0"/>
          <w:color w:val="auto"/>
          <w:lang w:val="en-US"/>
        </w:rPr>
        <w:t xml:space="preserve">onto </w:t>
      </w:r>
      <w:r w:rsidR="002E3CA4">
        <w:rPr>
          <w:rStyle w:val="SubtleEmphasis"/>
          <w:i w:val="0"/>
          <w:color w:val="auto"/>
          <w:lang w:val="en-US"/>
        </w:rPr>
        <w:t xml:space="preserve">a specific location on </w:t>
      </w:r>
      <w:r w:rsidR="0068611F">
        <w:rPr>
          <w:rStyle w:val="SubtleEmphasis"/>
          <w:i w:val="0"/>
          <w:color w:val="auto"/>
          <w:lang w:val="en-US"/>
        </w:rPr>
        <w:t>the core particle</w:t>
      </w:r>
      <w:r w:rsidR="002E3CA4">
        <w:rPr>
          <w:rStyle w:val="SubtleEmphasis"/>
          <w:i w:val="0"/>
          <w:color w:val="auto"/>
          <w:lang w:val="en-US"/>
        </w:rPr>
        <w:t xml:space="preserve"> surface</w:t>
      </w:r>
      <w:r w:rsidR="0068611F">
        <w:rPr>
          <w:rStyle w:val="SubtleEmphasis"/>
          <w:i w:val="0"/>
          <w:color w:val="auto"/>
          <w:lang w:val="en-US"/>
        </w:rPr>
        <w:t xml:space="preserve"> can be achieved. </w:t>
      </w:r>
    </w:p>
    <w:p w:rsidR="0029754E" w:rsidRDefault="0068611F" w:rsidP="00FC7A2B">
      <w:pPr>
        <w:spacing w:line="240" w:lineRule="auto"/>
        <w:rPr>
          <w:rStyle w:val="SubtleEmphasis"/>
          <w:i w:val="0"/>
          <w:color w:val="auto"/>
          <w:lang w:val="en-US"/>
        </w:rPr>
      </w:pPr>
      <w:r>
        <w:rPr>
          <w:rStyle w:val="SubtleEmphasis"/>
          <w:i w:val="0"/>
          <w:color w:val="auto"/>
          <w:lang w:val="en-US"/>
        </w:rPr>
        <w:lastRenderedPageBreak/>
        <w:t xml:space="preserve">This type of selectivity could be one of the driving forces of viral encapsulation. </w:t>
      </w:r>
      <w:r w:rsidR="00EB0409">
        <w:rPr>
          <w:rStyle w:val="SubtleEmphasis"/>
          <w:i w:val="0"/>
          <w:color w:val="auto"/>
          <w:lang w:val="en-US"/>
        </w:rPr>
        <w:t xml:space="preserve">Additionally, </w:t>
      </w:r>
      <w:r w:rsidR="00615846">
        <w:rPr>
          <w:rStyle w:val="SubtleEmphasis"/>
          <w:i w:val="0"/>
          <w:color w:val="auto"/>
          <w:lang w:val="en-US"/>
        </w:rPr>
        <w:t xml:space="preserve">the formation of these clusters is, to an extent, pH-reversible, similar to viral encapsulation. </w:t>
      </w:r>
    </w:p>
    <w:p w:rsidR="00615846" w:rsidRPr="00615846" w:rsidRDefault="00615846" w:rsidP="00FC7A2B">
      <w:pPr>
        <w:pStyle w:val="Heading1"/>
        <w:numPr>
          <w:ilvl w:val="0"/>
          <w:numId w:val="2"/>
        </w:numPr>
        <w:spacing w:line="240" w:lineRule="auto"/>
        <w:rPr>
          <w:rStyle w:val="SubtleEmphasis"/>
          <w:b/>
          <w:bCs/>
          <w:i w:val="0"/>
          <w:color w:val="auto"/>
          <w:lang w:val="en-US"/>
        </w:rPr>
      </w:pPr>
      <w:bookmarkStart w:id="127" w:name="_Toc31892429"/>
      <w:r w:rsidRPr="00615846">
        <w:rPr>
          <w:rStyle w:val="SubtleEmphasis"/>
          <w:b/>
          <w:bCs/>
          <w:i w:val="0"/>
          <w:color w:val="auto"/>
          <w:lang w:val="en-US"/>
        </w:rPr>
        <w:t>Acknowledgements</w:t>
      </w:r>
      <w:bookmarkEnd w:id="127"/>
    </w:p>
    <w:p w:rsidR="0029754E" w:rsidRDefault="00125732" w:rsidP="00FC7A2B">
      <w:pPr>
        <w:spacing w:line="240" w:lineRule="auto"/>
        <w:rPr>
          <w:rStyle w:val="SubtleEmphasis"/>
          <w:i w:val="0"/>
          <w:color w:val="auto"/>
          <w:lang w:val="en-US"/>
        </w:rPr>
      </w:pPr>
      <w:r>
        <w:rPr>
          <w:rStyle w:val="SubtleEmphasis"/>
          <w:i w:val="0"/>
          <w:color w:val="auto"/>
          <w:lang w:val="en-US"/>
        </w:rPr>
        <w:t xml:space="preserve">I would like to thank my supervisors Willem Kegel, Michele Zanini and Faranaaz Rogier. Willem provides a research environment amongst his students that is very welcoming. I felt very comfortable telling my story during brainstorm meetings, even laughing from time to time </w:t>
      </w:r>
      <w:r w:rsidR="000B036C">
        <w:rPr>
          <w:rStyle w:val="SubtleEmphasis"/>
          <w:i w:val="0"/>
          <w:color w:val="auto"/>
          <w:lang w:val="en-US"/>
        </w:rPr>
        <w:t xml:space="preserve">about small scientific jokes. Michele taught me a lot about myself, for which I am very thankful. During his time here, I looked up to him as an experimentalist, but could not keep up with his research pace. I had to find a balance between work and free time. Faranaaz provided a more calm research environment, while still being critical of my results and my ways in the lab. She helped me a lot in finding the correct balance </w:t>
      </w:r>
      <w:r w:rsidR="0036093D">
        <w:rPr>
          <w:rStyle w:val="SubtleEmphasis"/>
          <w:i w:val="0"/>
          <w:color w:val="auto"/>
          <w:lang w:val="en-US"/>
        </w:rPr>
        <w:t>between work and free time</w:t>
      </w:r>
      <w:r w:rsidR="000B036C">
        <w:rPr>
          <w:rStyle w:val="SubtleEmphasis"/>
          <w:i w:val="0"/>
          <w:color w:val="auto"/>
          <w:lang w:val="en-US"/>
        </w:rPr>
        <w:t>. The combination of these supervisors led to me being the researcher that I am now</w:t>
      </w:r>
      <w:r w:rsidR="0036093D">
        <w:rPr>
          <w:rStyle w:val="SubtleEmphasis"/>
          <w:i w:val="0"/>
          <w:color w:val="auto"/>
          <w:lang w:val="en-US"/>
        </w:rPr>
        <w:t>, for which I am very thankful</w:t>
      </w:r>
      <w:r w:rsidR="000B036C">
        <w:rPr>
          <w:rStyle w:val="SubtleEmphasis"/>
          <w:i w:val="0"/>
          <w:color w:val="auto"/>
          <w:lang w:val="en-US"/>
        </w:rPr>
        <w:t xml:space="preserve">. </w:t>
      </w:r>
      <w:r w:rsidR="0036093D">
        <w:rPr>
          <w:rStyle w:val="SubtleEmphasis"/>
          <w:i w:val="0"/>
          <w:color w:val="auto"/>
          <w:lang w:val="en-US"/>
        </w:rPr>
        <w:t>So a</w:t>
      </w:r>
      <w:r w:rsidR="000B036C">
        <w:rPr>
          <w:rStyle w:val="SubtleEmphasis"/>
          <w:i w:val="0"/>
          <w:color w:val="auto"/>
          <w:lang w:val="en-US"/>
        </w:rPr>
        <w:t>gain, thank you all for your supervision.</w:t>
      </w:r>
    </w:p>
    <w:p w:rsidR="0036093D" w:rsidRDefault="0036093D" w:rsidP="00FC7A2B">
      <w:pPr>
        <w:spacing w:line="240" w:lineRule="auto"/>
        <w:rPr>
          <w:iCs/>
          <w:lang w:val="en-US"/>
        </w:rPr>
      </w:pPr>
      <w:r w:rsidRPr="0036093D">
        <w:rPr>
          <w:iCs/>
          <w:lang w:val="en-US"/>
        </w:rPr>
        <w:t xml:space="preserve">Dominique Thies-Weesie has been of great help in performing the pH dependent zeta potential measurements and in determining the right conditions for the density gradient centrifugation experiments. </w:t>
      </w:r>
      <w:r>
        <w:rPr>
          <w:iCs/>
          <w:lang w:val="en-US"/>
        </w:rPr>
        <w:t>Also,</w:t>
      </w:r>
      <w:r w:rsidR="008F0F87">
        <w:rPr>
          <w:iCs/>
          <w:lang w:val="en-US"/>
        </w:rPr>
        <w:t xml:space="preserve"> when I was in the lab,</w:t>
      </w:r>
      <w:r>
        <w:rPr>
          <w:iCs/>
          <w:lang w:val="en-US"/>
        </w:rPr>
        <w:t xml:space="preserve"> Dominique </w:t>
      </w:r>
      <w:r w:rsidR="008F0F87">
        <w:rPr>
          <w:iCs/>
          <w:lang w:val="en-US"/>
        </w:rPr>
        <w:t>noticed that I was not doing well emotionally sometimes</w:t>
      </w:r>
      <w:r>
        <w:rPr>
          <w:iCs/>
          <w:lang w:val="en-US"/>
        </w:rPr>
        <w:t>. So thank you, Dominique, for noticing this and providing an environment where I could</w:t>
      </w:r>
      <w:r w:rsidR="002E3CA4">
        <w:rPr>
          <w:iCs/>
          <w:lang w:val="en-US"/>
        </w:rPr>
        <w:t xml:space="preserve"> openly</w:t>
      </w:r>
      <w:r>
        <w:rPr>
          <w:iCs/>
          <w:lang w:val="en-US"/>
        </w:rPr>
        <w:t xml:space="preserve"> talk about my issue</w:t>
      </w:r>
      <w:r w:rsidR="002E3CA4">
        <w:rPr>
          <w:iCs/>
          <w:lang w:val="en-US"/>
        </w:rPr>
        <w:t>s</w:t>
      </w:r>
      <w:r>
        <w:rPr>
          <w:iCs/>
          <w:lang w:val="en-US"/>
        </w:rPr>
        <w:t>.</w:t>
      </w:r>
    </w:p>
    <w:p w:rsidR="0071510E" w:rsidRDefault="0071510E" w:rsidP="00FC7A2B">
      <w:pPr>
        <w:spacing w:line="240" w:lineRule="auto"/>
        <w:rPr>
          <w:iCs/>
          <w:lang w:val="en-US"/>
        </w:rPr>
      </w:pPr>
      <w:r>
        <w:rPr>
          <w:iCs/>
          <w:lang w:val="en-US"/>
        </w:rPr>
        <w:t xml:space="preserve">The brainstorm team has been of invaluable help during my research. Any time when Faranaaz and I were puzzled by some results, we always found explanations and potential experiments to perform after a meeting. So thank you all for your help. </w:t>
      </w:r>
    </w:p>
    <w:p w:rsidR="004C4248" w:rsidRDefault="0036093D" w:rsidP="00FC7A2B">
      <w:pPr>
        <w:spacing w:line="240" w:lineRule="auto"/>
        <w:rPr>
          <w:iCs/>
          <w:lang w:val="en-US"/>
        </w:rPr>
      </w:pPr>
      <w:r>
        <w:rPr>
          <w:iCs/>
          <w:lang w:val="en-US"/>
        </w:rPr>
        <w:t>Then</w:t>
      </w:r>
      <w:r w:rsidR="002E3CA4">
        <w:rPr>
          <w:iCs/>
          <w:lang w:val="en-US"/>
        </w:rPr>
        <w:t xml:space="preserve"> finally</w:t>
      </w:r>
      <w:r>
        <w:rPr>
          <w:iCs/>
          <w:lang w:val="en-US"/>
        </w:rPr>
        <w:t xml:space="preserve">, I </w:t>
      </w:r>
      <w:r w:rsidRPr="0036093D">
        <w:rPr>
          <w:iCs/>
          <w:lang w:val="en-US"/>
        </w:rPr>
        <w:t xml:space="preserve">would like to thank Bonny Kuipers for helping in performing and interpreting the results from the zeta potential measurements. </w:t>
      </w:r>
    </w:p>
    <w:p w:rsidR="00F3572A" w:rsidRDefault="00F3572A" w:rsidP="00FC7A2B">
      <w:pPr>
        <w:spacing w:line="240" w:lineRule="auto"/>
        <w:rPr>
          <w:iCs/>
          <w:lang w:val="en-US"/>
        </w:rPr>
      </w:pPr>
    </w:p>
    <w:p w:rsidR="00F3572A" w:rsidRDefault="00F3572A" w:rsidP="00FC7A2B">
      <w:pPr>
        <w:spacing w:line="240" w:lineRule="auto"/>
        <w:rPr>
          <w:iCs/>
          <w:lang w:val="en-US"/>
        </w:rPr>
      </w:pPr>
    </w:p>
    <w:p w:rsidR="00F3572A" w:rsidRDefault="00F3572A" w:rsidP="00FC7A2B">
      <w:pPr>
        <w:spacing w:line="240" w:lineRule="auto"/>
        <w:rPr>
          <w:iCs/>
          <w:lang w:val="en-US"/>
        </w:rPr>
      </w:pPr>
    </w:p>
    <w:p w:rsidR="00F3572A" w:rsidRDefault="00F3572A" w:rsidP="00FC7A2B">
      <w:pPr>
        <w:spacing w:line="240" w:lineRule="auto"/>
        <w:rPr>
          <w:iCs/>
          <w:lang w:val="en-US"/>
        </w:rPr>
      </w:pPr>
    </w:p>
    <w:p w:rsidR="00F3572A" w:rsidRDefault="00F3572A" w:rsidP="00FC7A2B">
      <w:pPr>
        <w:spacing w:line="240" w:lineRule="auto"/>
        <w:rPr>
          <w:iCs/>
          <w:lang w:val="en-US"/>
        </w:rPr>
      </w:pPr>
    </w:p>
    <w:p w:rsidR="00F3572A" w:rsidRDefault="00F3572A" w:rsidP="00FC7A2B">
      <w:pPr>
        <w:spacing w:line="240" w:lineRule="auto"/>
        <w:rPr>
          <w:iCs/>
          <w:lang w:val="en-US"/>
        </w:rPr>
      </w:pPr>
    </w:p>
    <w:p w:rsidR="00F3572A" w:rsidRDefault="00F3572A" w:rsidP="00FC7A2B">
      <w:pPr>
        <w:spacing w:line="240" w:lineRule="auto"/>
        <w:rPr>
          <w:iCs/>
          <w:lang w:val="en-US"/>
        </w:rPr>
      </w:pPr>
    </w:p>
    <w:p w:rsidR="00F3572A" w:rsidRDefault="00F3572A" w:rsidP="00FC7A2B">
      <w:pPr>
        <w:spacing w:line="240" w:lineRule="auto"/>
        <w:rPr>
          <w:iCs/>
          <w:lang w:val="en-US"/>
        </w:rPr>
      </w:pPr>
    </w:p>
    <w:p w:rsidR="00F3572A" w:rsidRDefault="00F3572A" w:rsidP="00FC7A2B">
      <w:pPr>
        <w:spacing w:line="240" w:lineRule="auto"/>
        <w:rPr>
          <w:iCs/>
          <w:lang w:val="en-US"/>
        </w:rPr>
      </w:pPr>
    </w:p>
    <w:p w:rsidR="00F3572A" w:rsidRDefault="00F3572A" w:rsidP="00FC7A2B">
      <w:pPr>
        <w:spacing w:line="240" w:lineRule="auto"/>
        <w:rPr>
          <w:iCs/>
          <w:lang w:val="en-US"/>
        </w:rPr>
      </w:pPr>
    </w:p>
    <w:p w:rsidR="00F3572A" w:rsidRDefault="00F3572A" w:rsidP="00FC7A2B">
      <w:pPr>
        <w:spacing w:line="240" w:lineRule="auto"/>
        <w:rPr>
          <w:iCs/>
          <w:lang w:val="en-US"/>
        </w:rPr>
      </w:pPr>
    </w:p>
    <w:p w:rsidR="00F3572A" w:rsidRDefault="00F3572A" w:rsidP="00FC7A2B">
      <w:pPr>
        <w:spacing w:line="240" w:lineRule="auto"/>
        <w:rPr>
          <w:iCs/>
          <w:lang w:val="en-US"/>
        </w:rPr>
      </w:pPr>
    </w:p>
    <w:p w:rsidR="00F3572A" w:rsidRDefault="00F3572A" w:rsidP="00FC7A2B">
      <w:pPr>
        <w:spacing w:line="240" w:lineRule="auto"/>
        <w:rPr>
          <w:iCs/>
          <w:lang w:val="en-US"/>
        </w:rPr>
      </w:pPr>
    </w:p>
    <w:p w:rsidR="00F3572A" w:rsidRDefault="00F3572A" w:rsidP="00FC7A2B">
      <w:pPr>
        <w:spacing w:line="240" w:lineRule="auto"/>
        <w:rPr>
          <w:rStyle w:val="SubtleEmphasis"/>
          <w:i w:val="0"/>
          <w:color w:val="auto"/>
          <w:lang w:val="en-US"/>
        </w:rPr>
      </w:pPr>
    </w:p>
    <w:p w:rsidR="00475DE1" w:rsidRDefault="00475DE1" w:rsidP="00FC7A2B">
      <w:pPr>
        <w:pStyle w:val="Heading1"/>
        <w:numPr>
          <w:ilvl w:val="0"/>
          <w:numId w:val="2"/>
        </w:numPr>
        <w:spacing w:line="240" w:lineRule="auto"/>
        <w:rPr>
          <w:rStyle w:val="SubtleEmphasis"/>
          <w:b/>
          <w:bCs/>
          <w:i w:val="0"/>
          <w:color w:val="auto"/>
          <w:lang w:val="en-US"/>
        </w:rPr>
      </w:pPr>
      <w:bookmarkStart w:id="128" w:name="_Toc31892430"/>
      <w:r w:rsidRPr="00475DE1">
        <w:rPr>
          <w:rStyle w:val="SubtleEmphasis"/>
          <w:b/>
          <w:bCs/>
          <w:i w:val="0"/>
          <w:color w:val="auto"/>
          <w:lang w:val="en-US"/>
        </w:rPr>
        <w:lastRenderedPageBreak/>
        <w:t>Appendix</w:t>
      </w:r>
      <w:bookmarkEnd w:id="128"/>
    </w:p>
    <w:p w:rsidR="007A69F8" w:rsidRDefault="00094F52" w:rsidP="00FC7A2B">
      <w:pPr>
        <w:spacing w:line="240" w:lineRule="auto"/>
        <w:rPr>
          <w:lang w:val="en-US"/>
        </w:rPr>
      </w:pPr>
      <w:bookmarkStart w:id="129" w:name="_Toc31892431"/>
      <w:r w:rsidRPr="007A69F8">
        <w:rPr>
          <w:rStyle w:val="Heading2Char"/>
          <w:b/>
          <w:bCs/>
          <w:color w:val="auto"/>
          <w:lang w:val="en-US"/>
        </w:rPr>
        <w:t>A1</w:t>
      </w:r>
      <w:bookmarkEnd w:id="129"/>
    </w:p>
    <w:p w:rsidR="00475DE1" w:rsidRPr="00475DE1" w:rsidRDefault="00094F52" w:rsidP="00FC7A2B">
      <w:pPr>
        <w:spacing w:line="240" w:lineRule="auto"/>
        <w:rPr>
          <w:lang w:val="en-US"/>
        </w:rPr>
      </w:pPr>
      <w:r>
        <w:rPr>
          <w:lang w:val="en-US"/>
        </w:rPr>
        <w:t xml:space="preserve">Density measurement of sucrose and </w:t>
      </w:r>
      <w:r w:rsidR="00BA64A2">
        <w:rPr>
          <w:lang w:val="en-US"/>
        </w:rPr>
        <w:t>ficoll</w:t>
      </w:r>
      <w:r>
        <w:rPr>
          <w:lang w:val="en-US"/>
        </w:rPr>
        <w:t xml:space="preserve"> solutions of different concentrations</w:t>
      </w:r>
      <w:r w:rsidR="00E52082">
        <w:rPr>
          <w:lang w:val="en-US"/>
        </w:rPr>
        <w:fldChar w:fldCharType="begin" w:fldLock="1"/>
      </w:r>
      <w:r w:rsidR="00FB6101">
        <w:rPr>
          <w:lang w:val="en-US"/>
        </w:rPr>
        <w:instrText>ADDIN CSL_CITATION { "citationItems" : [ { "id" : "ITEM-1", "itemData" : { "author" : [ { "dropping-particle" : "", "family" : "Thies-Weesie", "given" : "Dominique", "non-dropping-particle" : "", "parse-names" : false, "suffix" : "" } ], "id" : "ITEM-1", "issued" : { "date-parts" : [ [ "0" ] ] }, "title" : "Private Communication", "type" : "speech" }, "uris" : [ "http://www.mendeley.com/documents/?uuid=8bf529a1-5713-4f7b-aa5c-5b77b279bbc0" ] } ], "mendeley" : { "formattedCitation" : "&lt;sup&gt;71&lt;/sup&gt;", "plainTextFormattedCitation" : "71", "previouslyFormattedCitation" : "&lt;sup&gt;71&lt;/sup&gt;" }, "properties" : { "noteIndex" : 0 }, "schema" : "https://github.com/citation-style-language/schema/raw/master/csl-citation.json" }</w:instrText>
      </w:r>
      <w:r w:rsidR="00E52082">
        <w:rPr>
          <w:lang w:val="en-US"/>
        </w:rPr>
        <w:fldChar w:fldCharType="separate"/>
      </w:r>
      <w:r w:rsidR="00DE131C" w:rsidRPr="00DE131C">
        <w:rPr>
          <w:noProof/>
          <w:vertAlign w:val="superscript"/>
          <w:lang w:val="en-US"/>
        </w:rPr>
        <w:t>71</w:t>
      </w:r>
      <w:r w:rsidR="00E52082">
        <w:rPr>
          <w:lang w:val="en-US"/>
        </w:rPr>
        <w:fldChar w:fldCharType="end"/>
      </w:r>
      <w:r>
        <w:rPr>
          <w:lang w:val="en-US"/>
        </w:rPr>
        <w:t xml:space="preserve">. </w:t>
      </w:r>
    </w:p>
    <w:p w:rsidR="00475DE1" w:rsidRDefault="00475DE1" w:rsidP="00FC7A2B">
      <w:pPr>
        <w:spacing w:line="240" w:lineRule="auto"/>
        <w:rPr>
          <w:lang w:val="en-US"/>
        </w:rPr>
      </w:pPr>
      <w:r w:rsidRPr="00475DE1">
        <w:rPr>
          <w:noProof/>
        </w:rPr>
        <w:drawing>
          <wp:inline distT="0" distB="0" distL="0" distR="0" wp14:anchorId="751D7D3F" wp14:editId="075AC902">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75DE1" w:rsidRPr="00475DE1" w:rsidRDefault="00475DE1" w:rsidP="00FC7A2B">
      <w:pPr>
        <w:spacing w:line="240" w:lineRule="auto"/>
        <w:rPr>
          <w:lang w:val="en-US"/>
        </w:rPr>
      </w:pPr>
    </w:p>
    <w:p w:rsidR="00475DE1" w:rsidRDefault="00475DE1" w:rsidP="00FC7A2B">
      <w:pPr>
        <w:spacing w:line="240" w:lineRule="auto"/>
        <w:rPr>
          <w:lang w:val="en-US"/>
        </w:rPr>
      </w:pPr>
    </w:p>
    <w:p w:rsidR="00475DE1" w:rsidRDefault="00475DE1" w:rsidP="00FC7A2B">
      <w:pPr>
        <w:spacing w:line="240" w:lineRule="auto"/>
        <w:rPr>
          <w:lang w:val="en-US"/>
        </w:rPr>
      </w:pPr>
    </w:p>
    <w:p w:rsidR="00475DE1" w:rsidRDefault="00475DE1" w:rsidP="00FC7A2B">
      <w:pPr>
        <w:spacing w:line="240" w:lineRule="auto"/>
        <w:rPr>
          <w:lang w:val="en-US"/>
        </w:rPr>
      </w:pPr>
    </w:p>
    <w:p w:rsidR="00475DE1" w:rsidRDefault="00475DE1" w:rsidP="00FC7A2B">
      <w:pPr>
        <w:spacing w:line="240" w:lineRule="auto"/>
        <w:rPr>
          <w:lang w:val="en-US"/>
        </w:rPr>
      </w:pPr>
    </w:p>
    <w:p w:rsidR="00475DE1" w:rsidRDefault="00475DE1" w:rsidP="00FC7A2B">
      <w:pPr>
        <w:spacing w:line="240" w:lineRule="auto"/>
        <w:rPr>
          <w:lang w:val="en-US"/>
        </w:rPr>
      </w:pPr>
    </w:p>
    <w:p w:rsidR="00475DE1" w:rsidRDefault="00475DE1" w:rsidP="00FC7A2B">
      <w:pPr>
        <w:spacing w:line="240" w:lineRule="auto"/>
        <w:rPr>
          <w:lang w:val="en-US"/>
        </w:rPr>
      </w:pPr>
    </w:p>
    <w:p w:rsidR="00094F52" w:rsidRDefault="00094F52" w:rsidP="00FC7A2B">
      <w:pPr>
        <w:spacing w:line="240" w:lineRule="auto"/>
        <w:rPr>
          <w:lang w:val="en-US"/>
        </w:rPr>
      </w:pPr>
    </w:p>
    <w:p w:rsidR="00094F52" w:rsidRDefault="00094F52" w:rsidP="00FC7A2B">
      <w:pPr>
        <w:spacing w:line="240" w:lineRule="auto"/>
        <w:rPr>
          <w:lang w:val="en-US"/>
        </w:rPr>
      </w:pPr>
    </w:p>
    <w:p w:rsidR="00094F52" w:rsidRDefault="00094F52" w:rsidP="00FC7A2B">
      <w:pPr>
        <w:spacing w:line="240" w:lineRule="auto"/>
        <w:rPr>
          <w:lang w:val="en-US"/>
        </w:rPr>
      </w:pPr>
    </w:p>
    <w:p w:rsidR="00094F52" w:rsidRDefault="00094F52" w:rsidP="00FC7A2B">
      <w:pPr>
        <w:spacing w:line="240" w:lineRule="auto"/>
        <w:rPr>
          <w:lang w:val="en-US"/>
        </w:rPr>
      </w:pPr>
    </w:p>
    <w:p w:rsidR="00094F52" w:rsidRDefault="00094F52" w:rsidP="00FC7A2B">
      <w:pPr>
        <w:spacing w:line="240" w:lineRule="auto"/>
        <w:rPr>
          <w:lang w:val="en-US"/>
        </w:rPr>
      </w:pPr>
    </w:p>
    <w:p w:rsidR="00094F52" w:rsidRDefault="00094F52" w:rsidP="00FC7A2B">
      <w:pPr>
        <w:spacing w:line="240" w:lineRule="auto"/>
        <w:rPr>
          <w:lang w:val="en-US"/>
        </w:rPr>
      </w:pPr>
    </w:p>
    <w:p w:rsidR="00C52506" w:rsidRDefault="00C52506" w:rsidP="00FC7A2B">
      <w:pPr>
        <w:spacing w:line="240" w:lineRule="auto"/>
        <w:rPr>
          <w:lang w:val="en-US"/>
        </w:rPr>
      </w:pPr>
    </w:p>
    <w:p w:rsidR="00C52506" w:rsidRDefault="00C52506" w:rsidP="00FC7A2B">
      <w:pPr>
        <w:spacing w:line="240" w:lineRule="auto"/>
        <w:rPr>
          <w:lang w:val="en-US"/>
        </w:rPr>
      </w:pPr>
    </w:p>
    <w:p w:rsidR="00094F52" w:rsidRDefault="00094F52" w:rsidP="00FC7A2B">
      <w:pPr>
        <w:spacing w:line="240" w:lineRule="auto"/>
        <w:rPr>
          <w:lang w:val="en-US"/>
        </w:rPr>
      </w:pPr>
    </w:p>
    <w:p w:rsidR="00475DE1" w:rsidRPr="00475DE1" w:rsidRDefault="00475DE1" w:rsidP="00FC7A2B">
      <w:pPr>
        <w:spacing w:line="240" w:lineRule="auto"/>
        <w:rPr>
          <w:lang w:val="en-US"/>
        </w:rPr>
      </w:pPr>
    </w:p>
    <w:p w:rsidR="00EF36EB" w:rsidRPr="0069618E" w:rsidRDefault="00001E4D" w:rsidP="00FC7A2B">
      <w:pPr>
        <w:pStyle w:val="Heading1"/>
        <w:numPr>
          <w:ilvl w:val="0"/>
          <w:numId w:val="2"/>
        </w:numPr>
        <w:spacing w:line="240" w:lineRule="auto"/>
        <w:rPr>
          <w:rStyle w:val="SubtleEmphasis"/>
          <w:b/>
          <w:i w:val="0"/>
          <w:color w:val="auto"/>
          <w:lang w:val="en-US"/>
        </w:rPr>
      </w:pPr>
      <w:bookmarkStart w:id="130" w:name="_Toc31892432"/>
      <w:r w:rsidRPr="0069618E">
        <w:rPr>
          <w:rStyle w:val="SubtleEmphasis"/>
          <w:b/>
          <w:i w:val="0"/>
          <w:color w:val="auto"/>
          <w:lang w:val="en-US"/>
        </w:rPr>
        <w:lastRenderedPageBreak/>
        <w:t>Bibliography</w:t>
      </w:r>
      <w:bookmarkEnd w:id="130"/>
    </w:p>
    <w:p w:rsidR="004146CF" w:rsidRPr="0069618E" w:rsidRDefault="004146CF" w:rsidP="00FC7A2B">
      <w:pPr>
        <w:spacing w:line="240" w:lineRule="auto"/>
        <w:rPr>
          <w:lang w:val="en-US"/>
        </w:rPr>
      </w:pPr>
    </w:p>
    <w:p w:rsidR="00FB6101" w:rsidRPr="00E33741" w:rsidRDefault="00E74C8E" w:rsidP="00FB6101">
      <w:pPr>
        <w:widowControl w:val="0"/>
        <w:autoSpaceDE w:val="0"/>
        <w:autoSpaceDN w:val="0"/>
        <w:adjustRightInd w:val="0"/>
        <w:spacing w:line="240" w:lineRule="auto"/>
        <w:ind w:left="640" w:hanging="640"/>
        <w:rPr>
          <w:rFonts w:ascii="Calibri" w:hAnsi="Calibri" w:cs="Calibri"/>
          <w:noProof/>
          <w:szCs w:val="24"/>
          <w:lang w:val="en-US"/>
        </w:rPr>
      </w:pPr>
      <w:r w:rsidRPr="0069618E">
        <w:rPr>
          <w:lang w:val="en-US"/>
        </w:rPr>
        <w:fldChar w:fldCharType="begin" w:fldLock="1"/>
      </w:r>
      <w:r w:rsidRPr="0069618E">
        <w:rPr>
          <w:lang w:val="en-US"/>
        </w:rPr>
        <w:instrText xml:space="preserve">ADDIN Mendeley Bibliography CSL_BIBLIOGRAPHY </w:instrText>
      </w:r>
      <w:r w:rsidRPr="0069618E">
        <w:rPr>
          <w:lang w:val="en-US"/>
        </w:rPr>
        <w:fldChar w:fldCharType="separate"/>
      </w:r>
      <w:r w:rsidR="00FB6101" w:rsidRPr="00E33741">
        <w:rPr>
          <w:rFonts w:ascii="Calibri" w:hAnsi="Calibri" w:cs="Calibri"/>
          <w:noProof/>
          <w:szCs w:val="24"/>
          <w:lang w:val="en-US"/>
        </w:rPr>
        <w:t>1.</w:t>
      </w:r>
      <w:r w:rsidR="00FB6101" w:rsidRPr="00E33741">
        <w:rPr>
          <w:rFonts w:ascii="Calibri" w:hAnsi="Calibri" w:cs="Calibri"/>
          <w:noProof/>
          <w:szCs w:val="24"/>
          <w:lang w:val="en-US"/>
        </w:rPr>
        <w:tab/>
        <w:t xml:space="preserve">Garmann, R. F., Comas-Garcia, M., Knobler, C. M. &amp; Gelbart, W. M. Physical Principles in the Self-Assembly of a Simple Spherical Virus. </w:t>
      </w:r>
      <w:r w:rsidR="00FB6101" w:rsidRPr="00E33741">
        <w:rPr>
          <w:rFonts w:ascii="Calibri" w:hAnsi="Calibri" w:cs="Calibri"/>
          <w:i/>
          <w:iCs/>
          <w:noProof/>
          <w:szCs w:val="24"/>
          <w:lang w:val="en-US"/>
        </w:rPr>
        <w:t>Acc. Chem. Res.</w:t>
      </w:r>
      <w:r w:rsidR="00FB6101" w:rsidRPr="00E33741">
        <w:rPr>
          <w:rFonts w:ascii="Calibri" w:hAnsi="Calibri" w:cs="Calibri"/>
          <w:noProof/>
          <w:szCs w:val="24"/>
          <w:lang w:val="en-US"/>
        </w:rPr>
        <w:t xml:space="preserve"> </w:t>
      </w:r>
      <w:r w:rsidR="00FB6101" w:rsidRPr="00E33741">
        <w:rPr>
          <w:rFonts w:ascii="Calibri" w:hAnsi="Calibri" w:cs="Calibri"/>
          <w:b/>
          <w:bCs/>
          <w:noProof/>
          <w:szCs w:val="24"/>
          <w:lang w:val="en-US"/>
        </w:rPr>
        <w:t>49</w:t>
      </w:r>
      <w:r w:rsidR="00FB6101" w:rsidRPr="00E33741">
        <w:rPr>
          <w:rFonts w:ascii="Calibri" w:hAnsi="Calibri" w:cs="Calibri"/>
          <w:noProof/>
          <w:szCs w:val="24"/>
          <w:lang w:val="en-US"/>
        </w:rPr>
        <w:t>, 48–55 (2016).</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2.</w:t>
      </w:r>
      <w:r w:rsidRPr="00E33741">
        <w:rPr>
          <w:rFonts w:ascii="Calibri" w:hAnsi="Calibri" w:cs="Calibri"/>
          <w:noProof/>
          <w:szCs w:val="24"/>
          <w:lang w:val="en-US"/>
        </w:rPr>
        <w:tab/>
        <w:t xml:space="preserve">Patil, Y. P. &amp; Jadhav, S. Novel methods for liposome preparation. </w:t>
      </w:r>
      <w:r w:rsidRPr="00E33741">
        <w:rPr>
          <w:rFonts w:ascii="Calibri" w:hAnsi="Calibri" w:cs="Calibri"/>
          <w:i/>
          <w:iCs/>
          <w:noProof/>
          <w:szCs w:val="24"/>
          <w:lang w:val="en-US"/>
        </w:rPr>
        <w:t>Chem. Phys. Lipids</w:t>
      </w:r>
      <w:r w:rsidRPr="00E33741">
        <w:rPr>
          <w:rFonts w:ascii="Calibri" w:hAnsi="Calibri" w:cs="Calibri"/>
          <w:noProof/>
          <w:szCs w:val="24"/>
          <w:lang w:val="en-US"/>
        </w:rPr>
        <w:t xml:space="preserve"> </w:t>
      </w:r>
      <w:r w:rsidRPr="00E33741">
        <w:rPr>
          <w:rFonts w:ascii="Calibri" w:hAnsi="Calibri" w:cs="Calibri"/>
          <w:b/>
          <w:bCs/>
          <w:noProof/>
          <w:szCs w:val="24"/>
          <w:lang w:val="en-US"/>
        </w:rPr>
        <w:t>177</w:t>
      </w:r>
      <w:r w:rsidRPr="00E33741">
        <w:rPr>
          <w:rFonts w:ascii="Calibri" w:hAnsi="Calibri" w:cs="Calibri"/>
          <w:noProof/>
          <w:szCs w:val="24"/>
          <w:lang w:val="en-US"/>
        </w:rPr>
        <w:t>, 8–18 (2014).</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3.</w:t>
      </w:r>
      <w:r w:rsidRPr="00E33741">
        <w:rPr>
          <w:rFonts w:ascii="Calibri" w:hAnsi="Calibri" w:cs="Calibri"/>
          <w:noProof/>
          <w:szCs w:val="24"/>
          <w:lang w:val="en-US"/>
        </w:rPr>
        <w:tab/>
        <w:t xml:space="preserve">Edwards-Gayle, C. J. C. &amp; Hamley, I. W. Self-assembly of bioactive peptides, peptide conjugates, and peptide mimetic materials. </w:t>
      </w:r>
      <w:r w:rsidRPr="00E33741">
        <w:rPr>
          <w:rFonts w:ascii="Calibri" w:hAnsi="Calibri" w:cs="Calibri"/>
          <w:i/>
          <w:iCs/>
          <w:noProof/>
          <w:szCs w:val="24"/>
          <w:lang w:val="en-US"/>
        </w:rPr>
        <w:t>Org. Biomol. Chem.</w:t>
      </w:r>
      <w:r w:rsidRPr="00E33741">
        <w:rPr>
          <w:rFonts w:ascii="Calibri" w:hAnsi="Calibri" w:cs="Calibri"/>
          <w:noProof/>
          <w:szCs w:val="24"/>
          <w:lang w:val="en-US"/>
        </w:rPr>
        <w:t xml:space="preserve"> </w:t>
      </w:r>
      <w:r w:rsidRPr="00E33741">
        <w:rPr>
          <w:rFonts w:ascii="Calibri" w:hAnsi="Calibri" w:cs="Calibri"/>
          <w:b/>
          <w:bCs/>
          <w:noProof/>
          <w:szCs w:val="24"/>
          <w:lang w:val="en-US"/>
        </w:rPr>
        <w:t>15</w:t>
      </w:r>
      <w:r w:rsidRPr="00E33741">
        <w:rPr>
          <w:rFonts w:ascii="Calibri" w:hAnsi="Calibri" w:cs="Calibri"/>
          <w:noProof/>
          <w:szCs w:val="24"/>
          <w:lang w:val="en-US"/>
        </w:rPr>
        <w:t>, 5867–5876 (2017).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4.</w:t>
      </w:r>
      <w:r w:rsidRPr="00E33741">
        <w:rPr>
          <w:rFonts w:ascii="Calibri" w:hAnsi="Calibri" w:cs="Calibri"/>
          <w:noProof/>
          <w:szCs w:val="24"/>
          <w:lang w:val="en-US"/>
        </w:rPr>
        <w:tab/>
        <w:t xml:space="preserve">Tolstorukov, M. Y., Colasanti, A. V., McCandlish, D. M., Olson, W. K. &amp; Zhurkin, V. B. A Novel Roll-and-Slide Mechanism of DNA Folding in Chromatin: Implications for Nucleosome Positioning. </w:t>
      </w:r>
      <w:r w:rsidRPr="00E33741">
        <w:rPr>
          <w:rFonts w:ascii="Calibri" w:hAnsi="Calibri" w:cs="Calibri"/>
          <w:i/>
          <w:iCs/>
          <w:noProof/>
          <w:szCs w:val="24"/>
          <w:lang w:val="en-US"/>
        </w:rPr>
        <w:t>J. Mol. Biol.</w:t>
      </w:r>
      <w:r w:rsidRPr="00E33741">
        <w:rPr>
          <w:rFonts w:ascii="Calibri" w:hAnsi="Calibri" w:cs="Calibri"/>
          <w:noProof/>
          <w:szCs w:val="24"/>
          <w:lang w:val="en-US"/>
        </w:rPr>
        <w:t xml:space="preserve"> </w:t>
      </w:r>
      <w:r w:rsidRPr="00E33741">
        <w:rPr>
          <w:rFonts w:ascii="Calibri" w:hAnsi="Calibri" w:cs="Calibri"/>
          <w:b/>
          <w:bCs/>
          <w:noProof/>
          <w:szCs w:val="24"/>
          <w:lang w:val="en-US"/>
        </w:rPr>
        <w:t>371</w:t>
      </w:r>
      <w:r w:rsidRPr="00E33741">
        <w:rPr>
          <w:rFonts w:ascii="Calibri" w:hAnsi="Calibri" w:cs="Calibri"/>
          <w:noProof/>
          <w:szCs w:val="24"/>
          <w:lang w:val="en-US"/>
        </w:rPr>
        <w:t>, 725–738 (2007).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5.</w:t>
      </w:r>
      <w:r w:rsidRPr="00E33741">
        <w:rPr>
          <w:rFonts w:ascii="Calibri" w:hAnsi="Calibri" w:cs="Calibri"/>
          <w:noProof/>
          <w:szCs w:val="24"/>
          <w:lang w:val="en-US"/>
        </w:rPr>
        <w:tab/>
        <w:t xml:space="preserve">Huheey, J. E., Keiter, E. A. &amp; Keiter, R. L. </w:t>
      </w:r>
      <w:r w:rsidRPr="00E33741">
        <w:rPr>
          <w:rFonts w:ascii="Calibri" w:hAnsi="Calibri" w:cs="Calibri"/>
          <w:i/>
          <w:iCs/>
          <w:noProof/>
          <w:szCs w:val="24"/>
          <w:lang w:val="en-US"/>
        </w:rPr>
        <w:t>Inorganic Chemistry: Principles of Structure and Reactivity</w:t>
      </w:r>
      <w:r w:rsidRPr="00E33741">
        <w:rPr>
          <w:rFonts w:ascii="Calibri" w:hAnsi="Calibri" w:cs="Calibri"/>
          <w:noProof/>
          <w:szCs w:val="24"/>
          <w:lang w:val="en-US"/>
        </w:rPr>
        <w:t>. (HarperCollins College Publishers, 1993).</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6.</w:t>
      </w:r>
      <w:r w:rsidRPr="00E33741">
        <w:rPr>
          <w:rFonts w:ascii="Calibri" w:hAnsi="Calibri" w:cs="Calibri"/>
          <w:noProof/>
          <w:szCs w:val="24"/>
          <w:lang w:val="en-US"/>
        </w:rPr>
        <w:tab/>
        <w:t xml:space="preserve">Lodish, H. </w:t>
      </w:r>
      <w:r w:rsidRPr="00E33741">
        <w:rPr>
          <w:rFonts w:ascii="Calibri" w:hAnsi="Calibri" w:cs="Calibri"/>
          <w:i/>
          <w:iCs/>
          <w:noProof/>
          <w:szCs w:val="24"/>
          <w:lang w:val="en-US"/>
        </w:rPr>
        <w:t>et al.</w:t>
      </w:r>
      <w:r w:rsidRPr="00E33741">
        <w:rPr>
          <w:rFonts w:ascii="Calibri" w:hAnsi="Calibri" w:cs="Calibri"/>
          <w:noProof/>
          <w:szCs w:val="24"/>
          <w:lang w:val="en-US"/>
        </w:rPr>
        <w:t xml:space="preserve"> Noncovalent Bonds. in </w:t>
      </w:r>
      <w:r w:rsidRPr="00E33741">
        <w:rPr>
          <w:rFonts w:ascii="Calibri" w:hAnsi="Calibri" w:cs="Calibri"/>
          <w:i/>
          <w:iCs/>
          <w:noProof/>
          <w:szCs w:val="24"/>
          <w:lang w:val="en-US"/>
        </w:rPr>
        <w:t>Molecular Cell Biology</w:t>
      </w:r>
      <w:r w:rsidRPr="00E33741">
        <w:rPr>
          <w:rFonts w:ascii="Calibri" w:hAnsi="Calibri" w:cs="Calibri"/>
          <w:noProof/>
          <w:szCs w:val="24"/>
          <w:lang w:val="en-US"/>
        </w:rPr>
        <w:t xml:space="preserve"> (W. H. Freeman, 2000).</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7.</w:t>
      </w:r>
      <w:r w:rsidRPr="00E33741">
        <w:rPr>
          <w:rFonts w:ascii="Calibri" w:hAnsi="Calibri" w:cs="Calibri"/>
          <w:noProof/>
          <w:szCs w:val="24"/>
          <w:lang w:val="en-US"/>
        </w:rPr>
        <w:tab/>
        <w:t xml:space="preserve">Whitesides, G. M. &amp; Boncheva, M. Beyond molecules: Self-assembly of mesoscopic and macroscopic components. </w:t>
      </w:r>
      <w:r w:rsidRPr="00E33741">
        <w:rPr>
          <w:rFonts w:ascii="Calibri" w:hAnsi="Calibri" w:cs="Calibri"/>
          <w:i/>
          <w:iCs/>
          <w:noProof/>
          <w:szCs w:val="24"/>
          <w:lang w:val="en-US"/>
        </w:rPr>
        <w:t>Proc. Natl. Acad. Sci. U. S. A.</w:t>
      </w:r>
      <w:r w:rsidRPr="00E33741">
        <w:rPr>
          <w:rFonts w:ascii="Calibri" w:hAnsi="Calibri" w:cs="Calibri"/>
          <w:noProof/>
          <w:szCs w:val="24"/>
          <w:lang w:val="en-US"/>
        </w:rPr>
        <w:t xml:space="preserve"> </w:t>
      </w:r>
      <w:r w:rsidRPr="00E33741">
        <w:rPr>
          <w:rFonts w:ascii="Calibri" w:hAnsi="Calibri" w:cs="Calibri"/>
          <w:b/>
          <w:bCs/>
          <w:noProof/>
          <w:szCs w:val="24"/>
          <w:lang w:val="en-US"/>
        </w:rPr>
        <w:t>99</w:t>
      </w:r>
      <w:r w:rsidRPr="00E33741">
        <w:rPr>
          <w:rFonts w:ascii="Calibri" w:hAnsi="Calibri" w:cs="Calibri"/>
          <w:noProof/>
          <w:szCs w:val="24"/>
          <w:lang w:val="en-US"/>
        </w:rPr>
        <w:t>, 4769–4774 (2002).</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8.</w:t>
      </w:r>
      <w:r w:rsidRPr="00E33741">
        <w:rPr>
          <w:rFonts w:ascii="Calibri" w:hAnsi="Calibri" w:cs="Calibri"/>
          <w:noProof/>
          <w:szCs w:val="24"/>
          <w:lang w:val="en-US"/>
        </w:rPr>
        <w:tab/>
        <w:t xml:space="preserve">Grzybowski, B. A., Wilmer, C. E., Kim, J., Browne, K. P. &amp; Bishop, K. J. M. Self-assembly: From crystals to cells. </w:t>
      </w:r>
      <w:r w:rsidRPr="00E33741">
        <w:rPr>
          <w:rFonts w:ascii="Calibri" w:hAnsi="Calibri" w:cs="Calibri"/>
          <w:i/>
          <w:iCs/>
          <w:noProof/>
          <w:szCs w:val="24"/>
          <w:lang w:val="en-US"/>
        </w:rPr>
        <w:t>Soft Matter</w:t>
      </w:r>
      <w:r w:rsidRPr="00E33741">
        <w:rPr>
          <w:rFonts w:ascii="Calibri" w:hAnsi="Calibri" w:cs="Calibri"/>
          <w:noProof/>
          <w:szCs w:val="24"/>
          <w:lang w:val="en-US"/>
        </w:rPr>
        <w:t xml:space="preserve"> </w:t>
      </w:r>
      <w:r w:rsidRPr="00E33741">
        <w:rPr>
          <w:rFonts w:ascii="Calibri" w:hAnsi="Calibri" w:cs="Calibri"/>
          <w:b/>
          <w:bCs/>
          <w:noProof/>
          <w:szCs w:val="24"/>
          <w:lang w:val="en-US"/>
        </w:rPr>
        <w:t>5</w:t>
      </w:r>
      <w:r w:rsidRPr="00E33741">
        <w:rPr>
          <w:rFonts w:ascii="Calibri" w:hAnsi="Calibri" w:cs="Calibri"/>
          <w:noProof/>
          <w:szCs w:val="24"/>
          <w:lang w:val="en-US"/>
        </w:rPr>
        <w:t>, 1110–1128 (2009).</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9.</w:t>
      </w:r>
      <w:r w:rsidRPr="00E33741">
        <w:rPr>
          <w:rFonts w:ascii="Calibri" w:hAnsi="Calibri" w:cs="Calibri"/>
          <w:noProof/>
          <w:szCs w:val="24"/>
          <w:lang w:val="en-US"/>
        </w:rPr>
        <w:tab/>
        <w:t xml:space="preserve">Palberg, T. Colloidal crystallization dynamics. </w:t>
      </w:r>
      <w:r w:rsidRPr="00E33741">
        <w:rPr>
          <w:rFonts w:ascii="Calibri" w:hAnsi="Calibri" w:cs="Calibri"/>
          <w:i/>
          <w:iCs/>
          <w:noProof/>
          <w:szCs w:val="24"/>
          <w:lang w:val="en-US"/>
        </w:rPr>
        <w:t>Curr. Opin. Colloid Interface Sci.</w:t>
      </w:r>
      <w:r w:rsidRPr="00E33741">
        <w:rPr>
          <w:rFonts w:ascii="Calibri" w:hAnsi="Calibri" w:cs="Calibri"/>
          <w:noProof/>
          <w:szCs w:val="24"/>
          <w:lang w:val="en-US"/>
        </w:rPr>
        <w:t xml:space="preserve"> </w:t>
      </w:r>
      <w:r w:rsidRPr="00E33741">
        <w:rPr>
          <w:rFonts w:ascii="Calibri" w:hAnsi="Calibri" w:cs="Calibri"/>
          <w:b/>
          <w:bCs/>
          <w:noProof/>
          <w:szCs w:val="24"/>
          <w:lang w:val="en-US"/>
        </w:rPr>
        <w:t>2</w:t>
      </w:r>
      <w:r w:rsidRPr="00E33741">
        <w:rPr>
          <w:rFonts w:ascii="Calibri" w:hAnsi="Calibri" w:cs="Calibri"/>
          <w:noProof/>
          <w:szCs w:val="24"/>
          <w:lang w:val="en-US"/>
        </w:rPr>
        <w:t>, 607–614 (1997).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10.</w:t>
      </w:r>
      <w:r w:rsidRPr="00E33741">
        <w:rPr>
          <w:rFonts w:ascii="Calibri" w:hAnsi="Calibri" w:cs="Calibri"/>
          <w:noProof/>
          <w:szCs w:val="24"/>
          <w:lang w:val="en-US"/>
        </w:rPr>
        <w:tab/>
        <w:t xml:space="preserve">Grzybowski, B. A., Fitzner, K., Paczesny, J. &amp; Granick, S. From dynamic self-assembly to networked chemical systems. </w:t>
      </w:r>
      <w:r w:rsidRPr="00E33741">
        <w:rPr>
          <w:rFonts w:ascii="Calibri" w:hAnsi="Calibri" w:cs="Calibri"/>
          <w:i/>
          <w:iCs/>
          <w:noProof/>
          <w:szCs w:val="24"/>
          <w:lang w:val="en-US"/>
        </w:rPr>
        <w:t>Chem. Soc. Rev.</w:t>
      </w:r>
      <w:r w:rsidRPr="00E33741">
        <w:rPr>
          <w:rFonts w:ascii="Calibri" w:hAnsi="Calibri" w:cs="Calibri"/>
          <w:noProof/>
          <w:szCs w:val="24"/>
          <w:lang w:val="en-US"/>
        </w:rPr>
        <w:t xml:space="preserve"> </w:t>
      </w:r>
      <w:r w:rsidRPr="00E33741">
        <w:rPr>
          <w:rFonts w:ascii="Calibri" w:hAnsi="Calibri" w:cs="Calibri"/>
          <w:b/>
          <w:bCs/>
          <w:noProof/>
          <w:szCs w:val="24"/>
          <w:lang w:val="en-US"/>
        </w:rPr>
        <w:t>46</w:t>
      </w:r>
      <w:r w:rsidRPr="00E33741">
        <w:rPr>
          <w:rFonts w:ascii="Calibri" w:hAnsi="Calibri" w:cs="Calibri"/>
          <w:noProof/>
          <w:szCs w:val="24"/>
          <w:lang w:val="en-US"/>
        </w:rPr>
        <w:t>, 5647–5678 (2017).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11.</w:t>
      </w:r>
      <w:r w:rsidRPr="00E33741">
        <w:rPr>
          <w:rFonts w:ascii="Calibri" w:hAnsi="Calibri" w:cs="Calibri"/>
          <w:noProof/>
          <w:szCs w:val="24"/>
          <w:lang w:val="en-US"/>
        </w:rPr>
        <w:tab/>
        <w:t xml:space="preserve">Hallett, J. E., Gillespie, D. A. J., Richardson, R. M. &amp; Bartlett, P. Charge regulation of nonpolar colloids. </w:t>
      </w:r>
      <w:r w:rsidRPr="00E33741">
        <w:rPr>
          <w:rFonts w:ascii="Calibri" w:hAnsi="Calibri" w:cs="Calibri"/>
          <w:i/>
          <w:iCs/>
          <w:noProof/>
          <w:szCs w:val="24"/>
          <w:lang w:val="en-US"/>
        </w:rPr>
        <w:t>Soft Matter</w:t>
      </w:r>
      <w:r w:rsidRPr="00E33741">
        <w:rPr>
          <w:rFonts w:ascii="Calibri" w:hAnsi="Calibri" w:cs="Calibri"/>
          <w:noProof/>
          <w:szCs w:val="24"/>
          <w:lang w:val="en-US"/>
        </w:rPr>
        <w:t xml:space="preserve"> </w:t>
      </w:r>
      <w:r w:rsidRPr="00E33741">
        <w:rPr>
          <w:rFonts w:ascii="Calibri" w:hAnsi="Calibri" w:cs="Calibri"/>
          <w:b/>
          <w:bCs/>
          <w:noProof/>
          <w:szCs w:val="24"/>
          <w:lang w:val="en-US"/>
        </w:rPr>
        <w:t>14</w:t>
      </w:r>
      <w:r w:rsidRPr="00E33741">
        <w:rPr>
          <w:rFonts w:ascii="Calibri" w:hAnsi="Calibri" w:cs="Calibri"/>
          <w:noProof/>
          <w:szCs w:val="24"/>
          <w:lang w:val="en-US"/>
        </w:rPr>
        <w:t>, 331–343 (2018).</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12.</w:t>
      </w:r>
      <w:r w:rsidRPr="00E33741">
        <w:rPr>
          <w:rFonts w:ascii="Calibri" w:hAnsi="Calibri" w:cs="Calibri"/>
          <w:noProof/>
          <w:szCs w:val="24"/>
          <w:lang w:val="en-US"/>
        </w:rPr>
        <w:tab/>
        <w:t xml:space="preserve">Sacanna, S. </w:t>
      </w:r>
      <w:r w:rsidRPr="00E33741">
        <w:rPr>
          <w:rFonts w:ascii="Calibri" w:hAnsi="Calibri" w:cs="Calibri"/>
          <w:i/>
          <w:iCs/>
          <w:noProof/>
          <w:szCs w:val="24"/>
          <w:lang w:val="en-US"/>
        </w:rPr>
        <w:t>et al.</w:t>
      </w:r>
      <w:r w:rsidRPr="00E33741">
        <w:rPr>
          <w:rFonts w:ascii="Calibri" w:hAnsi="Calibri" w:cs="Calibri"/>
          <w:noProof/>
          <w:szCs w:val="24"/>
          <w:lang w:val="en-US"/>
        </w:rPr>
        <w:t xml:space="preserve"> Shaping colloids for self-assembly. </w:t>
      </w:r>
      <w:r w:rsidRPr="00E33741">
        <w:rPr>
          <w:rFonts w:ascii="Calibri" w:hAnsi="Calibri" w:cs="Calibri"/>
          <w:i/>
          <w:iCs/>
          <w:noProof/>
          <w:szCs w:val="24"/>
          <w:lang w:val="en-US"/>
        </w:rPr>
        <w:t>Nat. Commun.</w:t>
      </w:r>
      <w:r w:rsidRPr="00E33741">
        <w:rPr>
          <w:rFonts w:ascii="Calibri" w:hAnsi="Calibri" w:cs="Calibri"/>
          <w:noProof/>
          <w:szCs w:val="24"/>
          <w:lang w:val="en-US"/>
        </w:rPr>
        <w:t xml:space="preserve"> </w:t>
      </w:r>
      <w:r w:rsidRPr="00E33741">
        <w:rPr>
          <w:rFonts w:ascii="Calibri" w:hAnsi="Calibri" w:cs="Calibri"/>
          <w:b/>
          <w:bCs/>
          <w:noProof/>
          <w:szCs w:val="24"/>
          <w:lang w:val="en-US"/>
        </w:rPr>
        <w:t>4</w:t>
      </w:r>
      <w:r w:rsidRPr="00E33741">
        <w:rPr>
          <w:rFonts w:ascii="Calibri" w:hAnsi="Calibri" w:cs="Calibri"/>
          <w:noProof/>
          <w:szCs w:val="24"/>
          <w:lang w:val="en-US"/>
        </w:rPr>
        <w:t>, 2–7 (2013).</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13.</w:t>
      </w:r>
      <w:r w:rsidRPr="00E33741">
        <w:rPr>
          <w:rFonts w:ascii="Calibri" w:hAnsi="Calibri" w:cs="Calibri"/>
          <w:noProof/>
          <w:szCs w:val="24"/>
          <w:lang w:val="en-US"/>
        </w:rPr>
        <w:tab/>
        <w:t xml:space="preserve">Liu, B., Wu, Y. &amp; Zhao, S. Anisotropic Colloids: From Non-Templated to Patchy Templated Synthesis. </w:t>
      </w:r>
      <w:r w:rsidRPr="00E33741">
        <w:rPr>
          <w:rFonts w:ascii="Calibri" w:hAnsi="Calibri" w:cs="Calibri"/>
          <w:i/>
          <w:iCs/>
          <w:noProof/>
          <w:szCs w:val="24"/>
          <w:lang w:val="en-US"/>
        </w:rPr>
        <w:t>Chem. - A Eur. J.</w:t>
      </w:r>
      <w:r w:rsidRPr="00E33741">
        <w:rPr>
          <w:rFonts w:ascii="Calibri" w:hAnsi="Calibri" w:cs="Calibri"/>
          <w:noProof/>
          <w:szCs w:val="24"/>
          <w:lang w:val="en-US"/>
        </w:rPr>
        <w:t xml:space="preserve"> </w:t>
      </w:r>
      <w:r w:rsidRPr="00E33741">
        <w:rPr>
          <w:rFonts w:ascii="Calibri" w:hAnsi="Calibri" w:cs="Calibri"/>
          <w:b/>
          <w:bCs/>
          <w:noProof/>
          <w:szCs w:val="24"/>
          <w:lang w:val="en-US"/>
        </w:rPr>
        <w:t>24</w:t>
      </w:r>
      <w:r w:rsidRPr="00E33741">
        <w:rPr>
          <w:rFonts w:ascii="Calibri" w:hAnsi="Calibri" w:cs="Calibri"/>
          <w:noProof/>
          <w:szCs w:val="24"/>
          <w:lang w:val="en-US"/>
        </w:rPr>
        <w:t>, 10562–10570 (2018).</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14.</w:t>
      </w:r>
      <w:r w:rsidRPr="00E33741">
        <w:rPr>
          <w:rFonts w:ascii="Calibri" w:hAnsi="Calibri" w:cs="Calibri"/>
          <w:noProof/>
          <w:szCs w:val="24"/>
          <w:lang w:val="en-US"/>
        </w:rPr>
        <w:tab/>
        <w:t xml:space="preserve">Islam, A. M., Chowdhry, B. Z. &amp; Snowden, M. J. Heteroaggregation in colloidal dispersions. </w:t>
      </w:r>
      <w:r w:rsidRPr="00E33741">
        <w:rPr>
          <w:rFonts w:ascii="Calibri" w:hAnsi="Calibri" w:cs="Calibri"/>
          <w:i/>
          <w:iCs/>
          <w:noProof/>
          <w:szCs w:val="24"/>
          <w:lang w:val="en-US"/>
        </w:rPr>
        <w:t>Adv. Colloid Interface Sci.</w:t>
      </w:r>
      <w:r w:rsidRPr="00E33741">
        <w:rPr>
          <w:rFonts w:ascii="Calibri" w:hAnsi="Calibri" w:cs="Calibri"/>
          <w:noProof/>
          <w:szCs w:val="24"/>
          <w:lang w:val="en-US"/>
        </w:rPr>
        <w:t xml:space="preserve"> </w:t>
      </w:r>
      <w:r w:rsidRPr="00E33741">
        <w:rPr>
          <w:rFonts w:ascii="Calibri" w:hAnsi="Calibri" w:cs="Calibri"/>
          <w:b/>
          <w:bCs/>
          <w:noProof/>
          <w:szCs w:val="24"/>
          <w:lang w:val="en-US"/>
        </w:rPr>
        <w:t>62</w:t>
      </w:r>
      <w:r w:rsidRPr="00E33741">
        <w:rPr>
          <w:rFonts w:ascii="Calibri" w:hAnsi="Calibri" w:cs="Calibri"/>
          <w:noProof/>
          <w:szCs w:val="24"/>
          <w:lang w:val="en-US"/>
        </w:rPr>
        <w:t>, 109–136 (1995).</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15.</w:t>
      </w:r>
      <w:r w:rsidRPr="00E33741">
        <w:rPr>
          <w:rFonts w:ascii="Calibri" w:hAnsi="Calibri" w:cs="Calibri"/>
          <w:noProof/>
          <w:szCs w:val="24"/>
          <w:lang w:val="en-US"/>
        </w:rPr>
        <w:tab/>
        <w:t xml:space="preserve">Castelnovo, M., Muriaux, D. &amp; Faivre-Moskalenko, C. Entropic control of particle sizes during viral self-assembly. </w:t>
      </w:r>
      <w:r w:rsidRPr="00E33741">
        <w:rPr>
          <w:rFonts w:ascii="Calibri" w:hAnsi="Calibri" w:cs="Calibri"/>
          <w:i/>
          <w:iCs/>
          <w:noProof/>
          <w:szCs w:val="24"/>
          <w:lang w:val="en-US"/>
        </w:rPr>
        <w:t>New J. Phys.</w:t>
      </w:r>
      <w:r w:rsidRPr="00E33741">
        <w:rPr>
          <w:rFonts w:ascii="Calibri" w:hAnsi="Calibri" w:cs="Calibri"/>
          <w:noProof/>
          <w:szCs w:val="24"/>
          <w:lang w:val="en-US"/>
        </w:rPr>
        <w:t xml:space="preserve"> </w:t>
      </w:r>
      <w:r w:rsidRPr="00E33741">
        <w:rPr>
          <w:rFonts w:ascii="Calibri" w:hAnsi="Calibri" w:cs="Calibri"/>
          <w:b/>
          <w:bCs/>
          <w:noProof/>
          <w:szCs w:val="24"/>
          <w:lang w:val="en-US"/>
        </w:rPr>
        <w:t>15</w:t>
      </w:r>
      <w:r w:rsidRPr="00E33741">
        <w:rPr>
          <w:rFonts w:ascii="Calibri" w:hAnsi="Calibri" w:cs="Calibri"/>
          <w:noProof/>
          <w:szCs w:val="24"/>
          <w:lang w:val="en-US"/>
        </w:rPr>
        <w:t>, (2013).</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16.</w:t>
      </w:r>
      <w:r w:rsidRPr="00E33741">
        <w:rPr>
          <w:rFonts w:ascii="Calibri" w:hAnsi="Calibri" w:cs="Calibri"/>
          <w:noProof/>
          <w:szCs w:val="24"/>
          <w:lang w:val="en-US"/>
        </w:rPr>
        <w:tab/>
        <w:t xml:space="preserve">Lambert, S. </w:t>
      </w:r>
      <w:r w:rsidRPr="00E33741">
        <w:rPr>
          <w:rFonts w:ascii="Calibri" w:hAnsi="Calibri" w:cs="Calibri"/>
          <w:i/>
          <w:iCs/>
          <w:noProof/>
          <w:szCs w:val="24"/>
          <w:lang w:val="en-US"/>
        </w:rPr>
        <w:t>et al.</w:t>
      </w:r>
      <w:r w:rsidRPr="00E33741">
        <w:rPr>
          <w:rFonts w:ascii="Calibri" w:hAnsi="Calibri" w:cs="Calibri"/>
          <w:noProof/>
          <w:szCs w:val="24"/>
          <w:lang w:val="en-US"/>
        </w:rPr>
        <w:t xml:space="preserve"> Molecular Dissection of the Forces Responsible for Viral Capsid Assembly and Stabilization by Decoration Proteins. </w:t>
      </w:r>
      <w:r w:rsidRPr="00E33741">
        <w:rPr>
          <w:rFonts w:ascii="Calibri" w:hAnsi="Calibri" w:cs="Calibri"/>
          <w:i/>
          <w:iCs/>
          <w:noProof/>
          <w:szCs w:val="24"/>
          <w:lang w:val="en-US"/>
        </w:rPr>
        <w:t>Biochemistry</w:t>
      </w:r>
      <w:r w:rsidRPr="00E33741">
        <w:rPr>
          <w:rFonts w:ascii="Calibri" w:hAnsi="Calibri" w:cs="Calibri"/>
          <w:noProof/>
          <w:szCs w:val="24"/>
          <w:lang w:val="en-US"/>
        </w:rPr>
        <w:t xml:space="preserve"> </w:t>
      </w:r>
      <w:r w:rsidRPr="00E33741">
        <w:rPr>
          <w:rFonts w:ascii="Calibri" w:hAnsi="Calibri" w:cs="Calibri"/>
          <w:b/>
          <w:bCs/>
          <w:noProof/>
          <w:szCs w:val="24"/>
          <w:lang w:val="en-US"/>
        </w:rPr>
        <w:t>56</w:t>
      </w:r>
      <w:r w:rsidRPr="00E33741">
        <w:rPr>
          <w:rFonts w:ascii="Calibri" w:hAnsi="Calibri" w:cs="Calibri"/>
          <w:noProof/>
          <w:szCs w:val="24"/>
          <w:lang w:val="en-US"/>
        </w:rPr>
        <w:t>, 767–778 (2017).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17.</w:t>
      </w:r>
      <w:r w:rsidRPr="00E33741">
        <w:rPr>
          <w:rFonts w:ascii="Calibri" w:hAnsi="Calibri" w:cs="Calibri"/>
          <w:noProof/>
          <w:szCs w:val="24"/>
          <w:lang w:val="en-US"/>
        </w:rPr>
        <w:tab/>
        <w:t xml:space="preserve">Garmann, R. F., Comas-Garcia, M., Gopal, A., Knobler, C. M. &amp; Gelbart, W. M. The assembly pathway of an icosahedral single-stranded RNA virus depends on the strength of inter-subunit attractions. </w:t>
      </w:r>
      <w:r w:rsidRPr="00E33741">
        <w:rPr>
          <w:rFonts w:ascii="Calibri" w:hAnsi="Calibri" w:cs="Calibri"/>
          <w:i/>
          <w:iCs/>
          <w:noProof/>
          <w:szCs w:val="24"/>
          <w:lang w:val="en-US"/>
        </w:rPr>
        <w:t>J. Mol. Biol.</w:t>
      </w:r>
      <w:r w:rsidRPr="00E33741">
        <w:rPr>
          <w:rFonts w:ascii="Calibri" w:hAnsi="Calibri" w:cs="Calibri"/>
          <w:noProof/>
          <w:szCs w:val="24"/>
          <w:lang w:val="en-US"/>
        </w:rPr>
        <w:t xml:space="preserve"> </w:t>
      </w:r>
      <w:r w:rsidRPr="00E33741">
        <w:rPr>
          <w:rFonts w:ascii="Calibri" w:hAnsi="Calibri" w:cs="Calibri"/>
          <w:b/>
          <w:bCs/>
          <w:noProof/>
          <w:szCs w:val="24"/>
          <w:lang w:val="en-US"/>
        </w:rPr>
        <w:t>426</w:t>
      </w:r>
      <w:r w:rsidRPr="00E33741">
        <w:rPr>
          <w:rFonts w:ascii="Calibri" w:hAnsi="Calibri" w:cs="Calibri"/>
          <w:noProof/>
          <w:szCs w:val="24"/>
          <w:lang w:val="en-US"/>
        </w:rPr>
        <w:t>, 1050–1060 (2014).</w:t>
      </w:r>
    </w:p>
    <w:p w:rsidR="00FB610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18.</w:t>
      </w:r>
      <w:r w:rsidRPr="00E33741">
        <w:rPr>
          <w:rFonts w:ascii="Calibri" w:hAnsi="Calibri" w:cs="Calibri"/>
          <w:noProof/>
          <w:szCs w:val="24"/>
          <w:lang w:val="en-US"/>
        </w:rPr>
        <w:tab/>
        <w:t xml:space="preserve">Zlotnick, A., Aldrich, R., Johnson, J. M., Ceres, P. &amp; Young, M. J. Mechanism of capsid assembly for an icosahedral plant virus. </w:t>
      </w:r>
      <w:r w:rsidRPr="00E33741">
        <w:rPr>
          <w:rFonts w:ascii="Calibri" w:hAnsi="Calibri" w:cs="Calibri"/>
          <w:i/>
          <w:iCs/>
          <w:noProof/>
          <w:szCs w:val="24"/>
          <w:lang w:val="en-US"/>
        </w:rPr>
        <w:t>Virology</w:t>
      </w:r>
      <w:r w:rsidRPr="00E33741">
        <w:rPr>
          <w:rFonts w:ascii="Calibri" w:hAnsi="Calibri" w:cs="Calibri"/>
          <w:noProof/>
          <w:szCs w:val="24"/>
          <w:lang w:val="en-US"/>
        </w:rPr>
        <w:t xml:space="preserve"> </w:t>
      </w:r>
      <w:r w:rsidRPr="00E33741">
        <w:rPr>
          <w:rFonts w:ascii="Calibri" w:hAnsi="Calibri" w:cs="Calibri"/>
          <w:b/>
          <w:bCs/>
          <w:noProof/>
          <w:szCs w:val="24"/>
          <w:lang w:val="en-US"/>
        </w:rPr>
        <w:t>277</w:t>
      </w:r>
      <w:r w:rsidRPr="00E33741">
        <w:rPr>
          <w:rFonts w:ascii="Calibri" w:hAnsi="Calibri" w:cs="Calibri"/>
          <w:noProof/>
          <w:szCs w:val="24"/>
          <w:lang w:val="en-US"/>
        </w:rPr>
        <w:t>, 450–456 (2000).</w:t>
      </w:r>
    </w:p>
    <w:p w:rsidR="002E3CA4" w:rsidRPr="00E33741" w:rsidRDefault="002E3CA4" w:rsidP="00FB6101">
      <w:pPr>
        <w:widowControl w:val="0"/>
        <w:autoSpaceDE w:val="0"/>
        <w:autoSpaceDN w:val="0"/>
        <w:adjustRightInd w:val="0"/>
        <w:spacing w:line="240" w:lineRule="auto"/>
        <w:ind w:left="640" w:hanging="640"/>
        <w:rPr>
          <w:rFonts w:ascii="Calibri" w:hAnsi="Calibri" w:cs="Calibri"/>
          <w:noProof/>
          <w:szCs w:val="24"/>
          <w:lang w:val="en-US"/>
        </w:rPr>
      </w:pP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lastRenderedPageBreak/>
        <w:t>19.</w:t>
      </w:r>
      <w:r w:rsidRPr="00E33741">
        <w:rPr>
          <w:rFonts w:ascii="Calibri" w:hAnsi="Calibri" w:cs="Calibri"/>
          <w:noProof/>
          <w:szCs w:val="24"/>
          <w:lang w:val="en-US"/>
        </w:rPr>
        <w:tab/>
        <w:t xml:space="preserve">Chevreuil, M. </w:t>
      </w:r>
      <w:r w:rsidRPr="00E33741">
        <w:rPr>
          <w:rFonts w:ascii="Calibri" w:hAnsi="Calibri" w:cs="Calibri"/>
          <w:i/>
          <w:iCs/>
          <w:noProof/>
          <w:szCs w:val="24"/>
          <w:lang w:val="en-US"/>
        </w:rPr>
        <w:t>et al.</w:t>
      </w:r>
      <w:r w:rsidRPr="00E33741">
        <w:rPr>
          <w:rFonts w:ascii="Calibri" w:hAnsi="Calibri" w:cs="Calibri"/>
          <w:noProof/>
          <w:szCs w:val="24"/>
          <w:lang w:val="en-US"/>
        </w:rPr>
        <w:t xml:space="preserve"> Nonequilibrium self-assembly dynamics of icosahedral viral capsids packaging genome or polyelectrolyte. </w:t>
      </w:r>
      <w:r w:rsidRPr="00E33741">
        <w:rPr>
          <w:rFonts w:ascii="Calibri" w:hAnsi="Calibri" w:cs="Calibri"/>
          <w:i/>
          <w:iCs/>
          <w:noProof/>
          <w:szCs w:val="24"/>
          <w:lang w:val="en-US"/>
        </w:rPr>
        <w:t>Nat. Commun.</w:t>
      </w:r>
      <w:r w:rsidRPr="00E33741">
        <w:rPr>
          <w:rFonts w:ascii="Calibri" w:hAnsi="Calibri" w:cs="Calibri"/>
          <w:noProof/>
          <w:szCs w:val="24"/>
          <w:lang w:val="en-US"/>
        </w:rPr>
        <w:t xml:space="preserve"> </w:t>
      </w:r>
      <w:r w:rsidRPr="00E33741">
        <w:rPr>
          <w:rFonts w:ascii="Calibri" w:hAnsi="Calibri" w:cs="Calibri"/>
          <w:b/>
          <w:bCs/>
          <w:noProof/>
          <w:szCs w:val="24"/>
          <w:lang w:val="en-US"/>
        </w:rPr>
        <w:t>9</w:t>
      </w:r>
      <w:r w:rsidRPr="00E33741">
        <w:rPr>
          <w:rFonts w:ascii="Calibri" w:hAnsi="Calibri" w:cs="Calibri"/>
          <w:noProof/>
          <w:szCs w:val="24"/>
          <w:lang w:val="en-US"/>
        </w:rPr>
        <w:t>, 1–9 (2018).</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20.</w:t>
      </w:r>
      <w:r w:rsidRPr="00E33741">
        <w:rPr>
          <w:rFonts w:ascii="Calibri" w:hAnsi="Calibri" w:cs="Calibri"/>
          <w:noProof/>
          <w:szCs w:val="24"/>
          <w:lang w:val="en-US"/>
        </w:rPr>
        <w:tab/>
        <w:t xml:space="preserve">Wilber, A. W. </w:t>
      </w:r>
      <w:r w:rsidRPr="00E33741">
        <w:rPr>
          <w:rFonts w:ascii="Calibri" w:hAnsi="Calibri" w:cs="Calibri"/>
          <w:i/>
          <w:iCs/>
          <w:noProof/>
          <w:szCs w:val="24"/>
          <w:lang w:val="en-US"/>
        </w:rPr>
        <w:t>et al.</w:t>
      </w:r>
      <w:r w:rsidRPr="00E33741">
        <w:rPr>
          <w:rFonts w:ascii="Calibri" w:hAnsi="Calibri" w:cs="Calibri"/>
          <w:noProof/>
          <w:szCs w:val="24"/>
          <w:lang w:val="en-US"/>
        </w:rPr>
        <w:t xml:space="preserve"> Reversible self-assembly of patchy particles into monodisperse icosahedral clusters. </w:t>
      </w:r>
      <w:r w:rsidRPr="00E33741">
        <w:rPr>
          <w:rFonts w:ascii="Calibri" w:hAnsi="Calibri" w:cs="Calibri"/>
          <w:i/>
          <w:iCs/>
          <w:noProof/>
          <w:szCs w:val="24"/>
          <w:lang w:val="en-US"/>
        </w:rPr>
        <w:t>J. Chem. Phys.</w:t>
      </w:r>
      <w:r w:rsidRPr="00E33741">
        <w:rPr>
          <w:rFonts w:ascii="Calibri" w:hAnsi="Calibri" w:cs="Calibri"/>
          <w:noProof/>
          <w:szCs w:val="24"/>
          <w:lang w:val="en-US"/>
        </w:rPr>
        <w:t xml:space="preserve"> </w:t>
      </w:r>
      <w:r w:rsidRPr="00E33741">
        <w:rPr>
          <w:rFonts w:ascii="Calibri" w:hAnsi="Calibri" w:cs="Calibri"/>
          <w:b/>
          <w:bCs/>
          <w:noProof/>
          <w:szCs w:val="24"/>
          <w:lang w:val="en-US"/>
        </w:rPr>
        <w:t>127</w:t>
      </w:r>
      <w:r w:rsidRPr="00E33741">
        <w:rPr>
          <w:rFonts w:ascii="Calibri" w:hAnsi="Calibri" w:cs="Calibri"/>
          <w:noProof/>
          <w:szCs w:val="24"/>
          <w:lang w:val="en-US"/>
        </w:rPr>
        <w:t>, (2007).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21.</w:t>
      </w:r>
      <w:r w:rsidRPr="00E33741">
        <w:rPr>
          <w:rFonts w:ascii="Calibri" w:hAnsi="Calibri" w:cs="Calibri"/>
          <w:noProof/>
          <w:szCs w:val="24"/>
          <w:lang w:val="en-US"/>
        </w:rPr>
        <w:tab/>
        <w:t xml:space="preserve">Munaò, G., Costa, D., Prestipino, S. &amp; Caccamo, C. Encapsulation of spherical nanoparticles by colloidal dimers. </w:t>
      </w:r>
      <w:r w:rsidRPr="00E33741">
        <w:rPr>
          <w:rFonts w:ascii="Calibri" w:hAnsi="Calibri" w:cs="Calibri"/>
          <w:i/>
          <w:iCs/>
          <w:noProof/>
          <w:szCs w:val="24"/>
          <w:lang w:val="en-US"/>
        </w:rPr>
        <w:t>Phys. Chem. Chem. Phys.</w:t>
      </w:r>
      <w:r w:rsidRPr="00E33741">
        <w:rPr>
          <w:rFonts w:ascii="Calibri" w:hAnsi="Calibri" w:cs="Calibri"/>
          <w:noProof/>
          <w:szCs w:val="24"/>
          <w:lang w:val="en-US"/>
        </w:rPr>
        <w:t xml:space="preserve"> </w:t>
      </w:r>
      <w:r w:rsidRPr="00E33741">
        <w:rPr>
          <w:rFonts w:ascii="Calibri" w:hAnsi="Calibri" w:cs="Calibri"/>
          <w:b/>
          <w:bCs/>
          <w:noProof/>
          <w:szCs w:val="24"/>
          <w:lang w:val="en-US"/>
        </w:rPr>
        <w:t>18</w:t>
      </w:r>
      <w:r w:rsidRPr="00E33741">
        <w:rPr>
          <w:rFonts w:ascii="Calibri" w:hAnsi="Calibri" w:cs="Calibri"/>
          <w:noProof/>
          <w:szCs w:val="24"/>
          <w:lang w:val="en-US"/>
        </w:rPr>
        <w:t>, 24922–24930 (2016).</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22.</w:t>
      </w:r>
      <w:r w:rsidRPr="00E33741">
        <w:rPr>
          <w:rFonts w:ascii="Calibri" w:hAnsi="Calibri" w:cs="Calibri"/>
          <w:noProof/>
          <w:szCs w:val="24"/>
          <w:lang w:val="en-US"/>
        </w:rPr>
        <w:tab/>
        <w:t xml:space="preserve">Hui, D., Nawaz, M., Morris, D. P., Edwards, M. R. &amp; Saunders, B. R. Study of pH-triggered heteroaggregation and gel formation within mixed dispersions. </w:t>
      </w:r>
      <w:r w:rsidRPr="00E33741">
        <w:rPr>
          <w:rFonts w:ascii="Calibri" w:hAnsi="Calibri" w:cs="Calibri"/>
          <w:i/>
          <w:iCs/>
          <w:noProof/>
          <w:szCs w:val="24"/>
          <w:lang w:val="en-US"/>
        </w:rPr>
        <w:t>J. Colloid Interface Sci.</w:t>
      </w:r>
      <w:r w:rsidRPr="00E33741">
        <w:rPr>
          <w:rFonts w:ascii="Calibri" w:hAnsi="Calibri" w:cs="Calibri"/>
          <w:noProof/>
          <w:szCs w:val="24"/>
          <w:lang w:val="en-US"/>
        </w:rPr>
        <w:t xml:space="preserve"> </w:t>
      </w:r>
      <w:r w:rsidRPr="00E33741">
        <w:rPr>
          <w:rFonts w:ascii="Calibri" w:hAnsi="Calibri" w:cs="Calibri"/>
          <w:b/>
          <w:bCs/>
          <w:noProof/>
          <w:szCs w:val="24"/>
          <w:lang w:val="en-US"/>
        </w:rPr>
        <w:t>324</w:t>
      </w:r>
      <w:r w:rsidRPr="00E33741">
        <w:rPr>
          <w:rFonts w:ascii="Calibri" w:hAnsi="Calibri" w:cs="Calibri"/>
          <w:noProof/>
          <w:szCs w:val="24"/>
          <w:lang w:val="en-US"/>
        </w:rPr>
        <w:t>, 110–117 (2008).</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23.</w:t>
      </w:r>
      <w:r w:rsidRPr="00E33741">
        <w:rPr>
          <w:rFonts w:ascii="Calibri" w:hAnsi="Calibri" w:cs="Calibri"/>
          <w:noProof/>
          <w:szCs w:val="24"/>
          <w:lang w:val="en-US"/>
        </w:rPr>
        <w:tab/>
        <w:t xml:space="preserve">Snoswell, D. R. E., Brill, R. K. &amp; Vincent, B. pH-responsive microrods produced by electric-field-induced aggregation of colloidal particles. </w:t>
      </w:r>
      <w:r w:rsidRPr="00E33741">
        <w:rPr>
          <w:rFonts w:ascii="Calibri" w:hAnsi="Calibri" w:cs="Calibri"/>
          <w:i/>
          <w:iCs/>
          <w:noProof/>
          <w:szCs w:val="24"/>
          <w:lang w:val="en-US"/>
        </w:rPr>
        <w:t>Adv. Mater.</w:t>
      </w:r>
      <w:r w:rsidRPr="00E33741">
        <w:rPr>
          <w:rFonts w:ascii="Calibri" w:hAnsi="Calibri" w:cs="Calibri"/>
          <w:noProof/>
          <w:szCs w:val="24"/>
          <w:lang w:val="en-US"/>
        </w:rPr>
        <w:t xml:space="preserve"> </w:t>
      </w:r>
      <w:r w:rsidRPr="00E33741">
        <w:rPr>
          <w:rFonts w:ascii="Calibri" w:hAnsi="Calibri" w:cs="Calibri"/>
          <w:b/>
          <w:bCs/>
          <w:noProof/>
          <w:szCs w:val="24"/>
          <w:lang w:val="en-US"/>
        </w:rPr>
        <w:t>19</w:t>
      </w:r>
      <w:r w:rsidRPr="00E33741">
        <w:rPr>
          <w:rFonts w:ascii="Calibri" w:hAnsi="Calibri" w:cs="Calibri"/>
          <w:noProof/>
          <w:szCs w:val="24"/>
          <w:lang w:val="en-US"/>
        </w:rPr>
        <w:t>, 1523–1527 (2007).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24.</w:t>
      </w:r>
      <w:r w:rsidRPr="00E33741">
        <w:rPr>
          <w:rFonts w:ascii="Calibri" w:hAnsi="Calibri" w:cs="Calibri"/>
          <w:noProof/>
          <w:szCs w:val="24"/>
          <w:lang w:val="en-US"/>
        </w:rPr>
        <w:tab/>
        <w:t xml:space="preserve">Zanini, M., Hsu, C. P., Magrini, T., Marini, E. &amp; Isa, L. Fabrication of rough colloids by heteroaggregation. </w:t>
      </w:r>
      <w:r w:rsidRPr="00E33741">
        <w:rPr>
          <w:rFonts w:ascii="Calibri" w:hAnsi="Calibri" w:cs="Calibri"/>
          <w:i/>
          <w:iCs/>
          <w:noProof/>
          <w:szCs w:val="24"/>
          <w:lang w:val="en-US"/>
        </w:rPr>
        <w:t>Colloids Surfaces A Physicochem. Eng. Asp.</w:t>
      </w:r>
      <w:r w:rsidRPr="00E33741">
        <w:rPr>
          <w:rFonts w:ascii="Calibri" w:hAnsi="Calibri" w:cs="Calibri"/>
          <w:noProof/>
          <w:szCs w:val="24"/>
          <w:lang w:val="en-US"/>
        </w:rPr>
        <w:t xml:space="preserve"> </w:t>
      </w:r>
      <w:r w:rsidRPr="00E33741">
        <w:rPr>
          <w:rFonts w:ascii="Calibri" w:hAnsi="Calibri" w:cs="Calibri"/>
          <w:b/>
          <w:bCs/>
          <w:noProof/>
          <w:szCs w:val="24"/>
          <w:lang w:val="en-US"/>
        </w:rPr>
        <w:t>532</w:t>
      </w:r>
      <w:r w:rsidRPr="00E33741">
        <w:rPr>
          <w:rFonts w:ascii="Calibri" w:hAnsi="Calibri" w:cs="Calibri"/>
          <w:noProof/>
          <w:szCs w:val="24"/>
          <w:lang w:val="en-US"/>
        </w:rPr>
        <w:t>, 116–124 (2017).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25.</w:t>
      </w:r>
      <w:r w:rsidRPr="00E33741">
        <w:rPr>
          <w:rFonts w:ascii="Calibri" w:hAnsi="Calibri" w:cs="Calibri"/>
          <w:noProof/>
          <w:szCs w:val="24"/>
          <w:lang w:val="en-US"/>
        </w:rPr>
        <w:tab/>
        <w:t xml:space="preserve">Guo, Y., Van Ravensteijn, B. G. P., Evers, C. H. J. &amp; Kegel, W. K. pH Reversible Encapsulation of Oppositely Charged Colloids Mediated by Polyelectrolytes. </w:t>
      </w:r>
      <w:r w:rsidRPr="00E33741">
        <w:rPr>
          <w:rFonts w:ascii="Calibri" w:hAnsi="Calibri" w:cs="Calibri"/>
          <w:i/>
          <w:iCs/>
          <w:noProof/>
          <w:szCs w:val="24"/>
          <w:lang w:val="en-US"/>
        </w:rPr>
        <w:t>Langmuir</w:t>
      </w:r>
      <w:r w:rsidRPr="00E33741">
        <w:rPr>
          <w:rFonts w:ascii="Calibri" w:hAnsi="Calibri" w:cs="Calibri"/>
          <w:noProof/>
          <w:szCs w:val="24"/>
          <w:lang w:val="en-US"/>
        </w:rPr>
        <w:t xml:space="preserve"> </w:t>
      </w:r>
      <w:r w:rsidRPr="00E33741">
        <w:rPr>
          <w:rFonts w:ascii="Calibri" w:hAnsi="Calibri" w:cs="Calibri"/>
          <w:b/>
          <w:bCs/>
          <w:noProof/>
          <w:szCs w:val="24"/>
          <w:lang w:val="en-US"/>
        </w:rPr>
        <w:t>33</w:t>
      </w:r>
      <w:r w:rsidRPr="00E33741">
        <w:rPr>
          <w:rFonts w:ascii="Calibri" w:hAnsi="Calibri" w:cs="Calibri"/>
          <w:noProof/>
          <w:szCs w:val="24"/>
          <w:lang w:val="en-US"/>
        </w:rPr>
        <w:t>, 4551–4558 (2017).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26.</w:t>
      </w:r>
      <w:r w:rsidRPr="00E33741">
        <w:rPr>
          <w:rFonts w:ascii="Calibri" w:hAnsi="Calibri" w:cs="Calibri"/>
          <w:noProof/>
          <w:szCs w:val="24"/>
          <w:lang w:val="en-US"/>
        </w:rPr>
        <w:tab/>
        <w:t xml:space="preserve">Kraft, D. J. </w:t>
      </w:r>
      <w:r w:rsidRPr="00E33741">
        <w:rPr>
          <w:rFonts w:ascii="Calibri" w:hAnsi="Calibri" w:cs="Calibri"/>
          <w:i/>
          <w:iCs/>
          <w:noProof/>
          <w:szCs w:val="24"/>
          <w:lang w:val="en-US"/>
        </w:rPr>
        <w:t>et al.</w:t>
      </w:r>
      <w:r w:rsidRPr="00E33741">
        <w:rPr>
          <w:rFonts w:ascii="Calibri" w:hAnsi="Calibri" w:cs="Calibri"/>
          <w:noProof/>
          <w:szCs w:val="24"/>
          <w:lang w:val="en-US"/>
        </w:rPr>
        <w:t xml:space="preserve"> Surface roughness directed self-assembly of patchy particles into colloidal micelles. </w:t>
      </w:r>
      <w:r w:rsidRPr="00E33741">
        <w:rPr>
          <w:rFonts w:ascii="Calibri" w:hAnsi="Calibri" w:cs="Calibri"/>
          <w:i/>
          <w:iCs/>
          <w:noProof/>
          <w:szCs w:val="24"/>
          <w:lang w:val="en-US"/>
        </w:rPr>
        <w:t>Proc. Natl. Acad. Sci. U. S. A.</w:t>
      </w:r>
      <w:r w:rsidRPr="00E33741">
        <w:rPr>
          <w:rFonts w:ascii="Calibri" w:hAnsi="Calibri" w:cs="Calibri"/>
          <w:noProof/>
          <w:szCs w:val="24"/>
          <w:lang w:val="en-US"/>
        </w:rPr>
        <w:t xml:space="preserve"> </w:t>
      </w:r>
      <w:r w:rsidRPr="00E33741">
        <w:rPr>
          <w:rFonts w:ascii="Calibri" w:hAnsi="Calibri" w:cs="Calibri"/>
          <w:b/>
          <w:bCs/>
          <w:noProof/>
          <w:szCs w:val="24"/>
          <w:lang w:val="en-US"/>
        </w:rPr>
        <w:t>109</w:t>
      </w:r>
      <w:r w:rsidRPr="00E33741">
        <w:rPr>
          <w:rFonts w:ascii="Calibri" w:hAnsi="Calibri" w:cs="Calibri"/>
          <w:noProof/>
          <w:szCs w:val="24"/>
          <w:lang w:val="en-US"/>
        </w:rPr>
        <w:t>, 10787–10792 (2012).</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27.</w:t>
      </w:r>
      <w:r w:rsidRPr="00E33741">
        <w:rPr>
          <w:rFonts w:ascii="Calibri" w:hAnsi="Calibri" w:cs="Calibri"/>
          <w:noProof/>
          <w:szCs w:val="24"/>
          <w:lang w:val="en-US"/>
        </w:rPr>
        <w:tab/>
        <w:t xml:space="preserve">Wolters, J. R., Verweij, J. E., Avvisati, G., Dijkstra, M. &amp; Kegel, W. K. Depletion-Induced Encapsulation by Dumbbell-Shaped Patchy Colloids Stabilize Microspheres against Aggregation. </w:t>
      </w:r>
      <w:r w:rsidRPr="00E33741">
        <w:rPr>
          <w:rFonts w:ascii="Calibri" w:hAnsi="Calibri" w:cs="Calibri"/>
          <w:i/>
          <w:iCs/>
          <w:noProof/>
          <w:szCs w:val="24"/>
          <w:lang w:val="en-US"/>
        </w:rPr>
        <w:t>Langmuir</w:t>
      </w:r>
      <w:r w:rsidRPr="00E33741">
        <w:rPr>
          <w:rFonts w:ascii="Calibri" w:hAnsi="Calibri" w:cs="Calibri"/>
          <w:noProof/>
          <w:szCs w:val="24"/>
          <w:lang w:val="en-US"/>
        </w:rPr>
        <w:t xml:space="preserve"> </w:t>
      </w:r>
      <w:r w:rsidRPr="00E33741">
        <w:rPr>
          <w:rFonts w:ascii="Calibri" w:hAnsi="Calibri" w:cs="Calibri"/>
          <w:b/>
          <w:bCs/>
          <w:noProof/>
          <w:szCs w:val="24"/>
          <w:lang w:val="en-US"/>
        </w:rPr>
        <w:t>33</w:t>
      </w:r>
      <w:r w:rsidRPr="00E33741">
        <w:rPr>
          <w:rFonts w:ascii="Calibri" w:hAnsi="Calibri" w:cs="Calibri"/>
          <w:noProof/>
          <w:szCs w:val="24"/>
          <w:lang w:val="en-US"/>
        </w:rPr>
        <w:t>, 3270–3280 (2017).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28.</w:t>
      </w:r>
      <w:r w:rsidRPr="00E33741">
        <w:rPr>
          <w:rFonts w:ascii="Calibri" w:hAnsi="Calibri" w:cs="Calibri"/>
          <w:noProof/>
          <w:szCs w:val="24"/>
          <w:lang w:val="en-US"/>
        </w:rPr>
        <w:tab/>
        <w:t xml:space="preserve">Derjaguin, B. A theory of interaction of particle in presence of electric double-layers and the stability of lyophobe colloids and disperse systems. </w:t>
      </w:r>
      <w:r w:rsidRPr="00E33741">
        <w:rPr>
          <w:rFonts w:ascii="Calibri" w:hAnsi="Calibri" w:cs="Calibri"/>
          <w:i/>
          <w:iCs/>
          <w:noProof/>
          <w:szCs w:val="24"/>
          <w:lang w:val="en-US"/>
        </w:rPr>
        <w:t>Acta Phys. Chim.</w:t>
      </w:r>
      <w:r w:rsidRPr="00E33741">
        <w:rPr>
          <w:rFonts w:ascii="Calibri" w:hAnsi="Calibri" w:cs="Calibri"/>
          <w:noProof/>
          <w:szCs w:val="24"/>
          <w:lang w:val="en-US"/>
        </w:rPr>
        <w:t xml:space="preserve"> </w:t>
      </w:r>
      <w:r w:rsidRPr="00E33741">
        <w:rPr>
          <w:rFonts w:ascii="Calibri" w:hAnsi="Calibri" w:cs="Calibri"/>
          <w:b/>
          <w:bCs/>
          <w:noProof/>
          <w:szCs w:val="24"/>
          <w:lang w:val="en-US"/>
        </w:rPr>
        <w:t>10</w:t>
      </w:r>
      <w:r w:rsidRPr="00E33741">
        <w:rPr>
          <w:rFonts w:ascii="Calibri" w:hAnsi="Calibri" w:cs="Calibri"/>
          <w:noProof/>
          <w:szCs w:val="24"/>
          <w:lang w:val="en-US"/>
        </w:rPr>
        <w:t>, 333–346 (1939).</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29.</w:t>
      </w:r>
      <w:r w:rsidRPr="00E33741">
        <w:rPr>
          <w:rFonts w:ascii="Calibri" w:hAnsi="Calibri" w:cs="Calibri"/>
          <w:noProof/>
          <w:szCs w:val="24"/>
          <w:lang w:val="en-US"/>
        </w:rPr>
        <w:tab/>
        <w:t xml:space="preserve">Derjaguin, B. &amp; Landau, L. D. Theory of the stability of strongly charged lyophobic sols and of the adhesion of strongly charged particles in solution of electrolytes. </w:t>
      </w:r>
      <w:r w:rsidRPr="00E33741">
        <w:rPr>
          <w:rFonts w:ascii="Calibri" w:hAnsi="Calibri" w:cs="Calibri"/>
          <w:i/>
          <w:iCs/>
          <w:noProof/>
          <w:szCs w:val="24"/>
          <w:lang w:val="en-US"/>
        </w:rPr>
        <w:t>Acta Phys. Chim.</w:t>
      </w:r>
      <w:r w:rsidRPr="00E33741">
        <w:rPr>
          <w:rFonts w:ascii="Calibri" w:hAnsi="Calibri" w:cs="Calibri"/>
          <w:noProof/>
          <w:szCs w:val="24"/>
          <w:lang w:val="en-US"/>
        </w:rPr>
        <w:t xml:space="preserve"> </w:t>
      </w:r>
      <w:r w:rsidRPr="00E33741">
        <w:rPr>
          <w:rFonts w:ascii="Calibri" w:hAnsi="Calibri" w:cs="Calibri"/>
          <w:b/>
          <w:bCs/>
          <w:noProof/>
          <w:szCs w:val="24"/>
          <w:lang w:val="en-US"/>
        </w:rPr>
        <w:t>14</w:t>
      </w:r>
      <w:r w:rsidRPr="00E33741">
        <w:rPr>
          <w:rFonts w:ascii="Calibri" w:hAnsi="Calibri" w:cs="Calibri"/>
          <w:noProof/>
          <w:szCs w:val="24"/>
          <w:lang w:val="en-US"/>
        </w:rPr>
        <w:t>, 633–662 (1941).</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30.</w:t>
      </w:r>
      <w:r w:rsidRPr="00E33741">
        <w:rPr>
          <w:rFonts w:ascii="Calibri" w:hAnsi="Calibri" w:cs="Calibri"/>
          <w:noProof/>
          <w:szCs w:val="24"/>
          <w:lang w:val="en-US"/>
        </w:rPr>
        <w:tab/>
        <w:t xml:space="preserve">Verwey, E. J. W. &amp; Overbeek, J. T. G. Theory of Stability of Lyophobic Colloids. </w:t>
      </w:r>
      <w:r w:rsidRPr="00E33741">
        <w:rPr>
          <w:rFonts w:ascii="Calibri" w:hAnsi="Calibri" w:cs="Calibri"/>
          <w:i/>
          <w:iCs/>
          <w:noProof/>
          <w:szCs w:val="24"/>
          <w:lang w:val="en-US"/>
        </w:rPr>
        <w:t>Elsevier</w:t>
      </w:r>
      <w:r w:rsidRPr="00E33741">
        <w:rPr>
          <w:rFonts w:ascii="Calibri" w:hAnsi="Calibri" w:cs="Calibri"/>
          <w:noProof/>
          <w:szCs w:val="24"/>
          <w:lang w:val="en-US"/>
        </w:rPr>
        <w:t xml:space="preserve"> (1948).</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31.</w:t>
      </w:r>
      <w:r w:rsidRPr="00E33741">
        <w:rPr>
          <w:rFonts w:ascii="Calibri" w:hAnsi="Calibri" w:cs="Calibri"/>
          <w:noProof/>
          <w:szCs w:val="24"/>
          <w:lang w:val="en-US"/>
        </w:rPr>
        <w:tab/>
        <w:t>Trefalt, G. &amp; Borkovec, M. Overview of DLVO Theory.</w:t>
      </w:r>
      <w:bookmarkStart w:id="131" w:name="_GoBack"/>
      <w:bookmarkEnd w:id="131"/>
      <w:r w:rsidRPr="00E33741">
        <w:rPr>
          <w:rFonts w:ascii="Calibri" w:hAnsi="Calibri" w:cs="Calibri"/>
          <w:noProof/>
          <w:szCs w:val="24"/>
          <w:lang w:val="en-US"/>
        </w:rPr>
        <w:t xml:space="preserve"> www.colloid.ch/dlvo (2014).</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32.</w:t>
      </w:r>
      <w:r w:rsidRPr="00E33741">
        <w:rPr>
          <w:rFonts w:ascii="Calibri" w:hAnsi="Calibri" w:cs="Calibri"/>
          <w:noProof/>
          <w:szCs w:val="24"/>
          <w:lang w:val="en-US"/>
        </w:rPr>
        <w:tab/>
        <w:t xml:space="preserve">London, F. The general theory of molecular forces. </w:t>
      </w:r>
      <w:r w:rsidRPr="00E33741">
        <w:rPr>
          <w:rFonts w:ascii="Calibri" w:hAnsi="Calibri" w:cs="Calibri"/>
          <w:i/>
          <w:iCs/>
          <w:noProof/>
          <w:szCs w:val="24"/>
          <w:lang w:val="en-US"/>
        </w:rPr>
        <w:t>Trans. Fara. Soc.</w:t>
      </w:r>
      <w:r w:rsidRPr="00E33741">
        <w:rPr>
          <w:rFonts w:ascii="Calibri" w:hAnsi="Calibri" w:cs="Calibri"/>
          <w:noProof/>
          <w:szCs w:val="24"/>
          <w:lang w:val="en-US"/>
        </w:rPr>
        <w:t xml:space="preserve"> </w:t>
      </w:r>
      <w:r w:rsidRPr="00E33741">
        <w:rPr>
          <w:rFonts w:ascii="Calibri" w:hAnsi="Calibri" w:cs="Calibri"/>
          <w:b/>
          <w:bCs/>
          <w:noProof/>
          <w:szCs w:val="24"/>
          <w:lang w:val="en-US"/>
        </w:rPr>
        <w:t>8</w:t>
      </w:r>
      <w:r w:rsidRPr="00E33741">
        <w:rPr>
          <w:rFonts w:ascii="Calibri" w:hAnsi="Calibri" w:cs="Calibri"/>
          <w:noProof/>
          <w:szCs w:val="24"/>
          <w:lang w:val="en-US"/>
        </w:rPr>
        <w:t>, 8–26 (1936).</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33.</w:t>
      </w:r>
      <w:r w:rsidRPr="00E33741">
        <w:rPr>
          <w:rFonts w:ascii="Calibri" w:hAnsi="Calibri" w:cs="Calibri"/>
          <w:noProof/>
          <w:szCs w:val="24"/>
          <w:lang w:val="en-US"/>
        </w:rPr>
        <w:tab/>
        <w:t xml:space="preserve">Hamaker, H. C. The London-van der Waals attraction between spherical particles. </w:t>
      </w:r>
      <w:r w:rsidRPr="00E33741">
        <w:rPr>
          <w:rFonts w:ascii="Calibri" w:hAnsi="Calibri" w:cs="Calibri"/>
          <w:i/>
          <w:iCs/>
          <w:noProof/>
          <w:szCs w:val="24"/>
          <w:lang w:val="en-US"/>
        </w:rPr>
        <w:t>Physica</w:t>
      </w:r>
      <w:r w:rsidRPr="00E33741">
        <w:rPr>
          <w:rFonts w:ascii="Calibri" w:hAnsi="Calibri" w:cs="Calibri"/>
          <w:noProof/>
          <w:szCs w:val="24"/>
          <w:lang w:val="en-US"/>
        </w:rPr>
        <w:t xml:space="preserve"> </w:t>
      </w:r>
      <w:r w:rsidRPr="00E33741">
        <w:rPr>
          <w:rFonts w:ascii="Calibri" w:hAnsi="Calibri" w:cs="Calibri"/>
          <w:b/>
          <w:bCs/>
          <w:noProof/>
          <w:szCs w:val="24"/>
          <w:lang w:val="en-US"/>
        </w:rPr>
        <w:t>4</w:t>
      </w:r>
      <w:r w:rsidRPr="00E33741">
        <w:rPr>
          <w:rFonts w:ascii="Calibri" w:hAnsi="Calibri" w:cs="Calibri"/>
          <w:noProof/>
          <w:szCs w:val="24"/>
          <w:lang w:val="en-US"/>
        </w:rPr>
        <w:t>, 1058–1072 (1937).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34.</w:t>
      </w:r>
      <w:r w:rsidRPr="00E33741">
        <w:rPr>
          <w:rFonts w:ascii="Calibri" w:hAnsi="Calibri" w:cs="Calibri"/>
          <w:noProof/>
          <w:szCs w:val="24"/>
          <w:lang w:val="en-US"/>
        </w:rPr>
        <w:tab/>
        <w:t xml:space="preserve">Lyklema, J. </w:t>
      </w:r>
      <w:r w:rsidRPr="00E33741">
        <w:rPr>
          <w:rFonts w:ascii="Calibri" w:hAnsi="Calibri" w:cs="Calibri"/>
          <w:i/>
          <w:iCs/>
          <w:noProof/>
          <w:szCs w:val="24"/>
          <w:lang w:val="en-US"/>
        </w:rPr>
        <w:t>Fundamentals of Interface and Colloid Science</w:t>
      </w:r>
      <w:r w:rsidRPr="00E33741">
        <w:rPr>
          <w:rFonts w:ascii="Calibri" w:hAnsi="Calibri" w:cs="Calibri"/>
          <w:noProof/>
          <w:szCs w:val="24"/>
          <w:lang w:val="en-US"/>
        </w:rPr>
        <w:t>. (1995).</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35.</w:t>
      </w:r>
      <w:r w:rsidRPr="00E33741">
        <w:rPr>
          <w:rFonts w:ascii="Calibri" w:hAnsi="Calibri" w:cs="Calibri"/>
          <w:noProof/>
          <w:szCs w:val="24"/>
          <w:lang w:val="en-US"/>
        </w:rPr>
        <w:tab/>
        <w:t xml:space="preserve">Park, S. &amp; Seo, M. </w:t>
      </w:r>
      <w:r w:rsidRPr="00E33741">
        <w:rPr>
          <w:rFonts w:ascii="Calibri" w:hAnsi="Calibri" w:cs="Calibri"/>
          <w:i/>
          <w:iCs/>
          <w:noProof/>
          <w:szCs w:val="24"/>
          <w:lang w:val="en-US"/>
        </w:rPr>
        <w:t>Interface Science and Composites</w:t>
      </w:r>
      <w:r w:rsidRPr="00E33741">
        <w:rPr>
          <w:rFonts w:ascii="Calibri" w:hAnsi="Calibri" w:cs="Calibri"/>
          <w:noProof/>
          <w:szCs w:val="24"/>
          <w:lang w:val="en-US"/>
        </w:rPr>
        <w:t>. (2011).</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36.</w:t>
      </w:r>
      <w:r w:rsidRPr="00E33741">
        <w:rPr>
          <w:rFonts w:ascii="Calibri" w:hAnsi="Calibri" w:cs="Calibri"/>
          <w:noProof/>
          <w:szCs w:val="24"/>
          <w:lang w:val="en-US"/>
        </w:rPr>
        <w:tab/>
        <w:t xml:space="preserve">Gelardi, G. &amp; Flatt, R. J. Working mechanisms of water reducers and superplasticizers. in </w:t>
      </w:r>
      <w:r w:rsidRPr="00E33741">
        <w:rPr>
          <w:rFonts w:ascii="Calibri" w:hAnsi="Calibri" w:cs="Calibri"/>
          <w:i/>
          <w:iCs/>
          <w:noProof/>
          <w:szCs w:val="24"/>
          <w:lang w:val="en-US"/>
        </w:rPr>
        <w:t>Science and Technology of Concrete Admixtures</w:t>
      </w:r>
      <w:r w:rsidRPr="00E33741">
        <w:rPr>
          <w:rFonts w:ascii="Calibri" w:hAnsi="Calibri" w:cs="Calibri"/>
          <w:noProof/>
          <w:szCs w:val="24"/>
          <w:lang w:val="en-US"/>
        </w:rPr>
        <w:t xml:space="preserve"> 257–278 (2016). doi:10.1016/B978-0-08-100693-1.00011-4.</w:t>
      </w:r>
    </w:p>
    <w:p w:rsidR="00FB610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37.</w:t>
      </w:r>
      <w:r w:rsidRPr="00E33741">
        <w:rPr>
          <w:rFonts w:ascii="Calibri" w:hAnsi="Calibri" w:cs="Calibri"/>
          <w:noProof/>
          <w:szCs w:val="24"/>
          <w:lang w:val="en-US"/>
        </w:rPr>
        <w:tab/>
        <w:t xml:space="preserve">Philipse, A. P., Kuipers, B. W. M. &amp; Vrij, A. Algebraic repulsions between charged planes with strongly overlapping electrical double layers. </w:t>
      </w:r>
      <w:r w:rsidRPr="00E33741">
        <w:rPr>
          <w:rFonts w:ascii="Calibri" w:hAnsi="Calibri" w:cs="Calibri"/>
          <w:i/>
          <w:iCs/>
          <w:noProof/>
          <w:szCs w:val="24"/>
          <w:lang w:val="en-US"/>
        </w:rPr>
        <w:t>Langmuir</w:t>
      </w:r>
      <w:r w:rsidRPr="00E33741">
        <w:rPr>
          <w:rFonts w:ascii="Calibri" w:hAnsi="Calibri" w:cs="Calibri"/>
          <w:noProof/>
          <w:szCs w:val="24"/>
          <w:lang w:val="en-US"/>
        </w:rPr>
        <w:t xml:space="preserve"> </w:t>
      </w:r>
      <w:r w:rsidRPr="00E33741">
        <w:rPr>
          <w:rFonts w:ascii="Calibri" w:hAnsi="Calibri" w:cs="Calibri"/>
          <w:b/>
          <w:bCs/>
          <w:noProof/>
          <w:szCs w:val="24"/>
          <w:lang w:val="en-US"/>
        </w:rPr>
        <w:t>29</w:t>
      </w:r>
      <w:r w:rsidRPr="00E33741">
        <w:rPr>
          <w:rFonts w:ascii="Calibri" w:hAnsi="Calibri" w:cs="Calibri"/>
          <w:noProof/>
          <w:szCs w:val="24"/>
          <w:lang w:val="en-US"/>
        </w:rPr>
        <w:t>, 2859–2870 (2013).</w:t>
      </w:r>
    </w:p>
    <w:p w:rsidR="00972856" w:rsidRPr="00E33741" w:rsidRDefault="00972856" w:rsidP="00FB6101">
      <w:pPr>
        <w:widowControl w:val="0"/>
        <w:autoSpaceDE w:val="0"/>
        <w:autoSpaceDN w:val="0"/>
        <w:adjustRightInd w:val="0"/>
        <w:spacing w:line="240" w:lineRule="auto"/>
        <w:ind w:left="640" w:hanging="640"/>
        <w:rPr>
          <w:rFonts w:ascii="Calibri" w:hAnsi="Calibri" w:cs="Calibri"/>
          <w:noProof/>
          <w:szCs w:val="24"/>
          <w:lang w:val="en-US"/>
        </w:rPr>
      </w:pP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lastRenderedPageBreak/>
        <w:t>38.</w:t>
      </w:r>
      <w:r w:rsidRPr="00E33741">
        <w:rPr>
          <w:rFonts w:ascii="Calibri" w:hAnsi="Calibri" w:cs="Calibri"/>
          <w:noProof/>
          <w:szCs w:val="24"/>
          <w:lang w:val="en-US"/>
        </w:rPr>
        <w:tab/>
        <w:t xml:space="preserve">Vis, M., Tuinier, R., Kuipers, B. W. M., Vrij, A. &amp; Philipse, A. P. Interactions between amphoteric surfaces with strongly overlapping double layers. </w:t>
      </w:r>
      <w:r w:rsidRPr="00E33741">
        <w:rPr>
          <w:rFonts w:ascii="Calibri" w:hAnsi="Calibri" w:cs="Calibri"/>
          <w:i/>
          <w:iCs/>
          <w:noProof/>
          <w:szCs w:val="24"/>
          <w:lang w:val="en-US"/>
        </w:rPr>
        <w:t>Soft Matter</w:t>
      </w:r>
      <w:r w:rsidRPr="00E33741">
        <w:rPr>
          <w:rFonts w:ascii="Calibri" w:hAnsi="Calibri" w:cs="Calibri"/>
          <w:noProof/>
          <w:szCs w:val="24"/>
          <w:lang w:val="en-US"/>
        </w:rPr>
        <w:t xml:space="preserve"> </w:t>
      </w:r>
      <w:r w:rsidRPr="00E33741">
        <w:rPr>
          <w:rFonts w:ascii="Calibri" w:hAnsi="Calibri" w:cs="Calibri"/>
          <w:b/>
          <w:bCs/>
          <w:noProof/>
          <w:szCs w:val="24"/>
          <w:lang w:val="en-US"/>
        </w:rPr>
        <w:t>14</w:t>
      </w:r>
      <w:r w:rsidRPr="00E33741">
        <w:rPr>
          <w:rFonts w:ascii="Calibri" w:hAnsi="Calibri" w:cs="Calibri"/>
          <w:noProof/>
          <w:szCs w:val="24"/>
          <w:lang w:val="en-US"/>
        </w:rPr>
        <w:t>, 4702–4710 (2018).</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39.</w:t>
      </w:r>
      <w:r w:rsidRPr="00E33741">
        <w:rPr>
          <w:rFonts w:ascii="Calibri" w:hAnsi="Calibri" w:cs="Calibri"/>
          <w:noProof/>
          <w:szCs w:val="24"/>
          <w:lang w:val="en-US"/>
        </w:rPr>
        <w:tab/>
        <w:t xml:space="preserve">Israelachvili, J. N. </w:t>
      </w:r>
      <w:r w:rsidRPr="00E33741">
        <w:rPr>
          <w:rFonts w:ascii="Calibri" w:hAnsi="Calibri" w:cs="Calibri"/>
          <w:i/>
          <w:iCs/>
          <w:noProof/>
          <w:szCs w:val="24"/>
          <w:lang w:val="en-US"/>
        </w:rPr>
        <w:t>Intermolecular and Surface Forces</w:t>
      </w:r>
      <w:r w:rsidRPr="00E33741">
        <w:rPr>
          <w:rFonts w:ascii="Calibri" w:hAnsi="Calibri" w:cs="Calibri"/>
          <w:noProof/>
          <w:szCs w:val="24"/>
          <w:lang w:val="en-US"/>
        </w:rPr>
        <w:t>. (2011).</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40.</w:t>
      </w:r>
      <w:r w:rsidRPr="00E33741">
        <w:rPr>
          <w:rFonts w:ascii="Calibri" w:hAnsi="Calibri" w:cs="Calibri"/>
          <w:noProof/>
          <w:szCs w:val="24"/>
          <w:lang w:val="en-US"/>
        </w:rPr>
        <w:tab/>
        <w:t xml:space="preserve">Trefalt, G., Ruiz-Cabello, F. J. M. &amp; Borkovec, M. Interaction forces, heteroaggregation, and deposition involving charged colloidal particles. </w:t>
      </w:r>
      <w:r w:rsidRPr="00E33741">
        <w:rPr>
          <w:rFonts w:ascii="Calibri" w:hAnsi="Calibri" w:cs="Calibri"/>
          <w:i/>
          <w:iCs/>
          <w:noProof/>
          <w:szCs w:val="24"/>
          <w:lang w:val="en-US"/>
        </w:rPr>
        <w:t>J. Phys. Chem. B</w:t>
      </w:r>
      <w:r w:rsidRPr="00E33741">
        <w:rPr>
          <w:rFonts w:ascii="Calibri" w:hAnsi="Calibri" w:cs="Calibri"/>
          <w:noProof/>
          <w:szCs w:val="24"/>
          <w:lang w:val="en-US"/>
        </w:rPr>
        <w:t xml:space="preserve"> </w:t>
      </w:r>
      <w:r w:rsidRPr="00E33741">
        <w:rPr>
          <w:rFonts w:ascii="Calibri" w:hAnsi="Calibri" w:cs="Calibri"/>
          <w:b/>
          <w:bCs/>
          <w:noProof/>
          <w:szCs w:val="24"/>
          <w:lang w:val="en-US"/>
        </w:rPr>
        <w:t>118</w:t>
      </w:r>
      <w:r w:rsidRPr="00E33741">
        <w:rPr>
          <w:rFonts w:ascii="Calibri" w:hAnsi="Calibri" w:cs="Calibri"/>
          <w:noProof/>
          <w:szCs w:val="24"/>
          <w:lang w:val="en-US"/>
        </w:rPr>
        <w:t>, 6346–6355 (2014).</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41.</w:t>
      </w:r>
      <w:r w:rsidRPr="00E33741">
        <w:rPr>
          <w:rFonts w:ascii="Calibri" w:hAnsi="Calibri" w:cs="Calibri"/>
          <w:noProof/>
          <w:szCs w:val="24"/>
          <w:lang w:val="en-US"/>
        </w:rPr>
        <w:tab/>
        <w:t xml:space="preserve">Carnie, S. L. &amp; Chan, D. Y. C. Interaction free energy between plates with charge regulation: A linearized model. </w:t>
      </w:r>
      <w:r w:rsidRPr="00E33741">
        <w:rPr>
          <w:rFonts w:ascii="Calibri" w:hAnsi="Calibri" w:cs="Calibri"/>
          <w:i/>
          <w:iCs/>
          <w:noProof/>
          <w:szCs w:val="24"/>
          <w:lang w:val="en-US"/>
        </w:rPr>
        <w:t>Journal of Colloid And Interface Science</w:t>
      </w:r>
      <w:r w:rsidRPr="00E33741">
        <w:rPr>
          <w:rFonts w:ascii="Calibri" w:hAnsi="Calibri" w:cs="Calibri"/>
          <w:noProof/>
          <w:szCs w:val="24"/>
          <w:lang w:val="en-US"/>
        </w:rPr>
        <w:t xml:space="preserve"> vol. 161 260–264 (1993).</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42.</w:t>
      </w:r>
      <w:r w:rsidRPr="00E33741">
        <w:rPr>
          <w:rFonts w:ascii="Calibri" w:hAnsi="Calibri" w:cs="Calibri"/>
          <w:noProof/>
          <w:szCs w:val="24"/>
          <w:lang w:val="en-US"/>
        </w:rPr>
        <w:tab/>
        <w:t xml:space="preserve">Hunter, J. R. </w:t>
      </w:r>
      <w:r w:rsidRPr="00E33741">
        <w:rPr>
          <w:rFonts w:ascii="Calibri" w:hAnsi="Calibri" w:cs="Calibri"/>
          <w:i/>
          <w:iCs/>
          <w:noProof/>
          <w:szCs w:val="24"/>
          <w:lang w:val="en-US"/>
        </w:rPr>
        <w:t>Zeta Potential in Colloid Science</w:t>
      </w:r>
      <w:r w:rsidRPr="00E33741">
        <w:rPr>
          <w:rFonts w:ascii="Calibri" w:hAnsi="Calibri" w:cs="Calibri"/>
          <w:noProof/>
          <w:szCs w:val="24"/>
          <w:lang w:val="en-US"/>
        </w:rPr>
        <w:t>. (Academic Press, 1981).</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43.</w:t>
      </w:r>
      <w:r w:rsidRPr="00E33741">
        <w:rPr>
          <w:rFonts w:ascii="Calibri" w:hAnsi="Calibri" w:cs="Calibri"/>
          <w:noProof/>
          <w:szCs w:val="24"/>
          <w:lang w:val="en-US"/>
        </w:rPr>
        <w:tab/>
        <w:t xml:space="preserve">Holzapfel, V., Musyanovych, A., Landfester, K., Lorenz, M. R. &amp; Mailänder, V. Preparation of fluorescent carboxyl and amino functionalized polystyrene particles by miniemulsion polymerization as markers for cells. </w:t>
      </w:r>
      <w:r w:rsidRPr="00E33741">
        <w:rPr>
          <w:rFonts w:ascii="Calibri" w:hAnsi="Calibri" w:cs="Calibri"/>
          <w:i/>
          <w:iCs/>
          <w:noProof/>
          <w:szCs w:val="24"/>
          <w:lang w:val="en-US"/>
        </w:rPr>
        <w:t>Macromol. Chem. Phys.</w:t>
      </w:r>
      <w:r w:rsidRPr="00E33741">
        <w:rPr>
          <w:rFonts w:ascii="Calibri" w:hAnsi="Calibri" w:cs="Calibri"/>
          <w:noProof/>
          <w:szCs w:val="24"/>
          <w:lang w:val="en-US"/>
        </w:rPr>
        <w:t xml:space="preserve"> </w:t>
      </w:r>
      <w:r w:rsidRPr="00E33741">
        <w:rPr>
          <w:rFonts w:ascii="Calibri" w:hAnsi="Calibri" w:cs="Calibri"/>
          <w:b/>
          <w:bCs/>
          <w:noProof/>
          <w:szCs w:val="24"/>
          <w:lang w:val="en-US"/>
        </w:rPr>
        <w:t>206</w:t>
      </w:r>
      <w:r w:rsidRPr="00E33741">
        <w:rPr>
          <w:rFonts w:ascii="Calibri" w:hAnsi="Calibri" w:cs="Calibri"/>
          <w:noProof/>
          <w:szCs w:val="24"/>
          <w:lang w:val="en-US"/>
        </w:rPr>
        <w:t>, 2440–2449 (2005).</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44.</w:t>
      </w:r>
      <w:r w:rsidRPr="00E33741">
        <w:rPr>
          <w:rFonts w:ascii="Calibri" w:hAnsi="Calibri" w:cs="Calibri"/>
          <w:noProof/>
          <w:szCs w:val="24"/>
          <w:lang w:val="en-US"/>
        </w:rPr>
        <w:tab/>
        <w:t xml:space="preserve">Rojas-Hernández, A., Ibarra-Montaño, E. L., Rodríguez-Laguna, N. &amp; Aníbal Sánchez-Hernández, A. Determination of pKa Values for Acrylic, Methacrylic and Itaconic Acids by 1H and 13C NMR in Deuterated Water. </w:t>
      </w:r>
      <w:r w:rsidRPr="00E33741">
        <w:rPr>
          <w:rFonts w:ascii="Calibri" w:hAnsi="Calibri" w:cs="Calibri"/>
          <w:i/>
          <w:iCs/>
          <w:noProof/>
          <w:szCs w:val="24"/>
          <w:lang w:val="en-US"/>
        </w:rPr>
        <w:t>J. Appl. Solut. Chem. Model.</w:t>
      </w:r>
      <w:r w:rsidRPr="00E33741">
        <w:rPr>
          <w:rFonts w:ascii="Calibri" w:hAnsi="Calibri" w:cs="Calibri"/>
          <w:noProof/>
          <w:szCs w:val="24"/>
          <w:lang w:val="en-US"/>
        </w:rPr>
        <w:t xml:space="preserve"> </w:t>
      </w:r>
      <w:r w:rsidRPr="00E33741">
        <w:rPr>
          <w:rFonts w:ascii="Calibri" w:hAnsi="Calibri" w:cs="Calibri"/>
          <w:b/>
          <w:bCs/>
          <w:noProof/>
          <w:szCs w:val="24"/>
          <w:lang w:val="en-US"/>
        </w:rPr>
        <w:t>4</w:t>
      </w:r>
      <w:r w:rsidRPr="00E33741">
        <w:rPr>
          <w:rFonts w:ascii="Calibri" w:hAnsi="Calibri" w:cs="Calibri"/>
          <w:noProof/>
          <w:szCs w:val="24"/>
          <w:lang w:val="en-US"/>
        </w:rPr>
        <w:t>, 7–18 (2015).</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45.</w:t>
      </w:r>
      <w:r w:rsidRPr="00E33741">
        <w:rPr>
          <w:rFonts w:ascii="Calibri" w:hAnsi="Calibri" w:cs="Calibri"/>
          <w:noProof/>
          <w:szCs w:val="24"/>
          <w:lang w:val="en-US"/>
        </w:rPr>
        <w:tab/>
        <w:t xml:space="preserve">Michaels, A. S. &amp; Morelos, O. Polyelectrolyte Adsorption by Kaolinite. </w:t>
      </w:r>
      <w:r w:rsidRPr="00E33741">
        <w:rPr>
          <w:rFonts w:ascii="Calibri" w:hAnsi="Calibri" w:cs="Calibri"/>
          <w:i/>
          <w:iCs/>
          <w:noProof/>
          <w:szCs w:val="24"/>
          <w:lang w:val="en-US"/>
        </w:rPr>
        <w:t>Ind. Eng. Chem.</w:t>
      </w:r>
      <w:r w:rsidRPr="00E33741">
        <w:rPr>
          <w:rFonts w:ascii="Calibri" w:hAnsi="Calibri" w:cs="Calibri"/>
          <w:noProof/>
          <w:szCs w:val="24"/>
          <w:lang w:val="en-US"/>
        </w:rPr>
        <w:t xml:space="preserve"> </w:t>
      </w:r>
      <w:r w:rsidRPr="00E33741">
        <w:rPr>
          <w:rFonts w:ascii="Calibri" w:hAnsi="Calibri" w:cs="Calibri"/>
          <w:b/>
          <w:bCs/>
          <w:noProof/>
          <w:szCs w:val="24"/>
          <w:lang w:val="en-US"/>
        </w:rPr>
        <w:t>47</w:t>
      </w:r>
      <w:r w:rsidRPr="00E33741">
        <w:rPr>
          <w:rFonts w:ascii="Calibri" w:hAnsi="Calibri" w:cs="Calibri"/>
          <w:noProof/>
          <w:szCs w:val="24"/>
          <w:lang w:val="en-US"/>
        </w:rPr>
        <w:t>, 1801–1809 (1955).</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46.</w:t>
      </w:r>
      <w:r w:rsidRPr="00E33741">
        <w:rPr>
          <w:rFonts w:ascii="Calibri" w:hAnsi="Calibri" w:cs="Calibri"/>
          <w:noProof/>
          <w:szCs w:val="24"/>
          <w:lang w:val="en-US"/>
        </w:rPr>
        <w:tab/>
        <w:t xml:space="preserve">Iler, R. K. </w:t>
      </w:r>
      <w:r w:rsidRPr="00E33741">
        <w:rPr>
          <w:rFonts w:ascii="Calibri" w:hAnsi="Calibri" w:cs="Calibri"/>
          <w:i/>
          <w:iCs/>
          <w:noProof/>
          <w:szCs w:val="24"/>
          <w:lang w:val="en-US"/>
        </w:rPr>
        <w:t>The chemistry of silica: solubility, polymerization, colloid and surface properties, and biochemistry</w:t>
      </w:r>
      <w:r w:rsidRPr="00E33741">
        <w:rPr>
          <w:rFonts w:ascii="Calibri" w:hAnsi="Calibri" w:cs="Calibri"/>
          <w:noProof/>
          <w:szCs w:val="24"/>
          <w:lang w:val="en-US"/>
        </w:rPr>
        <w:t>. (1979). doi:10.1002/ange.19800920433.</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47.</w:t>
      </w:r>
      <w:r w:rsidRPr="00E33741">
        <w:rPr>
          <w:rFonts w:ascii="Calibri" w:hAnsi="Calibri" w:cs="Calibri"/>
          <w:noProof/>
          <w:szCs w:val="24"/>
          <w:lang w:val="en-US"/>
        </w:rPr>
        <w:tab/>
        <w:t xml:space="preserve">Leung, K., Nielsen, I. M. B. &amp; Criscenti, L. J. Elucidating the bimodal acid-base behavior of the water-silica interface from first principles. </w:t>
      </w:r>
      <w:r w:rsidRPr="00E33741">
        <w:rPr>
          <w:rFonts w:ascii="Calibri" w:hAnsi="Calibri" w:cs="Calibri"/>
          <w:i/>
          <w:iCs/>
          <w:noProof/>
          <w:szCs w:val="24"/>
          <w:lang w:val="en-US"/>
        </w:rPr>
        <w:t>J. Am. Chem. Soc.</w:t>
      </w:r>
      <w:r w:rsidRPr="00E33741">
        <w:rPr>
          <w:rFonts w:ascii="Calibri" w:hAnsi="Calibri" w:cs="Calibri"/>
          <w:noProof/>
          <w:szCs w:val="24"/>
          <w:lang w:val="en-US"/>
        </w:rPr>
        <w:t xml:space="preserve"> </w:t>
      </w:r>
      <w:r w:rsidRPr="00E33741">
        <w:rPr>
          <w:rFonts w:ascii="Calibri" w:hAnsi="Calibri" w:cs="Calibri"/>
          <w:b/>
          <w:bCs/>
          <w:noProof/>
          <w:szCs w:val="24"/>
          <w:lang w:val="en-US"/>
        </w:rPr>
        <w:t>131</w:t>
      </w:r>
      <w:r w:rsidRPr="00E33741">
        <w:rPr>
          <w:rFonts w:ascii="Calibri" w:hAnsi="Calibri" w:cs="Calibri"/>
          <w:noProof/>
          <w:szCs w:val="24"/>
          <w:lang w:val="en-US"/>
        </w:rPr>
        <w:t>, 18358–18365 (2009).</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48.</w:t>
      </w:r>
      <w:r w:rsidRPr="00E33741">
        <w:rPr>
          <w:rFonts w:ascii="Calibri" w:hAnsi="Calibri" w:cs="Calibri"/>
          <w:noProof/>
          <w:szCs w:val="24"/>
          <w:lang w:val="en-US"/>
        </w:rPr>
        <w:tab/>
        <w:t xml:space="preserve">Hu, X., Tong, Z. &amp; Lyon, L. A. Synthesis and physicochemical properties of cationic microgels based on poly(N-isopropylmethacrylamide). </w:t>
      </w:r>
      <w:r w:rsidRPr="00E33741">
        <w:rPr>
          <w:rFonts w:ascii="Calibri" w:hAnsi="Calibri" w:cs="Calibri"/>
          <w:i/>
          <w:iCs/>
          <w:noProof/>
          <w:szCs w:val="24"/>
          <w:lang w:val="en-US"/>
        </w:rPr>
        <w:t>Colloid Polym. Sci.</w:t>
      </w:r>
      <w:r w:rsidRPr="00E33741">
        <w:rPr>
          <w:rFonts w:ascii="Calibri" w:hAnsi="Calibri" w:cs="Calibri"/>
          <w:noProof/>
          <w:szCs w:val="24"/>
          <w:lang w:val="en-US"/>
        </w:rPr>
        <w:t xml:space="preserve"> </w:t>
      </w:r>
      <w:r w:rsidRPr="00E33741">
        <w:rPr>
          <w:rFonts w:ascii="Calibri" w:hAnsi="Calibri" w:cs="Calibri"/>
          <w:b/>
          <w:bCs/>
          <w:noProof/>
          <w:szCs w:val="24"/>
          <w:lang w:val="en-US"/>
        </w:rPr>
        <w:t>289</w:t>
      </w:r>
      <w:r w:rsidRPr="00E33741">
        <w:rPr>
          <w:rFonts w:ascii="Calibri" w:hAnsi="Calibri" w:cs="Calibri"/>
          <w:noProof/>
          <w:szCs w:val="24"/>
          <w:lang w:val="en-US"/>
        </w:rPr>
        <w:t>, 333–339 (2011).</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49.</w:t>
      </w:r>
      <w:r w:rsidRPr="00E33741">
        <w:rPr>
          <w:rFonts w:ascii="Calibri" w:hAnsi="Calibri" w:cs="Calibri"/>
          <w:noProof/>
          <w:szCs w:val="24"/>
          <w:lang w:val="en-US"/>
        </w:rPr>
        <w:tab/>
        <w:t xml:space="preserve">Van De Watering, P. </w:t>
      </w:r>
      <w:r w:rsidRPr="00E33741">
        <w:rPr>
          <w:rFonts w:ascii="Calibri" w:hAnsi="Calibri" w:cs="Calibri"/>
          <w:i/>
          <w:iCs/>
          <w:noProof/>
          <w:szCs w:val="24"/>
          <w:lang w:val="en-US"/>
        </w:rPr>
        <w:t>et al.</w:t>
      </w:r>
      <w:r w:rsidRPr="00E33741">
        <w:rPr>
          <w:rFonts w:ascii="Calibri" w:hAnsi="Calibri" w:cs="Calibri"/>
          <w:noProof/>
          <w:szCs w:val="24"/>
          <w:lang w:val="en-US"/>
        </w:rPr>
        <w:t xml:space="preserve"> A mechanistic study of the hydrolytic stability of poly(2-(dimethylamino)ethyl methacrylate). </w:t>
      </w:r>
      <w:r w:rsidRPr="00E33741">
        <w:rPr>
          <w:rFonts w:ascii="Calibri" w:hAnsi="Calibri" w:cs="Calibri"/>
          <w:i/>
          <w:iCs/>
          <w:noProof/>
          <w:szCs w:val="24"/>
          <w:lang w:val="en-US"/>
        </w:rPr>
        <w:t>Macromolecules</w:t>
      </w:r>
      <w:r w:rsidRPr="00E33741">
        <w:rPr>
          <w:rFonts w:ascii="Calibri" w:hAnsi="Calibri" w:cs="Calibri"/>
          <w:noProof/>
          <w:szCs w:val="24"/>
          <w:lang w:val="en-US"/>
        </w:rPr>
        <w:t xml:space="preserve"> </w:t>
      </w:r>
      <w:r w:rsidRPr="00E33741">
        <w:rPr>
          <w:rFonts w:ascii="Calibri" w:hAnsi="Calibri" w:cs="Calibri"/>
          <w:b/>
          <w:bCs/>
          <w:noProof/>
          <w:szCs w:val="24"/>
          <w:lang w:val="en-US"/>
        </w:rPr>
        <w:t>31</w:t>
      </w:r>
      <w:r w:rsidRPr="00E33741">
        <w:rPr>
          <w:rFonts w:ascii="Calibri" w:hAnsi="Calibri" w:cs="Calibri"/>
          <w:noProof/>
          <w:szCs w:val="24"/>
          <w:lang w:val="en-US"/>
        </w:rPr>
        <w:t>, 8063–8068 (1998).</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50.</w:t>
      </w:r>
      <w:r w:rsidRPr="00E33741">
        <w:rPr>
          <w:rFonts w:ascii="Calibri" w:hAnsi="Calibri" w:cs="Calibri"/>
          <w:noProof/>
          <w:szCs w:val="24"/>
          <w:lang w:val="en-US"/>
        </w:rPr>
        <w:tab/>
        <w:t xml:space="preserve">Zhang, F., Cao, L. &amp; Yang, W. Preparation of monodisperse and anion-charged polystyrene microspheres stabilized with polymerizable sodium styrene sulfonate by dispersion polymerization. </w:t>
      </w:r>
      <w:r w:rsidRPr="00E33741">
        <w:rPr>
          <w:rFonts w:ascii="Calibri" w:hAnsi="Calibri" w:cs="Calibri"/>
          <w:i/>
          <w:iCs/>
          <w:noProof/>
          <w:szCs w:val="24"/>
          <w:lang w:val="en-US"/>
        </w:rPr>
        <w:t>Macromol. Chem. Phys.</w:t>
      </w:r>
      <w:r w:rsidRPr="00E33741">
        <w:rPr>
          <w:rFonts w:ascii="Calibri" w:hAnsi="Calibri" w:cs="Calibri"/>
          <w:noProof/>
          <w:szCs w:val="24"/>
          <w:lang w:val="en-US"/>
        </w:rPr>
        <w:t xml:space="preserve"> </w:t>
      </w:r>
      <w:r w:rsidRPr="00E33741">
        <w:rPr>
          <w:rFonts w:ascii="Calibri" w:hAnsi="Calibri" w:cs="Calibri"/>
          <w:b/>
          <w:bCs/>
          <w:noProof/>
          <w:szCs w:val="24"/>
          <w:lang w:val="en-US"/>
        </w:rPr>
        <w:t>211</w:t>
      </w:r>
      <w:r w:rsidRPr="00E33741">
        <w:rPr>
          <w:rFonts w:ascii="Calibri" w:hAnsi="Calibri" w:cs="Calibri"/>
          <w:noProof/>
          <w:szCs w:val="24"/>
          <w:lang w:val="en-US"/>
        </w:rPr>
        <w:t>, 744–751 (2010).</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51.</w:t>
      </w:r>
      <w:r w:rsidRPr="00E33741">
        <w:rPr>
          <w:rFonts w:ascii="Calibri" w:hAnsi="Calibri" w:cs="Calibri"/>
          <w:noProof/>
          <w:szCs w:val="24"/>
          <w:lang w:val="en-US"/>
        </w:rPr>
        <w:tab/>
        <w:t xml:space="preserve">Gelissen, A. P. H., Schmid, A. J., Plamper, F. A., Pergushov, D. V. &amp; Richtering, W. Quaternized microgels as soft templates for polyelectrolyte layer-by-layer assemblies. </w:t>
      </w:r>
      <w:r w:rsidRPr="00E33741">
        <w:rPr>
          <w:rFonts w:ascii="Calibri" w:hAnsi="Calibri" w:cs="Calibri"/>
          <w:i/>
          <w:iCs/>
          <w:noProof/>
          <w:szCs w:val="24"/>
          <w:lang w:val="en-US"/>
        </w:rPr>
        <w:t>Polym. (United Kingdom)</w:t>
      </w:r>
      <w:r w:rsidRPr="00E33741">
        <w:rPr>
          <w:rFonts w:ascii="Calibri" w:hAnsi="Calibri" w:cs="Calibri"/>
          <w:noProof/>
          <w:szCs w:val="24"/>
          <w:lang w:val="en-US"/>
        </w:rPr>
        <w:t xml:space="preserve"> </w:t>
      </w:r>
      <w:r w:rsidRPr="00E33741">
        <w:rPr>
          <w:rFonts w:ascii="Calibri" w:hAnsi="Calibri" w:cs="Calibri"/>
          <w:b/>
          <w:bCs/>
          <w:noProof/>
          <w:szCs w:val="24"/>
          <w:lang w:val="en-US"/>
        </w:rPr>
        <w:t>55</w:t>
      </w:r>
      <w:r w:rsidRPr="00E33741">
        <w:rPr>
          <w:rFonts w:ascii="Calibri" w:hAnsi="Calibri" w:cs="Calibri"/>
          <w:noProof/>
          <w:szCs w:val="24"/>
          <w:lang w:val="en-US"/>
        </w:rPr>
        <w:t>, 1991–1999 (2014).</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52.</w:t>
      </w:r>
      <w:r w:rsidRPr="00E33741">
        <w:rPr>
          <w:rFonts w:ascii="Calibri" w:hAnsi="Calibri" w:cs="Calibri"/>
          <w:noProof/>
          <w:szCs w:val="24"/>
          <w:lang w:val="en-US"/>
        </w:rPr>
        <w:tab/>
        <w:t xml:space="preserve">Delgado, A. V., Gonzalez-Caballero, F., Hunter, R. J., Koopal, L. K. &amp; Lyklema, J. Measurement and Interpretation of Electrophoretic Phenomena. </w:t>
      </w:r>
      <w:r w:rsidRPr="00E33741">
        <w:rPr>
          <w:rFonts w:ascii="Calibri" w:hAnsi="Calibri" w:cs="Calibri"/>
          <w:i/>
          <w:iCs/>
          <w:noProof/>
          <w:szCs w:val="24"/>
          <w:lang w:val="en-US"/>
        </w:rPr>
        <w:t>Pure Appl. Chem.</w:t>
      </w:r>
      <w:r w:rsidRPr="00E33741">
        <w:rPr>
          <w:rFonts w:ascii="Calibri" w:hAnsi="Calibri" w:cs="Calibri"/>
          <w:noProof/>
          <w:szCs w:val="24"/>
          <w:lang w:val="en-US"/>
        </w:rPr>
        <w:t xml:space="preserve"> </w:t>
      </w:r>
      <w:r w:rsidRPr="00E33741">
        <w:rPr>
          <w:rFonts w:ascii="Calibri" w:hAnsi="Calibri" w:cs="Calibri"/>
          <w:b/>
          <w:bCs/>
          <w:noProof/>
          <w:szCs w:val="24"/>
          <w:lang w:val="en-US"/>
        </w:rPr>
        <w:t>77</w:t>
      </w:r>
      <w:r w:rsidRPr="00E33741">
        <w:rPr>
          <w:rFonts w:ascii="Calibri" w:hAnsi="Calibri" w:cs="Calibri"/>
          <w:noProof/>
          <w:szCs w:val="24"/>
          <w:lang w:val="en-US"/>
        </w:rPr>
        <w:t>, 1753–1805 (2005).</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53.</w:t>
      </w:r>
      <w:r w:rsidRPr="00E33741">
        <w:rPr>
          <w:rFonts w:ascii="Calibri" w:hAnsi="Calibri" w:cs="Calibri"/>
          <w:noProof/>
          <w:szCs w:val="24"/>
          <w:lang w:val="en-US"/>
        </w:rPr>
        <w:tab/>
        <w:t xml:space="preserve">Okubo, M., Ichikawa, K., Tsujihiro, M. &amp; He, Y. Production of anomalous polymer microspheres having uneven surfaces by ‘stepwise’ heterocoagulation technique. </w:t>
      </w:r>
      <w:r w:rsidRPr="00E33741">
        <w:rPr>
          <w:rFonts w:ascii="Calibri" w:hAnsi="Calibri" w:cs="Calibri"/>
          <w:i/>
          <w:iCs/>
          <w:noProof/>
          <w:szCs w:val="24"/>
          <w:lang w:val="en-US"/>
        </w:rPr>
        <w:t>Colloid Polym. Sci.</w:t>
      </w:r>
      <w:r w:rsidRPr="00E33741">
        <w:rPr>
          <w:rFonts w:ascii="Calibri" w:hAnsi="Calibri" w:cs="Calibri"/>
          <w:noProof/>
          <w:szCs w:val="24"/>
          <w:lang w:val="en-US"/>
        </w:rPr>
        <w:t xml:space="preserve"> </w:t>
      </w:r>
      <w:r w:rsidRPr="00E33741">
        <w:rPr>
          <w:rFonts w:ascii="Calibri" w:hAnsi="Calibri" w:cs="Calibri"/>
          <w:b/>
          <w:bCs/>
          <w:noProof/>
          <w:szCs w:val="24"/>
          <w:lang w:val="en-US"/>
        </w:rPr>
        <w:t>268</w:t>
      </w:r>
      <w:r w:rsidRPr="00E33741">
        <w:rPr>
          <w:rFonts w:ascii="Calibri" w:hAnsi="Calibri" w:cs="Calibri"/>
          <w:noProof/>
          <w:szCs w:val="24"/>
          <w:lang w:val="en-US"/>
        </w:rPr>
        <w:t>, 791–796 (1990).</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54.</w:t>
      </w:r>
      <w:r w:rsidRPr="00E33741">
        <w:rPr>
          <w:rFonts w:ascii="Calibri" w:hAnsi="Calibri" w:cs="Calibri"/>
          <w:noProof/>
          <w:szCs w:val="24"/>
          <w:lang w:val="en-US"/>
        </w:rPr>
        <w:tab/>
        <w:t xml:space="preserve">Rogers, C. A. Covering a sphere with spheres. </w:t>
      </w:r>
      <w:r w:rsidRPr="00E33741">
        <w:rPr>
          <w:rFonts w:ascii="Calibri" w:hAnsi="Calibri" w:cs="Calibri"/>
          <w:i/>
          <w:iCs/>
          <w:noProof/>
          <w:szCs w:val="24"/>
          <w:lang w:val="en-US"/>
        </w:rPr>
        <w:t>Mathematika</w:t>
      </w:r>
      <w:r w:rsidRPr="00E33741">
        <w:rPr>
          <w:rFonts w:ascii="Calibri" w:hAnsi="Calibri" w:cs="Calibri"/>
          <w:noProof/>
          <w:szCs w:val="24"/>
          <w:lang w:val="en-US"/>
        </w:rPr>
        <w:t xml:space="preserve"> </w:t>
      </w:r>
      <w:r w:rsidRPr="00E33741">
        <w:rPr>
          <w:rFonts w:ascii="Calibri" w:hAnsi="Calibri" w:cs="Calibri"/>
          <w:b/>
          <w:bCs/>
          <w:noProof/>
          <w:szCs w:val="24"/>
          <w:lang w:val="en-US"/>
        </w:rPr>
        <w:t>10</w:t>
      </w:r>
      <w:r w:rsidRPr="00E33741">
        <w:rPr>
          <w:rFonts w:ascii="Calibri" w:hAnsi="Calibri" w:cs="Calibri"/>
          <w:noProof/>
          <w:szCs w:val="24"/>
          <w:lang w:val="en-US"/>
        </w:rPr>
        <w:t>, 157–164 (1963).</w:t>
      </w:r>
    </w:p>
    <w:p w:rsidR="00FB610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55.</w:t>
      </w:r>
      <w:r w:rsidRPr="00E33741">
        <w:rPr>
          <w:rFonts w:ascii="Calibri" w:hAnsi="Calibri" w:cs="Calibri"/>
          <w:noProof/>
          <w:szCs w:val="24"/>
          <w:lang w:val="en-US"/>
        </w:rPr>
        <w:tab/>
        <w:t xml:space="preserve">Balmer, J. A. </w:t>
      </w:r>
      <w:r w:rsidRPr="00E33741">
        <w:rPr>
          <w:rFonts w:ascii="Calibri" w:hAnsi="Calibri" w:cs="Calibri"/>
          <w:i/>
          <w:iCs/>
          <w:noProof/>
          <w:szCs w:val="24"/>
          <w:lang w:val="en-US"/>
        </w:rPr>
        <w:t>et al.</w:t>
      </w:r>
      <w:r w:rsidRPr="00E33741">
        <w:rPr>
          <w:rFonts w:ascii="Calibri" w:hAnsi="Calibri" w:cs="Calibri"/>
          <w:noProof/>
          <w:szCs w:val="24"/>
          <w:lang w:val="en-US"/>
        </w:rPr>
        <w:t xml:space="preserve"> Packing efficiency of small silica particles on large latex particles: A facile route to colloidal nanocomposites. </w:t>
      </w:r>
      <w:r w:rsidRPr="00E33741">
        <w:rPr>
          <w:rFonts w:ascii="Calibri" w:hAnsi="Calibri" w:cs="Calibri"/>
          <w:i/>
          <w:iCs/>
          <w:noProof/>
          <w:szCs w:val="24"/>
          <w:lang w:val="en-US"/>
        </w:rPr>
        <w:t>Langmuir</w:t>
      </w:r>
      <w:r w:rsidRPr="00E33741">
        <w:rPr>
          <w:rFonts w:ascii="Calibri" w:hAnsi="Calibri" w:cs="Calibri"/>
          <w:noProof/>
          <w:szCs w:val="24"/>
          <w:lang w:val="en-US"/>
        </w:rPr>
        <w:t xml:space="preserve"> </w:t>
      </w:r>
      <w:r w:rsidRPr="00E33741">
        <w:rPr>
          <w:rFonts w:ascii="Calibri" w:hAnsi="Calibri" w:cs="Calibri"/>
          <w:b/>
          <w:bCs/>
          <w:noProof/>
          <w:szCs w:val="24"/>
          <w:lang w:val="en-US"/>
        </w:rPr>
        <w:t>25</w:t>
      </w:r>
      <w:r w:rsidRPr="00E33741">
        <w:rPr>
          <w:rFonts w:ascii="Calibri" w:hAnsi="Calibri" w:cs="Calibri"/>
          <w:noProof/>
          <w:szCs w:val="24"/>
          <w:lang w:val="en-US"/>
        </w:rPr>
        <w:t>, 5339–5347 (2009).</w:t>
      </w:r>
    </w:p>
    <w:p w:rsidR="00972856" w:rsidRPr="00E33741" w:rsidRDefault="00972856" w:rsidP="00FB6101">
      <w:pPr>
        <w:widowControl w:val="0"/>
        <w:autoSpaceDE w:val="0"/>
        <w:autoSpaceDN w:val="0"/>
        <w:adjustRightInd w:val="0"/>
        <w:spacing w:line="240" w:lineRule="auto"/>
        <w:ind w:left="640" w:hanging="640"/>
        <w:rPr>
          <w:rFonts w:ascii="Calibri" w:hAnsi="Calibri" w:cs="Calibri"/>
          <w:noProof/>
          <w:szCs w:val="24"/>
          <w:lang w:val="en-US"/>
        </w:rPr>
      </w:pP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lastRenderedPageBreak/>
        <w:t>56.</w:t>
      </w:r>
      <w:r w:rsidRPr="00E33741">
        <w:rPr>
          <w:rFonts w:ascii="Calibri" w:hAnsi="Calibri" w:cs="Calibri"/>
          <w:noProof/>
          <w:szCs w:val="24"/>
          <w:lang w:val="en-US"/>
        </w:rPr>
        <w:tab/>
        <w:t>Hardin, R., Sloane, N. &amp; Smith, W. Tables of spherical codes with icosahedral symmetry. http://neilsloane.com/icosahedral.codes/.</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57.</w:t>
      </w:r>
      <w:r w:rsidRPr="00E33741">
        <w:rPr>
          <w:rFonts w:ascii="Calibri" w:hAnsi="Calibri" w:cs="Calibri"/>
          <w:noProof/>
          <w:szCs w:val="24"/>
          <w:lang w:val="en-US"/>
        </w:rPr>
        <w:tab/>
        <w:t xml:space="preserve">Johnson, J. E. &amp; Speir, J. A. Quasi-equivalent viruses: A paradigm for protein assemblies. </w:t>
      </w:r>
      <w:r w:rsidRPr="00E33741">
        <w:rPr>
          <w:rFonts w:ascii="Calibri" w:hAnsi="Calibri" w:cs="Calibri"/>
          <w:i/>
          <w:iCs/>
          <w:noProof/>
          <w:szCs w:val="24"/>
          <w:lang w:val="en-US"/>
        </w:rPr>
        <w:t>Journal of Molecular Biology</w:t>
      </w:r>
      <w:r w:rsidRPr="00E33741">
        <w:rPr>
          <w:rFonts w:ascii="Calibri" w:hAnsi="Calibri" w:cs="Calibri"/>
          <w:noProof/>
          <w:szCs w:val="24"/>
          <w:lang w:val="en-US"/>
        </w:rPr>
        <w:t xml:space="preserve"> (1997) doi:10.1006/jmbi.1997.1068.</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58.</w:t>
      </w:r>
      <w:r w:rsidRPr="00E33741">
        <w:rPr>
          <w:rFonts w:ascii="Calibri" w:hAnsi="Calibri" w:cs="Calibri"/>
          <w:noProof/>
          <w:szCs w:val="24"/>
          <w:lang w:val="en-US"/>
        </w:rPr>
        <w:tab/>
        <w:t>http://viperdb.scripps.edu/icos_server.php?icspage=paradigm.</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59.</w:t>
      </w:r>
      <w:r w:rsidRPr="00E33741">
        <w:rPr>
          <w:rFonts w:ascii="Calibri" w:hAnsi="Calibri" w:cs="Calibri"/>
          <w:noProof/>
          <w:szCs w:val="24"/>
          <w:lang w:val="en-US"/>
        </w:rPr>
        <w:tab/>
        <w:t xml:space="preserve">Aumiller Jr., W. M., Uchida, M. &amp; Douglas, T. Protein Cage Assembly Across Multiple Lenght Scales. </w:t>
      </w:r>
      <w:r w:rsidRPr="00E33741">
        <w:rPr>
          <w:rFonts w:ascii="Calibri" w:hAnsi="Calibri" w:cs="Calibri"/>
          <w:i/>
          <w:iCs/>
          <w:noProof/>
          <w:szCs w:val="24"/>
          <w:lang w:val="en-US"/>
        </w:rPr>
        <w:t>Physiol. Behav.</w:t>
      </w:r>
      <w:r w:rsidRPr="00E33741">
        <w:rPr>
          <w:rFonts w:ascii="Calibri" w:hAnsi="Calibri" w:cs="Calibri"/>
          <w:noProof/>
          <w:szCs w:val="24"/>
          <w:lang w:val="en-US"/>
        </w:rPr>
        <w:t xml:space="preserve"> </w:t>
      </w:r>
      <w:r w:rsidRPr="00E33741">
        <w:rPr>
          <w:rFonts w:ascii="Calibri" w:hAnsi="Calibri" w:cs="Calibri"/>
          <w:b/>
          <w:bCs/>
          <w:noProof/>
          <w:szCs w:val="24"/>
          <w:lang w:val="en-US"/>
        </w:rPr>
        <w:t>176</w:t>
      </w:r>
      <w:r w:rsidRPr="00E33741">
        <w:rPr>
          <w:rFonts w:ascii="Calibri" w:hAnsi="Calibri" w:cs="Calibri"/>
          <w:noProof/>
          <w:szCs w:val="24"/>
          <w:lang w:val="en-US"/>
        </w:rPr>
        <w:t>, 139–148 (2017).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60.</w:t>
      </w:r>
      <w:r w:rsidRPr="00E33741">
        <w:rPr>
          <w:rFonts w:ascii="Calibri" w:hAnsi="Calibri" w:cs="Calibri"/>
          <w:noProof/>
          <w:szCs w:val="24"/>
          <w:lang w:val="en-US"/>
        </w:rPr>
        <w:tab/>
        <w:t xml:space="preserve">Vesilind, A., Peirce, J. &amp; Weiner, R. </w:t>
      </w:r>
      <w:r w:rsidRPr="00E33741">
        <w:rPr>
          <w:rFonts w:ascii="Calibri" w:hAnsi="Calibri" w:cs="Calibri"/>
          <w:i/>
          <w:iCs/>
          <w:noProof/>
          <w:szCs w:val="24"/>
          <w:lang w:val="en-US"/>
        </w:rPr>
        <w:t>Environmental Engineering</w:t>
      </w:r>
      <w:r w:rsidRPr="00E33741">
        <w:rPr>
          <w:rFonts w:ascii="Calibri" w:hAnsi="Calibri" w:cs="Calibri"/>
          <w:noProof/>
          <w:szCs w:val="24"/>
          <w:lang w:val="en-US"/>
        </w:rPr>
        <w:t>. (Butterworth Heinemann, 1994).</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61.</w:t>
      </w:r>
      <w:r w:rsidRPr="00E33741">
        <w:rPr>
          <w:rFonts w:ascii="Calibri" w:hAnsi="Calibri" w:cs="Calibri"/>
          <w:noProof/>
          <w:szCs w:val="24"/>
          <w:lang w:val="en-US"/>
        </w:rPr>
        <w:tab/>
        <w:t xml:space="preserve">D. G. Sharp, Beard, J. W. Size and Density of Polystyrene Particles Measured by Ultracentrifugation. </w:t>
      </w:r>
      <w:r w:rsidRPr="00E33741">
        <w:rPr>
          <w:rFonts w:ascii="Calibri" w:hAnsi="Calibri" w:cs="Calibri"/>
          <w:i/>
          <w:iCs/>
          <w:noProof/>
          <w:szCs w:val="24"/>
          <w:lang w:val="en-US"/>
        </w:rPr>
        <w:t>J. Biol. Chem.</w:t>
      </w:r>
      <w:r w:rsidRPr="00E33741">
        <w:rPr>
          <w:rFonts w:ascii="Calibri" w:hAnsi="Calibri" w:cs="Calibri"/>
          <w:noProof/>
          <w:szCs w:val="24"/>
          <w:lang w:val="en-US"/>
        </w:rPr>
        <w:t xml:space="preserve"> 247–253 (1950).</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62.</w:t>
      </w:r>
      <w:r w:rsidRPr="00E33741">
        <w:rPr>
          <w:rFonts w:ascii="Calibri" w:hAnsi="Calibri" w:cs="Calibri"/>
          <w:noProof/>
          <w:szCs w:val="24"/>
          <w:lang w:val="en-US"/>
        </w:rPr>
        <w:tab/>
        <w:t xml:space="preserve">Van Der Wel, C. </w:t>
      </w:r>
      <w:r w:rsidRPr="00E33741">
        <w:rPr>
          <w:rFonts w:ascii="Calibri" w:hAnsi="Calibri" w:cs="Calibri"/>
          <w:i/>
          <w:iCs/>
          <w:noProof/>
          <w:szCs w:val="24"/>
          <w:lang w:val="en-US"/>
        </w:rPr>
        <w:t>et al.</w:t>
      </w:r>
      <w:r w:rsidRPr="00E33741">
        <w:rPr>
          <w:rFonts w:ascii="Calibri" w:hAnsi="Calibri" w:cs="Calibri"/>
          <w:noProof/>
          <w:szCs w:val="24"/>
          <w:lang w:val="en-US"/>
        </w:rPr>
        <w:t xml:space="preserve"> Preparation of Colloidal Organosilica Spheres through Spontaneous Emulsification. </w:t>
      </w:r>
      <w:r w:rsidRPr="00E33741">
        <w:rPr>
          <w:rFonts w:ascii="Calibri" w:hAnsi="Calibri" w:cs="Calibri"/>
          <w:i/>
          <w:iCs/>
          <w:noProof/>
          <w:szCs w:val="24"/>
          <w:lang w:val="en-US"/>
        </w:rPr>
        <w:t>Langmuir</w:t>
      </w:r>
      <w:r w:rsidRPr="00E33741">
        <w:rPr>
          <w:rFonts w:ascii="Calibri" w:hAnsi="Calibri" w:cs="Calibri"/>
          <w:noProof/>
          <w:szCs w:val="24"/>
          <w:lang w:val="en-US"/>
        </w:rPr>
        <w:t xml:space="preserve"> </w:t>
      </w:r>
      <w:r w:rsidRPr="00E33741">
        <w:rPr>
          <w:rFonts w:ascii="Calibri" w:hAnsi="Calibri" w:cs="Calibri"/>
          <w:b/>
          <w:bCs/>
          <w:noProof/>
          <w:szCs w:val="24"/>
          <w:lang w:val="en-US"/>
        </w:rPr>
        <w:t>33</w:t>
      </w:r>
      <w:r w:rsidRPr="00E33741">
        <w:rPr>
          <w:rFonts w:ascii="Calibri" w:hAnsi="Calibri" w:cs="Calibri"/>
          <w:noProof/>
          <w:szCs w:val="24"/>
          <w:lang w:val="en-US"/>
        </w:rPr>
        <w:t>, 8174–8180 (2017).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63.</w:t>
      </w:r>
      <w:r w:rsidRPr="00E33741">
        <w:rPr>
          <w:rFonts w:ascii="Calibri" w:hAnsi="Calibri" w:cs="Calibri"/>
          <w:noProof/>
          <w:szCs w:val="24"/>
          <w:lang w:val="en-US"/>
        </w:rPr>
        <w:tab/>
        <w:t xml:space="preserve">Laidler, K. &amp; Meiser, J. H. </w:t>
      </w:r>
      <w:r w:rsidRPr="00E33741">
        <w:rPr>
          <w:rFonts w:ascii="Calibri" w:hAnsi="Calibri" w:cs="Calibri"/>
          <w:i/>
          <w:iCs/>
          <w:noProof/>
          <w:szCs w:val="24"/>
          <w:lang w:val="en-US"/>
        </w:rPr>
        <w:t>Physical Chemistry</w:t>
      </w:r>
      <w:r w:rsidRPr="00E33741">
        <w:rPr>
          <w:rFonts w:ascii="Calibri" w:hAnsi="Calibri" w:cs="Calibri"/>
          <w:noProof/>
          <w:szCs w:val="24"/>
          <w:lang w:val="en-US"/>
        </w:rPr>
        <w:t>. (Benjamin/Cummings, 1982).</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64.</w:t>
      </w:r>
      <w:r w:rsidRPr="00E33741">
        <w:rPr>
          <w:rFonts w:ascii="Calibri" w:hAnsi="Calibri" w:cs="Calibri"/>
          <w:noProof/>
          <w:szCs w:val="24"/>
          <w:lang w:val="en-US"/>
        </w:rPr>
        <w:tab/>
        <w:t xml:space="preserve">Block, B., Antaris, A. L., Seo, J. T., Green, A. A. &amp; Hersam, M. C. Sorting Single-Walled Carbon. </w:t>
      </w:r>
      <w:r w:rsidRPr="00E33741">
        <w:rPr>
          <w:rFonts w:ascii="Calibri" w:hAnsi="Calibri" w:cs="Calibri"/>
          <w:b/>
          <w:bCs/>
          <w:noProof/>
          <w:szCs w:val="24"/>
          <w:lang w:val="en-US"/>
        </w:rPr>
        <w:t>4</w:t>
      </w:r>
      <w:r w:rsidRPr="00E33741">
        <w:rPr>
          <w:rFonts w:ascii="Calibri" w:hAnsi="Calibri" w:cs="Calibri"/>
          <w:noProof/>
          <w:szCs w:val="24"/>
          <w:lang w:val="en-US"/>
        </w:rPr>
        <w:t>, 4725–4732 (2010).</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65.</w:t>
      </w:r>
      <w:r w:rsidRPr="00E33741">
        <w:rPr>
          <w:rFonts w:ascii="Calibri" w:hAnsi="Calibri" w:cs="Calibri"/>
          <w:noProof/>
          <w:szCs w:val="24"/>
          <w:lang w:val="en-US"/>
        </w:rPr>
        <w:tab/>
        <w:t xml:space="preserve">Kraft, D. J. </w:t>
      </w:r>
      <w:r w:rsidRPr="00E33741">
        <w:rPr>
          <w:rFonts w:ascii="Calibri" w:hAnsi="Calibri" w:cs="Calibri"/>
          <w:i/>
          <w:iCs/>
          <w:noProof/>
          <w:szCs w:val="24"/>
          <w:lang w:val="en-US"/>
        </w:rPr>
        <w:t>et al.</w:t>
      </w:r>
      <w:r w:rsidRPr="00E33741">
        <w:rPr>
          <w:rFonts w:ascii="Calibri" w:hAnsi="Calibri" w:cs="Calibri"/>
          <w:noProof/>
          <w:szCs w:val="24"/>
          <w:lang w:val="en-US"/>
        </w:rPr>
        <w:t xml:space="preserve"> Self-assembly of colloids with liquid protrusions. </w:t>
      </w:r>
      <w:r w:rsidRPr="00E33741">
        <w:rPr>
          <w:rFonts w:ascii="Calibri" w:hAnsi="Calibri" w:cs="Calibri"/>
          <w:i/>
          <w:iCs/>
          <w:noProof/>
          <w:szCs w:val="24"/>
          <w:lang w:val="en-US"/>
        </w:rPr>
        <w:t>J. Am. Chem. Soc.</w:t>
      </w:r>
      <w:r w:rsidRPr="00E33741">
        <w:rPr>
          <w:rFonts w:ascii="Calibri" w:hAnsi="Calibri" w:cs="Calibri"/>
          <w:noProof/>
          <w:szCs w:val="24"/>
          <w:lang w:val="en-US"/>
        </w:rPr>
        <w:t xml:space="preserve"> </w:t>
      </w:r>
      <w:r w:rsidRPr="00E33741">
        <w:rPr>
          <w:rFonts w:ascii="Calibri" w:hAnsi="Calibri" w:cs="Calibri"/>
          <w:b/>
          <w:bCs/>
          <w:noProof/>
          <w:szCs w:val="24"/>
          <w:lang w:val="en-US"/>
        </w:rPr>
        <w:t>131</w:t>
      </w:r>
      <w:r w:rsidRPr="00E33741">
        <w:rPr>
          <w:rFonts w:ascii="Calibri" w:hAnsi="Calibri" w:cs="Calibri"/>
          <w:noProof/>
          <w:szCs w:val="24"/>
          <w:lang w:val="en-US"/>
        </w:rPr>
        <w:t>, 1182–1186 (2009).</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66.</w:t>
      </w:r>
      <w:r w:rsidRPr="00E33741">
        <w:rPr>
          <w:rFonts w:ascii="Calibri" w:hAnsi="Calibri" w:cs="Calibri"/>
          <w:noProof/>
          <w:szCs w:val="24"/>
          <w:lang w:val="en-US"/>
        </w:rPr>
        <w:tab/>
        <w:t xml:space="preserve">Fantin, M. </w:t>
      </w:r>
      <w:r w:rsidRPr="00E33741">
        <w:rPr>
          <w:rFonts w:ascii="Calibri" w:hAnsi="Calibri" w:cs="Calibri"/>
          <w:i/>
          <w:iCs/>
          <w:noProof/>
          <w:szCs w:val="24"/>
          <w:lang w:val="en-US"/>
        </w:rPr>
        <w:t>et al.</w:t>
      </w:r>
      <w:r w:rsidRPr="00E33741">
        <w:rPr>
          <w:rFonts w:ascii="Calibri" w:hAnsi="Calibri" w:cs="Calibri"/>
          <w:noProof/>
          <w:szCs w:val="24"/>
          <w:lang w:val="en-US"/>
        </w:rPr>
        <w:t xml:space="preserve"> The Role of Cu 0 in Surface-Initiated Atom Transfer Radical Polymerization: Tuning Catalyst Dissolution for Tailoring Polymer Interfaces. </w:t>
      </w:r>
      <w:r w:rsidRPr="00E33741">
        <w:rPr>
          <w:rFonts w:ascii="Calibri" w:hAnsi="Calibri" w:cs="Calibri"/>
          <w:i/>
          <w:iCs/>
          <w:noProof/>
          <w:szCs w:val="24"/>
          <w:lang w:val="en-US"/>
        </w:rPr>
        <w:t>Macromolecules</w:t>
      </w:r>
      <w:r w:rsidRPr="00E33741">
        <w:rPr>
          <w:rFonts w:ascii="Calibri" w:hAnsi="Calibri" w:cs="Calibri"/>
          <w:noProof/>
          <w:szCs w:val="24"/>
          <w:lang w:val="en-US"/>
        </w:rPr>
        <w:t xml:space="preserve"> </w:t>
      </w:r>
      <w:r w:rsidRPr="00E33741">
        <w:rPr>
          <w:rFonts w:ascii="Calibri" w:hAnsi="Calibri" w:cs="Calibri"/>
          <w:b/>
          <w:bCs/>
          <w:noProof/>
          <w:szCs w:val="24"/>
          <w:lang w:val="en-US"/>
        </w:rPr>
        <w:t>51</w:t>
      </w:r>
      <w:r w:rsidRPr="00E33741">
        <w:rPr>
          <w:rFonts w:ascii="Calibri" w:hAnsi="Calibri" w:cs="Calibri"/>
          <w:noProof/>
          <w:szCs w:val="24"/>
          <w:lang w:val="en-US"/>
        </w:rPr>
        <w:t>, 6825–6835 (2018).</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67.</w:t>
      </w:r>
      <w:r w:rsidRPr="00E33741">
        <w:rPr>
          <w:rFonts w:ascii="Calibri" w:hAnsi="Calibri" w:cs="Calibri"/>
          <w:noProof/>
          <w:szCs w:val="24"/>
          <w:lang w:val="en-US"/>
        </w:rPr>
        <w:tab/>
        <w:t xml:space="preserve">Kawaguchi, S. &amp; Ito, K. Dispersion Polymerization. in </w:t>
      </w:r>
      <w:r w:rsidRPr="00E33741">
        <w:rPr>
          <w:rFonts w:ascii="Calibri" w:hAnsi="Calibri" w:cs="Calibri"/>
          <w:i/>
          <w:iCs/>
          <w:noProof/>
          <w:szCs w:val="24"/>
          <w:lang w:val="en-US"/>
        </w:rPr>
        <w:t>Polymer Particles: -/-</w:t>
      </w:r>
      <w:r w:rsidRPr="00E33741">
        <w:rPr>
          <w:rFonts w:ascii="Calibri" w:hAnsi="Calibri" w:cs="Calibri"/>
          <w:noProof/>
          <w:szCs w:val="24"/>
          <w:lang w:val="en-US"/>
        </w:rPr>
        <w:t xml:space="preserve"> (ed. Okubo, M.) 299–328 (Springer Berlin Heidelberg, 2005). doi:10.1007/b100118.</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68.</w:t>
      </w:r>
      <w:r w:rsidRPr="00E33741">
        <w:rPr>
          <w:rFonts w:ascii="Calibri" w:hAnsi="Calibri" w:cs="Calibri"/>
          <w:noProof/>
          <w:szCs w:val="24"/>
          <w:lang w:val="en-US"/>
        </w:rPr>
        <w:tab/>
        <w:t xml:space="preserve">van Blaaderen, A. &amp; Vrij, A. Synthesis and Characterization of Colloidal Dispersions of Fluorescent, Monodisperse Silica Spheres. </w:t>
      </w:r>
      <w:r w:rsidRPr="00E33741">
        <w:rPr>
          <w:rFonts w:ascii="Calibri" w:hAnsi="Calibri" w:cs="Calibri"/>
          <w:i/>
          <w:iCs/>
          <w:noProof/>
          <w:szCs w:val="24"/>
          <w:lang w:val="en-US"/>
        </w:rPr>
        <w:t>Langmuir</w:t>
      </w:r>
      <w:r w:rsidRPr="00E33741">
        <w:rPr>
          <w:rFonts w:ascii="Calibri" w:hAnsi="Calibri" w:cs="Calibri"/>
          <w:noProof/>
          <w:szCs w:val="24"/>
          <w:lang w:val="en-US"/>
        </w:rPr>
        <w:t xml:space="preserve"> </w:t>
      </w:r>
      <w:r w:rsidRPr="00E33741">
        <w:rPr>
          <w:rFonts w:ascii="Calibri" w:hAnsi="Calibri" w:cs="Calibri"/>
          <w:b/>
          <w:bCs/>
          <w:noProof/>
          <w:szCs w:val="24"/>
          <w:lang w:val="en-US"/>
        </w:rPr>
        <w:t>8</w:t>
      </w:r>
      <w:r w:rsidRPr="00E33741">
        <w:rPr>
          <w:rFonts w:ascii="Calibri" w:hAnsi="Calibri" w:cs="Calibri"/>
          <w:noProof/>
          <w:szCs w:val="24"/>
          <w:lang w:val="en-US"/>
        </w:rPr>
        <w:t>, 2921–2931 (1992).</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69.</w:t>
      </w:r>
      <w:r w:rsidRPr="00E33741">
        <w:rPr>
          <w:rFonts w:ascii="Calibri" w:hAnsi="Calibri" w:cs="Calibri"/>
          <w:noProof/>
          <w:szCs w:val="24"/>
          <w:lang w:val="en-US"/>
        </w:rPr>
        <w:tab/>
        <w:t>Kraft, D. J. Model Systems for Self-Assembly. (Utrecht University, 2010).</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70.</w:t>
      </w:r>
      <w:r w:rsidRPr="00E33741">
        <w:rPr>
          <w:rFonts w:ascii="Calibri" w:hAnsi="Calibri" w:cs="Calibri"/>
          <w:noProof/>
          <w:szCs w:val="24"/>
          <w:lang w:val="en-US"/>
        </w:rPr>
        <w:tab/>
        <w:t xml:space="preserve">Capek, I. Effect of hydroquínone on the kinetics of emulsion polymerization of butyl acrylate. </w:t>
      </w:r>
      <w:r w:rsidRPr="00E33741">
        <w:rPr>
          <w:rFonts w:ascii="Calibri" w:hAnsi="Calibri" w:cs="Calibri"/>
          <w:i/>
          <w:iCs/>
          <w:noProof/>
          <w:szCs w:val="24"/>
          <w:lang w:val="en-US"/>
        </w:rPr>
        <w:t>chem. Pap.</w:t>
      </w:r>
      <w:r w:rsidRPr="00E33741">
        <w:rPr>
          <w:rFonts w:ascii="Calibri" w:hAnsi="Calibri" w:cs="Calibri"/>
          <w:noProof/>
          <w:szCs w:val="24"/>
          <w:lang w:val="en-US"/>
        </w:rPr>
        <w:t xml:space="preserve"> </w:t>
      </w:r>
      <w:r w:rsidRPr="00E33741">
        <w:rPr>
          <w:rFonts w:ascii="Calibri" w:hAnsi="Calibri" w:cs="Calibri"/>
          <w:b/>
          <w:bCs/>
          <w:noProof/>
          <w:szCs w:val="24"/>
          <w:lang w:val="en-US"/>
        </w:rPr>
        <w:t>43</w:t>
      </w:r>
      <w:r w:rsidRPr="00E33741">
        <w:rPr>
          <w:rFonts w:ascii="Calibri" w:hAnsi="Calibri" w:cs="Calibri"/>
          <w:noProof/>
          <w:szCs w:val="24"/>
          <w:lang w:val="en-US"/>
        </w:rPr>
        <w:t>, 527–535 (1989).</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71.</w:t>
      </w:r>
      <w:r w:rsidRPr="00E33741">
        <w:rPr>
          <w:rFonts w:ascii="Calibri" w:hAnsi="Calibri" w:cs="Calibri"/>
          <w:noProof/>
          <w:szCs w:val="24"/>
          <w:lang w:val="en-US"/>
        </w:rPr>
        <w:tab/>
        <w:t>Thies-Weesie, D. Private Communication.</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72.</w:t>
      </w:r>
      <w:r w:rsidRPr="00E33741">
        <w:rPr>
          <w:rFonts w:ascii="Calibri" w:hAnsi="Calibri" w:cs="Calibri"/>
          <w:noProof/>
          <w:szCs w:val="24"/>
          <w:lang w:val="en-US"/>
        </w:rPr>
        <w:tab/>
        <w:t xml:space="preserve">Lyklema, J. Quest for ion-ion correlations in electric double layers and overcharging phenomena. </w:t>
      </w:r>
      <w:r w:rsidRPr="00E33741">
        <w:rPr>
          <w:rFonts w:ascii="Calibri" w:hAnsi="Calibri" w:cs="Calibri"/>
          <w:i/>
          <w:iCs/>
          <w:noProof/>
          <w:szCs w:val="24"/>
          <w:lang w:val="en-US"/>
        </w:rPr>
        <w:t>Adv. Colloid Interface Sci.</w:t>
      </w:r>
      <w:r w:rsidRPr="00E33741">
        <w:rPr>
          <w:rFonts w:ascii="Calibri" w:hAnsi="Calibri" w:cs="Calibri"/>
          <w:noProof/>
          <w:szCs w:val="24"/>
          <w:lang w:val="en-US"/>
        </w:rPr>
        <w:t xml:space="preserve"> </w:t>
      </w:r>
      <w:r w:rsidRPr="00E33741">
        <w:rPr>
          <w:rFonts w:ascii="Calibri" w:hAnsi="Calibri" w:cs="Calibri"/>
          <w:b/>
          <w:bCs/>
          <w:noProof/>
          <w:szCs w:val="24"/>
          <w:lang w:val="en-US"/>
        </w:rPr>
        <w:t>147</w:t>
      </w:r>
      <w:r w:rsidRPr="00E33741">
        <w:rPr>
          <w:rFonts w:ascii="Calibri" w:hAnsi="Calibri" w:cs="Calibri"/>
          <w:noProof/>
          <w:szCs w:val="24"/>
          <w:lang w:val="en-US"/>
        </w:rPr>
        <w:t>–</w:t>
      </w:r>
      <w:r w:rsidRPr="00E33741">
        <w:rPr>
          <w:rFonts w:ascii="Calibri" w:hAnsi="Calibri" w:cs="Calibri"/>
          <w:b/>
          <w:bCs/>
          <w:noProof/>
          <w:szCs w:val="24"/>
          <w:lang w:val="en-US"/>
        </w:rPr>
        <w:t>148</w:t>
      </w:r>
      <w:r w:rsidRPr="00E33741">
        <w:rPr>
          <w:rFonts w:ascii="Calibri" w:hAnsi="Calibri" w:cs="Calibri"/>
          <w:noProof/>
          <w:szCs w:val="24"/>
          <w:lang w:val="en-US"/>
        </w:rPr>
        <w:t>, 205–213 (2009).</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73.</w:t>
      </w:r>
      <w:r w:rsidRPr="00E33741">
        <w:rPr>
          <w:rFonts w:ascii="Calibri" w:hAnsi="Calibri" w:cs="Calibri"/>
          <w:noProof/>
          <w:szCs w:val="24"/>
          <w:lang w:val="en-US"/>
        </w:rPr>
        <w:tab/>
        <w:t xml:space="preserve">Stefanidis, D. &amp; Jencks, W. P. General Base Catalysis of Ester Hydrolysis. </w:t>
      </w:r>
      <w:r w:rsidRPr="00E33741">
        <w:rPr>
          <w:rFonts w:ascii="Calibri" w:hAnsi="Calibri" w:cs="Calibri"/>
          <w:i/>
          <w:iCs/>
          <w:noProof/>
          <w:szCs w:val="24"/>
          <w:lang w:val="en-US"/>
        </w:rPr>
        <w:t>J. Am. Chem. Soc.</w:t>
      </w:r>
      <w:r w:rsidRPr="00E33741">
        <w:rPr>
          <w:rFonts w:ascii="Calibri" w:hAnsi="Calibri" w:cs="Calibri"/>
          <w:noProof/>
          <w:szCs w:val="24"/>
          <w:lang w:val="en-US"/>
        </w:rPr>
        <w:t xml:space="preserve"> </w:t>
      </w:r>
      <w:r w:rsidRPr="00E33741">
        <w:rPr>
          <w:rFonts w:ascii="Calibri" w:hAnsi="Calibri" w:cs="Calibri"/>
          <w:b/>
          <w:bCs/>
          <w:noProof/>
          <w:szCs w:val="24"/>
          <w:lang w:val="en-US"/>
        </w:rPr>
        <w:t>115</w:t>
      </w:r>
      <w:r w:rsidRPr="00E33741">
        <w:rPr>
          <w:rFonts w:ascii="Calibri" w:hAnsi="Calibri" w:cs="Calibri"/>
          <w:noProof/>
          <w:szCs w:val="24"/>
          <w:lang w:val="en-US"/>
        </w:rPr>
        <w:t>, 6045–6050 (1993).</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74.</w:t>
      </w:r>
      <w:r w:rsidRPr="00E33741">
        <w:rPr>
          <w:rFonts w:ascii="Calibri" w:hAnsi="Calibri" w:cs="Calibri"/>
          <w:noProof/>
          <w:szCs w:val="24"/>
          <w:lang w:val="en-US"/>
        </w:rPr>
        <w:tab/>
        <w:t>Guo, Y. Self-Assembly of Colloidal Spheres into One, Two and Three Dimensional Structures. (Utrecht University, 2017).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75.</w:t>
      </w:r>
      <w:r w:rsidRPr="00E33741">
        <w:rPr>
          <w:rFonts w:ascii="Calibri" w:hAnsi="Calibri" w:cs="Calibri"/>
          <w:noProof/>
          <w:szCs w:val="24"/>
          <w:lang w:val="en-US"/>
        </w:rPr>
        <w:tab/>
        <w:t xml:space="preserve">Iler, R. K. Apparant High Solubility at High pH. in </w:t>
      </w:r>
      <w:r w:rsidRPr="00E33741">
        <w:rPr>
          <w:rFonts w:ascii="Calibri" w:hAnsi="Calibri" w:cs="Calibri"/>
          <w:i/>
          <w:iCs/>
          <w:noProof/>
          <w:szCs w:val="24"/>
          <w:lang w:val="en-US"/>
        </w:rPr>
        <w:t>The Chemistry of Silica</w:t>
      </w:r>
      <w:r w:rsidRPr="00E33741">
        <w:rPr>
          <w:rFonts w:ascii="Calibri" w:hAnsi="Calibri" w:cs="Calibri"/>
          <w:noProof/>
          <w:szCs w:val="24"/>
          <w:lang w:val="en-US"/>
        </w:rPr>
        <w:t xml:space="preserve"> 47 (John Wiley and Sons, 1978).</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76.</w:t>
      </w:r>
      <w:r w:rsidRPr="00E33741">
        <w:rPr>
          <w:rFonts w:ascii="Calibri" w:hAnsi="Calibri" w:cs="Calibri"/>
          <w:noProof/>
          <w:szCs w:val="24"/>
          <w:lang w:val="en-US"/>
        </w:rPr>
        <w:tab/>
        <w:t xml:space="preserve">Mohanty, P. S., Kesavamoorthy, R., Matsumoto, K., Matsuoka, H. &amp; Venkatesan, K. A. Synthesis and characterization of charged polystyrene-acrylic acid latex particles. </w:t>
      </w:r>
      <w:r w:rsidRPr="00E33741">
        <w:rPr>
          <w:rFonts w:ascii="Calibri" w:hAnsi="Calibri" w:cs="Calibri"/>
          <w:i/>
          <w:iCs/>
          <w:noProof/>
          <w:szCs w:val="24"/>
          <w:lang w:val="en-US"/>
        </w:rPr>
        <w:t>Langmuir</w:t>
      </w:r>
      <w:r w:rsidRPr="00E33741">
        <w:rPr>
          <w:rFonts w:ascii="Calibri" w:hAnsi="Calibri" w:cs="Calibri"/>
          <w:noProof/>
          <w:szCs w:val="24"/>
          <w:lang w:val="en-US"/>
        </w:rPr>
        <w:t xml:space="preserve"> </w:t>
      </w:r>
      <w:r w:rsidRPr="00E33741">
        <w:rPr>
          <w:rFonts w:ascii="Calibri" w:hAnsi="Calibri" w:cs="Calibri"/>
          <w:b/>
          <w:bCs/>
          <w:noProof/>
          <w:szCs w:val="24"/>
          <w:lang w:val="en-US"/>
        </w:rPr>
        <w:t>22</w:t>
      </w:r>
      <w:r w:rsidRPr="00E33741">
        <w:rPr>
          <w:rFonts w:ascii="Calibri" w:hAnsi="Calibri" w:cs="Calibri"/>
          <w:noProof/>
          <w:szCs w:val="24"/>
          <w:lang w:val="en-US"/>
        </w:rPr>
        <w:t>, 4552–4557 (2006).</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lastRenderedPageBreak/>
        <w:t>77.</w:t>
      </w:r>
      <w:r w:rsidRPr="00E33741">
        <w:rPr>
          <w:rFonts w:ascii="Calibri" w:hAnsi="Calibri" w:cs="Calibri"/>
          <w:noProof/>
          <w:szCs w:val="24"/>
          <w:lang w:val="en-US"/>
        </w:rPr>
        <w:tab/>
        <w:t xml:space="preserve">Amalvy, J. I. </w:t>
      </w:r>
      <w:r w:rsidRPr="00E33741">
        <w:rPr>
          <w:rFonts w:ascii="Calibri" w:hAnsi="Calibri" w:cs="Calibri"/>
          <w:i/>
          <w:iCs/>
          <w:noProof/>
          <w:szCs w:val="24"/>
          <w:lang w:val="en-US"/>
        </w:rPr>
        <w:t>et al.</w:t>
      </w:r>
      <w:r w:rsidRPr="00E33741">
        <w:rPr>
          <w:rFonts w:ascii="Calibri" w:hAnsi="Calibri" w:cs="Calibri"/>
          <w:noProof/>
          <w:szCs w:val="24"/>
          <w:lang w:val="en-US"/>
        </w:rPr>
        <w:t xml:space="preserve"> Synthesis and characterization of novel pH-responsive microgels based on tertiary amine methacrylates. </w:t>
      </w:r>
      <w:r w:rsidRPr="00E33741">
        <w:rPr>
          <w:rFonts w:ascii="Calibri" w:hAnsi="Calibri" w:cs="Calibri"/>
          <w:i/>
          <w:iCs/>
          <w:noProof/>
          <w:szCs w:val="24"/>
          <w:lang w:val="en-US"/>
        </w:rPr>
        <w:t>Langmuir</w:t>
      </w:r>
      <w:r w:rsidRPr="00E33741">
        <w:rPr>
          <w:rFonts w:ascii="Calibri" w:hAnsi="Calibri" w:cs="Calibri"/>
          <w:noProof/>
          <w:szCs w:val="24"/>
          <w:lang w:val="en-US"/>
        </w:rPr>
        <w:t xml:space="preserve"> </w:t>
      </w:r>
      <w:r w:rsidRPr="00E33741">
        <w:rPr>
          <w:rFonts w:ascii="Calibri" w:hAnsi="Calibri" w:cs="Calibri"/>
          <w:b/>
          <w:bCs/>
          <w:noProof/>
          <w:szCs w:val="24"/>
          <w:lang w:val="en-US"/>
        </w:rPr>
        <w:t>20</w:t>
      </w:r>
      <w:r w:rsidRPr="00E33741">
        <w:rPr>
          <w:rFonts w:ascii="Calibri" w:hAnsi="Calibri" w:cs="Calibri"/>
          <w:noProof/>
          <w:szCs w:val="24"/>
          <w:lang w:val="en-US"/>
        </w:rPr>
        <w:t>, 8992–8999 (2004).</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78.</w:t>
      </w:r>
      <w:r w:rsidRPr="00E33741">
        <w:rPr>
          <w:rFonts w:ascii="Calibri" w:hAnsi="Calibri" w:cs="Calibri"/>
          <w:noProof/>
          <w:szCs w:val="24"/>
          <w:lang w:val="en-US"/>
        </w:rPr>
        <w:tab/>
        <w:t xml:space="preserve">Rossotti, F.J.C.; Rossotti, H. </w:t>
      </w:r>
      <w:r w:rsidRPr="00E33741">
        <w:rPr>
          <w:rFonts w:ascii="Calibri" w:hAnsi="Calibri" w:cs="Calibri"/>
          <w:i/>
          <w:iCs/>
          <w:noProof/>
          <w:szCs w:val="24"/>
          <w:lang w:val="en-US"/>
        </w:rPr>
        <w:t>Determination of Stability Constants</w:t>
      </w:r>
      <w:r w:rsidRPr="00E33741">
        <w:rPr>
          <w:rFonts w:ascii="Calibri" w:hAnsi="Calibri" w:cs="Calibri"/>
          <w:noProof/>
          <w:szCs w:val="24"/>
          <w:lang w:val="en-US"/>
        </w:rPr>
        <w:t>. (McGraw-Hill, 1961).</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79.</w:t>
      </w:r>
      <w:r w:rsidRPr="00E33741">
        <w:rPr>
          <w:rFonts w:ascii="Calibri" w:hAnsi="Calibri" w:cs="Calibri"/>
          <w:noProof/>
          <w:szCs w:val="24"/>
          <w:lang w:val="en-US"/>
        </w:rPr>
        <w:tab/>
        <w:t xml:space="preserve">Witt, J. A., Mumm, D. R. &amp; Mohraz, A. Bijel reinforcement by droplet bridging: A route to bicontinuous materials with large domains. </w:t>
      </w:r>
      <w:r w:rsidRPr="00E33741">
        <w:rPr>
          <w:rFonts w:ascii="Calibri" w:hAnsi="Calibri" w:cs="Calibri"/>
          <w:i/>
          <w:iCs/>
          <w:noProof/>
          <w:szCs w:val="24"/>
          <w:lang w:val="en-US"/>
        </w:rPr>
        <w:t>Soft Matter</w:t>
      </w:r>
      <w:r w:rsidRPr="00E33741">
        <w:rPr>
          <w:rFonts w:ascii="Calibri" w:hAnsi="Calibri" w:cs="Calibri"/>
          <w:noProof/>
          <w:szCs w:val="24"/>
          <w:lang w:val="en-US"/>
        </w:rPr>
        <w:t xml:space="preserve"> </w:t>
      </w:r>
      <w:r w:rsidRPr="00E33741">
        <w:rPr>
          <w:rFonts w:ascii="Calibri" w:hAnsi="Calibri" w:cs="Calibri"/>
          <w:b/>
          <w:bCs/>
          <w:noProof/>
          <w:szCs w:val="24"/>
          <w:lang w:val="en-US"/>
        </w:rPr>
        <w:t>9</w:t>
      </w:r>
      <w:r w:rsidRPr="00E33741">
        <w:rPr>
          <w:rFonts w:ascii="Calibri" w:hAnsi="Calibri" w:cs="Calibri"/>
          <w:noProof/>
          <w:szCs w:val="24"/>
          <w:lang w:val="en-US"/>
        </w:rPr>
        <w:t>, 6773–6780 (2013).</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80.</w:t>
      </w:r>
      <w:r w:rsidRPr="00E33741">
        <w:rPr>
          <w:rFonts w:ascii="Calibri" w:hAnsi="Calibri" w:cs="Calibri"/>
          <w:noProof/>
          <w:szCs w:val="24"/>
          <w:lang w:val="en-US"/>
        </w:rPr>
        <w:tab/>
        <w:t xml:space="preserve">Page, A., Perry, D. &amp; Unwin, P. R. Multifunctional scanning ion conductance microscopy. </w:t>
      </w:r>
      <w:r w:rsidRPr="00E33741">
        <w:rPr>
          <w:rFonts w:ascii="Calibri" w:hAnsi="Calibri" w:cs="Calibri"/>
          <w:i/>
          <w:iCs/>
          <w:noProof/>
          <w:szCs w:val="24"/>
          <w:lang w:val="en-US"/>
        </w:rPr>
        <w:t>Proc. R. Soc. A Math. Phys. Eng. Sci.</w:t>
      </w:r>
      <w:r w:rsidRPr="00E33741">
        <w:rPr>
          <w:rFonts w:ascii="Calibri" w:hAnsi="Calibri" w:cs="Calibri"/>
          <w:noProof/>
          <w:szCs w:val="24"/>
          <w:lang w:val="en-US"/>
        </w:rPr>
        <w:t xml:space="preserve"> </w:t>
      </w:r>
      <w:r w:rsidRPr="00E33741">
        <w:rPr>
          <w:rFonts w:ascii="Calibri" w:hAnsi="Calibri" w:cs="Calibri"/>
          <w:b/>
          <w:bCs/>
          <w:noProof/>
          <w:szCs w:val="24"/>
          <w:lang w:val="en-US"/>
        </w:rPr>
        <w:t>473</w:t>
      </w:r>
      <w:r w:rsidRPr="00E33741">
        <w:rPr>
          <w:rFonts w:ascii="Calibri" w:hAnsi="Calibri" w:cs="Calibri"/>
          <w:noProof/>
          <w:szCs w:val="24"/>
          <w:lang w:val="en-US"/>
        </w:rPr>
        <w:t>, (2017).</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81.</w:t>
      </w:r>
      <w:r w:rsidRPr="00E33741">
        <w:rPr>
          <w:rFonts w:ascii="Calibri" w:hAnsi="Calibri" w:cs="Calibri"/>
          <w:noProof/>
          <w:szCs w:val="24"/>
          <w:lang w:val="en-US"/>
        </w:rPr>
        <w:tab/>
        <w:t xml:space="preserve">Jouyban, A., Soltanpour, S. &amp; Chan, H. K. A simple relationship between dielectric constant of mixed solvents with solvent composition and temperature. </w:t>
      </w:r>
      <w:r w:rsidRPr="00E33741">
        <w:rPr>
          <w:rFonts w:ascii="Calibri" w:hAnsi="Calibri" w:cs="Calibri"/>
          <w:i/>
          <w:iCs/>
          <w:noProof/>
          <w:szCs w:val="24"/>
          <w:lang w:val="en-US"/>
        </w:rPr>
        <w:t>Int. J. Pharm.</w:t>
      </w:r>
      <w:r w:rsidRPr="00E33741">
        <w:rPr>
          <w:rFonts w:ascii="Calibri" w:hAnsi="Calibri" w:cs="Calibri"/>
          <w:noProof/>
          <w:szCs w:val="24"/>
          <w:lang w:val="en-US"/>
        </w:rPr>
        <w:t xml:space="preserve"> </w:t>
      </w:r>
      <w:r w:rsidRPr="00E33741">
        <w:rPr>
          <w:rFonts w:ascii="Calibri" w:hAnsi="Calibri" w:cs="Calibri"/>
          <w:b/>
          <w:bCs/>
          <w:noProof/>
          <w:szCs w:val="24"/>
          <w:lang w:val="en-US"/>
        </w:rPr>
        <w:t>269</w:t>
      </w:r>
      <w:r w:rsidRPr="00E33741">
        <w:rPr>
          <w:rFonts w:ascii="Calibri" w:hAnsi="Calibri" w:cs="Calibri"/>
          <w:noProof/>
          <w:szCs w:val="24"/>
          <w:lang w:val="en-US"/>
        </w:rPr>
        <w:t>, 353–360 (2004).</w:t>
      </w:r>
    </w:p>
    <w:p w:rsidR="00FB6101" w:rsidRPr="00E33741" w:rsidRDefault="00FB6101" w:rsidP="00FB6101">
      <w:pPr>
        <w:widowControl w:val="0"/>
        <w:autoSpaceDE w:val="0"/>
        <w:autoSpaceDN w:val="0"/>
        <w:adjustRightInd w:val="0"/>
        <w:spacing w:line="240" w:lineRule="auto"/>
        <w:ind w:left="640" w:hanging="640"/>
        <w:rPr>
          <w:rFonts w:ascii="Calibri" w:hAnsi="Calibri" w:cs="Calibri"/>
          <w:noProof/>
          <w:szCs w:val="24"/>
          <w:lang w:val="en-US"/>
        </w:rPr>
      </w:pPr>
      <w:r w:rsidRPr="00E33741">
        <w:rPr>
          <w:rFonts w:ascii="Calibri" w:hAnsi="Calibri" w:cs="Calibri"/>
          <w:noProof/>
          <w:szCs w:val="24"/>
          <w:lang w:val="en-US"/>
        </w:rPr>
        <w:t>82.</w:t>
      </w:r>
      <w:r w:rsidRPr="00E33741">
        <w:rPr>
          <w:rFonts w:ascii="Calibri" w:hAnsi="Calibri" w:cs="Calibri"/>
          <w:noProof/>
          <w:szCs w:val="24"/>
          <w:lang w:val="en-US"/>
        </w:rPr>
        <w:tab/>
        <w:t xml:space="preserve">Billaud, G. &amp; Demortier, A. Dielectric constant of liquid ammonia from -35 to +50°C and its influence on the association between solvated electrons and cation. </w:t>
      </w:r>
      <w:r w:rsidRPr="00E33741">
        <w:rPr>
          <w:rFonts w:ascii="Calibri" w:hAnsi="Calibri" w:cs="Calibri"/>
          <w:i/>
          <w:iCs/>
          <w:noProof/>
          <w:szCs w:val="24"/>
          <w:lang w:val="en-US"/>
        </w:rPr>
        <w:t>J. Phys. Chem.</w:t>
      </w:r>
      <w:r w:rsidRPr="00E33741">
        <w:rPr>
          <w:rFonts w:ascii="Calibri" w:hAnsi="Calibri" w:cs="Calibri"/>
          <w:noProof/>
          <w:szCs w:val="24"/>
          <w:lang w:val="en-US"/>
        </w:rPr>
        <w:t xml:space="preserve"> </w:t>
      </w:r>
      <w:r w:rsidRPr="00E33741">
        <w:rPr>
          <w:rFonts w:ascii="Calibri" w:hAnsi="Calibri" w:cs="Calibri"/>
          <w:b/>
          <w:bCs/>
          <w:noProof/>
          <w:szCs w:val="24"/>
          <w:lang w:val="en-US"/>
        </w:rPr>
        <w:t>79</w:t>
      </w:r>
      <w:r w:rsidRPr="00E33741">
        <w:rPr>
          <w:rFonts w:ascii="Calibri" w:hAnsi="Calibri" w:cs="Calibri"/>
          <w:noProof/>
          <w:szCs w:val="24"/>
          <w:lang w:val="en-US"/>
        </w:rPr>
        <w:t>, 3053–3055 (1975).</w:t>
      </w:r>
    </w:p>
    <w:p w:rsidR="00FB6101" w:rsidRPr="00FB6101" w:rsidRDefault="00FB6101" w:rsidP="00FB6101">
      <w:pPr>
        <w:widowControl w:val="0"/>
        <w:autoSpaceDE w:val="0"/>
        <w:autoSpaceDN w:val="0"/>
        <w:adjustRightInd w:val="0"/>
        <w:spacing w:line="240" w:lineRule="auto"/>
        <w:ind w:left="640" w:hanging="640"/>
        <w:rPr>
          <w:rFonts w:ascii="Calibri" w:hAnsi="Calibri" w:cs="Calibri"/>
          <w:noProof/>
        </w:rPr>
      </w:pPr>
      <w:r w:rsidRPr="00E33741">
        <w:rPr>
          <w:rFonts w:ascii="Calibri" w:hAnsi="Calibri" w:cs="Calibri"/>
          <w:noProof/>
          <w:szCs w:val="24"/>
          <w:lang w:val="en-US"/>
        </w:rPr>
        <w:t>83.</w:t>
      </w:r>
      <w:r w:rsidRPr="00E33741">
        <w:rPr>
          <w:rFonts w:ascii="Calibri" w:hAnsi="Calibri" w:cs="Calibri"/>
          <w:noProof/>
          <w:szCs w:val="24"/>
          <w:lang w:val="en-US"/>
        </w:rPr>
        <w:tab/>
        <w:t xml:space="preserve">Mohsen-Nia, M., Amiri, H. &amp; Jazi, B. Dielectric constants of water, methanol, ethanol, butanol and acetone: Measurement and computational study. </w:t>
      </w:r>
      <w:r w:rsidRPr="00FB6101">
        <w:rPr>
          <w:rFonts w:ascii="Calibri" w:hAnsi="Calibri" w:cs="Calibri"/>
          <w:i/>
          <w:iCs/>
          <w:noProof/>
          <w:szCs w:val="24"/>
        </w:rPr>
        <w:t>J. Solution Chem.</w:t>
      </w:r>
      <w:r w:rsidRPr="00FB6101">
        <w:rPr>
          <w:rFonts w:ascii="Calibri" w:hAnsi="Calibri" w:cs="Calibri"/>
          <w:noProof/>
          <w:szCs w:val="24"/>
        </w:rPr>
        <w:t xml:space="preserve"> </w:t>
      </w:r>
      <w:r w:rsidRPr="00FB6101">
        <w:rPr>
          <w:rFonts w:ascii="Calibri" w:hAnsi="Calibri" w:cs="Calibri"/>
          <w:b/>
          <w:bCs/>
          <w:noProof/>
          <w:szCs w:val="24"/>
        </w:rPr>
        <w:t>39</w:t>
      </w:r>
      <w:r w:rsidRPr="00FB6101">
        <w:rPr>
          <w:rFonts w:ascii="Calibri" w:hAnsi="Calibri" w:cs="Calibri"/>
          <w:noProof/>
          <w:szCs w:val="24"/>
        </w:rPr>
        <w:t>, 701–708 (2010).</w:t>
      </w:r>
    </w:p>
    <w:p w:rsidR="00E74C8E" w:rsidRDefault="00E74C8E" w:rsidP="00FC7A2B">
      <w:pPr>
        <w:spacing w:line="240" w:lineRule="auto"/>
        <w:rPr>
          <w:rStyle w:val="SubtleEmphasis"/>
          <w:i w:val="0"/>
          <w:lang w:val="en-US"/>
        </w:rPr>
      </w:pPr>
      <w:r w:rsidRPr="0069618E">
        <w:rPr>
          <w:lang w:val="en-US"/>
        </w:rPr>
        <w:fldChar w:fldCharType="end"/>
      </w:r>
    </w:p>
    <w:sectPr w:rsidR="00E74C8E" w:rsidSect="00A26AB1">
      <w:footerReference w:type="default" r:id="rId78"/>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05BD" w:rsidRDefault="00ED05BD" w:rsidP="00D07486">
      <w:pPr>
        <w:spacing w:after="0" w:line="240" w:lineRule="auto"/>
      </w:pPr>
      <w:r>
        <w:separator/>
      </w:r>
    </w:p>
  </w:endnote>
  <w:endnote w:type="continuationSeparator" w:id="0">
    <w:p w:rsidR="00ED05BD" w:rsidRDefault="00ED05BD" w:rsidP="00D07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980067"/>
      <w:docPartObj>
        <w:docPartGallery w:val="Page Numbers (Bottom of Page)"/>
        <w:docPartUnique/>
      </w:docPartObj>
    </w:sdtPr>
    <w:sdtEndPr>
      <w:rPr>
        <w:noProof/>
      </w:rPr>
    </w:sdtEndPr>
    <w:sdtContent>
      <w:p w:rsidR="00ED05BD" w:rsidRDefault="00ED05B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D05BD" w:rsidRDefault="00ED0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05BD" w:rsidRDefault="00ED05BD" w:rsidP="00D07486">
      <w:pPr>
        <w:spacing w:after="0" w:line="240" w:lineRule="auto"/>
      </w:pPr>
      <w:r>
        <w:separator/>
      </w:r>
    </w:p>
  </w:footnote>
  <w:footnote w:type="continuationSeparator" w:id="0">
    <w:p w:rsidR="00ED05BD" w:rsidRDefault="00ED05BD" w:rsidP="00D074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515E3"/>
    <w:multiLevelType w:val="hybridMultilevel"/>
    <w:tmpl w:val="B3BCD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41278C"/>
    <w:multiLevelType w:val="multilevel"/>
    <w:tmpl w:val="03D66698"/>
    <w:lvl w:ilvl="0">
      <w:start w:val="1"/>
      <w:numFmt w:val="decimal"/>
      <w:lvlText w:val="%1."/>
      <w:lvlJc w:val="left"/>
      <w:pPr>
        <w:ind w:left="720" w:hanging="360"/>
      </w:pPr>
      <w:rPr>
        <w:rFonts w:hint="default"/>
        <w:b/>
        <w:bCs/>
        <w:color w:val="auto"/>
      </w:rPr>
    </w:lvl>
    <w:lvl w:ilvl="1">
      <w:start w:val="1"/>
      <w:numFmt w:val="decimal"/>
      <w:isLgl/>
      <w:lvlText w:val="%1.%2."/>
      <w:lvlJc w:val="left"/>
      <w:pPr>
        <w:ind w:left="900" w:hanging="540"/>
      </w:pPr>
      <w:rPr>
        <w:rFonts w:hint="default"/>
        <w:b/>
        <w:i w:val="0"/>
        <w:color w:val="auto"/>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5A35A6B"/>
    <w:multiLevelType w:val="hybridMultilevel"/>
    <w:tmpl w:val="2C3C7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103C51"/>
    <w:multiLevelType w:val="hybridMultilevel"/>
    <w:tmpl w:val="F562621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40E26EFD"/>
    <w:multiLevelType w:val="hybridMultilevel"/>
    <w:tmpl w:val="454CC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0"/>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8E"/>
    <w:rsid w:val="00000519"/>
    <w:rsid w:val="00001E4D"/>
    <w:rsid w:val="00017063"/>
    <w:rsid w:val="000265A1"/>
    <w:rsid w:val="00030E43"/>
    <w:rsid w:val="00032F33"/>
    <w:rsid w:val="00033EC4"/>
    <w:rsid w:val="00036224"/>
    <w:rsid w:val="00051D40"/>
    <w:rsid w:val="00064A40"/>
    <w:rsid w:val="00084959"/>
    <w:rsid w:val="00094F52"/>
    <w:rsid w:val="0009623F"/>
    <w:rsid w:val="000A2756"/>
    <w:rsid w:val="000A5E2E"/>
    <w:rsid w:val="000B036C"/>
    <w:rsid w:val="000C1C03"/>
    <w:rsid w:val="000C3E53"/>
    <w:rsid w:val="000D0D26"/>
    <w:rsid w:val="000D3429"/>
    <w:rsid w:val="000E08F3"/>
    <w:rsid w:val="000E2117"/>
    <w:rsid w:val="000E62D8"/>
    <w:rsid w:val="000F4FAE"/>
    <w:rsid w:val="000F6427"/>
    <w:rsid w:val="00117484"/>
    <w:rsid w:val="00121DFF"/>
    <w:rsid w:val="001231D9"/>
    <w:rsid w:val="0012395A"/>
    <w:rsid w:val="00124F79"/>
    <w:rsid w:val="00125732"/>
    <w:rsid w:val="001263DC"/>
    <w:rsid w:val="00131A8D"/>
    <w:rsid w:val="001406FA"/>
    <w:rsid w:val="001416B3"/>
    <w:rsid w:val="001416F6"/>
    <w:rsid w:val="00156BA4"/>
    <w:rsid w:val="00157F47"/>
    <w:rsid w:val="00167472"/>
    <w:rsid w:val="00176A60"/>
    <w:rsid w:val="001A2CB0"/>
    <w:rsid w:val="001C5CFB"/>
    <w:rsid w:val="001E37DF"/>
    <w:rsid w:val="001E3CD9"/>
    <w:rsid w:val="0020133C"/>
    <w:rsid w:val="00201FFA"/>
    <w:rsid w:val="002056C6"/>
    <w:rsid w:val="00210359"/>
    <w:rsid w:val="00211CA6"/>
    <w:rsid w:val="00213D07"/>
    <w:rsid w:val="002236C5"/>
    <w:rsid w:val="002273CC"/>
    <w:rsid w:val="00241DD5"/>
    <w:rsid w:val="002508EA"/>
    <w:rsid w:val="00252220"/>
    <w:rsid w:val="002637E3"/>
    <w:rsid w:val="00272647"/>
    <w:rsid w:val="002907DF"/>
    <w:rsid w:val="00294D74"/>
    <w:rsid w:val="0029754E"/>
    <w:rsid w:val="002975D5"/>
    <w:rsid w:val="002A253A"/>
    <w:rsid w:val="002B2948"/>
    <w:rsid w:val="002B2FE6"/>
    <w:rsid w:val="002C2D25"/>
    <w:rsid w:val="002D2B62"/>
    <w:rsid w:val="002D3CAE"/>
    <w:rsid w:val="002E0306"/>
    <w:rsid w:val="002E3316"/>
    <w:rsid w:val="002E3CA4"/>
    <w:rsid w:val="002E524A"/>
    <w:rsid w:val="002F20EC"/>
    <w:rsid w:val="00300637"/>
    <w:rsid w:val="00302DE1"/>
    <w:rsid w:val="003210F5"/>
    <w:rsid w:val="00327F66"/>
    <w:rsid w:val="00334BF0"/>
    <w:rsid w:val="00335E5B"/>
    <w:rsid w:val="00337884"/>
    <w:rsid w:val="00340244"/>
    <w:rsid w:val="0036093D"/>
    <w:rsid w:val="00364C1F"/>
    <w:rsid w:val="00370DE3"/>
    <w:rsid w:val="00381325"/>
    <w:rsid w:val="00382E0F"/>
    <w:rsid w:val="00383DBB"/>
    <w:rsid w:val="003876E9"/>
    <w:rsid w:val="00395710"/>
    <w:rsid w:val="003A556A"/>
    <w:rsid w:val="003A6C75"/>
    <w:rsid w:val="003A7D17"/>
    <w:rsid w:val="003B4577"/>
    <w:rsid w:val="003D39C3"/>
    <w:rsid w:val="003D71E6"/>
    <w:rsid w:val="003E1DA1"/>
    <w:rsid w:val="003E1E89"/>
    <w:rsid w:val="003E27E0"/>
    <w:rsid w:val="003F3848"/>
    <w:rsid w:val="003F47BC"/>
    <w:rsid w:val="00403BBD"/>
    <w:rsid w:val="004146CF"/>
    <w:rsid w:val="00434B02"/>
    <w:rsid w:val="00443CE0"/>
    <w:rsid w:val="00444D4D"/>
    <w:rsid w:val="00447D58"/>
    <w:rsid w:val="00475DE1"/>
    <w:rsid w:val="004831A6"/>
    <w:rsid w:val="00487567"/>
    <w:rsid w:val="004B0154"/>
    <w:rsid w:val="004C229B"/>
    <w:rsid w:val="004C4248"/>
    <w:rsid w:val="004E4284"/>
    <w:rsid w:val="004F000A"/>
    <w:rsid w:val="004F00D3"/>
    <w:rsid w:val="004F00F9"/>
    <w:rsid w:val="004F172D"/>
    <w:rsid w:val="00500207"/>
    <w:rsid w:val="00503BEC"/>
    <w:rsid w:val="005271D6"/>
    <w:rsid w:val="00541751"/>
    <w:rsid w:val="00554F81"/>
    <w:rsid w:val="005630B3"/>
    <w:rsid w:val="00577625"/>
    <w:rsid w:val="0059237E"/>
    <w:rsid w:val="00596AA8"/>
    <w:rsid w:val="005A20E7"/>
    <w:rsid w:val="005A3A5A"/>
    <w:rsid w:val="005A73CE"/>
    <w:rsid w:val="005D00CE"/>
    <w:rsid w:val="005E01EE"/>
    <w:rsid w:val="005E1324"/>
    <w:rsid w:val="005E4A14"/>
    <w:rsid w:val="005F77FF"/>
    <w:rsid w:val="00615846"/>
    <w:rsid w:val="00626814"/>
    <w:rsid w:val="00642219"/>
    <w:rsid w:val="0065031C"/>
    <w:rsid w:val="00651285"/>
    <w:rsid w:val="00654822"/>
    <w:rsid w:val="0066495C"/>
    <w:rsid w:val="0066726E"/>
    <w:rsid w:val="00675AD5"/>
    <w:rsid w:val="0068149C"/>
    <w:rsid w:val="0068611F"/>
    <w:rsid w:val="00691B92"/>
    <w:rsid w:val="0069618E"/>
    <w:rsid w:val="006A37A1"/>
    <w:rsid w:val="006A60B9"/>
    <w:rsid w:val="006B30D1"/>
    <w:rsid w:val="006C4C99"/>
    <w:rsid w:val="006C637D"/>
    <w:rsid w:val="006D4425"/>
    <w:rsid w:val="007034AB"/>
    <w:rsid w:val="007141CE"/>
    <w:rsid w:val="0071510E"/>
    <w:rsid w:val="00726196"/>
    <w:rsid w:val="00730438"/>
    <w:rsid w:val="00754346"/>
    <w:rsid w:val="00755273"/>
    <w:rsid w:val="0076244E"/>
    <w:rsid w:val="00763002"/>
    <w:rsid w:val="00765FDF"/>
    <w:rsid w:val="007669D6"/>
    <w:rsid w:val="00767BE6"/>
    <w:rsid w:val="00772F61"/>
    <w:rsid w:val="00775982"/>
    <w:rsid w:val="0077793E"/>
    <w:rsid w:val="00787B66"/>
    <w:rsid w:val="00791512"/>
    <w:rsid w:val="0079376C"/>
    <w:rsid w:val="007A69F8"/>
    <w:rsid w:val="007C4250"/>
    <w:rsid w:val="007C52D1"/>
    <w:rsid w:val="007C56D1"/>
    <w:rsid w:val="007C6D98"/>
    <w:rsid w:val="007D780D"/>
    <w:rsid w:val="007E6F56"/>
    <w:rsid w:val="007F43C1"/>
    <w:rsid w:val="00802085"/>
    <w:rsid w:val="008024FB"/>
    <w:rsid w:val="00810920"/>
    <w:rsid w:val="008131B7"/>
    <w:rsid w:val="00813CCC"/>
    <w:rsid w:val="00830980"/>
    <w:rsid w:val="00832844"/>
    <w:rsid w:val="00836D4D"/>
    <w:rsid w:val="00851964"/>
    <w:rsid w:val="00852187"/>
    <w:rsid w:val="00863680"/>
    <w:rsid w:val="008711F2"/>
    <w:rsid w:val="008847EA"/>
    <w:rsid w:val="00884EE9"/>
    <w:rsid w:val="00890227"/>
    <w:rsid w:val="008B0CBB"/>
    <w:rsid w:val="008B0D30"/>
    <w:rsid w:val="008D44E1"/>
    <w:rsid w:val="008D496E"/>
    <w:rsid w:val="008E50BF"/>
    <w:rsid w:val="008E5272"/>
    <w:rsid w:val="008F0F87"/>
    <w:rsid w:val="00916ED3"/>
    <w:rsid w:val="00925A33"/>
    <w:rsid w:val="0093383A"/>
    <w:rsid w:val="009571F0"/>
    <w:rsid w:val="009623AB"/>
    <w:rsid w:val="00972856"/>
    <w:rsid w:val="009739D1"/>
    <w:rsid w:val="0097700F"/>
    <w:rsid w:val="009879B7"/>
    <w:rsid w:val="009F752D"/>
    <w:rsid w:val="00A04E9D"/>
    <w:rsid w:val="00A16B44"/>
    <w:rsid w:val="00A223A8"/>
    <w:rsid w:val="00A26AB1"/>
    <w:rsid w:val="00A32FE8"/>
    <w:rsid w:val="00A350C8"/>
    <w:rsid w:val="00A40284"/>
    <w:rsid w:val="00A41569"/>
    <w:rsid w:val="00A61B9A"/>
    <w:rsid w:val="00A6605C"/>
    <w:rsid w:val="00A7317C"/>
    <w:rsid w:val="00A746EB"/>
    <w:rsid w:val="00A75858"/>
    <w:rsid w:val="00A80F7C"/>
    <w:rsid w:val="00A87770"/>
    <w:rsid w:val="00A94C06"/>
    <w:rsid w:val="00AA614C"/>
    <w:rsid w:val="00AB63F8"/>
    <w:rsid w:val="00AC2540"/>
    <w:rsid w:val="00AD4F94"/>
    <w:rsid w:val="00AD6F1D"/>
    <w:rsid w:val="00AF58E5"/>
    <w:rsid w:val="00B01945"/>
    <w:rsid w:val="00B400C7"/>
    <w:rsid w:val="00B43F0A"/>
    <w:rsid w:val="00B515BF"/>
    <w:rsid w:val="00B61FD2"/>
    <w:rsid w:val="00B63C76"/>
    <w:rsid w:val="00B71D21"/>
    <w:rsid w:val="00B74C12"/>
    <w:rsid w:val="00B81CD8"/>
    <w:rsid w:val="00B8333A"/>
    <w:rsid w:val="00B86972"/>
    <w:rsid w:val="00BA64A2"/>
    <w:rsid w:val="00BC1BCB"/>
    <w:rsid w:val="00BC69AE"/>
    <w:rsid w:val="00BE40FA"/>
    <w:rsid w:val="00BE6B43"/>
    <w:rsid w:val="00BF0056"/>
    <w:rsid w:val="00BF28AF"/>
    <w:rsid w:val="00C00C63"/>
    <w:rsid w:val="00C11F2B"/>
    <w:rsid w:val="00C2106A"/>
    <w:rsid w:val="00C21CF9"/>
    <w:rsid w:val="00C26ECC"/>
    <w:rsid w:val="00C31DE6"/>
    <w:rsid w:val="00C3272A"/>
    <w:rsid w:val="00C36F17"/>
    <w:rsid w:val="00C50B8C"/>
    <w:rsid w:val="00C52506"/>
    <w:rsid w:val="00C6263A"/>
    <w:rsid w:val="00C634EF"/>
    <w:rsid w:val="00C74B90"/>
    <w:rsid w:val="00C82962"/>
    <w:rsid w:val="00CA0452"/>
    <w:rsid w:val="00CA1BF9"/>
    <w:rsid w:val="00CB6AB9"/>
    <w:rsid w:val="00CD324E"/>
    <w:rsid w:val="00CE0DD8"/>
    <w:rsid w:val="00CF63F9"/>
    <w:rsid w:val="00CF6EE4"/>
    <w:rsid w:val="00D01935"/>
    <w:rsid w:val="00D02547"/>
    <w:rsid w:val="00D07486"/>
    <w:rsid w:val="00D12156"/>
    <w:rsid w:val="00D16077"/>
    <w:rsid w:val="00D20E47"/>
    <w:rsid w:val="00D24DBC"/>
    <w:rsid w:val="00D26361"/>
    <w:rsid w:val="00D466DC"/>
    <w:rsid w:val="00D50CF3"/>
    <w:rsid w:val="00D51979"/>
    <w:rsid w:val="00D52929"/>
    <w:rsid w:val="00D52BBF"/>
    <w:rsid w:val="00D710E2"/>
    <w:rsid w:val="00D84246"/>
    <w:rsid w:val="00D9152B"/>
    <w:rsid w:val="00D92D38"/>
    <w:rsid w:val="00D941C0"/>
    <w:rsid w:val="00D960DC"/>
    <w:rsid w:val="00DA0590"/>
    <w:rsid w:val="00DA2691"/>
    <w:rsid w:val="00DB2F82"/>
    <w:rsid w:val="00DB51D6"/>
    <w:rsid w:val="00DE131C"/>
    <w:rsid w:val="00DE3AB1"/>
    <w:rsid w:val="00DE43E3"/>
    <w:rsid w:val="00DF2300"/>
    <w:rsid w:val="00E02773"/>
    <w:rsid w:val="00E21DA0"/>
    <w:rsid w:val="00E2227F"/>
    <w:rsid w:val="00E33741"/>
    <w:rsid w:val="00E40DF3"/>
    <w:rsid w:val="00E4304F"/>
    <w:rsid w:val="00E434E9"/>
    <w:rsid w:val="00E52082"/>
    <w:rsid w:val="00E5655B"/>
    <w:rsid w:val="00E669C2"/>
    <w:rsid w:val="00E74C8E"/>
    <w:rsid w:val="00E87FD6"/>
    <w:rsid w:val="00E90B22"/>
    <w:rsid w:val="00EA3EAC"/>
    <w:rsid w:val="00EA5E39"/>
    <w:rsid w:val="00EB0409"/>
    <w:rsid w:val="00EB2B37"/>
    <w:rsid w:val="00EB61E6"/>
    <w:rsid w:val="00EB67FE"/>
    <w:rsid w:val="00ED05BD"/>
    <w:rsid w:val="00EF36EB"/>
    <w:rsid w:val="00EF3880"/>
    <w:rsid w:val="00EF4B2F"/>
    <w:rsid w:val="00F06A40"/>
    <w:rsid w:val="00F1504E"/>
    <w:rsid w:val="00F15CF9"/>
    <w:rsid w:val="00F27802"/>
    <w:rsid w:val="00F3572A"/>
    <w:rsid w:val="00F51683"/>
    <w:rsid w:val="00F7788E"/>
    <w:rsid w:val="00F77B0F"/>
    <w:rsid w:val="00F909E3"/>
    <w:rsid w:val="00F977AA"/>
    <w:rsid w:val="00FA64A5"/>
    <w:rsid w:val="00FB53D0"/>
    <w:rsid w:val="00FB6101"/>
    <w:rsid w:val="00FB6467"/>
    <w:rsid w:val="00FB663F"/>
    <w:rsid w:val="00FC1693"/>
    <w:rsid w:val="00FC2795"/>
    <w:rsid w:val="00FC7A2B"/>
    <w:rsid w:val="00FD41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1BC7B997"/>
  <w15:chartTrackingRefBased/>
  <w15:docId w15:val="{5CEE6B09-00B2-447D-B1C2-4DA63421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74C8E"/>
    <w:pPr>
      <w:spacing w:after="200" w:line="276" w:lineRule="auto"/>
    </w:pPr>
  </w:style>
  <w:style w:type="paragraph" w:styleId="Heading1">
    <w:name w:val="heading 1"/>
    <w:basedOn w:val="Normal"/>
    <w:next w:val="Normal"/>
    <w:link w:val="Heading1Char"/>
    <w:uiPriority w:val="9"/>
    <w:qFormat/>
    <w:rsid w:val="00E434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02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3C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24F7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63C7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E74C8E"/>
    <w:pPr>
      <w:spacing w:line="240" w:lineRule="auto"/>
    </w:pPr>
    <w:rPr>
      <w:sz w:val="20"/>
      <w:szCs w:val="20"/>
    </w:rPr>
  </w:style>
  <w:style w:type="character" w:customStyle="1" w:styleId="CommentTextChar">
    <w:name w:val="Comment Text Char"/>
    <w:basedOn w:val="DefaultParagraphFont"/>
    <w:link w:val="CommentText"/>
    <w:uiPriority w:val="99"/>
    <w:semiHidden/>
    <w:rsid w:val="00E74C8E"/>
    <w:rPr>
      <w:sz w:val="20"/>
      <w:szCs w:val="20"/>
    </w:rPr>
  </w:style>
  <w:style w:type="paragraph" w:styleId="Subtitle">
    <w:name w:val="Subtitle"/>
    <w:basedOn w:val="Normal"/>
    <w:next w:val="Normal"/>
    <w:link w:val="SubtitleChar"/>
    <w:uiPriority w:val="11"/>
    <w:qFormat/>
    <w:rsid w:val="00E74C8E"/>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4C8E"/>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E74C8E"/>
    <w:rPr>
      <w:sz w:val="16"/>
      <w:szCs w:val="16"/>
    </w:rPr>
  </w:style>
  <w:style w:type="paragraph" w:styleId="BalloonText">
    <w:name w:val="Balloon Text"/>
    <w:basedOn w:val="Normal"/>
    <w:link w:val="BalloonTextChar"/>
    <w:uiPriority w:val="99"/>
    <w:semiHidden/>
    <w:unhideWhenUsed/>
    <w:rsid w:val="00E74C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8E"/>
    <w:rPr>
      <w:rFonts w:ascii="Segoe UI" w:hAnsi="Segoe UI" w:cs="Segoe UI"/>
      <w:sz w:val="18"/>
      <w:szCs w:val="18"/>
    </w:rPr>
  </w:style>
  <w:style w:type="character" w:styleId="SubtleEmphasis">
    <w:name w:val="Subtle Emphasis"/>
    <w:basedOn w:val="DefaultParagraphFont"/>
    <w:uiPriority w:val="19"/>
    <w:qFormat/>
    <w:rsid w:val="00E74C8E"/>
    <w:rPr>
      <w:i/>
      <w:iCs/>
      <w:color w:val="404040" w:themeColor="text1" w:themeTint="BF"/>
    </w:rPr>
  </w:style>
  <w:style w:type="paragraph" w:styleId="ListParagraph">
    <w:name w:val="List Paragraph"/>
    <w:basedOn w:val="Normal"/>
    <w:uiPriority w:val="34"/>
    <w:qFormat/>
    <w:rsid w:val="00E74C8E"/>
    <w:pPr>
      <w:spacing w:after="160" w:line="256" w:lineRule="auto"/>
      <w:ind w:left="720"/>
      <w:contextualSpacing/>
    </w:pPr>
  </w:style>
  <w:style w:type="table" w:styleId="PlainTable2">
    <w:name w:val="Plain Table 2"/>
    <w:basedOn w:val="TableNormal"/>
    <w:uiPriority w:val="42"/>
    <w:rsid w:val="00E74C8E"/>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E74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434E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07486"/>
    <w:pPr>
      <w:spacing w:line="259" w:lineRule="auto"/>
      <w:outlineLvl w:val="9"/>
    </w:pPr>
    <w:rPr>
      <w:lang w:val="en-US"/>
    </w:rPr>
  </w:style>
  <w:style w:type="paragraph" w:styleId="TOC2">
    <w:name w:val="toc 2"/>
    <w:basedOn w:val="Normal"/>
    <w:next w:val="Normal"/>
    <w:autoRedefine/>
    <w:uiPriority w:val="39"/>
    <w:unhideWhenUsed/>
    <w:rsid w:val="00A32FE8"/>
    <w:pPr>
      <w:spacing w:after="100" w:line="259" w:lineRule="auto"/>
      <w:ind w:left="220"/>
    </w:pPr>
    <w:rPr>
      <w:rFonts w:eastAsiaTheme="minorEastAsia" w:cs="Times New Roman"/>
      <w:sz w:val="24"/>
      <w:lang w:val="en-US"/>
    </w:rPr>
  </w:style>
  <w:style w:type="paragraph" w:styleId="TOC1">
    <w:name w:val="toc 1"/>
    <w:basedOn w:val="Normal"/>
    <w:next w:val="Normal"/>
    <w:autoRedefine/>
    <w:uiPriority w:val="39"/>
    <w:unhideWhenUsed/>
    <w:rsid w:val="00A32FE8"/>
    <w:pPr>
      <w:spacing w:after="100" w:line="259" w:lineRule="auto"/>
    </w:pPr>
    <w:rPr>
      <w:rFonts w:eastAsiaTheme="minorEastAsia" w:cs="Times New Roman"/>
      <w:sz w:val="28"/>
      <w:lang w:val="en-US"/>
    </w:rPr>
  </w:style>
  <w:style w:type="paragraph" w:styleId="TOC3">
    <w:name w:val="toc 3"/>
    <w:basedOn w:val="Normal"/>
    <w:next w:val="Normal"/>
    <w:autoRedefine/>
    <w:uiPriority w:val="39"/>
    <w:unhideWhenUsed/>
    <w:rsid w:val="00D07486"/>
    <w:pPr>
      <w:spacing w:after="100" w:line="259" w:lineRule="auto"/>
      <w:ind w:left="440"/>
    </w:pPr>
    <w:rPr>
      <w:rFonts w:eastAsiaTheme="minorEastAsia" w:cs="Times New Roman"/>
      <w:lang w:val="en-US"/>
    </w:rPr>
  </w:style>
  <w:style w:type="paragraph" w:styleId="Header">
    <w:name w:val="header"/>
    <w:basedOn w:val="Normal"/>
    <w:link w:val="HeaderChar"/>
    <w:uiPriority w:val="99"/>
    <w:unhideWhenUsed/>
    <w:rsid w:val="00D074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D07486"/>
  </w:style>
  <w:style w:type="paragraph" w:styleId="Footer">
    <w:name w:val="footer"/>
    <w:basedOn w:val="Normal"/>
    <w:link w:val="FooterChar"/>
    <w:uiPriority w:val="99"/>
    <w:unhideWhenUsed/>
    <w:rsid w:val="00D074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D07486"/>
  </w:style>
  <w:style w:type="character" w:styleId="IntenseReference">
    <w:name w:val="Intense Reference"/>
    <w:basedOn w:val="DefaultParagraphFont"/>
    <w:uiPriority w:val="32"/>
    <w:qFormat/>
    <w:rsid w:val="00D07486"/>
    <w:rPr>
      <w:b/>
      <w:bCs/>
      <w:smallCaps/>
      <w:color w:val="4472C4" w:themeColor="accent1"/>
      <w:spacing w:val="5"/>
    </w:rPr>
  </w:style>
  <w:style w:type="character" w:styleId="Hyperlink">
    <w:name w:val="Hyperlink"/>
    <w:basedOn w:val="DefaultParagraphFont"/>
    <w:uiPriority w:val="99"/>
    <w:unhideWhenUsed/>
    <w:rsid w:val="00443CE0"/>
    <w:rPr>
      <w:color w:val="0563C1" w:themeColor="hyperlink"/>
      <w:u w:val="single"/>
    </w:rPr>
  </w:style>
  <w:style w:type="character" w:customStyle="1" w:styleId="Heading2Char">
    <w:name w:val="Heading 2 Char"/>
    <w:basedOn w:val="DefaultParagraphFont"/>
    <w:link w:val="Heading2"/>
    <w:uiPriority w:val="9"/>
    <w:rsid w:val="0050020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43CE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24F7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63C76"/>
    <w:rPr>
      <w:rFonts w:asciiTheme="majorHAnsi" w:eastAsiaTheme="majorEastAsia" w:hAnsiTheme="majorHAnsi" w:cstheme="majorBidi"/>
      <w:color w:val="2F5496" w:themeColor="accent1" w:themeShade="BF"/>
    </w:rPr>
  </w:style>
  <w:style w:type="paragraph" w:styleId="Caption">
    <w:name w:val="caption"/>
    <w:basedOn w:val="Normal"/>
    <w:next w:val="Normal"/>
    <w:uiPriority w:val="35"/>
    <w:unhideWhenUsed/>
    <w:qFormat/>
    <w:rsid w:val="005A73CE"/>
    <w:pPr>
      <w:spacing w:line="240" w:lineRule="auto"/>
    </w:pPr>
    <w:rPr>
      <w:i/>
      <w:iCs/>
      <w:color w:val="44546A" w:themeColor="text2"/>
      <w:sz w:val="18"/>
      <w:szCs w:val="18"/>
    </w:rPr>
  </w:style>
  <w:style w:type="paragraph" w:styleId="NoSpacing">
    <w:name w:val="No Spacing"/>
    <w:link w:val="NoSpacingChar"/>
    <w:uiPriority w:val="1"/>
    <w:qFormat/>
    <w:rsid w:val="002056C6"/>
    <w:pPr>
      <w:spacing w:after="0" w:line="240" w:lineRule="auto"/>
    </w:pPr>
  </w:style>
  <w:style w:type="character" w:styleId="PlaceholderText">
    <w:name w:val="Placeholder Text"/>
    <w:basedOn w:val="DefaultParagraphFont"/>
    <w:uiPriority w:val="99"/>
    <w:semiHidden/>
    <w:rsid w:val="00FD41D8"/>
    <w:rPr>
      <w:color w:val="808080"/>
    </w:rPr>
  </w:style>
  <w:style w:type="character" w:customStyle="1" w:styleId="NoSpacingChar">
    <w:name w:val="No Spacing Char"/>
    <w:basedOn w:val="DefaultParagraphFont"/>
    <w:link w:val="NoSpacing"/>
    <w:uiPriority w:val="1"/>
    <w:rsid w:val="00D52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1556">
      <w:bodyDiv w:val="1"/>
      <w:marLeft w:val="0"/>
      <w:marRight w:val="0"/>
      <w:marTop w:val="0"/>
      <w:marBottom w:val="0"/>
      <w:divBdr>
        <w:top w:val="none" w:sz="0" w:space="0" w:color="auto"/>
        <w:left w:val="none" w:sz="0" w:space="0" w:color="auto"/>
        <w:bottom w:val="none" w:sz="0" w:space="0" w:color="auto"/>
        <w:right w:val="none" w:sz="0" w:space="0" w:color="auto"/>
      </w:divBdr>
    </w:div>
    <w:div w:id="294409383">
      <w:bodyDiv w:val="1"/>
      <w:marLeft w:val="0"/>
      <w:marRight w:val="0"/>
      <w:marTop w:val="0"/>
      <w:marBottom w:val="0"/>
      <w:divBdr>
        <w:top w:val="none" w:sz="0" w:space="0" w:color="auto"/>
        <w:left w:val="none" w:sz="0" w:space="0" w:color="auto"/>
        <w:bottom w:val="none" w:sz="0" w:space="0" w:color="auto"/>
        <w:right w:val="none" w:sz="0" w:space="0" w:color="auto"/>
      </w:divBdr>
    </w:div>
    <w:div w:id="784156652">
      <w:bodyDiv w:val="1"/>
      <w:marLeft w:val="0"/>
      <w:marRight w:val="0"/>
      <w:marTop w:val="0"/>
      <w:marBottom w:val="0"/>
      <w:divBdr>
        <w:top w:val="none" w:sz="0" w:space="0" w:color="auto"/>
        <w:left w:val="none" w:sz="0" w:space="0" w:color="auto"/>
        <w:bottom w:val="none" w:sz="0" w:space="0" w:color="auto"/>
        <w:right w:val="none" w:sz="0" w:space="0" w:color="auto"/>
      </w:divBdr>
    </w:div>
    <w:div w:id="1633824471">
      <w:bodyDiv w:val="1"/>
      <w:marLeft w:val="0"/>
      <w:marRight w:val="0"/>
      <w:marTop w:val="0"/>
      <w:marBottom w:val="0"/>
      <w:divBdr>
        <w:top w:val="none" w:sz="0" w:space="0" w:color="auto"/>
        <w:left w:val="none" w:sz="0" w:space="0" w:color="auto"/>
        <w:bottom w:val="none" w:sz="0" w:space="0" w:color="auto"/>
        <w:right w:val="none" w:sz="0" w:space="0" w:color="auto"/>
      </w:divBdr>
    </w:div>
    <w:div w:id="2008247605">
      <w:bodyDiv w:val="1"/>
      <w:marLeft w:val="0"/>
      <w:marRight w:val="0"/>
      <w:marTop w:val="0"/>
      <w:marBottom w:val="0"/>
      <w:divBdr>
        <w:top w:val="none" w:sz="0" w:space="0" w:color="auto"/>
        <w:left w:val="none" w:sz="0" w:space="0" w:color="auto"/>
        <w:bottom w:val="none" w:sz="0" w:space="0" w:color="auto"/>
        <w:right w:val="none" w:sz="0" w:space="0" w:color="auto"/>
      </w:divBdr>
    </w:div>
    <w:div w:id="2022856957">
      <w:bodyDiv w:val="1"/>
      <w:marLeft w:val="0"/>
      <w:marRight w:val="0"/>
      <w:marTop w:val="0"/>
      <w:marBottom w:val="0"/>
      <w:divBdr>
        <w:top w:val="none" w:sz="0" w:space="0" w:color="auto"/>
        <w:left w:val="none" w:sz="0" w:space="0" w:color="auto"/>
        <w:bottom w:val="none" w:sz="0" w:space="0" w:color="auto"/>
        <w:right w:val="none" w:sz="0" w:space="0" w:color="auto"/>
      </w:divBdr>
    </w:div>
    <w:div w:id="2090955042">
      <w:bodyDiv w:val="1"/>
      <w:marLeft w:val="0"/>
      <w:marRight w:val="0"/>
      <w:marTop w:val="0"/>
      <w:marBottom w:val="0"/>
      <w:divBdr>
        <w:top w:val="none" w:sz="0" w:space="0" w:color="auto"/>
        <w:left w:val="none" w:sz="0" w:space="0" w:color="auto"/>
        <w:bottom w:val="none" w:sz="0" w:space="0" w:color="auto"/>
        <w:right w:val="none" w:sz="0" w:space="0" w:color="auto"/>
      </w:divBdr>
    </w:div>
    <w:div w:id="212495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jp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eg"/><Relationship Id="rId57" Type="http://schemas.openxmlformats.org/officeDocument/2006/relationships/image" Target="media/image4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v>Sucrose</c:v>
          </c:tx>
          <c:spPr>
            <a:ln>
              <a:solidFill>
                <a:srgbClr val="C00000"/>
              </a:solidFill>
            </a:ln>
          </c:spPr>
          <c:marker>
            <c:spPr>
              <a:solidFill>
                <a:srgbClr val="C00000"/>
              </a:solidFill>
              <a:ln>
                <a:solidFill>
                  <a:srgbClr val="C00000"/>
                </a:solidFill>
              </a:ln>
            </c:spPr>
          </c:marker>
          <c:xVal>
            <c:numRef>
              <c:f>Density!$D$7:$D$19</c:f>
              <c:numCache>
                <c:formatCode>0%</c:formatCode>
                <c:ptCount val="13"/>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numCache>
            </c:numRef>
          </c:xVal>
          <c:yVal>
            <c:numRef>
              <c:f>Density!$F$7:$F$19</c:f>
              <c:numCache>
                <c:formatCode>General</c:formatCode>
                <c:ptCount val="13"/>
                <c:pt idx="0">
                  <c:v>0.998</c:v>
                </c:pt>
                <c:pt idx="1">
                  <c:v>1.018</c:v>
                </c:pt>
                <c:pt idx="2">
                  <c:v>1.038</c:v>
                </c:pt>
                <c:pt idx="3">
                  <c:v>1.0589999999999999</c:v>
                </c:pt>
                <c:pt idx="4">
                  <c:v>1.081</c:v>
                </c:pt>
                <c:pt idx="5">
                  <c:v>1.1040000000000001</c:v>
                </c:pt>
                <c:pt idx="6">
                  <c:v>1.127</c:v>
                </c:pt>
                <c:pt idx="7">
                  <c:v>1.151</c:v>
                </c:pt>
                <c:pt idx="8">
                  <c:v>1.1759999999999999</c:v>
                </c:pt>
                <c:pt idx="9">
                  <c:v>1.2030000000000001</c:v>
                </c:pt>
                <c:pt idx="10">
                  <c:v>1.23</c:v>
                </c:pt>
                <c:pt idx="11">
                  <c:v>1.258</c:v>
                </c:pt>
                <c:pt idx="12">
                  <c:v>1.286</c:v>
                </c:pt>
              </c:numCache>
            </c:numRef>
          </c:yVal>
          <c:smooth val="1"/>
          <c:extLst>
            <c:ext xmlns:c16="http://schemas.microsoft.com/office/drawing/2014/chart" uri="{C3380CC4-5D6E-409C-BE32-E72D297353CC}">
              <c16:uniqueId val="{00000000-56C9-46BF-9946-190C22360890}"/>
            </c:ext>
          </c:extLst>
        </c:ser>
        <c:ser>
          <c:idx val="3"/>
          <c:order val="1"/>
          <c:tx>
            <c:v>Ficoll</c:v>
          </c:tx>
          <c:marker>
            <c:symbol val="circle"/>
            <c:size val="7"/>
          </c:marker>
          <c:xVal>
            <c:numRef>
              <c:f>Density!$D$65:$D$74</c:f>
              <c:numCache>
                <c:formatCode>0.00%</c:formatCode>
                <c:ptCount val="10"/>
                <c:pt idx="0" formatCode="0%">
                  <c:v>0</c:v>
                </c:pt>
                <c:pt idx="1">
                  <c:v>0.05</c:v>
                </c:pt>
                <c:pt idx="2">
                  <c:v>0.1</c:v>
                </c:pt>
                <c:pt idx="3">
                  <c:v>0.14760000000000001</c:v>
                </c:pt>
                <c:pt idx="4">
                  <c:v>0.19919999999999999</c:v>
                </c:pt>
                <c:pt idx="5">
                  <c:v>0.252</c:v>
                </c:pt>
                <c:pt idx="6" formatCode="0%">
                  <c:v>0.5</c:v>
                </c:pt>
              </c:numCache>
            </c:numRef>
          </c:xVal>
          <c:yVal>
            <c:numRef>
              <c:f>Density!$F$65:$F$74</c:f>
              <c:numCache>
                <c:formatCode>0.000</c:formatCode>
                <c:ptCount val="10"/>
                <c:pt idx="0" formatCode="General">
                  <c:v>0.998</c:v>
                </c:pt>
                <c:pt idx="1">
                  <c:v>1.0182</c:v>
                </c:pt>
                <c:pt idx="2">
                  <c:v>1.0384</c:v>
                </c:pt>
                <c:pt idx="3">
                  <c:v>1.0576303999999999</c:v>
                </c:pt>
                <c:pt idx="4">
                  <c:v>1.0784768</c:v>
                </c:pt>
                <c:pt idx="5">
                  <c:v>1.0998079999999999</c:v>
                </c:pt>
                <c:pt idx="6" formatCode="General">
                  <c:v>1.2</c:v>
                </c:pt>
              </c:numCache>
            </c:numRef>
          </c:yVal>
          <c:smooth val="1"/>
          <c:extLst>
            <c:ext xmlns:c16="http://schemas.microsoft.com/office/drawing/2014/chart" uri="{C3380CC4-5D6E-409C-BE32-E72D297353CC}">
              <c16:uniqueId val="{00000001-56C9-46BF-9946-190C22360890}"/>
            </c:ext>
          </c:extLst>
        </c:ser>
        <c:dLbls>
          <c:showLegendKey val="0"/>
          <c:showVal val="0"/>
          <c:showCatName val="0"/>
          <c:showSerName val="0"/>
          <c:showPercent val="0"/>
          <c:showBubbleSize val="0"/>
        </c:dLbls>
        <c:axId val="39779328"/>
        <c:axId val="73753728"/>
      </c:scatterChart>
      <c:valAx>
        <c:axId val="39779328"/>
        <c:scaling>
          <c:orientation val="minMax"/>
          <c:max val="1"/>
        </c:scaling>
        <c:delete val="0"/>
        <c:axPos val="b"/>
        <c:title>
          <c:tx>
            <c:rich>
              <a:bodyPr/>
              <a:lstStyle/>
              <a:p>
                <a:pPr>
                  <a:defRPr/>
                </a:pPr>
                <a:r>
                  <a:rPr lang="nl-NL"/>
                  <a:t>conc w/w</a:t>
                </a:r>
              </a:p>
            </c:rich>
          </c:tx>
          <c:overlay val="0"/>
        </c:title>
        <c:numFmt formatCode="0%" sourceLinked="1"/>
        <c:majorTickMark val="out"/>
        <c:minorTickMark val="none"/>
        <c:tickLblPos val="nextTo"/>
        <c:crossAx val="73753728"/>
        <c:crosses val="autoZero"/>
        <c:crossBetween val="midCat"/>
      </c:valAx>
      <c:valAx>
        <c:axId val="73753728"/>
        <c:scaling>
          <c:orientation val="minMax"/>
          <c:min val="1"/>
        </c:scaling>
        <c:delete val="0"/>
        <c:axPos val="l"/>
        <c:majorGridlines/>
        <c:title>
          <c:tx>
            <c:rich>
              <a:bodyPr rot="-5400000" vert="horz"/>
              <a:lstStyle/>
              <a:p>
                <a:pPr>
                  <a:defRPr/>
                </a:pPr>
                <a:r>
                  <a:rPr lang="en-US"/>
                  <a:t>density (g/mL)</a:t>
                </a:r>
              </a:p>
            </c:rich>
          </c:tx>
          <c:overlay val="0"/>
        </c:title>
        <c:numFmt formatCode="General" sourceLinked="1"/>
        <c:majorTickMark val="out"/>
        <c:minorTickMark val="none"/>
        <c:tickLblPos val="nextTo"/>
        <c:crossAx val="39779328"/>
        <c:crosses val="autoZero"/>
        <c:crossBetween val="midCat"/>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37372A6D0BE47A8AFE0310BD1B06F57"/>
        <w:category>
          <w:name w:val="General"/>
          <w:gallery w:val="placeholder"/>
        </w:category>
        <w:types>
          <w:type w:val="bbPlcHdr"/>
        </w:types>
        <w:behaviors>
          <w:behavior w:val="content"/>
        </w:behaviors>
        <w:guid w:val="{050D5286-9497-45E9-86E8-E9E5BB272FC6}"/>
      </w:docPartPr>
      <w:docPartBody>
        <w:p w:rsidR="000E3A4B" w:rsidRDefault="000E3A4B">
          <w:pPr>
            <w:pStyle w:val="537372A6D0BE47A8AFE0310BD1B06F57"/>
          </w:pPr>
          <w:r>
            <w:rPr>
              <w:color w:val="2F5496" w:themeColor="accent1" w:themeShade="BF"/>
              <w:sz w:val="24"/>
              <w:szCs w:val="24"/>
            </w:rPr>
            <w:t>[Company name]</w:t>
          </w:r>
        </w:p>
      </w:docPartBody>
    </w:docPart>
    <w:docPart>
      <w:docPartPr>
        <w:name w:val="48F12436C4744D7F8412A8B9D095EAB9"/>
        <w:category>
          <w:name w:val="General"/>
          <w:gallery w:val="placeholder"/>
        </w:category>
        <w:types>
          <w:type w:val="bbPlcHdr"/>
        </w:types>
        <w:behaviors>
          <w:behavior w:val="content"/>
        </w:behaviors>
        <w:guid w:val="{0714B13F-0396-48AD-BCC4-6BFB2F2F050F}"/>
      </w:docPartPr>
      <w:docPartBody>
        <w:p w:rsidR="000E3A4B" w:rsidRDefault="000E3A4B">
          <w:pPr>
            <w:pStyle w:val="48F12436C4744D7F8412A8B9D095EAB9"/>
          </w:pPr>
          <w:r>
            <w:rPr>
              <w:rFonts w:asciiTheme="majorHAnsi" w:eastAsiaTheme="majorEastAsia" w:hAnsiTheme="majorHAnsi" w:cstheme="majorBidi"/>
              <w:color w:val="4472C4" w:themeColor="accent1"/>
              <w:sz w:val="88"/>
              <w:szCs w:val="88"/>
            </w:rPr>
            <w:t>[Document title]</w:t>
          </w:r>
        </w:p>
      </w:docPartBody>
    </w:docPart>
    <w:docPart>
      <w:docPartPr>
        <w:name w:val="9CB13490F57241D4BFA6C99FB54FE6FF"/>
        <w:category>
          <w:name w:val="General"/>
          <w:gallery w:val="placeholder"/>
        </w:category>
        <w:types>
          <w:type w:val="bbPlcHdr"/>
        </w:types>
        <w:behaviors>
          <w:behavior w:val="content"/>
        </w:behaviors>
        <w:guid w:val="{0E032A27-710B-4D7D-B924-535FABAF10B2}"/>
      </w:docPartPr>
      <w:docPartBody>
        <w:p w:rsidR="000E3A4B" w:rsidRDefault="000E3A4B">
          <w:pPr>
            <w:pStyle w:val="9CB13490F57241D4BFA6C99FB54FE6FF"/>
          </w:pPr>
          <w:r>
            <w:rPr>
              <w:color w:val="4472C4" w:themeColor="accent1"/>
              <w:sz w:val="28"/>
              <w:szCs w:val="28"/>
            </w:rPr>
            <w:t>[Author name]</w:t>
          </w:r>
        </w:p>
      </w:docPartBody>
    </w:docPart>
    <w:docPart>
      <w:docPartPr>
        <w:name w:val="80DCBB72DFCB465A8ACFF90104CA463D"/>
        <w:category>
          <w:name w:val="General"/>
          <w:gallery w:val="placeholder"/>
        </w:category>
        <w:types>
          <w:type w:val="bbPlcHdr"/>
        </w:types>
        <w:behaviors>
          <w:behavior w:val="content"/>
        </w:behaviors>
        <w:guid w:val="{3D37223F-0312-4DC1-91A7-5AE4FBD9627F}"/>
      </w:docPartPr>
      <w:docPartBody>
        <w:p w:rsidR="000E3A4B" w:rsidRDefault="000E3A4B">
          <w:pPr>
            <w:pStyle w:val="80DCBB72DFCB465A8ACFF90104CA463D"/>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FED"/>
    <w:rsid w:val="000A6FD9"/>
    <w:rsid w:val="000E3A4B"/>
    <w:rsid w:val="001336DD"/>
    <w:rsid w:val="00247900"/>
    <w:rsid w:val="002C3FED"/>
    <w:rsid w:val="006D090F"/>
    <w:rsid w:val="00954291"/>
    <w:rsid w:val="009B1033"/>
    <w:rsid w:val="00C223DA"/>
    <w:rsid w:val="00D32FC5"/>
    <w:rsid w:val="00FA6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3FED"/>
    <w:rPr>
      <w:color w:val="808080"/>
    </w:rPr>
  </w:style>
  <w:style w:type="paragraph" w:customStyle="1" w:styleId="5561CFAAFC0246CE931182E09EF77F43">
    <w:name w:val="5561CFAAFC0246CE931182E09EF77F43"/>
    <w:rsid w:val="002C3FED"/>
  </w:style>
  <w:style w:type="paragraph" w:customStyle="1" w:styleId="F070F1343E8F4566824A6EFE0F7F8521">
    <w:name w:val="F070F1343E8F4566824A6EFE0F7F8521"/>
    <w:rsid w:val="002C3FED"/>
  </w:style>
  <w:style w:type="paragraph" w:customStyle="1" w:styleId="8A872332135D470CBB7A762CBE6E6EE8">
    <w:name w:val="8A872332135D470CBB7A762CBE6E6EE8"/>
    <w:rsid w:val="002C3FED"/>
  </w:style>
  <w:style w:type="paragraph" w:customStyle="1" w:styleId="96722A9BDB6F4DFBA2011AE62D16BD33">
    <w:name w:val="96722A9BDB6F4DFBA2011AE62D16BD33"/>
    <w:rsid w:val="002C3FED"/>
  </w:style>
  <w:style w:type="paragraph" w:customStyle="1" w:styleId="57ACEEFBB69C415FA7BCFB548AF41BE2">
    <w:name w:val="57ACEEFBB69C415FA7BCFB548AF41BE2"/>
    <w:rsid w:val="002C3FED"/>
  </w:style>
  <w:style w:type="paragraph" w:customStyle="1" w:styleId="537372A6D0BE47A8AFE0310BD1B06F57">
    <w:name w:val="537372A6D0BE47A8AFE0310BD1B06F57"/>
  </w:style>
  <w:style w:type="paragraph" w:customStyle="1" w:styleId="48F12436C4744D7F8412A8B9D095EAB9">
    <w:name w:val="48F12436C4744D7F8412A8B9D095EAB9"/>
  </w:style>
  <w:style w:type="paragraph" w:customStyle="1" w:styleId="9468C65FF5AD491AA95A015850CD6658">
    <w:name w:val="9468C65FF5AD491AA95A015850CD6658"/>
  </w:style>
  <w:style w:type="paragraph" w:customStyle="1" w:styleId="B7334DD0AF4E4E5792F198F26FBA7B95">
    <w:name w:val="B7334DD0AF4E4E5792F198F26FBA7B95"/>
  </w:style>
  <w:style w:type="paragraph" w:customStyle="1" w:styleId="9CB13490F57241D4BFA6C99FB54FE6FF">
    <w:name w:val="9CB13490F57241D4BFA6C99FB54FE6FF"/>
  </w:style>
  <w:style w:type="paragraph" w:customStyle="1" w:styleId="80DCBB72DFCB465A8ACFF90104CA463D">
    <w:name w:val="80DCBB72DFCB465A8ACFF90104CA463D"/>
  </w:style>
  <w:style w:type="paragraph" w:customStyle="1" w:styleId="852C0A3F69A440788E415EF31ECE2E00">
    <w:name w:val="852C0A3F69A440788E415EF31ECE2E00"/>
  </w:style>
  <w:style w:type="paragraph" w:customStyle="1" w:styleId="3280B0DC641B45C78A4B326D205BAF5C">
    <w:name w:val="3280B0DC641B45C78A4B326D205BAF5C"/>
  </w:style>
  <w:style w:type="paragraph" w:customStyle="1" w:styleId="7178120618824D02A405ADBDCEC2985E">
    <w:name w:val="7178120618824D02A405ADBDCEC2985E"/>
    <w:rsid w:val="000A6FD9"/>
  </w:style>
  <w:style w:type="paragraph" w:customStyle="1" w:styleId="FAFD77EB518E41CDBF375792C7995EB3">
    <w:name w:val="FAFD77EB518E41CDBF375792C7995EB3"/>
    <w:rsid w:val="000A6F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BA08B5-D67B-4D55-8F5C-75EC381BC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2B755F9A</Template>
  <TotalTime>0</TotalTime>
  <Pages>64</Pages>
  <Words>58171</Words>
  <Characters>331577</Characters>
  <Application>Microsoft Office Word</Application>
  <DocSecurity>0</DocSecurity>
  <Lines>2763</Lines>
  <Paragraphs>777</Paragraphs>
  <ScaleCrop>false</ScaleCrop>
  <HeadingPairs>
    <vt:vector size="2" baseType="variant">
      <vt:variant>
        <vt:lpstr>Title</vt:lpstr>
      </vt:variant>
      <vt:variant>
        <vt:i4>1</vt:i4>
      </vt:variant>
    </vt:vector>
  </HeadingPairs>
  <TitlesOfParts>
    <vt:vector size="1" baseType="lpstr">
      <vt:lpstr>Self-assembly of pH-responsive (anisotropic) colloidal particles</vt:lpstr>
    </vt:vector>
  </TitlesOfParts>
  <Company>Utrecht University</Company>
  <LinksUpToDate>false</LinksUpToDate>
  <CharactersWithSpaces>388971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Self-assembly of pH-responsive (anisotropic) colloidal particles</dc:title>
  <dc:subject/>
  <dc:creator>Lucas Gyurik</dc:creator>
  <cp:keywords/>
  <dc:description/>
  <cp:lastModifiedBy>Gyurik, L.A.A. (Lucas)</cp:lastModifiedBy>
  <cp:revision>79</cp:revision>
  <dcterms:created xsi:type="dcterms:W3CDTF">2020-01-11T10:55:00Z</dcterms:created>
  <dcterms:modified xsi:type="dcterms:W3CDTF">2020-02-06T14:07:00Z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c0663dd7-39fc-3adc-a72c-ab47e69eedd8</vt:lpwstr>
  </property>
  <property fmtid="{D5CDD505-2E9C-101B-9397-08002B2CF9AE}" pid="24" name="Mendeley Citation Style_1">
    <vt:lpwstr>http://www.zotero.org/styles/nature</vt:lpwstr>
  </property>
</Properties>
</file>