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042C0F" w:rsidRDefault="00042C0F" w:rsidP="00607FB0">
      <w:pPr>
        <w:rPr>
          <w:b/>
        </w:rPr>
      </w:pPr>
    </w:p>
    <w:p w14:paraId="00000003" w14:textId="77777777" w:rsidR="00042C0F" w:rsidRDefault="00042C0F" w:rsidP="00607FB0">
      <w:pPr>
        <w:rPr>
          <w:b/>
        </w:rPr>
      </w:pPr>
    </w:p>
    <w:p w14:paraId="00000004" w14:textId="77777777" w:rsidR="00042C0F" w:rsidRDefault="00042C0F" w:rsidP="00607FB0">
      <w:pPr>
        <w:spacing w:line="480" w:lineRule="auto"/>
        <w:rPr>
          <w:b/>
        </w:rPr>
      </w:pPr>
    </w:p>
    <w:p w14:paraId="17E505B4" w14:textId="77777777" w:rsidR="0052761B" w:rsidRPr="002F0B5E" w:rsidRDefault="0052761B" w:rsidP="002F0B5E">
      <w:pPr>
        <w:spacing w:line="480" w:lineRule="auto"/>
        <w:rPr>
          <w:b/>
          <w:lang w:val="en-US"/>
        </w:rPr>
      </w:pPr>
    </w:p>
    <w:p w14:paraId="00000005" w14:textId="77777777" w:rsidR="00042C0F" w:rsidRPr="00784863" w:rsidRDefault="00165BB5" w:rsidP="00607FB0">
      <w:pPr>
        <w:spacing w:line="480" w:lineRule="auto"/>
        <w:jc w:val="center"/>
        <w:rPr>
          <w:b/>
          <w:lang w:val="en-US"/>
        </w:rPr>
      </w:pPr>
      <w:r w:rsidRPr="00784863">
        <w:rPr>
          <w:b/>
          <w:sz w:val="30"/>
          <w:szCs w:val="30"/>
          <w:lang w:val="en-US"/>
        </w:rPr>
        <w:t>A Comparison of Risk Factors for Pathological Grief and Depression</w:t>
      </w:r>
    </w:p>
    <w:p w14:paraId="00000007" w14:textId="77777777" w:rsidR="00042C0F" w:rsidRPr="00784863" w:rsidRDefault="00042C0F" w:rsidP="00607FB0">
      <w:pPr>
        <w:spacing w:line="480" w:lineRule="auto"/>
        <w:rPr>
          <w:b/>
          <w:lang w:val="en-US"/>
        </w:rPr>
      </w:pPr>
    </w:p>
    <w:p w14:paraId="00000008" w14:textId="49F75D78" w:rsidR="00042C0F" w:rsidRPr="00784863" w:rsidRDefault="00165BB5" w:rsidP="00607FB0">
      <w:pPr>
        <w:spacing w:line="480" w:lineRule="auto"/>
        <w:jc w:val="center"/>
        <w:rPr>
          <w:sz w:val="28"/>
          <w:szCs w:val="28"/>
          <w:lang w:val="en-US"/>
        </w:rPr>
      </w:pPr>
      <w:r w:rsidRPr="00784863">
        <w:rPr>
          <w:sz w:val="28"/>
          <w:szCs w:val="28"/>
          <w:lang w:val="en-US"/>
        </w:rPr>
        <w:t xml:space="preserve">Iris </w:t>
      </w:r>
      <w:proofErr w:type="spellStart"/>
      <w:r w:rsidRPr="00784863">
        <w:rPr>
          <w:sz w:val="28"/>
          <w:szCs w:val="28"/>
          <w:lang w:val="en-US"/>
        </w:rPr>
        <w:t>Hilgeman</w:t>
      </w:r>
      <w:proofErr w:type="spellEnd"/>
      <w:r w:rsidRPr="00784863">
        <w:rPr>
          <w:sz w:val="28"/>
          <w:szCs w:val="28"/>
          <w:lang w:val="en-US"/>
        </w:rPr>
        <w:t xml:space="preserve"> (5976219</w:t>
      </w:r>
      <w:r w:rsidR="00240DDA">
        <w:rPr>
          <w:sz w:val="28"/>
          <w:szCs w:val="28"/>
          <w:lang w:val="en-US"/>
        </w:rPr>
        <w:t>)</w:t>
      </w:r>
    </w:p>
    <w:p w14:paraId="00000009" w14:textId="77777777" w:rsidR="00042C0F" w:rsidRPr="00784863" w:rsidRDefault="00042C0F" w:rsidP="00607FB0">
      <w:pPr>
        <w:spacing w:line="480" w:lineRule="auto"/>
        <w:jc w:val="center"/>
        <w:rPr>
          <w:sz w:val="28"/>
          <w:szCs w:val="28"/>
          <w:lang w:val="en-US"/>
        </w:rPr>
      </w:pPr>
    </w:p>
    <w:p w14:paraId="0000000A" w14:textId="77777777" w:rsidR="00042C0F" w:rsidRPr="00784863" w:rsidRDefault="00165BB5" w:rsidP="00607FB0">
      <w:pPr>
        <w:spacing w:line="480" w:lineRule="auto"/>
        <w:jc w:val="center"/>
        <w:rPr>
          <w:sz w:val="28"/>
          <w:szCs w:val="28"/>
          <w:lang w:val="en-US"/>
        </w:rPr>
      </w:pPr>
      <w:r w:rsidRPr="00784863">
        <w:rPr>
          <w:sz w:val="28"/>
          <w:szCs w:val="28"/>
          <w:lang w:val="en-US"/>
        </w:rPr>
        <w:t xml:space="preserve">Faculty of Social and Behavioral Sciences, Utrecht University </w:t>
      </w:r>
    </w:p>
    <w:p w14:paraId="0000000B" w14:textId="77777777" w:rsidR="00042C0F" w:rsidRPr="00784863" w:rsidRDefault="00165BB5" w:rsidP="00607FB0">
      <w:pPr>
        <w:spacing w:line="480" w:lineRule="auto"/>
        <w:jc w:val="center"/>
        <w:rPr>
          <w:sz w:val="28"/>
          <w:szCs w:val="28"/>
          <w:lang w:val="en-US"/>
        </w:rPr>
      </w:pPr>
      <w:r w:rsidRPr="00784863">
        <w:rPr>
          <w:sz w:val="28"/>
          <w:szCs w:val="28"/>
          <w:lang w:val="en-US"/>
        </w:rPr>
        <w:t>Master Thesis Clinical Psychology (201500819)</w:t>
      </w:r>
    </w:p>
    <w:p w14:paraId="0000000C" w14:textId="77777777" w:rsidR="00042C0F" w:rsidRPr="00784863" w:rsidRDefault="00042C0F" w:rsidP="000D6D65">
      <w:pPr>
        <w:spacing w:line="480" w:lineRule="auto"/>
        <w:rPr>
          <w:sz w:val="28"/>
          <w:szCs w:val="28"/>
          <w:lang w:val="en-US"/>
        </w:rPr>
      </w:pPr>
    </w:p>
    <w:p w14:paraId="0000000D" w14:textId="77777777" w:rsidR="00042C0F" w:rsidRPr="00784863" w:rsidRDefault="00165BB5" w:rsidP="000D6D65">
      <w:pPr>
        <w:spacing w:line="480" w:lineRule="auto"/>
        <w:jc w:val="center"/>
        <w:rPr>
          <w:i/>
          <w:sz w:val="28"/>
          <w:szCs w:val="28"/>
          <w:lang w:val="en-US"/>
        </w:rPr>
      </w:pPr>
      <w:r w:rsidRPr="00784863">
        <w:rPr>
          <w:i/>
          <w:sz w:val="28"/>
          <w:szCs w:val="28"/>
          <w:lang w:val="en-US"/>
        </w:rPr>
        <w:t>Supervisor</w:t>
      </w:r>
    </w:p>
    <w:p w14:paraId="0000000E" w14:textId="4EF4725F" w:rsidR="00042C0F" w:rsidRPr="007424A1" w:rsidRDefault="00165BB5" w:rsidP="000D6D65">
      <w:pPr>
        <w:spacing w:line="480" w:lineRule="auto"/>
        <w:jc w:val="center"/>
        <w:rPr>
          <w:sz w:val="28"/>
          <w:szCs w:val="28"/>
          <w:lang w:val="en-US"/>
        </w:rPr>
      </w:pPr>
      <w:r w:rsidRPr="007424A1">
        <w:rPr>
          <w:sz w:val="28"/>
          <w:szCs w:val="28"/>
          <w:lang w:val="en-US"/>
        </w:rPr>
        <w:t>Iris van Dijk</w:t>
      </w:r>
      <w:r w:rsidR="004E4FE3" w:rsidRPr="007424A1">
        <w:rPr>
          <w:sz w:val="28"/>
          <w:szCs w:val="28"/>
          <w:lang w:val="en-US"/>
        </w:rPr>
        <w:t>, MSc</w:t>
      </w:r>
    </w:p>
    <w:p w14:paraId="0000000F" w14:textId="77777777" w:rsidR="00042C0F" w:rsidRPr="007424A1" w:rsidRDefault="00042C0F" w:rsidP="000D6D65">
      <w:pPr>
        <w:spacing w:line="480" w:lineRule="auto"/>
        <w:jc w:val="center"/>
        <w:rPr>
          <w:sz w:val="28"/>
          <w:szCs w:val="28"/>
          <w:lang w:val="en-US"/>
        </w:rPr>
      </w:pPr>
    </w:p>
    <w:p w14:paraId="00000010" w14:textId="77777777" w:rsidR="00042C0F" w:rsidRPr="007424A1" w:rsidRDefault="00165BB5" w:rsidP="000D6D65">
      <w:pPr>
        <w:spacing w:line="480" w:lineRule="auto"/>
        <w:jc w:val="center"/>
        <w:rPr>
          <w:sz w:val="28"/>
          <w:szCs w:val="28"/>
          <w:lang w:val="en-US"/>
        </w:rPr>
      </w:pPr>
      <w:r w:rsidRPr="007424A1">
        <w:rPr>
          <w:i/>
          <w:sz w:val="28"/>
          <w:szCs w:val="28"/>
          <w:lang w:val="en-US"/>
        </w:rPr>
        <w:t>Second examiner</w:t>
      </w:r>
      <w:r w:rsidRPr="007424A1">
        <w:rPr>
          <w:sz w:val="28"/>
          <w:szCs w:val="28"/>
          <w:lang w:val="en-US"/>
        </w:rPr>
        <w:t xml:space="preserve"> </w:t>
      </w:r>
    </w:p>
    <w:p w14:paraId="00000011" w14:textId="465CBC55" w:rsidR="00042C0F" w:rsidRPr="00784863" w:rsidRDefault="00A827C1" w:rsidP="000D6D65">
      <w:pPr>
        <w:spacing w:line="480" w:lineRule="auto"/>
        <w:jc w:val="center"/>
        <w:rPr>
          <w:sz w:val="28"/>
          <w:szCs w:val="28"/>
          <w:lang w:val="en-US"/>
        </w:rPr>
      </w:pPr>
      <w:r>
        <w:rPr>
          <w:sz w:val="28"/>
          <w:szCs w:val="28"/>
          <w:lang w:val="en-US"/>
        </w:rPr>
        <w:t xml:space="preserve">Dr. </w:t>
      </w:r>
      <w:proofErr w:type="spellStart"/>
      <w:r w:rsidR="006245FE">
        <w:rPr>
          <w:sz w:val="28"/>
          <w:szCs w:val="28"/>
          <w:lang w:val="en-US"/>
        </w:rPr>
        <w:t>Angelos</w:t>
      </w:r>
      <w:proofErr w:type="spellEnd"/>
      <w:r w:rsidR="006245FE">
        <w:rPr>
          <w:sz w:val="28"/>
          <w:szCs w:val="28"/>
          <w:lang w:val="en-US"/>
        </w:rPr>
        <w:t xml:space="preserve"> </w:t>
      </w:r>
      <w:proofErr w:type="spellStart"/>
      <w:r w:rsidR="006245FE">
        <w:rPr>
          <w:sz w:val="28"/>
          <w:szCs w:val="28"/>
          <w:lang w:val="en-US"/>
        </w:rPr>
        <w:t>Krypotos</w:t>
      </w:r>
      <w:proofErr w:type="spellEnd"/>
    </w:p>
    <w:p w14:paraId="00000012" w14:textId="77777777" w:rsidR="00042C0F" w:rsidRPr="00784863" w:rsidRDefault="00042C0F" w:rsidP="000D6D65">
      <w:pPr>
        <w:spacing w:line="480" w:lineRule="auto"/>
        <w:jc w:val="center"/>
        <w:rPr>
          <w:sz w:val="28"/>
          <w:szCs w:val="28"/>
          <w:lang w:val="en-US"/>
        </w:rPr>
      </w:pPr>
    </w:p>
    <w:p w14:paraId="00000013" w14:textId="04EC33DB" w:rsidR="00042C0F" w:rsidRPr="00784863" w:rsidRDefault="00165BB5" w:rsidP="000D6D65">
      <w:pPr>
        <w:spacing w:line="480" w:lineRule="auto"/>
        <w:jc w:val="center"/>
        <w:rPr>
          <w:sz w:val="28"/>
          <w:szCs w:val="28"/>
          <w:lang w:val="en-US"/>
        </w:rPr>
      </w:pPr>
      <w:r w:rsidRPr="00784863">
        <w:rPr>
          <w:sz w:val="28"/>
          <w:szCs w:val="28"/>
          <w:lang w:val="en-US"/>
        </w:rPr>
        <w:t>2</w:t>
      </w:r>
      <w:r w:rsidR="00DA39A9">
        <w:rPr>
          <w:sz w:val="28"/>
          <w:szCs w:val="28"/>
          <w:lang w:val="en-US"/>
        </w:rPr>
        <w:t>4</w:t>
      </w:r>
      <w:r w:rsidR="0052761B">
        <w:rPr>
          <w:sz w:val="28"/>
          <w:szCs w:val="28"/>
          <w:lang w:val="en-US"/>
        </w:rPr>
        <w:t xml:space="preserve"> June</w:t>
      </w:r>
      <w:r w:rsidRPr="00784863">
        <w:rPr>
          <w:sz w:val="28"/>
          <w:szCs w:val="28"/>
          <w:lang w:val="en-US"/>
        </w:rPr>
        <w:t>, 2021</w:t>
      </w:r>
    </w:p>
    <w:p w14:paraId="00000014" w14:textId="77777777" w:rsidR="00042C0F" w:rsidRPr="00784863" w:rsidRDefault="00042C0F" w:rsidP="000D6D65">
      <w:pPr>
        <w:spacing w:line="480" w:lineRule="auto"/>
        <w:jc w:val="center"/>
        <w:rPr>
          <w:b/>
          <w:sz w:val="28"/>
          <w:szCs w:val="28"/>
          <w:lang w:val="en-US"/>
        </w:rPr>
      </w:pPr>
    </w:p>
    <w:p w14:paraId="00000015" w14:textId="77777777" w:rsidR="00042C0F" w:rsidRPr="00784863" w:rsidRDefault="00165BB5" w:rsidP="000D6D65">
      <w:pPr>
        <w:spacing w:line="480" w:lineRule="auto"/>
        <w:jc w:val="center"/>
        <w:rPr>
          <w:sz w:val="28"/>
          <w:szCs w:val="28"/>
          <w:lang w:val="en-US"/>
        </w:rPr>
      </w:pPr>
      <w:r w:rsidRPr="00784863">
        <w:rPr>
          <w:sz w:val="28"/>
          <w:szCs w:val="28"/>
          <w:lang w:val="en-US"/>
        </w:rPr>
        <w:t>20 EC</w:t>
      </w:r>
    </w:p>
    <w:p w14:paraId="00000016" w14:textId="77777777" w:rsidR="00042C0F" w:rsidRPr="00784863" w:rsidRDefault="00042C0F" w:rsidP="000D6D65">
      <w:pPr>
        <w:spacing w:line="480" w:lineRule="auto"/>
        <w:jc w:val="center"/>
        <w:rPr>
          <w:sz w:val="28"/>
          <w:szCs w:val="28"/>
          <w:lang w:val="en-US"/>
        </w:rPr>
      </w:pPr>
    </w:p>
    <w:p w14:paraId="00000017" w14:textId="28B0B739" w:rsidR="00042C0F" w:rsidRPr="00784863" w:rsidRDefault="00165BB5" w:rsidP="000D6D65">
      <w:pPr>
        <w:spacing w:line="480" w:lineRule="auto"/>
        <w:jc w:val="center"/>
        <w:rPr>
          <w:sz w:val="28"/>
          <w:szCs w:val="28"/>
          <w:lang w:val="en-US"/>
        </w:rPr>
      </w:pPr>
      <w:r w:rsidRPr="00784863">
        <w:rPr>
          <w:sz w:val="28"/>
          <w:szCs w:val="28"/>
          <w:lang w:val="en-US"/>
        </w:rPr>
        <w:t xml:space="preserve">Word count: </w:t>
      </w:r>
      <w:r w:rsidR="00D246A5">
        <w:rPr>
          <w:sz w:val="28"/>
          <w:szCs w:val="28"/>
          <w:lang w:val="en-US"/>
        </w:rPr>
        <w:t>4842</w:t>
      </w:r>
    </w:p>
    <w:p w14:paraId="24841BE6" w14:textId="77777777" w:rsidR="000D6D65" w:rsidRPr="00784863" w:rsidRDefault="000D6D65">
      <w:pPr>
        <w:spacing w:line="360" w:lineRule="auto"/>
        <w:rPr>
          <w:b/>
          <w:sz w:val="32"/>
          <w:szCs w:val="32"/>
          <w:lang w:val="en-US"/>
        </w:rPr>
      </w:pPr>
    </w:p>
    <w:p w14:paraId="0000001E" w14:textId="2D2E6284" w:rsidR="00042C0F" w:rsidRPr="00AF507D" w:rsidRDefault="00165BB5" w:rsidP="00AF507D">
      <w:pPr>
        <w:spacing w:line="480" w:lineRule="auto"/>
        <w:jc w:val="center"/>
        <w:rPr>
          <w:b/>
          <w:color w:val="000000" w:themeColor="text1"/>
          <w:lang w:val="en-US"/>
        </w:rPr>
      </w:pPr>
      <w:r w:rsidRPr="00AF507D">
        <w:rPr>
          <w:b/>
          <w:color w:val="000000" w:themeColor="text1"/>
          <w:lang w:val="en-US"/>
        </w:rPr>
        <w:lastRenderedPageBreak/>
        <w:t>Abstract</w:t>
      </w:r>
    </w:p>
    <w:p w14:paraId="67862AEE" w14:textId="2129E985" w:rsidR="00D81520" w:rsidRPr="00AF507D" w:rsidRDefault="00D81520" w:rsidP="00AF507D">
      <w:pPr>
        <w:spacing w:line="480" w:lineRule="auto"/>
        <w:jc w:val="center"/>
        <w:rPr>
          <w:b/>
          <w:color w:val="000000" w:themeColor="text1"/>
          <w:lang w:val="en-US"/>
        </w:rPr>
      </w:pPr>
    </w:p>
    <w:p w14:paraId="5FF04CDC" w14:textId="43E0C70C" w:rsidR="00D81520" w:rsidRPr="00AF507D" w:rsidRDefault="00D81520" w:rsidP="00AF507D">
      <w:pPr>
        <w:spacing w:line="480" w:lineRule="auto"/>
        <w:rPr>
          <w:bCs/>
          <w:i/>
          <w:iCs/>
          <w:color w:val="000000" w:themeColor="text1"/>
          <w:lang w:val="en-US"/>
        </w:rPr>
      </w:pPr>
      <w:r w:rsidRPr="00AF507D">
        <w:rPr>
          <w:bCs/>
          <w:i/>
          <w:iCs/>
          <w:color w:val="000000" w:themeColor="text1"/>
          <w:lang w:val="en-US"/>
        </w:rPr>
        <w:t xml:space="preserve">Introduction. </w:t>
      </w:r>
      <w:r w:rsidR="002306B4" w:rsidRPr="00AF507D">
        <w:rPr>
          <w:bCs/>
          <w:color w:val="000000" w:themeColor="text1"/>
          <w:lang w:val="en-US"/>
        </w:rPr>
        <w:t>Research has focused on the extent to which pathological grief and depression are distinct disorder</w:t>
      </w:r>
      <w:r w:rsidR="005260E4" w:rsidRPr="00AF507D">
        <w:rPr>
          <w:bCs/>
          <w:color w:val="000000" w:themeColor="text1"/>
          <w:lang w:val="en-US"/>
        </w:rPr>
        <w:t>s. The current study elaborated on this by ex</w:t>
      </w:r>
      <w:r w:rsidR="006D750C" w:rsidRPr="00AF507D">
        <w:rPr>
          <w:bCs/>
          <w:color w:val="000000" w:themeColor="text1"/>
          <w:lang w:val="en-US"/>
        </w:rPr>
        <w:t>am</w:t>
      </w:r>
      <w:r w:rsidR="005260E4" w:rsidRPr="00AF507D">
        <w:rPr>
          <w:bCs/>
          <w:color w:val="000000" w:themeColor="text1"/>
          <w:lang w:val="en-US"/>
        </w:rPr>
        <w:t>ining risk factors associated with pathological grief and depression</w:t>
      </w:r>
      <w:r w:rsidR="00996A20" w:rsidRPr="00AF507D">
        <w:rPr>
          <w:bCs/>
          <w:color w:val="000000" w:themeColor="text1"/>
          <w:lang w:val="en-US"/>
        </w:rPr>
        <w:t xml:space="preserve"> and </w:t>
      </w:r>
      <w:r w:rsidR="001E1744" w:rsidRPr="00AF507D">
        <w:rPr>
          <w:bCs/>
          <w:color w:val="000000" w:themeColor="text1"/>
          <w:lang w:val="en-US"/>
        </w:rPr>
        <w:t>assess</w:t>
      </w:r>
      <w:r w:rsidR="000C74ED" w:rsidRPr="00AF507D">
        <w:rPr>
          <w:bCs/>
          <w:color w:val="000000" w:themeColor="text1"/>
          <w:lang w:val="en-US"/>
        </w:rPr>
        <w:t>ed</w:t>
      </w:r>
      <w:r w:rsidR="00996A20" w:rsidRPr="00AF507D">
        <w:rPr>
          <w:bCs/>
          <w:color w:val="000000" w:themeColor="text1"/>
          <w:lang w:val="en-US"/>
        </w:rPr>
        <w:t xml:space="preserve"> </w:t>
      </w:r>
      <w:r w:rsidR="006D750C" w:rsidRPr="00AF507D">
        <w:rPr>
          <w:bCs/>
          <w:color w:val="000000" w:themeColor="text1"/>
          <w:lang w:val="en-US"/>
        </w:rPr>
        <w:t>how these concepts differ.</w:t>
      </w:r>
      <w:r w:rsidR="005260E4" w:rsidRPr="00AF507D">
        <w:rPr>
          <w:bCs/>
          <w:color w:val="000000" w:themeColor="text1"/>
          <w:lang w:val="en-US"/>
        </w:rPr>
        <w:t xml:space="preserve"> </w:t>
      </w:r>
    </w:p>
    <w:p w14:paraId="25DEA8F7" w14:textId="04F1C3D4" w:rsidR="00D81520" w:rsidRPr="00AF507D" w:rsidRDefault="00D81520" w:rsidP="00AF507D">
      <w:pPr>
        <w:spacing w:line="480" w:lineRule="auto"/>
        <w:rPr>
          <w:bCs/>
          <w:color w:val="000000" w:themeColor="text1"/>
          <w:lang w:val="en-US"/>
        </w:rPr>
      </w:pPr>
      <w:r w:rsidRPr="00AF507D">
        <w:rPr>
          <w:bCs/>
          <w:i/>
          <w:iCs/>
          <w:color w:val="000000" w:themeColor="text1"/>
          <w:lang w:val="en-US"/>
        </w:rPr>
        <w:t xml:space="preserve">Methods. </w:t>
      </w:r>
      <w:r w:rsidR="00174D14" w:rsidRPr="00AF507D">
        <w:rPr>
          <w:bCs/>
          <w:color w:val="000000" w:themeColor="text1"/>
          <w:lang w:val="en-US"/>
        </w:rPr>
        <w:t xml:space="preserve">The current study used existing data from the </w:t>
      </w:r>
      <w:r w:rsidR="000C170F" w:rsidRPr="00AF507D">
        <w:rPr>
          <w:i/>
          <w:color w:val="000000" w:themeColor="text1"/>
          <w:lang w:val="en-US"/>
        </w:rPr>
        <w:t>TGI-CA Assessment after Loss in Europe</w:t>
      </w:r>
      <w:r w:rsidR="000C170F" w:rsidRPr="00AF507D">
        <w:rPr>
          <w:color w:val="000000" w:themeColor="text1"/>
          <w:lang w:val="en-US"/>
        </w:rPr>
        <w:t xml:space="preserve"> (TALE) study (N = 433). All participants were 18 years </w:t>
      </w:r>
      <w:r w:rsidR="00B87B5F" w:rsidRPr="00AF507D">
        <w:rPr>
          <w:color w:val="000000" w:themeColor="text1"/>
          <w:lang w:val="en-US"/>
        </w:rPr>
        <w:t>and</w:t>
      </w:r>
      <w:r w:rsidR="000C170F" w:rsidRPr="00AF507D">
        <w:rPr>
          <w:color w:val="000000" w:themeColor="text1"/>
          <w:lang w:val="en-US"/>
        </w:rPr>
        <w:t xml:space="preserve"> older and had lost a loved one at least six months ago. </w:t>
      </w:r>
      <w:r w:rsidR="0036602F" w:rsidRPr="00AF507D">
        <w:rPr>
          <w:color w:val="000000" w:themeColor="text1"/>
          <w:lang w:val="en-US"/>
        </w:rPr>
        <w:t xml:space="preserve">To assess levels of pathological grief and depression the </w:t>
      </w:r>
      <w:commentRangeStart w:id="0"/>
      <w:r w:rsidR="0036602F" w:rsidRPr="00AF507D">
        <w:rPr>
          <w:color w:val="000000" w:themeColor="text1"/>
          <w:lang w:val="en-US"/>
        </w:rPr>
        <w:t xml:space="preserve">TGI-CA and PHQ-9 </w:t>
      </w:r>
      <w:commentRangeEnd w:id="0"/>
      <w:r w:rsidR="00E42F60">
        <w:rPr>
          <w:rStyle w:val="CommentReference"/>
          <w:rFonts w:ascii="Arial" w:eastAsia="Arial" w:hAnsi="Arial" w:cs="Arial"/>
          <w:lang w:val="nl"/>
        </w:rPr>
        <w:commentReference w:id="0"/>
      </w:r>
      <w:r w:rsidR="0036602F" w:rsidRPr="00AF507D">
        <w:rPr>
          <w:color w:val="000000" w:themeColor="text1"/>
          <w:lang w:val="en-US"/>
        </w:rPr>
        <w:t xml:space="preserve">were used respectively. Separate multiple regression analyses were conducted for both outcome variables. </w:t>
      </w:r>
    </w:p>
    <w:p w14:paraId="603A9264" w14:textId="48521040" w:rsidR="00D81520" w:rsidRPr="00AF507D" w:rsidRDefault="00D81520" w:rsidP="00AF507D">
      <w:pPr>
        <w:spacing w:line="480" w:lineRule="auto"/>
        <w:rPr>
          <w:bCs/>
          <w:color w:val="000000" w:themeColor="text1"/>
          <w:lang w:val="en-US"/>
        </w:rPr>
      </w:pPr>
      <w:r w:rsidRPr="00AF507D">
        <w:rPr>
          <w:bCs/>
          <w:i/>
          <w:iCs/>
          <w:color w:val="000000" w:themeColor="text1"/>
          <w:lang w:val="en-US"/>
        </w:rPr>
        <w:t xml:space="preserve">Results. </w:t>
      </w:r>
      <w:r w:rsidR="00021797" w:rsidRPr="00AF507D">
        <w:rPr>
          <w:bCs/>
          <w:color w:val="000000" w:themeColor="text1"/>
          <w:lang w:val="en-US"/>
        </w:rPr>
        <w:t>The results show that</w:t>
      </w:r>
      <w:r w:rsidR="00021797" w:rsidRPr="00AF507D">
        <w:rPr>
          <w:bCs/>
          <w:i/>
          <w:iCs/>
          <w:color w:val="000000" w:themeColor="text1"/>
          <w:lang w:val="en-US"/>
        </w:rPr>
        <w:t xml:space="preserve"> </w:t>
      </w:r>
      <w:r w:rsidR="00021797" w:rsidRPr="00AF507D">
        <w:rPr>
          <w:bCs/>
          <w:color w:val="000000" w:themeColor="text1"/>
          <w:lang w:val="en-US"/>
        </w:rPr>
        <w:t xml:space="preserve">pathological grief and depression </w:t>
      </w:r>
      <w:r w:rsidR="00583586" w:rsidRPr="00AF507D">
        <w:rPr>
          <w:bCs/>
          <w:color w:val="000000" w:themeColor="text1"/>
          <w:lang w:val="en-US"/>
        </w:rPr>
        <w:t xml:space="preserve">were </w:t>
      </w:r>
      <w:r w:rsidR="00A93AAF" w:rsidRPr="00AF507D">
        <w:rPr>
          <w:bCs/>
          <w:color w:val="000000" w:themeColor="text1"/>
          <w:lang w:val="en-US"/>
        </w:rPr>
        <w:t>both predicted by</w:t>
      </w:r>
      <w:r w:rsidR="00021797" w:rsidRPr="00AF507D">
        <w:rPr>
          <w:bCs/>
          <w:color w:val="000000" w:themeColor="text1"/>
          <w:lang w:val="en-US"/>
        </w:rPr>
        <w:t xml:space="preserve"> the following risk factors: </w:t>
      </w:r>
      <w:r w:rsidR="000A302A" w:rsidRPr="00AF507D">
        <w:rPr>
          <w:color w:val="000000" w:themeColor="text1"/>
          <w:lang w:val="en-US"/>
        </w:rPr>
        <w:t xml:space="preserve">history of psychological support, shorter time since loss and unexpectedness of the loss. </w:t>
      </w:r>
      <w:r w:rsidR="00526131" w:rsidRPr="00AF507D">
        <w:rPr>
          <w:color w:val="000000" w:themeColor="text1"/>
          <w:lang w:val="en-US"/>
        </w:rPr>
        <w:t xml:space="preserve">Additional risk factors were found for pathological grief: </w:t>
      </w:r>
      <w:r w:rsidR="001725FF" w:rsidRPr="00AF507D">
        <w:rPr>
          <w:color w:val="000000" w:themeColor="text1"/>
          <w:lang w:val="en-US"/>
        </w:rPr>
        <w:t xml:space="preserve">loss of a grandparent </w:t>
      </w:r>
      <w:r w:rsidR="006F3B54" w:rsidRPr="00AF507D">
        <w:rPr>
          <w:color w:val="000000" w:themeColor="text1"/>
          <w:lang w:val="en-US"/>
        </w:rPr>
        <w:t xml:space="preserve">compared to ‘other’ </w:t>
      </w:r>
      <w:r w:rsidR="001725FF" w:rsidRPr="00AF507D">
        <w:rPr>
          <w:color w:val="000000" w:themeColor="text1"/>
          <w:lang w:val="en-US"/>
        </w:rPr>
        <w:t>and death due to an unnatural cause.</w:t>
      </w:r>
      <w:r w:rsidR="00F63217" w:rsidRPr="00AF507D">
        <w:rPr>
          <w:color w:val="000000" w:themeColor="text1"/>
          <w:lang w:val="en-US"/>
        </w:rPr>
        <w:t xml:space="preserve"> Other predictors</w:t>
      </w:r>
      <w:r w:rsidR="00FD1145" w:rsidRPr="00AF507D">
        <w:rPr>
          <w:color w:val="000000" w:themeColor="text1"/>
          <w:lang w:val="en-US"/>
        </w:rPr>
        <w:t xml:space="preserve"> used in the analysis</w:t>
      </w:r>
      <w:r w:rsidR="00F63217" w:rsidRPr="00AF507D">
        <w:rPr>
          <w:color w:val="000000" w:themeColor="text1"/>
          <w:lang w:val="en-US"/>
        </w:rPr>
        <w:t xml:space="preserve"> (gender, multiple loss and religious affiliation) showed no results. </w:t>
      </w:r>
    </w:p>
    <w:p w14:paraId="567168B3" w14:textId="4A580AA8" w:rsidR="00D81520" w:rsidRPr="00AF507D" w:rsidRDefault="00D81520" w:rsidP="00AF507D">
      <w:pPr>
        <w:spacing w:line="480" w:lineRule="auto"/>
        <w:rPr>
          <w:bCs/>
          <w:color w:val="000000" w:themeColor="text1"/>
          <w:lang w:val="en-US"/>
        </w:rPr>
      </w:pPr>
      <w:r w:rsidRPr="00AF507D">
        <w:rPr>
          <w:bCs/>
          <w:i/>
          <w:iCs/>
          <w:color w:val="000000" w:themeColor="text1"/>
          <w:lang w:val="en-US"/>
        </w:rPr>
        <w:t>Discussion</w:t>
      </w:r>
      <w:r w:rsidR="00B671C0" w:rsidRPr="00AF507D">
        <w:rPr>
          <w:bCs/>
          <w:i/>
          <w:iCs/>
          <w:color w:val="000000" w:themeColor="text1"/>
          <w:lang w:val="en-US"/>
        </w:rPr>
        <w:t>.</w:t>
      </w:r>
      <w:r w:rsidR="00DC2838" w:rsidRPr="00AF507D">
        <w:rPr>
          <w:bCs/>
          <w:color w:val="000000" w:themeColor="text1"/>
          <w:lang w:val="en-US"/>
        </w:rPr>
        <w:t xml:space="preserve"> This study examine</w:t>
      </w:r>
      <w:r w:rsidR="00537B05" w:rsidRPr="00AF507D">
        <w:rPr>
          <w:bCs/>
          <w:color w:val="000000" w:themeColor="text1"/>
          <w:lang w:val="en-US"/>
        </w:rPr>
        <w:t xml:space="preserve">d </w:t>
      </w:r>
      <w:r w:rsidR="00DC2838" w:rsidRPr="00AF507D">
        <w:rPr>
          <w:bCs/>
          <w:color w:val="000000" w:themeColor="text1"/>
          <w:lang w:val="en-US"/>
        </w:rPr>
        <w:t>and compare</w:t>
      </w:r>
      <w:r w:rsidR="00537B05" w:rsidRPr="00AF507D">
        <w:rPr>
          <w:bCs/>
          <w:color w:val="000000" w:themeColor="text1"/>
          <w:lang w:val="en-US"/>
        </w:rPr>
        <w:t>d</w:t>
      </w:r>
      <w:r w:rsidR="00B671C0" w:rsidRPr="00AF507D">
        <w:rPr>
          <w:bCs/>
          <w:i/>
          <w:iCs/>
          <w:color w:val="000000" w:themeColor="text1"/>
          <w:lang w:val="en-US"/>
        </w:rPr>
        <w:t xml:space="preserve"> </w:t>
      </w:r>
      <w:r w:rsidR="00B671C0" w:rsidRPr="00AF507D">
        <w:rPr>
          <w:bCs/>
          <w:color w:val="000000" w:themeColor="text1"/>
          <w:lang w:val="en-US"/>
        </w:rPr>
        <w:t>risk factors between pathological grief and depression</w:t>
      </w:r>
      <w:r w:rsidR="00630CF8" w:rsidRPr="00AF507D">
        <w:rPr>
          <w:bCs/>
          <w:color w:val="000000" w:themeColor="text1"/>
          <w:lang w:val="en-US"/>
        </w:rPr>
        <w:t xml:space="preserve"> in a general sample</w:t>
      </w:r>
      <w:r w:rsidR="00B671C0" w:rsidRPr="00AF507D">
        <w:rPr>
          <w:bCs/>
          <w:color w:val="000000" w:themeColor="text1"/>
          <w:lang w:val="en-US"/>
        </w:rPr>
        <w:t xml:space="preserve">. </w:t>
      </w:r>
      <w:r w:rsidR="00FA7A6F" w:rsidRPr="00AF507D">
        <w:rPr>
          <w:bCs/>
          <w:color w:val="000000" w:themeColor="text1"/>
          <w:lang w:val="en-US"/>
        </w:rPr>
        <w:t xml:space="preserve">Pathological grief and depression show </w:t>
      </w:r>
      <w:r w:rsidR="009A4AD9">
        <w:rPr>
          <w:bCs/>
          <w:color w:val="000000" w:themeColor="text1"/>
          <w:lang w:val="en-US"/>
        </w:rPr>
        <w:t xml:space="preserve">some </w:t>
      </w:r>
      <w:r w:rsidR="00FA7A6F" w:rsidRPr="00AF507D">
        <w:rPr>
          <w:bCs/>
          <w:color w:val="000000" w:themeColor="text1"/>
          <w:lang w:val="en-US"/>
        </w:rPr>
        <w:t xml:space="preserve">overlap in risk factors, however </w:t>
      </w:r>
      <w:r w:rsidR="009D5F5A" w:rsidRPr="00AF507D">
        <w:rPr>
          <w:bCs/>
          <w:color w:val="000000" w:themeColor="text1"/>
          <w:lang w:val="en-US"/>
        </w:rPr>
        <w:t xml:space="preserve">additional risk factors for pathological grief indicate that the two are distinct disorders. </w:t>
      </w:r>
      <w:r w:rsidR="00E818A9" w:rsidRPr="00AF507D">
        <w:rPr>
          <w:bCs/>
          <w:color w:val="000000" w:themeColor="text1"/>
          <w:lang w:val="en-US"/>
        </w:rPr>
        <w:t xml:space="preserve">The results have clinical implications </w:t>
      </w:r>
      <w:r w:rsidR="005F6D08" w:rsidRPr="00AF507D">
        <w:rPr>
          <w:bCs/>
          <w:color w:val="000000" w:themeColor="text1"/>
          <w:lang w:val="en-US"/>
        </w:rPr>
        <w:t>for early screening and intervening purposes</w:t>
      </w:r>
      <w:r w:rsidR="0009097E">
        <w:rPr>
          <w:bCs/>
          <w:color w:val="000000" w:themeColor="text1"/>
          <w:lang w:val="en-US"/>
        </w:rPr>
        <w:t>.</w:t>
      </w:r>
      <w:r w:rsidR="00E367D1">
        <w:rPr>
          <w:bCs/>
          <w:color w:val="000000" w:themeColor="text1"/>
          <w:lang w:val="en-US"/>
        </w:rPr>
        <w:t xml:space="preserve"> </w:t>
      </w:r>
      <w:r w:rsidR="00C34194">
        <w:rPr>
          <w:bCs/>
          <w:color w:val="000000" w:themeColor="text1"/>
          <w:lang w:val="en-US"/>
        </w:rPr>
        <w:t>Furthermore, this study</w:t>
      </w:r>
      <w:r w:rsidR="0079685B">
        <w:rPr>
          <w:bCs/>
          <w:color w:val="000000" w:themeColor="text1"/>
          <w:lang w:val="en-US"/>
        </w:rPr>
        <w:t xml:space="preserve"> adds to the scientific literature </w:t>
      </w:r>
      <w:r w:rsidR="00517851">
        <w:rPr>
          <w:bCs/>
          <w:color w:val="000000" w:themeColor="text1"/>
          <w:lang w:val="en-US"/>
        </w:rPr>
        <w:t>of</w:t>
      </w:r>
      <w:r w:rsidR="00C14A88">
        <w:rPr>
          <w:bCs/>
          <w:color w:val="000000" w:themeColor="text1"/>
          <w:lang w:val="en-US"/>
        </w:rPr>
        <w:t xml:space="preserve"> depression and pathological grief being two distinct disorders. </w:t>
      </w:r>
      <w:r w:rsidR="00FB4A8F" w:rsidRPr="00AF507D">
        <w:rPr>
          <w:bCs/>
          <w:color w:val="000000" w:themeColor="text1"/>
          <w:lang w:val="en-US"/>
        </w:rPr>
        <w:t>Limitations of the study and r</w:t>
      </w:r>
      <w:r w:rsidR="00B671C0" w:rsidRPr="00AF507D">
        <w:rPr>
          <w:bCs/>
          <w:color w:val="000000" w:themeColor="text1"/>
          <w:lang w:val="en-US"/>
        </w:rPr>
        <w:t xml:space="preserve">ecommendations for future research are being discussed.  </w:t>
      </w:r>
    </w:p>
    <w:p w14:paraId="6DB53CD3" w14:textId="14EC3B42" w:rsidR="009A4AD9" w:rsidRDefault="002E4869" w:rsidP="00517851">
      <w:pPr>
        <w:spacing w:line="480" w:lineRule="auto"/>
        <w:ind w:firstLine="720"/>
        <w:rPr>
          <w:bCs/>
          <w:i/>
          <w:iCs/>
          <w:color w:val="000000" w:themeColor="text1"/>
          <w:lang w:val="en-US"/>
        </w:rPr>
      </w:pPr>
      <w:r w:rsidRPr="00AF507D">
        <w:rPr>
          <w:bCs/>
          <w:i/>
          <w:iCs/>
          <w:color w:val="000000" w:themeColor="text1"/>
          <w:lang w:val="en-US"/>
        </w:rPr>
        <w:t xml:space="preserve">Keywords: pathological grief, depression, </w:t>
      </w:r>
      <w:r w:rsidR="000C2CAE" w:rsidRPr="00AF507D">
        <w:rPr>
          <w:bCs/>
          <w:i/>
          <w:iCs/>
          <w:color w:val="000000" w:themeColor="text1"/>
          <w:lang w:val="en-US"/>
        </w:rPr>
        <w:t xml:space="preserve">TGI-CA, PHQ-9, comparing </w:t>
      </w:r>
      <w:r w:rsidRPr="00AF507D">
        <w:rPr>
          <w:bCs/>
          <w:i/>
          <w:iCs/>
          <w:color w:val="000000" w:themeColor="text1"/>
          <w:lang w:val="en-US"/>
        </w:rPr>
        <w:t>risk factors, multiple regression</w:t>
      </w:r>
    </w:p>
    <w:p w14:paraId="45AA0002" w14:textId="77777777" w:rsidR="00517851" w:rsidRPr="00517851" w:rsidRDefault="00517851" w:rsidP="00517851">
      <w:pPr>
        <w:spacing w:line="480" w:lineRule="auto"/>
        <w:ind w:firstLine="720"/>
        <w:rPr>
          <w:bCs/>
          <w:i/>
          <w:iCs/>
          <w:color w:val="000000" w:themeColor="text1"/>
          <w:lang w:val="en-US"/>
        </w:rPr>
      </w:pPr>
    </w:p>
    <w:p w14:paraId="00000036" w14:textId="66FBE710" w:rsidR="00042C0F" w:rsidRPr="00AF507D" w:rsidRDefault="00165BB5" w:rsidP="00AF507D">
      <w:pPr>
        <w:spacing w:line="480" w:lineRule="auto"/>
        <w:jc w:val="center"/>
        <w:rPr>
          <w:b/>
          <w:color w:val="000000" w:themeColor="text1"/>
          <w:lang w:val="en-US"/>
        </w:rPr>
      </w:pPr>
      <w:r w:rsidRPr="00AF507D">
        <w:rPr>
          <w:b/>
          <w:color w:val="000000" w:themeColor="text1"/>
          <w:lang w:val="en-US"/>
        </w:rPr>
        <w:lastRenderedPageBreak/>
        <w:t xml:space="preserve">Introduction </w:t>
      </w:r>
    </w:p>
    <w:p w14:paraId="00000037" w14:textId="77777777" w:rsidR="00042C0F" w:rsidRPr="00AF507D" w:rsidRDefault="00042C0F" w:rsidP="00AF507D">
      <w:pPr>
        <w:spacing w:line="480" w:lineRule="auto"/>
        <w:rPr>
          <w:bCs/>
          <w:color w:val="000000" w:themeColor="text1"/>
          <w:lang w:val="en-US"/>
        </w:rPr>
      </w:pPr>
    </w:p>
    <w:p w14:paraId="6D66A818" w14:textId="2BCAA18E" w:rsidR="00110563" w:rsidRPr="00AF507D" w:rsidRDefault="00165BB5" w:rsidP="00AF507D">
      <w:pPr>
        <w:spacing w:line="480" w:lineRule="auto"/>
        <w:ind w:firstLine="720"/>
        <w:rPr>
          <w:color w:val="000000" w:themeColor="text1"/>
          <w:lang w:val="en-US"/>
        </w:rPr>
      </w:pPr>
      <w:r w:rsidRPr="00AF507D">
        <w:rPr>
          <w:color w:val="000000" w:themeColor="text1"/>
          <w:lang w:val="en-US"/>
        </w:rPr>
        <w:t xml:space="preserve">There is variation in how people respond to the death of a loved one. Most people experience little disruption and return to pre-loss levels of functioning relatively soon after a loss (Boelen &amp; </w:t>
      </w:r>
      <w:proofErr w:type="spellStart"/>
      <w:r w:rsidRPr="00AF507D">
        <w:rPr>
          <w:color w:val="000000" w:themeColor="text1"/>
          <w:lang w:val="en-US"/>
        </w:rPr>
        <w:t>Lenferink</w:t>
      </w:r>
      <w:proofErr w:type="spellEnd"/>
      <w:r w:rsidRPr="00AF507D">
        <w:rPr>
          <w:color w:val="000000" w:themeColor="text1"/>
          <w:lang w:val="en-US"/>
        </w:rPr>
        <w:t xml:space="preserve">, 2019; </w:t>
      </w:r>
      <w:proofErr w:type="spellStart"/>
      <w:r w:rsidRPr="00AF507D">
        <w:rPr>
          <w:color w:val="000000" w:themeColor="text1"/>
          <w:lang w:val="en-US"/>
        </w:rPr>
        <w:t>Bonanno</w:t>
      </w:r>
      <w:proofErr w:type="spellEnd"/>
      <w:r w:rsidRPr="00AF507D">
        <w:rPr>
          <w:color w:val="000000" w:themeColor="text1"/>
          <w:lang w:val="en-US"/>
        </w:rPr>
        <w:t xml:space="preserve"> et al., 2007). However, a significant minority of approximately 10% develops persistent and disabling grief symptoms that result in pathological grief (</w:t>
      </w:r>
      <w:proofErr w:type="spellStart"/>
      <w:r w:rsidRPr="00AF507D">
        <w:rPr>
          <w:color w:val="000000" w:themeColor="text1"/>
          <w:lang w:val="en-US"/>
        </w:rPr>
        <w:t>Lundorf</w:t>
      </w:r>
      <w:r w:rsidR="00590505" w:rsidRPr="00AF507D">
        <w:rPr>
          <w:color w:val="000000" w:themeColor="text1"/>
          <w:lang w:val="en-US"/>
        </w:rPr>
        <w:t>f</w:t>
      </w:r>
      <w:proofErr w:type="spellEnd"/>
      <w:r w:rsidRPr="00AF507D">
        <w:rPr>
          <w:color w:val="000000" w:themeColor="text1"/>
          <w:lang w:val="en-US"/>
        </w:rPr>
        <w:t xml:space="preserve"> et al., 2017). This percentage is as high as 50% in people that have experienced an unnatural loss (e.g., death due to an accident or suicide; </w:t>
      </w:r>
      <w:proofErr w:type="spellStart"/>
      <w:r w:rsidRPr="00AF507D">
        <w:rPr>
          <w:color w:val="000000" w:themeColor="text1"/>
          <w:lang w:val="en-US"/>
        </w:rPr>
        <w:t>Djelantik</w:t>
      </w:r>
      <w:proofErr w:type="spellEnd"/>
      <w:r w:rsidRPr="00AF507D">
        <w:rPr>
          <w:color w:val="000000" w:themeColor="text1"/>
          <w:lang w:val="en-US"/>
        </w:rPr>
        <w:t xml:space="preserve"> et al., 2020). Pathological grief is characterized by intense yearning and longing for the deceased, preoccupation with the deceased</w:t>
      </w:r>
      <w:r w:rsidR="006705C3" w:rsidRPr="00AF507D">
        <w:rPr>
          <w:color w:val="000000" w:themeColor="text1"/>
          <w:lang w:val="en-US"/>
        </w:rPr>
        <w:t>,</w:t>
      </w:r>
      <w:r w:rsidRPr="00AF507D">
        <w:rPr>
          <w:color w:val="000000" w:themeColor="text1"/>
          <w:lang w:val="en-US"/>
        </w:rPr>
        <w:t xml:space="preserve"> and difficulty accepting the loss (Boelen &amp; </w:t>
      </w:r>
      <w:proofErr w:type="spellStart"/>
      <w:r w:rsidRPr="00AF507D">
        <w:rPr>
          <w:color w:val="000000" w:themeColor="text1"/>
          <w:lang w:val="en-US"/>
        </w:rPr>
        <w:t>Smid</w:t>
      </w:r>
      <w:proofErr w:type="spellEnd"/>
      <w:r w:rsidRPr="00AF507D">
        <w:rPr>
          <w:color w:val="000000" w:themeColor="text1"/>
          <w:lang w:val="en-US"/>
        </w:rPr>
        <w:t xml:space="preserve">, 2017a). </w:t>
      </w:r>
    </w:p>
    <w:p w14:paraId="6B361469" w14:textId="182EC822" w:rsidR="00110563" w:rsidRPr="00AF507D" w:rsidRDefault="00165BB5" w:rsidP="00AF507D">
      <w:pPr>
        <w:spacing w:line="480" w:lineRule="auto"/>
        <w:rPr>
          <w:color w:val="000000" w:themeColor="text1"/>
          <w:lang w:val="en-US"/>
        </w:rPr>
      </w:pPr>
      <w:r w:rsidRPr="00AF507D">
        <w:rPr>
          <w:color w:val="000000" w:themeColor="text1"/>
          <w:lang w:val="en-US"/>
        </w:rPr>
        <w:tab/>
        <w:t xml:space="preserve">Research has focused on the extent to which pathological grief is distinct from depression. Depression is characterized by depressed mood, negative cognitions and loss of interest or pleasure in almost all activities (American Psychiatric Association (APA), 2013). </w:t>
      </w:r>
      <w:r w:rsidR="0058094E" w:rsidRPr="00AF507D">
        <w:rPr>
          <w:color w:val="000000" w:themeColor="text1"/>
          <w:lang w:val="en-US"/>
        </w:rPr>
        <w:t>Clinicians</w:t>
      </w:r>
      <w:r w:rsidRPr="00AF507D">
        <w:rPr>
          <w:color w:val="000000" w:themeColor="text1"/>
          <w:lang w:val="en-US"/>
        </w:rPr>
        <w:t xml:space="preserve"> have difficulty diagnosing depression in the context of bereavement (</w:t>
      </w:r>
      <w:proofErr w:type="spellStart"/>
      <w:r w:rsidRPr="00AF507D">
        <w:rPr>
          <w:color w:val="000000" w:themeColor="text1"/>
          <w:lang w:val="en-US"/>
        </w:rPr>
        <w:t>Zisook</w:t>
      </w:r>
      <w:proofErr w:type="spellEnd"/>
      <w:r w:rsidRPr="00AF507D">
        <w:rPr>
          <w:color w:val="000000" w:themeColor="text1"/>
          <w:lang w:val="en-US"/>
        </w:rPr>
        <w:t xml:space="preserve"> &amp; Shear, 2009). According to some, depression can explain the psychiatric responses following bereavement and additional diagnostic constructs are unnecessary (Bryant, 2013). </w:t>
      </w:r>
      <w:r w:rsidR="00384385" w:rsidRPr="00AF507D">
        <w:rPr>
          <w:color w:val="000000" w:themeColor="text1"/>
          <w:lang w:val="en-US"/>
        </w:rPr>
        <w:t>G</w:t>
      </w:r>
      <w:r w:rsidRPr="00AF507D">
        <w:rPr>
          <w:color w:val="000000" w:themeColor="text1"/>
          <w:lang w:val="en-US"/>
        </w:rPr>
        <w:t xml:space="preserve">rief symptoms have therefore been assimilated into symptoms of depression </w:t>
      </w:r>
      <w:r w:rsidR="00384385" w:rsidRPr="00AF507D">
        <w:rPr>
          <w:color w:val="000000" w:themeColor="text1"/>
          <w:lang w:val="en-US"/>
        </w:rPr>
        <w:t xml:space="preserve">for some decades </w:t>
      </w:r>
      <w:r w:rsidRPr="00AF507D">
        <w:rPr>
          <w:color w:val="000000" w:themeColor="text1"/>
          <w:lang w:val="en-US"/>
        </w:rPr>
        <w:t>(</w:t>
      </w:r>
      <w:proofErr w:type="spellStart"/>
      <w:r w:rsidRPr="00AF507D">
        <w:rPr>
          <w:color w:val="000000" w:themeColor="text1"/>
          <w:lang w:val="en-US"/>
        </w:rPr>
        <w:t>Kossigan</w:t>
      </w:r>
      <w:proofErr w:type="spellEnd"/>
      <w:r w:rsidRPr="00AF507D">
        <w:rPr>
          <w:color w:val="000000" w:themeColor="text1"/>
          <w:lang w:val="en-US"/>
        </w:rPr>
        <w:t xml:space="preserve"> </w:t>
      </w:r>
      <w:proofErr w:type="spellStart"/>
      <w:r w:rsidRPr="00AF507D">
        <w:rPr>
          <w:color w:val="000000" w:themeColor="text1"/>
          <w:lang w:val="en-US"/>
        </w:rPr>
        <w:t>Kokou-Kpolou</w:t>
      </w:r>
      <w:proofErr w:type="spellEnd"/>
      <w:r w:rsidRPr="00AF507D">
        <w:rPr>
          <w:color w:val="000000" w:themeColor="text1"/>
          <w:lang w:val="en-US"/>
        </w:rPr>
        <w:t xml:space="preserve"> et al., 2021). In</w:t>
      </w:r>
      <w:r w:rsidR="008E6307" w:rsidRPr="00AF507D">
        <w:rPr>
          <w:color w:val="000000" w:themeColor="text1"/>
          <w:lang w:val="en-US"/>
        </w:rPr>
        <w:t xml:space="preserve"> the third edition of the </w:t>
      </w:r>
      <w:r w:rsidR="008E6307" w:rsidRPr="00AF507D">
        <w:rPr>
          <w:i/>
          <w:iCs/>
          <w:color w:val="000000" w:themeColor="text1"/>
          <w:lang w:val="en-US"/>
        </w:rPr>
        <w:t xml:space="preserve">Diagnostic and Statistical </w:t>
      </w:r>
      <w:r w:rsidR="00871254" w:rsidRPr="00AF507D">
        <w:rPr>
          <w:i/>
          <w:iCs/>
          <w:color w:val="000000" w:themeColor="text1"/>
          <w:lang w:val="en-US"/>
        </w:rPr>
        <w:t>Manual of Mental Disorders</w:t>
      </w:r>
      <w:r w:rsidRPr="00AF507D">
        <w:rPr>
          <w:color w:val="000000" w:themeColor="text1"/>
          <w:lang w:val="en-US"/>
        </w:rPr>
        <w:t xml:space="preserve"> (</w:t>
      </w:r>
      <w:r w:rsidR="00871254" w:rsidRPr="00AF507D">
        <w:rPr>
          <w:color w:val="000000" w:themeColor="text1"/>
          <w:lang w:val="en-US"/>
        </w:rPr>
        <w:t xml:space="preserve">DSM-3; </w:t>
      </w:r>
      <w:r w:rsidRPr="00AF507D">
        <w:rPr>
          <w:color w:val="000000" w:themeColor="text1"/>
          <w:lang w:val="en-US"/>
        </w:rPr>
        <w:t xml:space="preserve">APA, 1980) it was noted not to diagnose depression within two months after bereavement to prevent premature labelling (Bryant, 2013). However, this ‘bereavement exclusion’ was removed in DSM-5 since several studies showed that pathological grief and depression are distinguishable syndromes (Boelen et al., 2010; Boelen &amp; </w:t>
      </w:r>
      <w:proofErr w:type="spellStart"/>
      <w:r w:rsidRPr="00AF507D">
        <w:rPr>
          <w:color w:val="000000" w:themeColor="text1"/>
          <w:lang w:val="en-US"/>
        </w:rPr>
        <w:t>Lenferink</w:t>
      </w:r>
      <w:proofErr w:type="spellEnd"/>
      <w:r w:rsidRPr="00AF507D">
        <w:rPr>
          <w:color w:val="000000" w:themeColor="text1"/>
          <w:lang w:val="en-US"/>
        </w:rPr>
        <w:t xml:space="preserve">, 2019; Boelen &amp; van den Bout, 2005; </w:t>
      </w:r>
      <w:proofErr w:type="spellStart"/>
      <w:r w:rsidRPr="00AF507D">
        <w:rPr>
          <w:color w:val="000000" w:themeColor="text1"/>
          <w:lang w:val="en-US"/>
        </w:rPr>
        <w:t>Bonanno</w:t>
      </w:r>
      <w:proofErr w:type="spellEnd"/>
      <w:r w:rsidRPr="00AF507D">
        <w:rPr>
          <w:color w:val="000000" w:themeColor="text1"/>
          <w:lang w:val="en-US"/>
        </w:rPr>
        <w:t xml:space="preserve"> et al., 2007; Pies, 2014). Since then, several classifications for pathological grief have been proposed and some have been adopted by well-known classification systems: Persistent Complex Bereavement </w:t>
      </w:r>
      <w:r w:rsidRPr="00AF507D">
        <w:rPr>
          <w:color w:val="000000" w:themeColor="text1"/>
          <w:lang w:val="en-US"/>
        </w:rPr>
        <w:lastRenderedPageBreak/>
        <w:t>Disorder (PCBD; DSM-5; APA, 2013), Prolonged Grief Disorder (PGD; ICD-11; World Health Organi</w:t>
      </w:r>
      <w:r w:rsidR="002534A2" w:rsidRPr="00AF507D">
        <w:rPr>
          <w:color w:val="000000" w:themeColor="text1"/>
          <w:lang w:val="en-US"/>
        </w:rPr>
        <w:t>z</w:t>
      </w:r>
      <w:r w:rsidRPr="00AF507D">
        <w:rPr>
          <w:color w:val="000000" w:themeColor="text1"/>
          <w:lang w:val="en-US"/>
        </w:rPr>
        <w:t xml:space="preserve">ation (WHO), 2019), Prolonged Grief Disorder (PGD; </w:t>
      </w:r>
      <w:proofErr w:type="spellStart"/>
      <w:r w:rsidRPr="00AF507D">
        <w:rPr>
          <w:color w:val="000000" w:themeColor="text1"/>
          <w:lang w:val="en-US"/>
        </w:rPr>
        <w:t>Prigerson</w:t>
      </w:r>
      <w:proofErr w:type="spellEnd"/>
      <w:r w:rsidRPr="00AF507D">
        <w:rPr>
          <w:color w:val="000000" w:themeColor="text1"/>
          <w:lang w:val="en-US"/>
        </w:rPr>
        <w:t xml:space="preserve"> et al., 2009) and Complicated Grief (CG; Shear et al., 2011). </w:t>
      </w:r>
    </w:p>
    <w:p w14:paraId="3E7B4A5A" w14:textId="1108FE90" w:rsidR="00110563" w:rsidRPr="00AF507D" w:rsidRDefault="0035241A" w:rsidP="00AF507D">
      <w:pPr>
        <w:spacing w:line="480" w:lineRule="auto"/>
        <w:ind w:firstLine="720"/>
        <w:rPr>
          <w:color w:val="000000" w:themeColor="text1"/>
          <w:lang w:val="en-US"/>
        </w:rPr>
      </w:pPr>
      <w:r w:rsidRPr="00AF507D">
        <w:rPr>
          <w:color w:val="000000" w:themeColor="text1"/>
          <w:lang w:val="en-US"/>
        </w:rPr>
        <w:t>Although p</w:t>
      </w:r>
      <w:r w:rsidR="00165BB5" w:rsidRPr="00AF507D">
        <w:rPr>
          <w:color w:val="000000" w:themeColor="text1"/>
          <w:lang w:val="en-US"/>
        </w:rPr>
        <w:t xml:space="preserve">athological grief and depression share some similarities, </w:t>
      </w:r>
      <w:r w:rsidR="002574B8" w:rsidRPr="00AF507D">
        <w:rPr>
          <w:color w:val="000000" w:themeColor="text1"/>
          <w:lang w:val="en-US"/>
        </w:rPr>
        <w:t>they</w:t>
      </w:r>
      <w:r w:rsidR="00165BB5" w:rsidRPr="00AF507D">
        <w:rPr>
          <w:color w:val="000000" w:themeColor="text1"/>
          <w:lang w:val="en-US"/>
        </w:rPr>
        <w:t xml:space="preserve"> also have </w:t>
      </w:r>
      <w:r w:rsidR="002574B8" w:rsidRPr="00AF507D">
        <w:rPr>
          <w:color w:val="000000" w:themeColor="text1"/>
          <w:lang w:val="en-US"/>
        </w:rPr>
        <w:t>important</w:t>
      </w:r>
      <w:r w:rsidR="00165BB5" w:rsidRPr="00AF507D">
        <w:rPr>
          <w:color w:val="000000" w:themeColor="text1"/>
          <w:lang w:val="en-US"/>
        </w:rPr>
        <w:t xml:space="preserve"> key differences (Kristensen et al., 2017). A key difference is that in pathological grief thoughts and emotions continue to circle around the deceased, while in depression these tend to be more </w:t>
      </w:r>
      <w:r w:rsidR="0010352B" w:rsidRPr="00AF507D">
        <w:rPr>
          <w:color w:val="000000" w:themeColor="text1"/>
          <w:lang w:val="en-US"/>
        </w:rPr>
        <w:t>generalized</w:t>
      </w:r>
      <w:r w:rsidR="00165BB5" w:rsidRPr="00AF507D">
        <w:rPr>
          <w:color w:val="000000" w:themeColor="text1"/>
          <w:lang w:val="en-US"/>
        </w:rPr>
        <w:t xml:space="preserve"> and less associated with the loss itself (Kristensen et al., 2017; </w:t>
      </w:r>
      <w:proofErr w:type="spellStart"/>
      <w:r w:rsidR="00165BB5" w:rsidRPr="00AF507D">
        <w:rPr>
          <w:color w:val="000000" w:themeColor="text1"/>
          <w:lang w:val="en-US"/>
        </w:rPr>
        <w:t>Lenferink</w:t>
      </w:r>
      <w:proofErr w:type="spellEnd"/>
      <w:r w:rsidR="00165BB5" w:rsidRPr="00AF507D">
        <w:rPr>
          <w:color w:val="000000" w:themeColor="text1"/>
          <w:lang w:val="en-US"/>
        </w:rPr>
        <w:t xml:space="preserve"> et al., 2017; </w:t>
      </w:r>
      <w:proofErr w:type="spellStart"/>
      <w:r w:rsidR="00165BB5" w:rsidRPr="00AF507D">
        <w:rPr>
          <w:color w:val="000000" w:themeColor="text1"/>
          <w:lang w:val="en-US"/>
        </w:rPr>
        <w:t>Prigerson</w:t>
      </w:r>
      <w:proofErr w:type="spellEnd"/>
      <w:r w:rsidR="00165BB5" w:rsidRPr="00AF507D">
        <w:rPr>
          <w:color w:val="000000" w:themeColor="text1"/>
          <w:lang w:val="en-US"/>
        </w:rPr>
        <w:t xml:space="preserve"> et al., 2009). Intense yearning and longing for the deceased, a core symptom of pathological grief, is not associated with depression. The two constructs also differ in avoidance behavior. Individuals with pathological grief tend to avoid specific places or things that remind them of their loss, however they sometimes actively seek sensory experiences that bring them closer to the deceased. Depression is associated with more general avoidance behavior and social withdrawal. Suicidal thoughts are common in both pathological grief and depression. In pathological grief these thoughts are associated with wishing to be reunited with a loved one, in depression they are associated with the idea of not deserving to live or wanting to put an end to an intolerable situation (Kristensen et al., 2017). </w:t>
      </w:r>
      <w:r w:rsidR="00F45D80" w:rsidRPr="00AF507D">
        <w:rPr>
          <w:color w:val="000000" w:themeColor="text1"/>
          <w:lang w:val="en-US"/>
        </w:rPr>
        <w:t>Furthermore, l</w:t>
      </w:r>
      <w:r w:rsidR="00165BB5" w:rsidRPr="00AF507D">
        <w:rPr>
          <w:color w:val="000000" w:themeColor="text1"/>
          <w:lang w:val="en-US"/>
        </w:rPr>
        <w:t xml:space="preserve">ow self-esteem and self-worth, key symptoms of depression, are not present in pathological grief (Shear, 2012). Parker et al. (2015) conducted a study in which they assessed how clinical features of pathological grief differed from depression. Of the 153 participants, 87% reported that the depressed state they experienced differed from grief. </w:t>
      </w:r>
    </w:p>
    <w:p w14:paraId="6AFA8BAD" w14:textId="78D8935E" w:rsidR="004B069B" w:rsidRPr="00AF507D" w:rsidRDefault="00165BB5" w:rsidP="00AF507D">
      <w:pPr>
        <w:spacing w:line="480" w:lineRule="auto"/>
        <w:ind w:firstLine="720"/>
        <w:rPr>
          <w:color w:val="000000" w:themeColor="text1"/>
          <w:lang w:val="en-US"/>
        </w:rPr>
      </w:pPr>
      <w:r w:rsidRPr="00AF507D">
        <w:rPr>
          <w:color w:val="000000" w:themeColor="text1"/>
          <w:lang w:val="en-US"/>
        </w:rPr>
        <w:t>Since pathological grief and depression are distinct disorders, they may have different risk factors. Knowledge about risk factors for poor bereavement outcomes is growing, however</w:t>
      </w:r>
      <w:r w:rsidR="00CA47B0" w:rsidRPr="00AF507D">
        <w:rPr>
          <w:color w:val="000000" w:themeColor="text1"/>
          <w:lang w:val="en-US"/>
        </w:rPr>
        <w:t>,</w:t>
      </w:r>
      <w:r w:rsidRPr="00AF507D">
        <w:rPr>
          <w:color w:val="000000" w:themeColor="text1"/>
          <w:lang w:val="en-US"/>
        </w:rPr>
        <w:t xml:space="preserve"> there is a need to enhance this knowledge (Boelen &amp; </w:t>
      </w:r>
      <w:proofErr w:type="spellStart"/>
      <w:r w:rsidRPr="00AF507D">
        <w:rPr>
          <w:color w:val="000000" w:themeColor="text1"/>
          <w:lang w:val="en-US"/>
        </w:rPr>
        <w:t>Lenferink</w:t>
      </w:r>
      <w:proofErr w:type="spellEnd"/>
      <w:r w:rsidRPr="00AF507D">
        <w:rPr>
          <w:color w:val="000000" w:themeColor="text1"/>
          <w:lang w:val="en-US"/>
        </w:rPr>
        <w:t xml:space="preserve">, 2019). Several risk factors </w:t>
      </w:r>
      <w:r w:rsidR="00692FFE" w:rsidRPr="00AF507D">
        <w:rPr>
          <w:color w:val="000000" w:themeColor="text1"/>
          <w:lang w:val="en-US"/>
        </w:rPr>
        <w:t xml:space="preserve">for pathological grief </w:t>
      </w:r>
      <w:r w:rsidRPr="00AF507D">
        <w:rPr>
          <w:color w:val="000000" w:themeColor="text1"/>
          <w:lang w:val="en-US"/>
        </w:rPr>
        <w:t xml:space="preserve">have already been identified: close relationship to the deceased, unexpectedness of the loss (Boelen et al., 2019b; Burke &amp; </w:t>
      </w:r>
      <w:proofErr w:type="spellStart"/>
      <w:r w:rsidRPr="00AF507D">
        <w:rPr>
          <w:color w:val="000000" w:themeColor="text1"/>
          <w:lang w:val="en-US"/>
        </w:rPr>
        <w:t>Neimeyer</w:t>
      </w:r>
      <w:proofErr w:type="spellEnd"/>
      <w:r w:rsidRPr="00AF507D">
        <w:rPr>
          <w:color w:val="000000" w:themeColor="text1"/>
          <w:lang w:val="en-US"/>
        </w:rPr>
        <w:t xml:space="preserve">, 2013; Lobb et al., 2010; </w:t>
      </w:r>
      <w:r w:rsidRPr="00AF507D">
        <w:rPr>
          <w:color w:val="000000" w:themeColor="text1"/>
          <w:lang w:val="en-US"/>
        </w:rPr>
        <w:lastRenderedPageBreak/>
        <w:t xml:space="preserve">Shear et al., 2013), cause of death, multiple losses (Burke &amp; </w:t>
      </w:r>
      <w:proofErr w:type="spellStart"/>
      <w:r w:rsidRPr="00AF507D">
        <w:rPr>
          <w:color w:val="000000" w:themeColor="text1"/>
          <w:lang w:val="en-US"/>
        </w:rPr>
        <w:t>Neimeyer</w:t>
      </w:r>
      <w:proofErr w:type="spellEnd"/>
      <w:r w:rsidRPr="00AF507D">
        <w:rPr>
          <w:color w:val="000000" w:themeColor="text1"/>
          <w:lang w:val="en-US"/>
        </w:rPr>
        <w:t xml:space="preserve">, 2013; Lobb et al., 2010; Shear et al., 2013), female gender (Boelen &amp; </w:t>
      </w:r>
      <w:proofErr w:type="spellStart"/>
      <w:r w:rsidRPr="00AF507D">
        <w:rPr>
          <w:color w:val="000000" w:themeColor="text1"/>
          <w:lang w:val="en-US"/>
        </w:rPr>
        <w:t>Lenferink</w:t>
      </w:r>
      <w:proofErr w:type="spellEnd"/>
      <w:r w:rsidR="00E73E10" w:rsidRPr="00AF507D">
        <w:rPr>
          <w:color w:val="000000" w:themeColor="text1"/>
          <w:lang w:val="en-US"/>
        </w:rPr>
        <w:t>,</w:t>
      </w:r>
      <w:r w:rsidRPr="00AF507D">
        <w:rPr>
          <w:color w:val="000000" w:themeColor="text1"/>
          <w:lang w:val="en-US"/>
        </w:rPr>
        <w:t xml:space="preserve"> 2019; Burke &amp; </w:t>
      </w:r>
      <w:proofErr w:type="spellStart"/>
      <w:r w:rsidRPr="00AF507D">
        <w:rPr>
          <w:color w:val="000000" w:themeColor="text1"/>
          <w:lang w:val="en-US"/>
        </w:rPr>
        <w:t>Neimeyer</w:t>
      </w:r>
      <w:proofErr w:type="spellEnd"/>
      <w:r w:rsidRPr="00AF507D">
        <w:rPr>
          <w:color w:val="000000" w:themeColor="text1"/>
          <w:lang w:val="en-US"/>
        </w:rPr>
        <w:t xml:space="preserve">, 2013; Shear et al., 2013), previous psychiatric history (Lobb et al., 2010), and time since loss (Boelen &amp; </w:t>
      </w:r>
      <w:proofErr w:type="spellStart"/>
      <w:r w:rsidRPr="00AF507D">
        <w:rPr>
          <w:color w:val="000000" w:themeColor="text1"/>
          <w:lang w:val="en-US"/>
        </w:rPr>
        <w:t>Lenferink</w:t>
      </w:r>
      <w:proofErr w:type="spellEnd"/>
      <w:r w:rsidRPr="00AF507D">
        <w:rPr>
          <w:color w:val="000000" w:themeColor="text1"/>
          <w:lang w:val="en-US"/>
        </w:rPr>
        <w:t xml:space="preserve">, 2019). Burke and </w:t>
      </w:r>
      <w:proofErr w:type="spellStart"/>
      <w:r w:rsidRPr="00AF507D">
        <w:rPr>
          <w:color w:val="000000" w:themeColor="text1"/>
          <w:lang w:val="en-US"/>
        </w:rPr>
        <w:t>Neimeyer</w:t>
      </w:r>
      <w:proofErr w:type="spellEnd"/>
      <w:r w:rsidRPr="00AF507D">
        <w:rPr>
          <w:color w:val="000000" w:themeColor="text1"/>
          <w:lang w:val="en-US"/>
        </w:rPr>
        <w:t xml:space="preserve"> (2013) conducted a review of empirical literature on risk factors for pathological grief. They found 37 statistically significant risk factors which were divided into different categories. The death- and bereavement-related (e.g., cause of death), relation to the deceased (e.g., kinship), and intrapersonal categories (e.g., attachment style) included the most statistically significant risk factors, followed by survivor’s background. Several researchers have performed latent class analysis (LCA) to define subgroups of bereaved people. </w:t>
      </w:r>
      <w:proofErr w:type="spellStart"/>
      <w:r w:rsidRPr="00AF507D">
        <w:rPr>
          <w:color w:val="000000" w:themeColor="text1"/>
          <w:lang w:val="en-US"/>
        </w:rPr>
        <w:t>Kossigan</w:t>
      </w:r>
      <w:proofErr w:type="spellEnd"/>
      <w:r w:rsidRPr="00AF507D">
        <w:rPr>
          <w:color w:val="000000" w:themeColor="text1"/>
          <w:lang w:val="en-US"/>
        </w:rPr>
        <w:t xml:space="preserve"> </w:t>
      </w:r>
      <w:proofErr w:type="spellStart"/>
      <w:r w:rsidRPr="00AF507D">
        <w:rPr>
          <w:color w:val="000000" w:themeColor="text1"/>
          <w:lang w:val="en-US"/>
        </w:rPr>
        <w:t>Kokou-Kpolou</w:t>
      </w:r>
      <w:proofErr w:type="spellEnd"/>
      <w:r w:rsidRPr="00AF507D">
        <w:rPr>
          <w:color w:val="000000" w:themeColor="text1"/>
          <w:lang w:val="en-US"/>
        </w:rPr>
        <w:t xml:space="preserve"> et al. (2021) found three groups: a resilient class, a predominantly pathological grief class and a combined pathological grief and depression class. </w:t>
      </w:r>
      <w:commentRangeStart w:id="1"/>
      <w:r w:rsidRPr="00AF507D">
        <w:rPr>
          <w:color w:val="000000" w:themeColor="text1"/>
          <w:lang w:val="en-US"/>
        </w:rPr>
        <w:t>The following factors were differential predictors of class membership</w:t>
      </w:r>
      <w:commentRangeEnd w:id="1"/>
      <w:r w:rsidR="00E42F60">
        <w:rPr>
          <w:rStyle w:val="CommentReference"/>
          <w:rFonts w:ascii="Arial" w:eastAsia="Arial" w:hAnsi="Arial" w:cs="Arial"/>
          <w:lang w:val="nl"/>
        </w:rPr>
        <w:commentReference w:id="1"/>
      </w:r>
      <w:r w:rsidRPr="00AF507D">
        <w:rPr>
          <w:color w:val="000000" w:themeColor="text1"/>
          <w:lang w:val="en-US"/>
        </w:rPr>
        <w:t xml:space="preserve">: time since loss, age, religious beliefs and relationship with the deceased. In another LCA from </w:t>
      </w:r>
      <w:proofErr w:type="spellStart"/>
      <w:r w:rsidRPr="00AF507D">
        <w:rPr>
          <w:color w:val="000000" w:themeColor="text1"/>
          <w:lang w:val="en-US"/>
        </w:rPr>
        <w:t>Lenferink</w:t>
      </w:r>
      <w:proofErr w:type="spellEnd"/>
      <w:r w:rsidRPr="00AF507D">
        <w:rPr>
          <w:color w:val="000000" w:themeColor="text1"/>
          <w:lang w:val="en-US"/>
        </w:rPr>
        <w:t xml:space="preserve"> et al. (2017) a sense of </w:t>
      </w:r>
      <w:proofErr w:type="spellStart"/>
      <w:r w:rsidRPr="00AF507D">
        <w:rPr>
          <w:color w:val="000000" w:themeColor="text1"/>
          <w:lang w:val="en-US"/>
        </w:rPr>
        <w:t>unrealness</w:t>
      </w:r>
      <w:proofErr w:type="spellEnd"/>
      <w:r w:rsidRPr="00AF507D">
        <w:rPr>
          <w:color w:val="000000" w:themeColor="text1"/>
          <w:lang w:val="en-US"/>
        </w:rPr>
        <w:t xml:space="preserve"> was the biggest differential feature of the subgroups. The LCA from Boelen et al. (2019b) showed that close relationship to the deceased </w:t>
      </w:r>
      <w:r w:rsidR="00DB0607" w:rsidRPr="00AF507D">
        <w:rPr>
          <w:color w:val="000000" w:themeColor="text1"/>
          <w:lang w:val="en-US"/>
        </w:rPr>
        <w:t xml:space="preserve">(i.e., partner or child) </w:t>
      </w:r>
      <w:r w:rsidRPr="00AF507D">
        <w:rPr>
          <w:color w:val="000000" w:themeColor="text1"/>
          <w:lang w:val="en-US"/>
        </w:rPr>
        <w:t xml:space="preserve">and unexpectedness of the loss were associated with high symptom-level classes. </w:t>
      </w:r>
      <w:r w:rsidR="00C9080A" w:rsidRPr="00AF507D">
        <w:rPr>
          <w:color w:val="000000" w:themeColor="text1"/>
          <w:lang w:val="en-US"/>
        </w:rPr>
        <w:t xml:space="preserve">Previous research into risk factors for depression in the context of bereavement showed that </w:t>
      </w:r>
      <w:r w:rsidR="00314729" w:rsidRPr="00AF507D">
        <w:rPr>
          <w:color w:val="000000" w:themeColor="text1"/>
          <w:lang w:val="en-US"/>
        </w:rPr>
        <w:t>younger age</w:t>
      </w:r>
      <w:r w:rsidR="002C42BE" w:rsidRPr="00AF507D">
        <w:rPr>
          <w:color w:val="000000" w:themeColor="text1"/>
          <w:lang w:val="en-US"/>
        </w:rPr>
        <w:t xml:space="preserve"> and </w:t>
      </w:r>
      <w:r w:rsidR="002C3B82" w:rsidRPr="00AF507D">
        <w:rPr>
          <w:color w:val="000000" w:themeColor="text1"/>
          <w:lang w:val="en-US"/>
        </w:rPr>
        <w:t>poor prior physical and mental health</w:t>
      </w:r>
      <w:r w:rsidR="001376A8" w:rsidRPr="00AF507D">
        <w:rPr>
          <w:color w:val="000000" w:themeColor="text1"/>
          <w:lang w:val="en-US"/>
        </w:rPr>
        <w:t xml:space="preserve"> were important predictors</w:t>
      </w:r>
      <w:r w:rsidR="00314729" w:rsidRPr="00AF507D">
        <w:rPr>
          <w:color w:val="000000" w:themeColor="text1"/>
          <w:lang w:val="en-US"/>
        </w:rPr>
        <w:t xml:space="preserve"> (</w:t>
      </w:r>
      <w:proofErr w:type="spellStart"/>
      <w:r w:rsidR="006D19C8" w:rsidRPr="00AF507D">
        <w:rPr>
          <w:color w:val="000000" w:themeColor="text1"/>
          <w:lang w:val="en-US"/>
        </w:rPr>
        <w:t>McHorney</w:t>
      </w:r>
      <w:proofErr w:type="spellEnd"/>
      <w:r w:rsidR="006D19C8" w:rsidRPr="00AF507D">
        <w:rPr>
          <w:color w:val="000000" w:themeColor="text1"/>
          <w:lang w:val="en-US"/>
        </w:rPr>
        <w:t xml:space="preserve"> </w:t>
      </w:r>
      <w:r w:rsidR="00802B2A" w:rsidRPr="00AF507D">
        <w:rPr>
          <w:color w:val="000000" w:themeColor="text1"/>
          <w:lang w:val="en-US"/>
        </w:rPr>
        <w:t xml:space="preserve">&amp; </w:t>
      </w:r>
      <w:proofErr w:type="spellStart"/>
      <w:r w:rsidR="00802B2A" w:rsidRPr="00AF507D">
        <w:rPr>
          <w:color w:val="000000" w:themeColor="text1"/>
          <w:lang w:val="en-US"/>
        </w:rPr>
        <w:t>Mor</w:t>
      </w:r>
      <w:proofErr w:type="spellEnd"/>
      <w:r w:rsidR="00802B2A" w:rsidRPr="00AF507D">
        <w:rPr>
          <w:color w:val="000000" w:themeColor="text1"/>
          <w:lang w:val="en-US"/>
        </w:rPr>
        <w:t xml:space="preserve">, </w:t>
      </w:r>
      <w:r w:rsidR="006D19C8" w:rsidRPr="00AF507D">
        <w:rPr>
          <w:color w:val="000000" w:themeColor="text1"/>
          <w:lang w:val="en-US"/>
        </w:rPr>
        <w:t>1998;</w:t>
      </w:r>
      <w:r w:rsidR="00314729" w:rsidRPr="00AF507D">
        <w:rPr>
          <w:color w:val="000000" w:themeColor="text1"/>
          <w:lang w:val="en-US"/>
        </w:rPr>
        <w:t xml:space="preserve"> </w:t>
      </w:r>
      <w:proofErr w:type="spellStart"/>
      <w:r w:rsidR="006D19C8" w:rsidRPr="00AF507D">
        <w:rPr>
          <w:color w:val="000000" w:themeColor="text1"/>
          <w:lang w:val="en-US"/>
        </w:rPr>
        <w:t>Onrust</w:t>
      </w:r>
      <w:proofErr w:type="spellEnd"/>
      <w:r w:rsidR="006D19C8" w:rsidRPr="00AF507D">
        <w:rPr>
          <w:color w:val="000000" w:themeColor="text1"/>
          <w:lang w:val="en-US"/>
        </w:rPr>
        <w:t xml:space="preserve"> et al., 2007</w:t>
      </w:r>
      <w:r w:rsidR="00314729" w:rsidRPr="00AF507D">
        <w:rPr>
          <w:color w:val="000000" w:themeColor="text1"/>
          <w:lang w:val="en-US"/>
        </w:rPr>
        <w:t>)</w:t>
      </w:r>
      <w:r w:rsidR="006D19C8" w:rsidRPr="00AF507D">
        <w:rPr>
          <w:color w:val="000000" w:themeColor="text1"/>
          <w:lang w:val="en-US"/>
        </w:rPr>
        <w:t>.</w:t>
      </w:r>
      <w:r w:rsidR="00FF32E8" w:rsidRPr="00AF507D">
        <w:rPr>
          <w:color w:val="000000" w:themeColor="text1"/>
          <w:lang w:val="en-US"/>
        </w:rPr>
        <w:t xml:space="preserve"> Also, shorter time since loss </w:t>
      </w:r>
      <w:r w:rsidR="00D064C2" w:rsidRPr="00AF507D">
        <w:rPr>
          <w:color w:val="000000" w:themeColor="text1"/>
          <w:lang w:val="en-US"/>
        </w:rPr>
        <w:t xml:space="preserve">predicted </w:t>
      </w:r>
      <w:r w:rsidR="00B31EDB" w:rsidRPr="00AF507D">
        <w:rPr>
          <w:color w:val="000000" w:themeColor="text1"/>
          <w:lang w:val="en-US"/>
        </w:rPr>
        <w:t>higher symptom levels of depression (</w:t>
      </w:r>
      <w:proofErr w:type="spellStart"/>
      <w:r w:rsidR="00B31EDB" w:rsidRPr="00AF507D">
        <w:rPr>
          <w:color w:val="000000" w:themeColor="text1"/>
          <w:lang w:val="en-US"/>
        </w:rPr>
        <w:t>Onrust</w:t>
      </w:r>
      <w:proofErr w:type="spellEnd"/>
      <w:r w:rsidR="00B31EDB" w:rsidRPr="00AF507D">
        <w:rPr>
          <w:color w:val="000000" w:themeColor="text1"/>
          <w:lang w:val="en-US"/>
        </w:rPr>
        <w:t xml:space="preserve"> et al., 2007).</w:t>
      </w:r>
    </w:p>
    <w:p w14:paraId="28D19C41" w14:textId="77777777" w:rsidR="0089610D" w:rsidRPr="00AF507D" w:rsidRDefault="00165BB5" w:rsidP="00AF507D">
      <w:pPr>
        <w:spacing w:line="480" w:lineRule="auto"/>
        <w:ind w:firstLine="720"/>
        <w:rPr>
          <w:color w:val="000000" w:themeColor="text1"/>
          <w:lang w:val="en-US"/>
        </w:rPr>
      </w:pPr>
      <w:r w:rsidRPr="00AF507D">
        <w:rPr>
          <w:color w:val="000000" w:themeColor="text1"/>
          <w:lang w:val="en-US"/>
        </w:rPr>
        <w:t xml:space="preserve">To the best of my knowledge few studies have compared risk factors in pathological grief and depression. Studies that have done this specifically focus on pathological grief and depression after loss of a child (Harper et al., 2014; McCarthy et al., 2010; </w:t>
      </w:r>
      <w:proofErr w:type="spellStart"/>
      <w:r w:rsidRPr="00AF507D">
        <w:rPr>
          <w:color w:val="000000" w:themeColor="text1"/>
          <w:lang w:val="en-US"/>
        </w:rPr>
        <w:t>Wijngaards</w:t>
      </w:r>
      <w:proofErr w:type="spellEnd"/>
      <w:r w:rsidRPr="00AF507D">
        <w:rPr>
          <w:color w:val="000000" w:themeColor="text1"/>
          <w:lang w:val="en-US"/>
        </w:rPr>
        <w:t xml:space="preserve">-de Meij et al., 2005). </w:t>
      </w:r>
      <w:proofErr w:type="spellStart"/>
      <w:r w:rsidRPr="00AF507D">
        <w:rPr>
          <w:color w:val="000000" w:themeColor="text1"/>
          <w:lang w:val="en-US"/>
        </w:rPr>
        <w:t>Wijngaards</w:t>
      </w:r>
      <w:proofErr w:type="spellEnd"/>
      <w:r w:rsidRPr="00AF507D">
        <w:rPr>
          <w:color w:val="000000" w:themeColor="text1"/>
          <w:lang w:val="en-US"/>
        </w:rPr>
        <w:t xml:space="preserve">-de Meij et al. (2005) found that pathological grief after loss of a child was mostly predicted by factors that parents share (e.g., cause of death, </w:t>
      </w:r>
      <w:r w:rsidRPr="00AF507D">
        <w:rPr>
          <w:color w:val="000000" w:themeColor="text1"/>
          <w:lang w:val="en-US"/>
        </w:rPr>
        <w:lastRenderedPageBreak/>
        <w:t>unexpectedness, number of remaining children, and age of the child) and depression was predicted by individual factors (e.g., gender, professional help seeking</w:t>
      </w:r>
      <w:r w:rsidR="00452F36" w:rsidRPr="00AF507D">
        <w:rPr>
          <w:color w:val="000000" w:themeColor="text1"/>
          <w:lang w:val="en-US"/>
        </w:rPr>
        <w:t>,</w:t>
      </w:r>
      <w:r w:rsidR="008D7BBB" w:rsidRPr="00AF507D">
        <w:rPr>
          <w:color w:val="000000" w:themeColor="text1"/>
          <w:lang w:val="en-US"/>
        </w:rPr>
        <w:t xml:space="preserve"> and </w:t>
      </w:r>
      <w:r w:rsidRPr="00AF507D">
        <w:rPr>
          <w:color w:val="000000" w:themeColor="text1"/>
          <w:lang w:val="en-US"/>
        </w:rPr>
        <w:t xml:space="preserve">religious affiliation). </w:t>
      </w:r>
    </w:p>
    <w:p w14:paraId="5AECB052" w14:textId="58D61ADE" w:rsidR="00110563" w:rsidRPr="00AF507D" w:rsidRDefault="00165BB5" w:rsidP="00AF507D">
      <w:pPr>
        <w:spacing w:line="480" w:lineRule="auto"/>
        <w:ind w:firstLine="720"/>
        <w:rPr>
          <w:color w:val="000000" w:themeColor="text1"/>
          <w:lang w:val="en-US"/>
        </w:rPr>
      </w:pPr>
      <w:r w:rsidRPr="00AF507D">
        <w:rPr>
          <w:color w:val="000000" w:themeColor="text1"/>
          <w:lang w:val="en-US"/>
        </w:rPr>
        <w:t xml:space="preserve">The current study will more broadly </w:t>
      </w:r>
      <w:r w:rsidR="002409F2" w:rsidRPr="00AF507D">
        <w:rPr>
          <w:color w:val="000000" w:themeColor="text1"/>
          <w:lang w:val="en-US"/>
        </w:rPr>
        <w:t>examine</w:t>
      </w:r>
      <w:r w:rsidRPr="00AF507D">
        <w:rPr>
          <w:color w:val="000000" w:themeColor="text1"/>
          <w:lang w:val="en-US"/>
        </w:rPr>
        <w:t xml:space="preserve"> which risk factors are associated with higher symptom levels of pathological grief or depression. Since pathological grief and depression are distinct disorders, this research will investigate whether they have unique risk factors. Based on the literature the following risk factors will be analyzed: gender, multiple loss, history of </w:t>
      </w:r>
      <w:r w:rsidR="00DC1DA5" w:rsidRPr="00AF507D">
        <w:rPr>
          <w:color w:val="000000" w:themeColor="text1"/>
          <w:lang w:val="en-US"/>
        </w:rPr>
        <w:t xml:space="preserve">psychological </w:t>
      </w:r>
      <w:r w:rsidRPr="00AF507D">
        <w:rPr>
          <w:color w:val="000000" w:themeColor="text1"/>
          <w:lang w:val="en-US"/>
        </w:rPr>
        <w:t xml:space="preserve">support, kinship, cause of death, expectedness, religious affiliation and time since loss. </w:t>
      </w:r>
      <w:r w:rsidR="006E4529" w:rsidRPr="00AF507D">
        <w:rPr>
          <w:color w:val="000000" w:themeColor="text1"/>
          <w:lang w:val="en-US"/>
        </w:rPr>
        <w:t xml:space="preserve">Intrapersonal categories were found to be important in predicting pathological grief symptoms (Burke &amp; </w:t>
      </w:r>
      <w:proofErr w:type="spellStart"/>
      <w:r w:rsidR="006E4529" w:rsidRPr="00AF507D">
        <w:rPr>
          <w:color w:val="000000" w:themeColor="text1"/>
          <w:lang w:val="en-US"/>
        </w:rPr>
        <w:t>Neimeyer</w:t>
      </w:r>
      <w:proofErr w:type="spellEnd"/>
      <w:r w:rsidR="006E4529" w:rsidRPr="00AF507D">
        <w:rPr>
          <w:color w:val="000000" w:themeColor="text1"/>
          <w:lang w:val="en-US"/>
        </w:rPr>
        <w:t xml:space="preserve">, 2013). However, </w:t>
      </w:r>
      <w:commentRangeStart w:id="2"/>
      <w:r w:rsidR="006E4529" w:rsidRPr="00AF507D">
        <w:rPr>
          <w:color w:val="000000" w:themeColor="text1"/>
          <w:lang w:val="en-US"/>
        </w:rPr>
        <w:t xml:space="preserve">the TALE-study </w:t>
      </w:r>
      <w:commentRangeEnd w:id="2"/>
      <w:r w:rsidR="00E42F60">
        <w:rPr>
          <w:rStyle w:val="CommentReference"/>
          <w:rFonts w:ascii="Arial" w:eastAsia="Arial" w:hAnsi="Arial" w:cs="Arial"/>
          <w:lang w:val="nl"/>
        </w:rPr>
        <w:commentReference w:id="2"/>
      </w:r>
      <w:r w:rsidR="006E4529" w:rsidRPr="00AF507D">
        <w:rPr>
          <w:color w:val="000000" w:themeColor="text1"/>
          <w:lang w:val="en-US"/>
        </w:rPr>
        <w:t>does not include measures of intrapersonal categories and therefore these will not be examined in the current study.</w:t>
      </w:r>
    </w:p>
    <w:p w14:paraId="23D98FA6" w14:textId="5BAA618E" w:rsidR="00110563" w:rsidRPr="00AF507D" w:rsidRDefault="00165BB5" w:rsidP="00AF507D">
      <w:pPr>
        <w:spacing w:line="480" w:lineRule="auto"/>
        <w:ind w:firstLine="720"/>
        <w:rPr>
          <w:color w:val="000000" w:themeColor="text1"/>
          <w:lang w:val="en-US"/>
        </w:rPr>
      </w:pPr>
      <w:r w:rsidRPr="00AF507D">
        <w:rPr>
          <w:color w:val="000000" w:themeColor="text1"/>
          <w:lang w:val="en-US"/>
        </w:rPr>
        <w:t xml:space="preserve">Based on previous research it is expected that being female, having experienced multiple losses, having a history of </w:t>
      </w:r>
      <w:r w:rsidR="004D6B7B" w:rsidRPr="00AF507D">
        <w:rPr>
          <w:color w:val="000000" w:themeColor="text1"/>
          <w:lang w:val="en-US"/>
        </w:rPr>
        <w:t xml:space="preserve">psychological </w:t>
      </w:r>
      <w:r w:rsidRPr="00AF507D">
        <w:rPr>
          <w:color w:val="000000" w:themeColor="text1"/>
          <w:lang w:val="en-US"/>
        </w:rPr>
        <w:t xml:space="preserve">support, having a close relationship to the deceased, an unnatural death, high unexpectedness, not being religious and shorter time since loss are associated with higher symptomology in pathological grief and depression. More specifically, </w:t>
      </w:r>
      <w:r w:rsidR="00EC7396" w:rsidRPr="00AF507D">
        <w:rPr>
          <w:color w:val="000000" w:themeColor="text1"/>
          <w:lang w:val="en-US"/>
        </w:rPr>
        <w:t>it is</w:t>
      </w:r>
      <w:r w:rsidRPr="00AF507D">
        <w:rPr>
          <w:color w:val="000000" w:themeColor="text1"/>
          <w:lang w:val="en-US"/>
        </w:rPr>
        <w:t xml:space="preserve"> expected that risk factors associated with the loss (</w:t>
      </w:r>
      <w:r w:rsidR="000C768E" w:rsidRPr="00AF507D">
        <w:rPr>
          <w:color w:val="000000" w:themeColor="text1"/>
          <w:lang w:val="en-US"/>
        </w:rPr>
        <w:t>i.e.</w:t>
      </w:r>
      <w:r w:rsidRPr="00AF507D">
        <w:rPr>
          <w:color w:val="000000" w:themeColor="text1"/>
          <w:lang w:val="en-US"/>
        </w:rPr>
        <w:t>., cause</w:t>
      </w:r>
      <w:r w:rsidR="00680A6C" w:rsidRPr="00AF507D">
        <w:rPr>
          <w:color w:val="000000" w:themeColor="text1"/>
          <w:lang w:val="en-US"/>
        </w:rPr>
        <w:t xml:space="preserve">, kinship </w:t>
      </w:r>
      <w:r w:rsidRPr="00AF507D">
        <w:rPr>
          <w:color w:val="000000" w:themeColor="text1"/>
          <w:lang w:val="en-US"/>
        </w:rPr>
        <w:t>and expectedness) are more related to grief and that risk factors associated with the individual (</w:t>
      </w:r>
      <w:r w:rsidR="000C768E" w:rsidRPr="00AF507D">
        <w:rPr>
          <w:color w:val="000000" w:themeColor="text1"/>
          <w:lang w:val="en-US"/>
        </w:rPr>
        <w:t>i.e</w:t>
      </w:r>
      <w:r w:rsidRPr="00AF507D">
        <w:rPr>
          <w:color w:val="000000" w:themeColor="text1"/>
          <w:lang w:val="en-US"/>
        </w:rPr>
        <w:t>., gende</w:t>
      </w:r>
      <w:r w:rsidR="000C768E" w:rsidRPr="00AF507D">
        <w:rPr>
          <w:color w:val="000000" w:themeColor="text1"/>
          <w:lang w:val="en-US"/>
        </w:rPr>
        <w:t xml:space="preserve">r, </w:t>
      </w:r>
      <w:r w:rsidRPr="00AF507D">
        <w:rPr>
          <w:color w:val="000000" w:themeColor="text1"/>
          <w:lang w:val="en-US"/>
        </w:rPr>
        <w:t>religious affiliation</w:t>
      </w:r>
      <w:r w:rsidR="000C768E" w:rsidRPr="00AF507D">
        <w:rPr>
          <w:color w:val="000000" w:themeColor="text1"/>
          <w:lang w:val="en-US"/>
        </w:rPr>
        <w:t xml:space="preserve">, multiple loss, </w:t>
      </w:r>
      <w:r w:rsidR="001C68C5" w:rsidRPr="00AF507D">
        <w:rPr>
          <w:color w:val="000000" w:themeColor="text1"/>
          <w:lang w:val="en-US"/>
        </w:rPr>
        <w:t xml:space="preserve">time since loss </w:t>
      </w:r>
      <w:r w:rsidR="000C768E" w:rsidRPr="00AF507D">
        <w:rPr>
          <w:color w:val="000000" w:themeColor="text1"/>
          <w:lang w:val="en-US"/>
        </w:rPr>
        <w:t>and history of support</w:t>
      </w:r>
      <w:r w:rsidRPr="00AF507D">
        <w:rPr>
          <w:color w:val="000000" w:themeColor="text1"/>
          <w:lang w:val="en-US"/>
        </w:rPr>
        <w:t xml:space="preserve">) are more related to depression. </w:t>
      </w:r>
    </w:p>
    <w:p w14:paraId="0000003E" w14:textId="3AC906BD" w:rsidR="00042C0F" w:rsidRPr="00AF507D" w:rsidRDefault="00165BB5" w:rsidP="00AF507D">
      <w:pPr>
        <w:spacing w:line="480" w:lineRule="auto"/>
        <w:ind w:firstLine="720"/>
        <w:rPr>
          <w:color w:val="000000" w:themeColor="text1"/>
          <w:lang w:val="en-US"/>
        </w:rPr>
      </w:pPr>
      <w:r w:rsidRPr="00AF507D">
        <w:rPr>
          <w:color w:val="000000" w:themeColor="text1"/>
          <w:lang w:val="en-US"/>
        </w:rPr>
        <w:t xml:space="preserve">As we now have increased knowledge of diagnosing pathological grief, having better scales to measure it with and improved therapies to treat it, isolating risk factors is crucial for clinical practice (Burke &amp; </w:t>
      </w:r>
      <w:proofErr w:type="spellStart"/>
      <w:r w:rsidRPr="00AF507D">
        <w:rPr>
          <w:color w:val="000000" w:themeColor="text1"/>
          <w:lang w:val="en-US"/>
        </w:rPr>
        <w:t>Neimeyer</w:t>
      </w:r>
      <w:proofErr w:type="spellEnd"/>
      <w:r w:rsidRPr="00AF507D">
        <w:rPr>
          <w:color w:val="000000" w:themeColor="text1"/>
          <w:lang w:val="en-US"/>
        </w:rPr>
        <w:t xml:space="preserve">, 2013). When healthcare professionals are able to recognize individuals at risk for pathological grief or depression, they can screen, monitor and intervene early (Mason et al., 2020). Also, having knowledge of risk factors may help </w:t>
      </w:r>
      <w:r w:rsidRPr="00AF507D">
        <w:rPr>
          <w:color w:val="000000" w:themeColor="text1"/>
          <w:lang w:val="en-US"/>
        </w:rPr>
        <w:lastRenderedPageBreak/>
        <w:t xml:space="preserve">develop psychotherapies that aim to modify those risk factors. If pathological grief and depression have unique risk factors, this study will also add to the scientific literature of pathological grief and depression being two distinct </w:t>
      </w:r>
      <w:commentRangeStart w:id="3"/>
      <w:r w:rsidRPr="00AF507D">
        <w:rPr>
          <w:color w:val="000000" w:themeColor="text1"/>
          <w:lang w:val="en-US"/>
        </w:rPr>
        <w:t>disorders</w:t>
      </w:r>
      <w:commentRangeEnd w:id="3"/>
      <w:r w:rsidR="00E42F60">
        <w:rPr>
          <w:rStyle w:val="CommentReference"/>
          <w:rFonts w:ascii="Arial" w:eastAsia="Arial" w:hAnsi="Arial" w:cs="Arial"/>
          <w:lang w:val="nl"/>
        </w:rPr>
        <w:commentReference w:id="3"/>
      </w:r>
      <w:r w:rsidRPr="00AF507D">
        <w:rPr>
          <w:color w:val="000000" w:themeColor="text1"/>
          <w:lang w:val="en-US"/>
        </w:rPr>
        <w:t>.</w:t>
      </w:r>
    </w:p>
    <w:p w14:paraId="57B2D94F" w14:textId="703A49C8" w:rsidR="00CB44F6" w:rsidRPr="00AF507D" w:rsidRDefault="00CB44F6" w:rsidP="00AF507D">
      <w:pPr>
        <w:spacing w:line="480" w:lineRule="auto"/>
        <w:rPr>
          <w:b/>
          <w:color w:val="000000" w:themeColor="text1"/>
          <w:lang w:val="en-US"/>
        </w:rPr>
      </w:pPr>
    </w:p>
    <w:p w14:paraId="072D74A5" w14:textId="75E0A27F" w:rsidR="0054564A" w:rsidRPr="00AF507D" w:rsidRDefault="0054564A" w:rsidP="00AF507D">
      <w:pPr>
        <w:spacing w:line="480" w:lineRule="auto"/>
        <w:rPr>
          <w:b/>
          <w:color w:val="000000" w:themeColor="text1"/>
          <w:lang w:val="en-US"/>
        </w:rPr>
      </w:pPr>
    </w:p>
    <w:p w14:paraId="45C6EA0E" w14:textId="7B0E081A" w:rsidR="0054564A" w:rsidRPr="00AF507D" w:rsidRDefault="0054564A" w:rsidP="00AF507D">
      <w:pPr>
        <w:spacing w:line="480" w:lineRule="auto"/>
        <w:rPr>
          <w:b/>
          <w:color w:val="000000" w:themeColor="text1"/>
          <w:lang w:val="en-US"/>
        </w:rPr>
      </w:pPr>
    </w:p>
    <w:p w14:paraId="6459D8A9" w14:textId="65D9B81D" w:rsidR="0054564A" w:rsidRPr="00AF507D" w:rsidRDefault="0054564A" w:rsidP="00AF507D">
      <w:pPr>
        <w:spacing w:line="480" w:lineRule="auto"/>
        <w:rPr>
          <w:b/>
          <w:color w:val="000000" w:themeColor="text1"/>
          <w:lang w:val="en-US"/>
        </w:rPr>
      </w:pPr>
    </w:p>
    <w:p w14:paraId="6C791FE0" w14:textId="7DC8D16D" w:rsidR="0054564A" w:rsidRPr="00AF507D" w:rsidRDefault="0054564A" w:rsidP="00AF507D">
      <w:pPr>
        <w:spacing w:line="480" w:lineRule="auto"/>
        <w:rPr>
          <w:b/>
          <w:color w:val="000000" w:themeColor="text1"/>
          <w:lang w:val="en-US"/>
        </w:rPr>
      </w:pPr>
    </w:p>
    <w:p w14:paraId="1C1748F2" w14:textId="4456399D" w:rsidR="0054564A" w:rsidRPr="00AF507D" w:rsidRDefault="0054564A" w:rsidP="00AF507D">
      <w:pPr>
        <w:spacing w:line="480" w:lineRule="auto"/>
        <w:rPr>
          <w:b/>
          <w:color w:val="000000" w:themeColor="text1"/>
          <w:lang w:val="en-US"/>
        </w:rPr>
      </w:pPr>
    </w:p>
    <w:p w14:paraId="3AED23BD" w14:textId="3680CC1F" w:rsidR="0054564A" w:rsidRPr="00AF507D" w:rsidRDefault="0054564A" w:rsidP="00AF507D">
      <w:pPr>
        <w:spacing w:line="480" w:lineRule="auto"/>
        <w:rPr>
          <w:b/>
          <w:color w:val="000000" w:themeColor="text1"/>
          <w:lang w:val="en-US"/>
        </w:rPr>
      </w:pPr>
    </w:p>
    <w:p w14:paraId="06239F86" w14:textId="1FAB9E7D" w:rsidR="0054564A" w:rsidRPr="00AF507D" w:rsidRDefault="0054564A" w:rsidP="00AF507D">
      <w:pPr>
        <w:spacing w:line="480" w:lineRule="auto"/>
        <w:rPr>
          <w:b/>
          <w:color w:val="000000" w:themeColor="text1"/>
          <w:lang w:val="en-US"/>
        </w:rPr>
      </w:pPr>
    </w:p>
    <w:p w14:paraId="15EBEDD7" w14:textId="17100F13" w:rsidR="0054564A" w:rsidRPr="00AF507D" w:rsidRDefault="0054564A" w:rsidP="00AF507D">
      <w:pPr>
        <w:spacing w:line="480" w:lineRule="auto"/>
        <w:rPr>
          <w:b/>
          <w:color w:val="000000" w:themeColor="text1"/>
          <w:lang w:val="en-US"/>
        </w:rPr>
      </w:pPr>
    </w:p>
    <w:p w14:paraId="5E1F07B2" w14:textId="67770F8E" w:rsidR="0054564A" w:rsidRPr="00AF507D" w:rsidRDefault="0054564A" w:rsidP="00AF507D">
      <w:pPr>
        <w:spacing w:line="480" w:lineRule="auto"/>
        <w:rPr>
          <w:b/>
          <w:color w:val="000000" w:themeColor="text1"/>
          <w:lang w:val="en-US"/>
        </w:rPr>
      </w:pPr>
    </w:p>
    <w:p w14:paraId="5D9C96E5" w14:textId="5B55C700" w:rsidR="0054564A" w:rsidRPr="00AF507D" w:rsidRDefault="0054564A" w:rsidP="00AF507D">
      <w:pPr>
        <w:spacing w:line="480" w:lineRule="auto"/>
        <w:rPr>
          <w:b/>
          <w:color w:val="000000" w:themeColor="text1"/>
          <w:lang w:val="en-US"/>
        </w:rPr>
      </w:pPr>
    </w:p>
    <w:p w14:paraId="04C035DA" w14:textId="5CDEA06B" w:rsidR="0054564A" w:rsidRPr="00AF507D" w:rsidRDefault="0054564A" w:rsidP="00AF507D">
      <w:pPr>
        <w:spacing w:line="480" w:lineRule="auto"/>
        <w:rPr>
          <w:b/>
          <w:color w:val="000000" w:themeColor="text1"/>
          <w:lang w:val="en-US"/>
        </w:rPr>
      </w:pPr>
    </w:p>
    <w:p w14:paraId="63BD19DC" w14:textId="689609D3" w:rsidR="0054564A" w:rsidRPr="00AF507D" w:rsidRDefault="0054564A" w:rsidP="00AF507D">
      <w:pPr>
        <w:spacing w:line="480" w:lineRule="auto"/>
        <w:rPr>
          <w:b/>
          <w:color w:val="000000" w:themeColor="text1"/>
          <w:lang w:val="en-US"/>
        </w:rPr>
      </w:pPr>
    </w:p>
    <w:p w14:paraId="5F03DBFC" w14:textId="321B47D0" w:rsidR="0054564A" w:rsidRPr="00AF507D" w:rsidRDefault="0054564A" w:rsidP="00AF507D">
      <w:pPr>
        <w:spacing w:line="480" w:lineRule="auto"/>
        <w:rPr>
          <w:b/>
          <w:color w:val="000000" w:themeColor="text1"/>
          <w:lang w:val="en-US"/>
        </w:rPr>
      </w:pPr>
    </w:p>
    <w:p w14:paraId="5B9EB44D" w14:textId="7277E196" w:rsidR="0054564A" w:rsidRPr="00AF507D" w:rsidRDefault="0054564A" w:rsidP="00AF507D">
      <w:pPr>
        <w:spacing w:line="480" w:lineRule="auto"/>
        <w:rPr>
          <w:b/>
          <w:color w:val="000000" w:themeColor="text1"/>
          <w:lang w:val="en-US"/>
        </w:rPr>
      </w:pPr>
    </w:p>
    <w:p w14:paraId="7C161BBE" w14:textId="773349B9" w:rsidR="0054564A" w:rsidRPr="00AF507D" w:rsidRDefault="0054564A" w:rsidP="00AF507D">
      <w:pPr>
        <w:spacing w:line="480" w:lineRule="auto"/>
        <w:rPr>
          <w:b/>
          <w:color w:val="000000" w:themeColor="text1"/>
          <w:lang w:val="en-US"/>
        </w:rPr>
      </w:pPr>
    </w:p>
    <w:p w14:paraId="05A0283C" w14:textId="6C343A2B" w:rsidR="0054564A" w:rsidRPr="00AF507D" w:rsidRDefault="0054564A" w:rsidP="00AF507D">
      <w:pPr>
        <w:spacing w:line="480" w:lineRule="auto"/>
        <w:rPr>
          <w:b/>
          <w:color w:val="000000" w:themeColor="text1"/>
          <w:lang w:val="en-US"/>
        </w:rPr>
      </w:pPr>
    </w:p>
    <w:p w14:paraId="2AA8828D" w14:textId="1DA529AD" w:rsidR="0054564A" w:rsidRPr="00AF507D" w:rsidRDefault="0054564A" w:rsidP="00AF507D">
      <w:pPr>
        <w:spacing w:line="480" w:lineRule="auto"/>
        <w:rPr>
          <w:b/>
          <w:color w:val="000000" w:themeColor="text1"/>
          <w:lang w:val="en-US"/>
        </w:rPr>
      </w:pPr>
    </w:p>
    <w:p w14:paraId="643C8C24" w14:textId="01D9270F" w:rsidR="0054564A" w:rsidRPr="00AF507D" w:rsidRDefault="0054564A" w:rsidP="00AF507D">
      <w:pPr>
        <w:spacing w:line="480" w:lineRule="auto"/>
        <w:rPr>
          <w:b/>
          <w:color w:val="000000" w:themeColor="text1"/>
          <w:lang w:val="en-US"/>
        </w:rPr>
      </w:pPr>
    </w:p>
    <w:p w14:paraId="02BC2619" w14:textId="070E30AE" w:rsidR="0054564A" w:rsidRPr="00AF507D" w:rsidRDefault="0054564A" w:rsidP="00AF507D">
      <w:pPr>
        <w:spacing w:line="480" w:lineRule="auto"/>
        <w:rPr>
          <w:b/>
          <w:color w:val="000000" w:themeColor="text1"/>
          <w:lang w:val="en-US"/>
        </w:rPr>
      </w:pPr>
    </w:p>
    <w:p w14:paraId="3385272A" w14:textId="088D6015" w:rsidR="00871254" w:rsidRDefault="00871254" w:rsidP="00AF507D">
      <w:pPr>
        <w:spacing w:line="480" w:lineRule="auto"/>
        <w:rPr>
          <w:b/>
          <w:color w:val="000000" w:themeColor="text1"/>
          <w:lang w:val="en-US"/>
        </w:rPr>
      </w:pPr>
    </w:p>
    <w:p w14:paraId="32ABBC54" w14:textId="77777777" w:rsidR="00AF507D" w:rsidRPr="00AF507D" w:rsidRDefault="00AF507D" w:rsidP="00AF507D">
      <w:pPr>
        <w:spacing w:line="480" w:lineRule="auto"/>
        <w:rPr>
          <w:b/>
          <w:color w:val="000000" w:themeColor="text1"/>
          <w:lang w:val="en-US"/>
        </w:rPr>
      </w:pPr>
    </w:p>
    <w:p w14:paraId="00000045" w14:textId="6E80686F" w:rsidR="00042C0F" w:rsidRPr="00AF507D" w:rsidRDefault="00165BB5" w:rsidP="00AF507D">
      <w:pPr>
        <w:spacing w:line="480" w:lineRule="auto"/>
        <w:jc w:val="center"/>
        <w:rPr>
          <w:b/>
          <w:color w:val="000000" w:themeColor="text1"/>
          <w:lang w:val="en-US"/>
        </w:rPr>
      </w:pPr>
      <w:r w:rsidRPr="00AF507D">
        <w:rPr>
          <w:b/>
          <w:color w:val="000000" w:themeColor="text1"/>
          <w:lang w:val="en-US"/>
        </w:rPr>
        <w:lastRenderedPageBreak/>
        <w:t>Methods</w:t>
      </w:r>
    </w:p>
    <w:p w14:paraId="00000046" w14:textId="77777777" w:rsidR="00042C0F" w:rsidRPr="00AF507D" w:rsidRDefault="00042C0F" w:rsidP="00AF507D">
      <w:pPr>
        <w:spacing w:line="480" w:lineRule="auto"/>
        <w:rPr>
          <w:color w:val="000000" w:themeColor="text1"/>
          <w:lang w:val="en-US"/>
        </w:rPr>
      </w:pPr>
    </w:p>
    <w:p w14:paraId="00000047" w14:textId="77777777" w:rsidR="00042C0F" w:rsidRPr="00AF507D" w:rsidRDefault="00165BB5" w:rsidP="00AF507D">
      <w:pPr>
        <w:spacing w:line="480" w:lineRule="auto"/>
        <w:rPr>
          <w:b/>
          <w:color w:val="000000" w:themeColor="text1"/>
          <w:lang w:val="en-US"/>
        </w:rPr>
      </w:pPr>
      <w:r w:rsidRPr="00AF507D">
        <w:rPr>
          <w:b/>
          <w:color w:val="000000" w:themeColor="text1"/>
          <w:lang w:val="en-US"/>
        </w:rPr>
        <w:t>Participants and procedure</w:t>
      </w:r>
    </w:p>
    <w:p w14:paraId="00000048" w14:textId="595EACC6" w:rsidR="00042C0F" w:rsidRPr="00AF507D" w:rsidRDefault="00165BB5" w:rsidP="00AF507D">
      <w:pPr>
        <w:spacing w:line="480" w:lineRule="auto"/>
        <w:ind w:firstLine="720"/>
        <w:rPr>
          <w:color w:val="000000" w:themeColor="text1"/>
          <w:lang w:val="en-US"/>
        </w:rPr>
      </w:pPr>
      <w:commentRangeStart w:id="4"/>
      <w:r w:rsidRPr="00AF507D">
        <w:rPr>
          <w:color w:val="000000" w:themeColor="text1"/>
          <w:lang w:val="en-US"/>
        </w:rPr>
        <w:t>For this thesis, existing data from the study “</w:t>
      </w:r>
      <w:r w:rsidRPr="00AF507D">
        <w:rPr>
          <w:i/>
          <w:color w:val="000000" w:themeColor="text1"/>
          <w:lang w:val="en-US"/>
        </w:rPr>
        <w:t>The TGI-CA Assessment after Loss in Europe</w:t>
      </w:r>
      <w:r w:rsidRPr="00AF507D">
        <w:rPr>
          <w:color w:val="000000" w:themeColor="text1"/>
          <w:lang w:val="en-US"/>
        </w:rPr>
        <w:t xml:space="preserve"> (TALE)” was used</w:t>
      </w:r>
      <w:commentRangeEnd w:id="4"/>
      <w:r w:rsidR="00E42F60">
        <w:rPr>
          <w:rStyle w:val="CommentReference"/>
          <w:rFonts w:ascii="Arial" w:eastAsia="Arial" w:hAnsi="Arial" w:cs="Arial"/>
          <w:lang w:val="nl"/>
        </w:rPr>
        <w:commentReference w:id="4"/>
      </w:r>
      <w:r w:rsidRPr="00AF507D">
        <w:rPr>
          <w:color w:val="000000" w:themeColor="text1"/>
          <w:lang w:val="en-US"/>
        </w:rPr>
        <w:t xml:space="preserve">. This study was conducted by researchers from Utrecht University, University of Groningen and University of Berlin. In total, 433 Dutch and German people participated in the study. All participants were 18 years and older and had lost a loved one at least six months ago. Time since loss had to be at least six months since according to the PGD criteria in ICD-11 </w:t>
      </w:r>
      <w:r w:rsidR="00F4204E" w:rsidRPr="00AF507D">
        <w:rPr>
          <w:color w:val="000000" w:themeColor="text1"/>
          <w:lang w:val="en-US"/>
        </w:rPr>
        <w:t xml:space="preserve">(WHO, 2019) </w:t>
      </w:r>
      <w:r w:rsidRPr="00AF507D">
        <w:rPr>
          <w:color w:val="000000" w:themeColor="text1"/>
          <w:lang w:val="en-US"/>
        </w:rPr>
        <w:t xml:space="preserve">pathological grief can be diagnosed six months after the loss (Boelen et al., 2018). Participants scoring high on suicidality and participants who ever received a diagnosis of a psychotic disorder were excluded from the study. </w:t>
      </w:r>
      <w:r w:rsidR="00956117" w:rsidRPr="00AF507D">
        <w:rPr>
          <w:color w:val="000000" w:themeColor="text1"/>
          <w:lang w:val="en-US"/>
        </w:rPr>
        <w:t xml:space="preserve">When participants </w:t>
      </w:r>
      <w:r w:rsidR="004C2867" w:rsidRPr="00AF507D">
        <w:rPr>
          <w:color w:val="000000" w:themeColor="text1"/>
          <w:lang w:val="en-US"/>
        </w:rPr>
        <w:t>indicated having thoughts about being better off dead or hurting themselves</w:t>
      </w:r>
      <w:r w:rsidR="00716B2E" w:rsidRPr="00AF507D">
        <w:rPr>
          <w:color w:val="000000" w:themeColor="text1"/>
          <w:lang w:val="en-US"/>
        </w:rPr>
        <w:t xml:space="preserve">, the suicide protocol of the study was followed. </w:t>
      </w:r>
      <w:r w:rsidR="00E83F7F" w:rsidRPr="00AF507D">
        <w:rPr>
          <w:color w:val="000000" w:themeColor="text1"/>
          <w:lang w:val="en-US"/>
        </w:rPr>
        <w:t xml:space="preserve">The suicide protocol consisted of </w:t>
      </w:r>
      <w:r w:rsidR="008338A4" w:rsidRPr="00AF507D">
        <w:rPr>
          <w:color w:val="000000" w:themeColor="text1"/>
          <w:lang w:val="en-US"/>
        </w:rPr>
        <w:t>two</w:t>
      </w:r>
      <w:r w:rsidR="00E83F7F" w:rsidRPr="00AF507D">
        <w:rPr>
          <w:color w:val="000000" w:themeColor="text1"/>
          <w:lang w:val="en-US"/>
        </w:rPr>
        <w:t xml:space="preserve"> questions about considering </w:t>
      </w:r>
      <w:r w:rsidR="00E56EEA" w:rsidRPr="00AF507D">
        <w:rPr>
          <w:color w:val="000000" w:themeColor="text1"/>
          <w:lang w:val="en-US"/>
        </w:rPr>
        <w:t>ending</w:t>
      </w:r>
      <w:r w:rsidR="00E83F7F" w:rsidRPr="00AF507D">
        <w:rPr>
          <w:color w:val="000000" w:themeColor="text1"/>
          <w:lang w:val="en-US"/>
        </w:rPr>
        <w:t xml:space="preserve"> one’s life</w:t>
      </w:r>
      <w:r w:rsidR="008338A4" w:rsidRPr="00AF507D">
        <w:rPr>
          <w:color w:val="000000" w:themeColor="text1"/>
          <w:lang w:val="en-US"/>
        </w:rPr>
        <w:t xml:space="preserve"> and actively </w:t>
      </w:r>
      <w:r w:rsidR="00E83F7F" w:rsidRPr="00AF507D">
        <w:rPr>
          <w:color w:val="000000" w:themeColor="text1"/>
          <w:lang w:val="en-US"/>
        </w:rPr>
        <w:t>planning to end one’s life</w:t>
      </w:r>
      <w:r w:rsidR="008338A4" w:rsidRPr="00AF507D">
        <w:rPr>
          <w:color w:val="000000" w:themeColor="text1"/>
          <w:lang w:val="en-US"/>
        </w:rPr>
        <w:t xml:space="preserve">. </w:t>
      </w:r>
      <w:r w:rsidR="006A31F6" w:rsidRPr="00AF507D">
        <w:rPr>
          <w:color w:val="000000" w:themeColor="text1"/>
          <w:lang w:val="en-US"/>
        </w:rPr>
        <w:t xml:space="preserve">The interview was stopped </w:t>
      </w:r>
      <w:r w:rsidR="00715531" w:rsidRPr="00AF507D">
        <w:rPr>
          <w:color w:val="000000" w:themeColor="text1"/>
          <w:lang w:val="en-US"/>
        </w:rPr>
        <w:t xml:space="preserve">when participants indicated </w:t>
      </w:r>
      <w:r w:rsidR="00C938BA" w:rsidRPr="00AF507D">
        <w:rPr>
          <w:color w:val="000000" w:themeColor="text1"/>
          <w:lang w:val="en-US"/>
        </w:rPr>
        <w:t>recognizing</w:t>
      </w:r>
      <w:r w:rsidR="00715531" w:rsidRPr="00AF507D">
        <w:rPr>
          <w:color w:val="000000" w:themeColor="text1"/>
          <w:lang w:val="en-US"/>
        </w:rPr>
        <w:t xml:space="preserve"> either of these. </w:t>
      </w:r>
    </w:p>
    <w:p w14:paraId="00000049" w14:textId="77777777" w:rsidR="00042C0F" w:rsidRPr="00AF507D" w:rsidRDefault="00165BB5" w:rsidP="00AF507D">
      <w:pPr>
        <w:spacing w:line="480" w:lineRule="auto"/>
        <w:ind w:firstLine="720"/>
        <w:rPr>
          <w:color w:val="000000" w:themeColor="text1"/>
          <w:lang w:val="en-US"/>
        </w:rPr>
      </w:pPr>
      <w:r w:rsidRPr="00AF507D">
        <w:rPr>
          <w:color w:val="000000" w:themeColor="text1"/>
          <w:lang w:val="en-US"/>
        </w:rPr>
        <w:t xml:space="preserve">Participants were contacted through the network of the researchers. They received a brochure with information about the study via WhatsApp, LinkedIn, email or support groups. Based on the brochure, participants decided whether to engage in the study. After filling out the contact form, participants were contacted to schedule the interview. Informed consent procedures were used. The interviews were conducted by telephone between November 2019 and May 2020. After the interview participants were asked whether they wanted to engage in follow-up measurements. The TALE-study has been approved by the ethical committee. The current study only used data that was collected at the first measurement-point of the TALE-study and only used data relevant to answering the research question. </w:t>
      </w:r>
    </w:p>
    <w:p w14:paraId="0000004A" w14:textId="77777777" w:rsidR="00042C0F" w:rsidRPr="00AF507D" w:rsidRDefault="00042C0F" w:rsidP="00AF507D">
      <w:pPr>
        <w:spacing w:line="480" w:lineRule="auto"/>
        <w:rPr>
          <w:color w:val="000000" w:themeColor="text1"/>
          <w:lang w:val="en-US"/>
        </w:rPr>
      </w:pPr>
    </w:p>
    <w:p w14:paraId="0000004B" w14:textId="77777777" w:rsidR="00042C0F" w:rsidRPr="00AF507D" w:rsidRDefault="00165BB5" w:rsidP="00AF507D">
      <w:pPr>
        <w:spacing w:line="480" w:lineRule="auto"/>
        <w:rPr>
          <w:b/>
          <w:color w:val="000000" w:themeColor="text1"/>
          <w:lang w:val="en-US"/>
        </w:rPr>
      </w:pPr>
      <w:r w:rsidRPr="00AF507D">
        <w:rPr>
          <w:b/>
          <w:color w:val="000000" w:themeColor="text1"/>
          <w:lang w:val="en-US"/>
        </w:rPr>
        <w:lastRenderedPageBreak/>
        <w:t xml:space="preserve">Dependent variables </w:t>
      </w:r>
    </w:p>
    <w:p w14:paraId="0000004C" w14:textId="082651CE" w:rsidR="00042C0F" w:rsidRPr="00AF507D" w:rsidRDefault="00165BB5" w:rsidP="00AF507D">
      <w:pPr>
        <w:spacing w:line="480" w:lineRule="auto"/>
        <w:ind w:firstLine="720"/>
        <w:rPr>
          <w:color w:val="000000" w:themeColor="text1"/>
          <w:lang w:val="en-US"/>
        </w:rPr>
      </w:pPr>
      <w:r w:rsidRPr="00AF507D">
        <w:rPr>
          <w:color w:val="000000" w:themeColor="text1"/>
          <w:lang w:val="en-US"/>
        </w:rPr>
        <w:t xml:space="preserve">The Dutch version of the Patient Health Questionnaire (PHQ-9; Kroenke et al., 2001) was used to assess levels of depression. This questionnaire consists of 9 items which are formulated as statements, for example, “little interest or pleasure in doing things”. Answers were given on a 5-point scale in which 1 = </w:t>
      </w:r>
      <w:r w:rsidRPr="00AF507D">
        <w:rPr>
          <w:i/>
          <w:color w:val="000000" w:themeColor="text1"/>
          <w:lang w:val="en-US"/>
        </w:rPr>
        <w:t>not at all</w:t>
      </w:r>
      <w:r w:rsidRPr="00AF507D">
        <w:rPr>
          <w:color w:val="000000" w:themeColor="text1"/>
          <w:lang w:val="en-US"/>
        </w:rPr>
        <w:t xml:space="preserve">, 2 = </w:t>
      </w:r>
      <w:r w:rsidRPr="00AF507D">
        <w:rPr>
          <w:i/>
          <w:color w:val="000000" w:themeColor="text1"/>
          <w:lang w:val="en-US"/>
        </w:rPr>
        <w:t>several days</w:t>
      </w:r>
      <w:r w:rsidRPr="00AF507D">
        <w:rPr>
          <w:color w:val="000000" w:themeColor="text1"/>
          <w:lang w:val="en-US"/>
        </w:rPr>
        <w:t xml:space="preserve">, 3 = </w:t>
      </w:r>
      <w:r w:rsidRPr="00AF507D">
        <w:rPr>
          <w:i/>
          <w:color w:val="000000" w:themeColor="text1"/>
          <w:lang w:val="en-US"/>
        </w:rPr>
        <w:t>more than half the days</w:t>
      </w:r>
      <w:r w:rsidRPr="00AF507D">
        <w:rPr>
          <w:color w:val="000000" w:themeColor="text1"/>
          <w:lang w:val="en-US"/>
        </w:rPr>
        <w:t xml:space="preserve">, and 4 = </w:t>
      </w:r>
      <w:r w:rsidRPr="00AF507D">
        <w:rPr>
          <w:i/>
          <w:color w:val="000000" w:themeColor="text1"/>
          <w:lang w:val="en-US"/>
        </w:rPr>
        <w:t>nearly every day</w:t>
      </w:r>
      <w:r w:rsidRPr="00AF507D">
        <w:rPr>
          <w:color w:val="000000" w:themeColor="text1"/>
          <w:lang w:val="en-US"/>
        </w:rPr>
        <w:t xml:space="preserve">. Items are based on symptomatology in the past two weeks. </w:t>
      </w:r>
      <w:r w:rsidR="00D14E6F" w:rsidRPr="00AF507D">
        <w:rPr>
          <w:color w:val="000000" w:themeColor="text1"/>
          <w:lang w:val="en-US"/>
        </w:rPr>
        <w:t xml:space="preserve">Higher scores indicate </w:t>
      </w:r>
      <w:r w:rsidR="00A3134D" w:rsidRPr="00AF507D">
        <w:rPr>
          <w:color w:val="000000" w:themeColor="text1"/>
          <w:lang w:val="en-US"/>
        </w:rPr>
        <w:t>higher levels of</w:t>
      </w:r>
      <w:r w:rsidR="007E603B" w:rsidRPr="00AF507D">
        <w:rPr>
          <w:color w:val="000000" w:themeColor="text1"/>
          <w:lang w:val="en-US"/>
        </w:rPr>
        <w:t xml:space="preserve"> depressive symptoms</w:t>
      </w:r>
      <w:r w:rsidR="003B00C3" w:rsidRPr="00AF507D">
        <w:rPr>
          <w:color w:val="000000" w:themeColor="text1"/>
          <w:lang w:val="en-US"/>
        </w:rPr>
        <w:t xml:space="preserve">. </w:t>
      </w:r>
      <w:r w:rsidRPr="00AF507D">
        <w:rPr>
          <w:color w:val="000000" w:themeColor="text1"/>
          <w:lang w:val="en-US"/>
        </w:rPr>
        <w:t xml:space="preserve">Its psychometric properties have been studied and proved to be adequate (Beard et al., 2016; </w:t>
      </w:r>
      <w:proofErr w:type="spellStart"/>
      <w:r w:rsidRPr="00AF507D">
        <w:rPr>
          <w:color w:val="000000" w:themeColor="text1"/>
          <w:lang w:val="en-US"/>
        </w:rPr>
        <w:t>Titov</w:t>
      </w:r>
      <w:proofErr w:type="spellEnd"/>
      <w:r w:rsidRPr="00AF507D">
        <w:rPr>
          <w:color w:val="000000" w:themeColor="text1"/>
          <w:lang w:val="en-US"/>
        </w:rPr>
        <w:t xml:space="preserve"> et al., 2011). The current study reports a Cronbach’s alpha of .80, which indicates good internal consistency</w:t>
      </w:r>
      <w:r w:rsidR="00FF0AB4" w:rsidRPr="00AF507D">
        <w:rPr>
          <w:color w:val="000000" w:themeColor="text1"/>
          <w:lang w:val="en-US"/>
        </w:rPr>
        <w:t xml:space="preserve"> (Field, 2013)</w:t>
      </w:r>
      <w:r w:rsidRPr="00AF507D">
        <w:rPr>
          <w:color w:val="000000" w:themeColor="text1"/>
          <w:lang w:val="en-US"/>
        </w:rPr>
        <w:t xml:space="preserve">. </w:t>
      </w:r>
    </w:p>
    <w:p w14:paraId="40178F37" w14:textId="4E5500E4" w:rsidR="00FC0215" w:rsidRPr="00AF507D" w:rsidRDefault="00165BB5" w:rsidP="00AF507D">
      <w:pPr>
        <w:spacing w:line="480" w:lineRule="auto"/>
        <w:ind w:firstLine="720"/>
        <w:rPr>
          <w:color w:val="000000" w:themeColor="text1"/>
          <w:lang w:val="en-US"/>
        </w:rPr>
      </w:pPr>
      <w:r w:rsidRPr="00AF507D">
        <w:rPr>
          <w:color w:val="000000" w:themeColor="text1"/>
          <w:lang w:val="en-US"/>
        </w:rPr>
        <w:t xml:space="preserve">To assess levels of pathological grief, a Dutch version of the Traumatic Grief Inventory - Clinician Administered (TGI-CA) was used. This questionnaire was developed by Boelen, </w:t>
      </w:r>
      <w:proofErr w:type="spellStart"/>
      <w:r w:rsidRPr="00AF507D">
        <w:rPr>
          <w:color w:val="000000" w:themeColor="text1"/>
          <w:lang w:val="en-US"/>
        </w:rPr>
        <w:t>Smid</w:t>
      </w:r>
      <w:proofErr w:type="spellEnd"/>
      <w:r w:rsidRPr="00AF507D">
        <w:rPr>
          <w:color w:val="000000" w:themeColor="text1"/>
          <w:lang w:val="en-US"/>
        </w:rPr>
        <w:t xml:space="preserve"> &amp; </w:t>
      </w:r>
      <w:proofErr w:type="spellStart"/>
      <w:r w:rsidRPr="00AF507D">
        <w:rPr>
          <w:color w:val="000000" w:themeColor="text1"/>
          <w:lang w:val="en-US"/>
        </w:rPr>
        <w:t>Lenferink</w:t>
      </w:r>
      <w:proofErr w:type="spellEnd"/>
      <w:r w:rsidRPr="00AF507D">
        <w:rPr>
          <w:color w:val="000000" w:themeColor="text1"/>
          <w:lang w:val="en-US"/>
        </w:rPr>
        <w:t xml:space="preserve"> and is based on the Traumatic Grief Inventory - Self Report (TGI-SR), a self-report questionnaire (Boelen &amp; </w:t>
      </w:r>
      <w:proofErr w:type="spellStart"/>
      <w:r w:rsidRPr="00AF507D">
        <w:rPr>
          <w:color w:val="000000" w:themeColor="text1"/>
          <w:lang w:val="en-US"/>
        </w:rPr>
        <w:t>Smid</w:t>
      </w:r>
      <w:proofErr w:type="spellEnd"/>
      <w:r w:rsidRPr="00AF507D">
        <w:rPr>
          <w:color w:val="000000" w:themeColor="text1"/>
          <w:lang w:val="en-US"/>
        </w:rPr>
        <w:t>, 2017b). The TGI-CA consists of 22 items and measures both PCBD (APA, 2013) and PGD (WHO, 201</w:t>
      </w:r>
      <w:r w:rsidR="001119B0" w:rsidRPr="00AF507D">
        <w:rPr>
          <w:color w:val="000000" w:themeColor="text1"/>
          <w:lang w:val="en-US"/>
        </w:rPr>
        <w:t>9</w:t>
      </w:r>
      <w:r w:rsidRPr="00AF507D">
        <w:rPr>
          <w:color w:val="000000" w:themeColor="text1"/>
          <w:lang w:val="en-US"/>
        </w:rPr>
        <w:t xml:space="preserve">). An example of an item is: “Have you experienced a strong longing or yearning for the deceased in the past month?”. The answers range from 1 = </w:t>
      </w:r>
      <w:r w:rsidRPr="00AF507D">
        <w:rPr>
          <w:i/>
          <w:color w:val="000000" w:themeColor="text1"/>
          <w:lang w:val="en-US"/>
        </w:rPr>
        <w:t>never</w:t>
      </w:r>
      <w:r w:rsidRPr="00AF507D">
        <w:rPr>
          <w:color w:val="000000" w:themeColor="text1"/>
          <w:lang w:val="en-US"/>
        </w:rPr>
        <w:t xml:space="preserve">, 2 = </w:t>
      </w:r>
      <w:r w:rsidRPr="00AF507D">
        <w:rPr>
          <w:i/>
          <w:color w:val="000000" w:themeColor="text1"/>
          <w:lang w:val="en-US"/>
        </w:rPr>
        <w:t>seldom</w:t>
      </w:r>
      <w:r w:rsidRPr="00AF507D">
        <w:rPr>
          <w:color w:val="000000" w:themeColor="text1"/>
          <w:lang w:val="en-US"/>
        </w:rPr>
        <w:t xml:space="preserve">, 3 = </w:t>
      </w:r>
      <w:r w:rsidRPr="00AF507D">
        <w:rPr>
          <w:i/>
          <w:color w:val="000000" w:themeColor="text1"/>
          <w:lang w:val="en-US"/>
        </w:rPr>
        <w:t>sometimes</w:t>
      </w:r>
      <w:r w:rsidRPr="00AF507D">
        <w:rPr>
          <w:color w:val="000000" w:themeColor="text1"/>
          <w:lang w:val="en-US"/>
        </w:rPr>
        <w:t xml:space="preserve">, 4 = </w:t>
      </w:r>
      <w:r w:rsidRPr="00AF507D">
        <w:rPr>
          <w:i/>
          <w:color w:val="000000" w:themeColor="text1"/>
          <w:lang w:val="en-US"/>
        </w:rPr>
        <w:t>often</w:t>
      </w:r>
      <w:r w:rsidRPr="00AF507D">
        <w:rPr>
          <w:color w:val="000000" w:themeColor="text1"/>
          <w:lang w:val="en-US"/>
        </w:rPr>
        <w:t xml:space="preserve">, to 5 = </w:t>
      </w:r>
      <w:r w:rsidRPr="00AF507D">
        <w:rPr>
          <w:i/>
          <w:color w:val="000000" w:themeColor="text1"/>
          <w:lang w:val="en-US"/>
        </w:rPr>
        <w:t>always</w:t>
      </w:r>
      <w:r w:rsidRPr="00AF507D">
        <w:rPr>
          <w:color w:val="000000" w:themeColor="text1"/>
          <w:lang w:val="en-US"/>
        </w:rPr>
        <w:t xml:space="preserve">. Questions are based on symptomatology from the past month. </w:t>
      </w:r>
      <w:r w:rsidR="00893AC7" w:rsidRPr="00AF507D">
        <w:rPr>
          <w:color w:val="000000" w:themeColor="text1"/>
          <w:lang w:val="en-US"/>
        </w:rPr>
        <w:t>Higher scores indicate</w:t>
      </w:r>
      <w:r w:rsidR="00A3134D" w:rsidRPr="00AF507D">
        <w:rPr>
          <w:color w:val="000000" w:themeColor="text1"/>
          <w:lang w:val="en-US"/>
        </w:rPr>
        <w:t xml:space="preserve"> higher levels of pathological grief symptoms</w:t>
      </w:r>
      <w:r w:rsidR="00893AC7" w:rsidRPr="00AF507D">
        <w:rPr>
          <w:color w:val="000000" w:themeColor="text1"/>
          <w:lang w:val="en-US"/>
        </w:rPr>
        <w:t xml:space="preserve">. </w:t>
      </w:r>
      <w:r w:rsidRPr="00AF507D">
        <w:rPr>
          <w:color w:val="000000" w:themeColor="text1"/>
          <w:lang w:val="en-US"/>
        </w:rPr>
        <w:t xml:space="preserve">Psychometric properties of this questionnaire have been studied and proved to be adequate (Boelen &amp; </w:t>
      </w:r>
      <w:proofErr w:type="spellStart"/>
      <w:r w:rsidRPr="00AF507D">
        <w:rPr>
          <w:color w:val="000000" w:themeColor="text1"/>
          <w:lang w:val="en-US"/>
        </w:rPr>
        <w:t>Smid</w:t>
      </w:r>
      <w:proofErr w:type="spellEnd"/>
      <w:r w:rsidRPr="00AF507D">
        <w:rPr>
          <w:color w:val="000000" w:themeColor="text1"/>
          <w:lang w:val="en-US"/>
        </w:rPr>
        <w:t>, 2017b; Boelen et al., 2019a). The current study reports a Cronbach’s alpha of .93, which indicates excellent internal consistency</w:t>
      </w:r>
      <w:r w:rsidR="00FF0AB4" w:rsidRPr="00AF507D">
        <w:rPr>
          <w:color w:val="000000" w:themeColor="text1"/>
          <w:lang w:val="en-US"/>
        </w:rPr>
        <w:t xml:space="preserve"> (Field, 2013)</w:t>
      </w:r>
      <w:r w:rsidRPr="00AF507D">
        <w:rPr>
          <w:color w:val="000000" w:themeColor="text1"/>
          <w:lang w:val="en-US"/>
        </w:rPr>
        <w:t xml:space="preserve">. </w:t>
      </w:r>
    </w:p>
    <w:p w14:paraId="2E101501" w14:textId="3A02899A" w:rsidR="00C82E4D" w:rsidRPr="00AF507D" w:rsidRDefault="00C82E4D" w:rsidP="00AF507D">
      <w:pPr>
        <w:spacing w:line="480" w:lineRule="auto"/>
        <w:ind w:firstLine="720"/>
        <w:rPr>
          <w:color w:val="000000" w:themeColor="text1"/>
          <w:lang w:val="en-US"/>
        </w:rPr>
      </w:pPr>
    </w:p>
    <w:p w14:paraId="0E65A24E" w14:textId="6C103724" w:rsidR="00C82E4D" w:rsidRPr="00AF507D" w:rsidRDefault="00C82E4D" w:rsidP="00AF507D">
      <w:pPr>
        <w:spacing w:line="480" w:lineRule="auto"/>
        <w:ind w:firstLine="720"/>
        <w:rPr>
          <w:color w:val="000000" w:themeColor="text1"/>
          <w:lang w:val="en-US"/>
        </w:rPr>
      </w:pPr>
    </w:p>
    <w:p w14:paraId="452051BF" w14:textId="77777777" w:rsidR="00C82E4D" w:rsidRPr="00AF507D" w:rsidRDefault="00C82E4D" w:rsidP="00AF507D">
      <w:pPr>
        <w:spacing w:line="480" w:lineRule="auto"/>
        <w:ind w:firstLine="720"/>
        <w:rPr>
          <w:color w:val="000000" w:themeColor="text1"/>
          <w:lang w:val="en-US"/>
        </w:rPr>
      </w:pPr>
    </w:p>
    <w:p w14:paraId="0000004F" w14:textId="77777777" w:rsidR="00042C0F" w:rsidRPr="00AF507D" w:rsidRDefault="00165BB5" w:rsidP="00AF507D">
      <w:pPr>
        <w:spacing w:line="480" w:lineRule="auto"/>
        <w:rPr>
          <w:b/>
          <w:color w:val="000000" w:themeColor="text1"/>
          <w:lang w:val="en-US"/>
        </w:rPr>
      </w:pPr>
      <w:r w:rsidRPr="00AF507D">
        <w:rPr>
          <w:b/>
          <w:color w:val="000000" w:themeColor="text1"/>
          <w:lang w:val="en-US"/>
        </w:rPr>
        <w:lastRenderedPageBreak/>
        <w:t>Predictors</w:t>
      </w:r>
    </w:p>
    <w:p w14:paraId="00000050" w14:textId="5EDF0A68" w:rsidR="00042C0F" w:rsidRPr="00AF507D" w:rsidRDefault="00165BB5" w:rsidP="00AF507D">
      <w:pPr>
        <w:spacing w:line="480" w:lineRule="auto"/>
        <w:ind w:firstLine="720"/>
        <w:rPr>
          <w:color w:val="000000" w:themeColor="text1"/>
          <w:lang w:val="en-US"/>
        </w:rPr>
      </w:pPr>
      <w:r w:rsidRPr="00AF507D">
        <w:rPr>
          <w:color w:val="000000" w:themeColor="text1"/>
          <w:lang w:val="en-US"/>
        </w:rPr>
        <w:t xml:space="preserve">Biographical data about the participants and their loss were gathered at the beginning of the interview. Gender (i.e., male or female), multiple losses (i.e., yes or no), history of </w:t>
      </w:r>
      <w:r w:rsidR="009B5A60" w:rsidRPr="00AF507D">
        <w:rPr>
          <w:color w:val="000000" w:themeColor="text1"/>
          <w:lang w:val="en-US"/>
        </w:rPr>
        <w:t xml:space="preserve">psychological </w:t>
      </w:r>
      <w:r w:rsidRPr="00AF507D">
        <w:rPr>
          <w:color w:val="000000" w:themeColor="text1"/>
          <w:lang w:val="en-US"/>
        </w:rPr>
        <w:t xml:space="preserve">support (i.e., yes or no), kinship, cause of death, expectedness (5-point scale; 1 = </w:t>
      </w:r>
      <w:r w:rsidRPr="00AF507D">
        <w:rPr>
          <w:i/>
          <w:color w:val="000000" w:themeColor="text1"/>
          <w:lang w:val="en-US"/>
        </w:rPr>
        <w:t>totally not expected</w:t>
      </w:r>
      <w:r w:rsidRPr="00AF507D">
        <w:rPr>
          <w:color w:val="000000" w:themeColor="text1"/>
          <w:lang w:val="en-US"/>
        </w:rPr>
        <w:t xml:space="preserve">, 2 = </w:t>
      </w:r>
      <w:r w:rsidRPr="00AF507D">
        <w:rPr>
          <w:i/>
          <w:color w:val="000000" w:themeColor="text1"/>
          <w:lang w:val="en-US"/>
        </w:rPr>
        <w:t>a bit unexpected</w:t>
      </w:r>
      <w:r w:rsidRPr="00AF507D">
        <w:rPr>
          <w:color w:val="000000" w:themeColor="text1"/>
          <w:lang w:val="en-US"/>
        </w:rPr>
        <w:t xml:space="preserve">, 3 = </w:t>
      </w:r>
      <w:r w:rsidRPr="00AF507D">
        <w:rPr>
          <w:i/>
          <w:color w:val="000000" w:themeColor="text1"/>
          <w:lang w:val="en-US"/>
        </w:rPr>
        <w:t>quite unexpected</w:t>
      </w:r>
      <w:r w:rsidRPr="00AF507D">
        <w:rPr>
          <w:color w:val="000000" w:themeColor="text1"/>
          <w:lang w:val="en-US"/>
        </w:rPr>
        <w:t xml:space="preserve">, 4 = </w:t>
      </w:r>
      <w:r w:rsidRPr="00AF507D">
        <w:rPr>
          <w:i/>
          <w:color w:val="000000" w:themeColor="text1"/>
          <w:lang w:val="en-US"/>
        </w:rPr>
        <w:t>very unexpected</w:t>
      </w:r>
      <w:r w:rsidRPr="00AF507D">
        <w:rPr>
          <w:color w:val="000000" w:themeColor="text1"/>
          <w:lang w:val="en-US"/>
        </w:rPr>
        <w:t xml:space="preserve">, 5 = </w:t>
      </w:r>
      <w:r w:rsidRPr="00AF507D">
        <w:rPr>
          <w:i/>
          <w:color w:val="000000" w:themeColor="text1"/>
          <w:lang w:val="en-US"/>
        </w:rPr>
        <w:t>completely unexpected</w:t>
      </w:r>
      <w:r w:rsidRPr="00AF507D">
        <w:rPr>
          <w:color w:val="000000" w:themeColor="text1"/>
          <w:lang w:val="en-US"/>
        </w:rPr>
        <w:t>), religious affiliation (i.e., yes or no), and time since loss in months were selected as independent variables for the current study. Kinship was categorized into partner, child, parent, sibling, grandparent, grandchild, friend, or ‘other’. This variable was dummy coded for multiple regression</w:t>
      </w:r>
      <w:r w:rsidR="00236CB1" w:rsidRPr="00AF507D">
        <w:rPr>
          <w:color w:val="000000" w:themeColor="text1"/>
          <w:lang w:val="en-US"/>
        </w:rPr>
        <w:t xml:space="preserve"> analysis</w:t>
      </w:r>
      <w:r w:rsidR="00436077" w:rsidRPr="00AF507D">
        <w:rPr>
          <w:color w:val="000000" w:themeColor="text1"/>
          <w:lang w:val="en-US"/>
        </w:rPr>
        <w:t xml:space="preserve">, with ‘other’ as </w:t>
      </w:r>
      <w:r w:rsidR="0030213F" w:rsidRPr="00AF507D">
        <w:rPr>
          <w:color w:val="000000" w:themeColor="text1"/>
          <w:lang w:val="en-US"/>
        </w:rPr>
        <w:t>the</w:t>
      </w:r>
      <w:r w:rsidR="00436077" w:rsidRPr="00AF507D">
        <w:rPr>
          <w:color w:val="000000" w:themeColor="text1"/>
          <w:lang w:val="en-US"/>
        </w:rPr>
        <w:t xml:space="preserve"> reference category</w:t>
      </w:r>
      <w:r w:rsidRPr="00AF507D">
        <w:rPr>
          <w:color w:val="000000" w:themeColor="text1"/>
          <w:lang w:val="en-US"/>
        </w:rPr>
        <w:t xml:space="preserve">. </w:t>
      </w:r>
      <w:r w:rsidR="001F0866" w:rsidRPr="00AF507D">
        <w:rPr>
          <w:color w:val="000000" w:themeColor="text1"/>
          <w:lang w:val="en-US"/>
        </w:rPr>
        <w:t xml:space="preserve">A close relationship with the deceased </w:t>
      </w:r>
      <w:r w:rsidR="003251BE" w:rsidRPr="00AF507D">
        <w:rPr>
          <w:color w:val="000000" w:themeColor="text1"/>
          <w:lang w:val="en-US"/>
        </w:rPr>
        <w:t>wa</w:t>
      </w:r>
      <w:r w:rsidR="001F0866" w:rsidRPr="00AF507D">
        <w:rPr>
          <w:color w:val="000000" w:themeColor="text1"/>
          <w:lang w:val="en-US"/>
        </w:rPr>
        <w:t xml:space="preserve">s </w:t>
      </w:r>
      <w:r w:rsidR="00EC675E" w:rsidRPr="00AF507D">
        <w:rPr>
          <w:color w:val="000000" w:themeColor="text1"/>
          <w:lang w:val="en-US"/>
        </w:rPr>
        <w:t>defined</w:t>
      </w:r>
      <w:r w:rsidR="001F0866" w:rsidRPr="00AF507D">
        <w:rPr>
          <w:color w:val="000000" w:themeColor="text1"/>
          <w:lang w:val="en-US"/>
        </w:rPr>
        <w:t xml:space="preserve"> by loss of a partner, child, parent or sibling. </w:t>
      </w:r>
      <w:r w:rsidRPr="00AF507D">
        <w:rPr>
          <w:color w:val="000000" w:themeColor="text1"/>
          <w:lang w:val="en-US"/>
        </w:rPr>
        <w:t xml:space="preserve">Cause of death was categorized into physical illness, accident, suicide, murder and ‘other’. For the current study this variable was dichotomized into natural death (i.e., physical illness) and unnatural death (i.e., accident, suicide, murder and ‘other’). Religious affiliation and multiple loss were dichotomized as well.  </w:t>
      </w:r>
    </w:p>
    <w:p w14:paraId="00000051" w14:textId="77777777" w:rsidR="00042C0F" w:rsidRPr="00AF507D" w:rsidRDefault="00042C0F" w:rsidP="00AF507D">
      <w:pPr>
        <w:spacing w:line="480" w:lineRule="auto"/>
        <w:rPr>
          <w:color w:val="000000" w:themeColor="text1"/>
          <w:lang w:val="en-US"/>
        </w:rPr>
      </w:pPr>
    </w:p>
    <w:p w14:paraId="00000052" w14:textId="3B39B51D" w:rsidR="00042C0F" w:rsidRPr="00AF507D" w:rsidRDefault="00784863" w:rsidP="00AF507D">
      <w:pPr>
        <w:spacing w:line="480" w:lineRule="auto"/>
        <w:rPr>
          <w:b/>
          <w:color w:val="000000" w:themeColor="text1"/>
          <w:lang w:val="en-US"/>
        </w:rPr>
      </w:pPr>
      <w:r w:rsidRPr="00AF507D">
        <w:rPr>
          <w:b/>
          <w:color w:val="000000" w:themeColor="text1"/>
          <w:lang w:val="en-US"/>
        </w:rPr>
        <w:t>Statistical analysis</w:t>
      </w:r>
    </w:p>
    <w:p w14:paraId="00000053" w14:textId="1FA0E33F" w:rsidR="00042C0F" w:rsidRPr="00AF507D" w:rsidRDefault="00165BB5" w:rsidP="00AF507D">
      <w:pPr>
        <w:spacing w:line="480" w:lineRule="auto"/>
        <w:ind w:firstLine="720"/>
        <w:rPr>
          <w:color w:val="000000" w:themeColor="text1"/>
          <w:lang w:val="en-US"/>
        </w:rPr>
      </w:pPr>
      <w:r w:rsidRPr="00AF507D">
        <w:rPr>
          <w:color w:val="000000" w:themeColor="text1"/>
          <w:lang w:val="en-US"/>
        </w:rPr>
        <w:t xml:space="preserve">All statistical analyses were performed using </w:t>
      </w:r>
      <w:r w:rsidRPr="00AF507D">
        <w:rPr>
          <w:iCs/>
          <w:color w:val="000000" w:themeColor="text1"/>
          <w:lang w:val="en-US"/>
        </w:rPr>
        <w:t>SPSS</w:t>
      </w:r>
      <w:r w:rsidRPr="00AF507D">
        <w:rPr>
          <w:i/>
          <w:color w:val="000000" w:themeColor="text1"/>
          <w:lang w:val="en-US"/>
        </w:rPr>
        <w:t xml:space="preserve"> </w:t>
      </w:r>
      <w:r w:rsidRPr="00AF507D">
        <w:rPr>
          <w:color w:val="000000" w:themeColor="text1"/>
          <w:lang w:val="en-US"/>
        </w:rPr>
        <w:t xml:space="preserve">(version 26.0; IBM Corp., 2019). The current study used data collected at the first measurement-point of the TALE-study. First, the dataset was cleaned and checked for missing values. </w:t>
      </w:r>
      <w:r w:rsidR="00B424B8" w:rsidRPr="00AF507D">
        <w:rPr>
          <w:color w:val="000000" w:themeColor="text1"/>
          <w:lang w:val="en-US"/>
        </w:rPr>
        <w:t xml:space="preserve">A total of </w:t>
      </w:r>
      <w:r w:rsidR="001279CE" w:rsidRPr="00AF507D">
        <w:rPr>
          <w:color w:val="000000" w:themeColor="text1"/>
          <w:lang w:val="en-US"/>
        </w:rPr>
        <w:t>11 missing values occurred in the dataset</w:t>
      </w:r>
      <w:r w:rsidR="008F3F81" w:rsidRPr="00AF507D">
        <w:rPr>
          <w:color w:val="000000" w:themeColor="text1"/>
          <w:lang w:val="en-US"/>
        </w:rPr>
        <w:t xml:space="preserve">, which </w:t>
      </w:r>
      <w:r w:rsidR="009408C5" w:rsidRPr="00AF507D">
        <w:rPr>
          <w:color w:val="000000" w:themeColor="text1"/>
          <w:lang w:val="en-US"/>
        </w:rPr>
        <w:t xml:space="preserve">were divided </w:t>
      </w:r>
      <w:r w:rsidR="00311F79" w:rsidRPr="00AF507D">
        <w:rPr>
          <w:color w:val="000000" w:themeColor="text1"/>
          <w:lang w:val="en-US"/>
        </w:rPr>
        <w:t>over several items.</w:t>
      </w:r>
      <w:r w:rsidR="00427142" w:rsidRPr="00AF507D">
        <w:rPr>
          <w:color w:val="000000" w:themeColor="text1"/>
          <w:lang w:val="en-US"/>
        </w:rPr>
        <w:t xml:space="preserve"> Since </w:t>
      </w:r>
      <w:r w:rsidR="00A62852" w:rsidRPr="00AF507D">
        <w:rPr>
          <w:color w:val="000000" w:themeColor="text1"/>
          <w:lang w:val="en-US"/>
        </w:rPr>
        <w:t xml:space="preserve">the </w:t>
      </w:r>
      <w:r w:rsidR="00E87C37" w:rsidRPr="00AF507D">
        <w:rPr>
          <w:color w:val="000000" w:themeColor="text1"/>
          <w:lang w:val="en-US"/>
        </w:rPr>
        <w:t>number</w:t>
      </w:r>
      <w:r w:rsidR="00A62852" w:rsidRPr="00AF507D">
        <w:rPr>
          <w:color w:val="000000" w:themeColor="text1"/>
          <w:lang w:val="en-US"/>
        </w:rPr>
        <w:t xml:space="preserve"> of missing values was considerably small</w:t>
      </w:r>
      <w:r w:rsidR="003F1266" w:rsidRPr="00AF507D">
        <w:rPr>
          <w:color w:val="000000" w:themeColor="text1"/>
          <w:lang w:val="en-US"/>
        </w:rPr>
        <w:t xml:space="preserve"> compared to the</w:t>
      </w:r>
      <w:r w:rsidR="004B2926" w:rsidRPr="00AF507D">
        <w:rPr>
          <w:color w:val="000000" w:themeColor="text1"/>
          <w:lang w:val="en-US"/>
        </w:rPr>
        <w:t xml:space="preserve"> size of the dataset</w:t>
      </w:r>
      <w:r w:rsidR="003913B3" w:rsidRPr="00AF507D">
        <w:rPr>
          <w:color w:val="000000" w:themeColor="text1"/>
          <w:lang w:val="en-US"/>
        </w:rPr>
        <w:t xml:space="preserve">, </w:t>
      </w:r>
      <w:r w:rsidR="00C27D11" w:rsidRPr="00AF507D">
        <w:rPr>
          <w:color w:val="000000" w:themeColor="text1"/>
          <w:lang w:val="en-US"/>
        </w:rPr>
        <w:t>the missing values were not removed</w:t>
      </w:r>
      <w:r w:rsidR="00E87C37" w:rsidRPr="00AF507D">
        <w:rPr>
          <w:color w:val="000000" w:themeColor="text1"/>
          <w:lang w:val="en-US"/>
        </w:rPr>
        <w:t>.</w:t>
      </w:r>
      <w:r w:rsidR="00311F79" w:rsidRPr="00AF507D">
        <w:rPr>
          <w:color w:val="000000" w:themeColor="text1"/>
          <w:lang w:val="en-US"/>
        </w:rPr>
        <w:t xml:space="preserve"> </w:t>
      </w:r>
      <w:r w:rsidRPr="00AF507D">
        <w:rPr>
          <w:color w:val="000000" w:themeColor="text1"/>
          <w:lang w:val="en-US"/>
        </w:rPr>
        <w:t xml:space="preserve">A multiple regression analysis was conducted for both dependent variables separately. All risk factors were entered into the regression analysis simultaneously. Assumption testing prior to the analysis indicated that the assumption of normality for both dependent variables was violated. However, since the sample size </w:t>
      </w:r>
      <w:r w:rsidR="00C61B67" w:rsidRPr="00AF507D">
        <w:rPr>
          <w:color w:val="000000" w:themeColor="text1"/>
          <w:lang w:val="en-US"/>
        </w:rPr>
        <w:t xml:space="preserve">of the current study </w:t>
      </w:r>
      <w:r w:rsidRPr="00AF507D">
        <w:rPr>
          <w:color w:val="000000" w:themeColor="text1"/>
          <w:lang w:val="en-US"/>
        </w:rPr>
        <w:t xml:space="preserve">is </w:t>
      </w:r>
      <w:r w:rsidRPr="00AF507D">
        <w:rPr>
          <w:color w:val="000000" w:themeColor="text1"/>
          <w:lang w:val="en-US"/>
        </w:rPr>
        <w:lastRenderedPageBreak/>
        <w:t xml:space="preserve">sufficiently large, this violation has </w:t>
      </w:r>
      <w:r w:rsidR="0035171D" w:rsidRPr="00AF507D">
        <w:rPr>
          <w:color w:val="000000" w:themeColor="text1"/>
          <w:lang w:val="en-US"/>
        </w:rPr>
        <w:t>no significant</w:t>
      </w:r>
      <w:r w:rsidRPr="00AF507D">
        <w:rPr>
          <w:color w:val="000000" w:themeColor="text1"/>
          <w:lang w:val="en-US"/>
        </w:rPr>
        <w:t xml:space="preserve"> impact on the data</w:t>
      </w:r>
      <w:r w:rsidR="008F3C28" w:rsidRPr="00AF507D">
        <w:rPr>
          <w:color w:val="000000" w:themeColor="text1"/>
          <w:lang w:val="en-US"/>
        </w:rPr>
        <w:t xml:space="preserve"> (Williams et al., 2013)</w:t>
      </w:r>
      <w:r w:rsidRPr="00AF507D">
        <w:rPr>
          <w:color w:val="000000" w:themeColor="text1"/>
          <w:lang w:val="en-US"/>
        </w:rPr>
        <w:t>. Further assumption testing did not indicate</w:t>
      </w:r>
      <w:r w:rsidR="00083521" w:rsidRPr="00AF507D">
        <w:rPr>
          <w:color w:val="000000" w:themeColor="text1"/>
          <w:lang w:val="en-US"/>
        </w:rPr>
        <w:t xml:space="preserve"> any</w:t>
      </w:r>
      <w:r w:rsidRPr="00AF507D">
        <w:rPr>
          <w:color w:val="000000" w:themeColor="text1"/>
          <w:lang w:val="en-US"/>
        </w:rPr>
        <w:t xml:space="preserve"> </w:t>
      </w:r>
      <w:commentRangeStart w:id="5"/>
      <w:r w:rsidRPr="00AF507D">
        <w:rPr>
          <w:color w:val="000000" w:themeColor="text1"/>
          <w:lang w:val="en-US"/>
        </w:rPr>
        <w:t>violations</w:t>
      </w:r>
      <w:commentRangeEnd w:id="5"/>
      <w:r w:rsidR="00E42F60">
        <w:rPr>
          <w:rStyle w:val="CommentReference"/>
          <w:rFonts w:ascii="Arial" w:eastAsia="Arial" w:hAnsi="Arial" w:cs="Arial"/>
          <w:lang w:val="nl"/>
        </w:rPr>
        <w:commentReference w:id="5"/>
      </w:r>
      <w:r w:rsidRPr="00AF507D">
        <w:rPr>
          <w:color w:val="000000" w:themeColor="text1"/>
          <w:lang w:val="en-US"/>
        </w:rPr>
        <w:t xml:space="preserve">. </w:t>
      </w:r>
    </w:p>
    <w:p w14:paraId="3536F23B" w14:textId="4CF5E5B2" w:rsidR="00A82051" w:rsidRPr="00AF507D" w:rsidRDefault="00A82051" w:rsidP="00AF507D">
      <w:pPr>
        <w:spacing w:line="480" w:lineRule="auto"/>
        <w:rPr>
          <w:b/>
          <w:color w:val="000000" w:themeColor="text1"/>
          <w:lang w:val="en-US"/>
        </w:rPr>
      </w:pPr>
    </w:p>
    <w:p w14:paraId="1079AB55" w14:textId="62DE0BB8" w:rsidR="008A7B40" w:rsidRPr="00AF507D" w:rsidRDefault="008A7B40" w:rsidP="00AF507D">
      <w:pPr>
        <w:spacing w:line="480" w:lineRule="auto"/>
        <w:rPr>
          <w:b/>
          <w:color w:val="000000" w:themeColor="text1"/>
          <w:lang w:val="en-US"/>
        </w:rPr>
      </w:pPr>
    </w:p>
    <w:p w14:paraId="7B746A68" w14:textId="3C230C72" w:rsidR="00FC0215" w:rsidRPr="00AF507D" w:rsidRDefault="00FC0215" w:rsidP="00AF507D">
      <w:pPr>
        <w:spacing w:line="480" w:lineRule="auto"/>
        <w:rPr>
          <w:b/>
          <w:color w:val="000000" w:themeColor="text1"/>
          <w:lang w:val="en-US"/>
        </w:rPr>
      </w:pPr>
    </w:p>
    <w:p w14:paraId="27A14436" w14:textId="70C29A70" w:rsidR="00FC0215" w:rsidRPr="00AF507D" w:rsidRDefault="00FC0215" w:rsidP="00AF507D">
      <w:pPr>
        <w:spacing w:line="480" w:lineRule="auto"/>
        <w:rPr>
          <w:b/>
          <w:color w:val="000000" w:themeColor="text1"/>
          <w:lang w:val="en-US"/>
        </w:rPr>
      </w:pPr>
    </w:p>
    <w:p w14:paraId="74ABBE2F" w14:textId="7BAC08E2" w:rsidR="00FC0215" w:rsidRPr="00AF507D" w:rsidRDefault="00FC0215" w:rsidP="00AF507D">
      <w:pPr>
        <w:spacing w:line="480" w:lineRule="auto"/>
        <w:rPr>
          <w:b/>
          <w:color w:val="000000" w:themeColor="text1"/>
          <w:lang w:val="en-US"/>
        </w:rPr>
      </w:pPr>
    </w:p>
    <w:p w14:paraId="11DDB107" w14:textId="00DD14D1" w:rsidR="00FC0215" w:rsidRPr="00AF507D" w:rsidRDefault="00FC0215" w:rsidP="00AF507D">
      <w:pPr>
        <w:spacing w:line="480" w:lineRule="auto"/>
        <w:rPr>
          <w:b/>
          <w:color w:val="000000" w:themeColor="text1"/>
          <w:lang w:val="en-US"/>
        </w:rPr>
      </w:pPr>
    </w:p>
    <w:p w14:paraId="3C743D0A" w14:textId="52567B6E" w:rsidR="00FC0215" w:rsidRPr="00AF507D" w:rsidRDefault="00FC0215" w:rsidP="00AF507D">
      <w:pPr>
        <w:spacing w:line="480" w:lineRule="auto"/>
        <w:rPr>
          <w:b/>
          <w:color w:val="000000" w:themeColor="text1"/>
          <w:lang w:val="en-US"/>
        </w:rPr>
      </w:pPr>
    </w:p>
    <w:p w14:paraId="5ACA0540" w14:textId="13383D5F" w:rsidR="00FC0215" w:rsidRPr="00AF507D" w:rsidRDefault="00FC0215" w:rsidP="00AF507D">
      <w:pPr>
        <w:spacing w:line="480" w:lineRule="auto"/>
        <w:rPr>
          <w:b/>
          <w:color w:val="000000" w:themeColor="text1"/>
          <w:lang w:val="en-US"/>
        </w:rPr>
      </w:pPr>
    </w:p>
    <w:p w14:paraId="6F97262C" w14:textId="14A05CD3" w:rsidR="00FC0215" w:rsidRPr="00AF507D" w:rsidRDefault="00FC0215" w:rsidP="00AF507D">
      <w:pPr>
        <w:spacing w:line="480" w:lineRule="auto"/>
        <w:rPr>
          <w:b/>
          <w:color w:val="000000" w:themeColor="text1"/>
          <w:lang w:val="en-US"/>
        </w:rPr>
      </w:pPr>
    </w:p>
    <w:p w14:paraId="6715C16C" w14:textId="48AA43F8" w:rsidR="00FC0215" w:rsidRPr="00AF507D" w:rsidRDefault="00FC0215" w:rsidP="00AF507D">
      <w:pPr>
        <w:spacing w:line="480" w:lineRule="auto"/>
        <w:rPr>
          <w:b/>
          <w:color w:val="000000" w:themeColor="text1"/>
          <w:lang w:val="en-US"/>
        </w:rPr>
      </w:pPr>
    </w:p>
    <w:p w14:paraId="46FE64F9" w14:textId="2874832B" w:rsidR="00FC0215" w:rsidRPr="00AF507D" w:rsidRDefault="00FC0215" w:rsidP="00AF507D">
      <w:pPr>
        <w:spacing w:line="480" w:lineRule="auto"/>
        <w:rPr>
          <w:b/>
          <w:color w:val="000000" w:themeColor="text1"/>
          <w:lang w:val="en-US"/>
        </w:rPr>
      </w:pPr>
    </w:p>
    <w:p w14:paraId="18D8D2E1" w14:textId="511EB570" w:rsidR="00FC0215" w:rsidRPr="00AF507D" w:rsidRDefault="00FC0215" w:rsidP="00AF507D">
      <w:pPr>
        <w:spacing w:line="480" w:lineRule="auto"/>
        <w:rPr>
          <w:b/>
          <w:color w:val="000000" w:themeColor="text1"/>
          <w:lang w:val="en-US"/>
        </w:rPr>
      </w:pPr>
    </w:p>
    <w:p w14:paraId="22237044" w14:textId="4496ADBB" w:rsidR="00FC0215" w:rsidRPr="00AF507D" w:rsidRDefault="00FC0215" w:rsidP="00AF507D">
      <w:pPr>
        <w:spacing w:line="480" w:lineRule="auto"/>
        <w:rPr>
          <w:b/>
          <w:color w:val="000000" w:themeColor="text1"/>
          <w:lang w:val="en-US"/>
        </w:rPr>
      </w:pPr>
    </w:p>
    <w:p w14:paraId="6393AE48" w14:textId="3391E7B5" w:rsidR="00FC0215" w:rsidRPr="00AF507D" w:rsidRDefault="00FC0215" w:rsidP="00AF507D">
      <w:pPr>
        <w:spacing w:line="480" w:lineRule="auto"/>
        <w:rPr>
          <w:b/>
          <w:color w:val="000000" w:themeColor="text1"/>
          <w:lang w:val="en-US"/>
        </w:rPr>
      </w:pPr>
    </w:p>
    <w:p w14:paraId="7F72E5A3" w14:textId="75E0AB14" w:rsidR="00FC0215" w:rsidRPr="00AF507D" w:rsidRDefault="00FC0215" w:rsidP="00AF507D">
      <w:pPr>
        <w:spacing w:line="480" w:lineRule="auto"/>
        <w:rPr>
          <w:b/>
          <w:color w:val="000000" w:themeColor="text1"/>
          <w:lang w:val="en-US"/>
        </w:rPr>
      </w:pPr>
    </w:p>
    <w:p w14:paraId="47100AB0" w14:textId="4D76D57B" w:rsidR="00FC0215" w:rsidRPr="00AF507D" w:rsidRDefault="00FC0215" w:rsidP="00AF507D">
      <w:pPr>
        <w:spacing w:line="480" w:lineRule="auto"/>
        <w:rPr>
          <w:b/>
          <w:color w:val="000000" w:themeColor="text1"/>
          <w:lang w:val="en-US"/>
        </w:rPr>
      </w:pPr>
    </w:p>
    <w:p w14:paraId="62E8BDD4" w14:textId="15C7484F" w:rsidR="00FC0215" w:rsidRPr="00AF507D" w:rsidRDefault="00FC0215" w:rsidP="00AF507D">
      <w:pPr>
        <w:spacing w:line="480" w:lineRule="auto"/>
        <w:rPr>
          <w:b/>
          <w:color w:val="000000" w:themeColor="text1"/>
          <w:lang w:val="en-US"/>
        </w:rPr>
      </w:pPr>
    </w:p>
    <w:p w14:paraId="192DAD75" w14:textId="0864222C" w:rsidR="00FC0215" w:rsidRPr="00AF507D" w:rsidRDefault="00FC0215" w:rsidP="00AF507D">
      <w:pPr>
        <w:spacing w:line="480" w:lineRule="auto"/>
        <w:rPr>
          <w:b/>
          <w:color w:val="000000" w:themeColor="text1"/>
          <w:lang w:val="en-US"/>
        </w:rPr>
      </w:pPr>
    </w:p>
    <w:p w14:paraId="047F9C19" w14:textId="2E9421B5" w:rsidR="00FC0215" w:rsidRPr="00AF507D" w:rsidRDefault="00FC0215" w:rsidP="00AF507D">
      <w:pPr>
        <w:spacing w:line="480" w:lineRule="auto"/>
        <w:rPr>
          <w:b/>
          <w:color w:val="000000" w:themeColor="text1"/>
          <w:lang w:val="en-US"/>
        </w:rPr>
      </w:pPr>
    </w:p>
    <w:p w14:paraId="03DDE032" w14:textId="71EE7D8E" w:rsidR="00FC0215" w:rsidRPr="00AF507D" w:rsidRDefault="00FC0215" w:rsidP="00AF507D">
      <w:pPr>
        <w:spacing w:line="480" w:lineRule="auto"/>
        <w:rPr>
          <w:b/>
          <w:color w:val="000000" w:themeColor="text1"/>
          <w:lang w:val="en-US"/>
        </w:rPr>
      </w:pPr>
    </w:p>
    <w:p w14:paraId="6553B4E8" w14:textId="57502017" w:rsidR="00FC0215" w:rsidRPr="00AF507D" w:rsidRDefault="00FC0215" w:rsidP="00AF507D">
      <w:pPr>
        <w:spacing w:line="480" w:lineRule="auto"/>
        <w:rPr>
          <w:b/>
          <w:color w:val="000000" w:themeColor="text1"/>
          <w:lang w:val="en-US"/>
        </w:rPr>
      </w:pPr>
    </w:p>
    <w:p w14:paraId="40E5A103" w14:textId="05135565" w:rsidR="00FC0215" w:rsidRDefault="00FC0215" w:rsidP="00AF507D">
      <w:pPr>
        <w:spacing w:line="480" w:lineRule="auto"/>
        <w:rPr>
          <w:b/>
          <w:color w:val="000000" w:themeColor="text1"/>
          <w:lang w:val="en-US"/>
        </w:rPr>
      </w:pPr>
    </w:p>
    <w:p w14:paraId="51BFAF39" w14:textId="77777777" w:rsidR="00AF507D" w:rsidRPr="00AF507D" w:rsidRDefault="00AF507D" w:rsidP="00AF507D">
      <w:pPr>
        <w:spacing w:line="480" w:lineRule="auto"/>
        <w:rPr>
          <w:b/>
          <w:color w:val="000000" w:themeColor="text1"/>
          <w:lang w:val="en-US"/>
        </w:rPr>
      </w:pPr>
    </w:p>
    <w:p w14:paraId="00000059" w14:textId="0F007611" w:rsidR="00042C0F" w:rsidRPr="00AF507D" w:rsidRDefault="00165BB5" w:rsidP="00AF507D">
      <w:pPr>
        <w:spacing w:line="480" w:lineRule="auto"/>
        <w:jc w:val="center"/>
        <w:rPr>
          <w:b/>
          <w:color w:val="000000" w:themeColor="text1"/>
          <w:lang w:val="en-US"/>
        </w:rPr>
      </w:pPr>
      <w:r w:rsidRPr="00AF507D">
        <w:rPr>
          <w:b/>
          <w:color w:val="000000" w:themeColor="text1"/>
          <w:lang w:val="en-US"/>
        </w:rPr>
        <w:lastRenderedPageBreak/>
        <w:t>Results</w:t>
      </w:r>
    </w:p>
    <w:p w14:paraId="5E10E3FB" w14:textId="77777777" w:rsidR="00784863" w:rsidRPr="00AF507D" w:rsidRDefault="00784863" w:rsidP="00AF507D">
      <w:pPr>
        <w:spacing w:line="480" w:lineRule="auto"/>
        <w:rPr>
          <w:b/>
          <w:color w:val="000000" w:themeColor="text1"/>
          <w:lang w:val="en-US"/>
        </w:rPr>
      </w:pPr>
    </w:p>
    <w:p w14:paraId="0000005A" w14:textId="1FBE2EAA" w:rsidR="00042C0F" w:rsidRPr="00AF507D" w:rsidRDefault="00165BB5" w:rsidP="00AF507D">
      <w:pPr>
        <w:spacing w:line="480" w:lineRule="auto"/>
        <w:rPr>
          <w:b/>
          <w:color w:val="000000" w:themeColor="text1"/>
          <w:lang w:val="en-US"/>
        </w:rPr>
      </w:pPr>
      <w:r w:rsidRPr="00AF507D">
        <w:rPr>
          <w:b/>
          <w:color w:val="000000" w:themeColor="text1"/>
          <w:lang w:val="en-US"/>
        </w:rPr>
        <w:t xml:space="preserve">Participant characteristics </w:t>
      </w:r>
    </w:p>
    <w:p w14:paraId="0000005B" w14:textId="4798B5CF" w:rsidR="00042C0F" w:rsidRPr="00AF507D" w:rsidRDefault="00165BB5" w:rsidP="00AF507D">
      <w:pPr>
        <w:spacing w:line="480" w:lineRule="auto"/>
        <w:ind w:firstLine="720"/>
        <w:rPr>
          <w:color w:val="000000" w:themeColor="text1"/>
          <w:lang w:val="en-US"/>
        </w:rPr>
      </w:pPr>
      <w:r w:rsidRPr="00AF507D">
        <w:rPr>
          <w:color w:val="000000" w:themeColor="text1"/>
          <w:lang w:val="en-US"/>
        </w:rPr>
        <w:t>Participant characteristics are shown in Table 1. Data from 81 (19%) men and 352 (81%) women was used. The mean age of participants was 43.05 years (</w:t>
      </w:r>
      <w:r w:rsidRPr="00AF507D">
        <w:rPr>
          <w:i/>
          <w:iCs/>
          <w:color w:val="000000" w:themeColor="text1"/>
          <w:lang w:val="en-US"/>
        </w:rPr>
        <w:t>SD</w:t>
      </w:r>
      <w:r w:rsidRPr="00AF507D">
        <w:rPr>
          <w:color w:val="000000" w:themeColor="text1"/>
          <w:lang w:val="en-US"/>
        </w:rPr>
        <w:t xml:space="preserve"> = 16.90). Most participants lost a loved one due to natural causes (77%). Among participants that experienced an unnatural death, suicide was the most common cause (13%). Loss of a parent was most frequent (30%). Mean time since loss was 80.38 months (</w:t>
      </w:r>
      <w:r w:rsidRPr="00AF507D">
        <w:rPr>
          <w:i/>
          <w:iCs/>
          <w:color w:val="000000" w:themeColor="text1"/>
          <w:lang w:val="en-US"/>
        </w:rPr>
        <w:t>SD</w:t>
      </w:r>
      <w:r w:rsidRPr="00AF507D">
        <w:rPr>
          <w:color w:val="000000" w:themeColor="text1"/>
          <w:lang w:val="en-US"/>
        </w:rPr>
        <w:t xml:space="preserve"> = 98.03). Religious affiliation and multiple loss </w:t>
      </w:r>
      <w:r w:rsidR="00F8458B" w:rsidRPr="00AF507D">
        <w:rPr>
          <w:color w:val="000000" w:themeColor="text1"/>
          <w:lang w:val="en-US"/>
        </w:rPr>
        <w:t>wer</w:t>
      </w:r>
      <w:r w:rsidRPr="00AF507D">
        <w:rPr>
          <w:color w:val="000000" w:themeColor="text1"/>
          <w:lang w:val="en-US"/>
        </w:rPr>
        <w:t xml:space="preserve">e roughly equally distributed. Mean scores for symptom levels of depression and pathological grief were calculated. </w:t>
      </w:r>
      <w:r w:rsidR="004D3224" w:rsidRPr="00AF507D">
        <w:rPr>
          <w:color w:val="000000" w:themeColor="text1"/>
          <w:lang w:val="en-US"/>
        </w:rPr>
        <w:t>Depression had a mean score of</w:t>
      </w:r>
      <w:r w:rsidRPr="00AF507D">
        <w:rPr>
          <w:color w:val="000000" w:themeColor="text1"/>
          <w:lang w:val="en-US"/>
        </w:rPr>
        <w:t xml:space="preserve"> 15.53 (</w:t>
      </w:r>
      <w:r w:rsidRPr="00AF507D">
        <w:rPr>
          <w:i/>
          <w:iCs/>
          <w:color w:val="000000" w:themeColor="text1"/>
          <w:lang w:val="en-US"/>
        </w:rPr>
        <w:t>SD</w:t>
      </w:r>
      <w:r w:rsidRPr="00AF507D">
        <w:rPr>
          <w:color w:val="000000" w:themeColor="text1"/>
          <w:lang w:val="en-US"/>
        </w:rPr>
        <w:t xml:space="preserve"> = 4.57)</w:t>
      </w:r>
      <w:r w:rsidR="00820FED" w:rsidRPr="00AF507D">
        <w:rPr>
          <w:color w:val="000000" w:themeColor="text1"/>
          <w:lang w:val="en-US"/>
        </w:rPr>
        <w:t>, scores on the PHQ-9 ranged from 9 to 32.</w:t>
      </w:r>
      <w:r w:rsidRPr="00AF507D">
        <w:rPr>
          <w:color w:val="000000" w:themeColor="text1"/>
          <w:lang w:val="en-US"/>
        </w:rPr>
        <w:t xml:space="preserve"> </w:t>
      </w:r>
      <w:r w:rsidR="004D3224" w:rsidRPr="00AF507D">
        <w:rPr>
          <w:color w:val="000000" w:themeColor="text1"/>
          <w:lang w:val="en-US"/>
        </w:rPr>
        <w:t xml:space="preserve">Pathological grief had a mean score of </w:t>
      </w:r>
      <w:r w:rsidRPr="00AF507D">
        <w:rPr>
          <w:color w:val="000000" w:themeColor="text1"/>
          <w:lang w:val="en-US"/>
        </w:rPr>
        <w:t>40.62 (</w:t>
      </w:r>
      <w:r w:rsidRPr="00AF507D">
        <w:rPr>
          <w:i/>
          <w:iCs/>
          <w:color w:val="000000" w:themeColor="text1"/>
          <w:lang w:val="en-US"/>
        </w:rPr>
        <w:t>SD</w:t>
      </w:r>
      <w:r w:rsidRPr="00AF507D">
        <w:rPr>
          <w:color w:val="000000" w:themeColor="text1"/>
          <w:lang w:val="en-US"/>
        </w:rPr>
        <w:t xml:space="preserve"> = 14.67)</w:t>
      </w:r>
      <w:r w:rsidR="00972547" w:rsidRPr="00AF507D">
        <w:rPr>
          <w:color w:val="000000" w:themeColor="text1"/>
          <w:lang w:val="en-US"/>
        </w:rPr>
        <w:t>, scores on the TGI-CA ranged from 22 to 90.</w:t>
      </w:r>
      <w:r w:rsidR="004D3224" w:rsidRPr="00AF507D">
        <w:rPr>
          <w:color w:val="000000" w:themeColor="text1"/>
          <w:lang w:val="en-US"/>
        </w:rPr>
        <w:t xml:space="preserve">  </w:t>
      </w:r>
    </w:p>
    <w:p w14:paraId="5F9545E6" w14:textId="7CA782AF" w:rsidR="008C1EAF" w:rsidRPr="00AF507D" w:rsidRDefault="008C1EAF" w:rsidP="00AF507D">
      <w:pPr>
        <w:spacing w:line="480" w:lineRule="auto"/>
        <w:ind w:firstLine="720"/>
        <w:rPr>
          <w:color w:val="000000" w:themeColor="text1"/>
          <w:lang w:val="en-US"/>
        </w:rPr>
      </w:pPr>
    </w:p>
    <w:p w14:paraId="53CCA620" w14:textId="717DAC8F" w:rsidR="008C1EAF" w:rsidRPr="00AF507D" w:rsidRDefault="00963E28" w:rsidP="00AF507D">
      <w:pPr>
        <w:pStyle w:val="NoSpacing"/>
        <w:spacing w:line="480" w:lineRule="auto"/>
        <w:rPr>
          <w:rFonts w:ascii="Times New Roman" w:hAnsi="Times New Roman" w:cs="Times New Roman"/>
          <w:b/>
          <w:bCs/>
          <w:color w:val="000000" w:themeColor="text1"/>
          <w:sz w:val="24"/>
          <w:szCs w:val="24"/>
          <w:lang w:val="en-US"/>
        </w:rPr>
      </w:pPr>
      <w:r w:rsidRPr="00AF507D">
        <w:rPr>
          <w:rFonts w:ascii="Times New Roman" w:hAnsi="Times New Roman" w:cs="Times New Roman"/>
          <w:b/>
          <w:bCs/>
          <w:color w:val="000000" w:themeColor="text1"/>
          <w:sz w:val="24"/>
          <w:szCs w:val="24"/>
          <w:lang w:val="en-US"/>
        </w:rPr>
        <w:t xml:space="preserve">Risk </w:t>
      </w:r>
      <w:r w:rsidR="00990894" w:rsidRPr="00AF507D">
        <w:rPr>
          <w:rFonts w:ascii="Times New Roman" w:hAnsi="Times New Roman" w:cs="Times New Roman"/>
          <w:b/>
          <w:bCs/>
          <w:color w:val="000000" w:themeColor="text1"/>
          <w:sz w:val="24"/>
          <w:szCs w:val="24"/>
          <w:lang w:val="en-US"/>
        </w:rPr>
        <w:t>F</w:t>
      </w:r>
      <w:r w:rsidRPr="00AF507D">
        <w:rPr>
          <w:rFonts w:ascii="Times New Roman" w:hAnsi="Times New Roman" w:cs="Times New Roman"/>
          <w:b/>
          <w:bCs/>
          <w:color w:val="000000" w:themeColor="text1"/>
          <w:sz w:val="24"/>
          <w:szCs w:val="24"/>
          <w:lang w:val="en-US"/>
        </w:rPr>
        <w:t>actors for</w:t>
      </w:r>
      <w:r w:rsidR="008C1EAF" w:rsidRPr="00AF507D">
        <w:rPr>
          <w:rFonts w:ascii="Times New Roman" w:hAnsi="Times New Roman" w:cs="Times New Roman"/>
          <w:b/>
          <w:bCs/>
          <w:color w:val="000000" w:themeColor="text1"/>
          <w:sz w:val="24"/>
          <w:szCs w:val="24"/>
          <w:lang w:val="en-US"/>
        </w:rPr>
        <w:t xml:space="preserve"> Depression </w:t>
      </w:r>
    </w:p>
    <w:p w14:paraId="6D0DF6D5" w14:textId="27A6EC08" w:rsidR="008C1EAF" w:rsidRPr="00AF507D" w:rsidRDefault="008C1EAF" w:rsidP="00AF507D">
      <w:pPr>
        <w:spacing w:line="480" w:lineRule="auto"/>
        <w:ind w:firstLine="720"/>
        <w:rPr>
          <w:color w:val="000000" w:themeColor="text1"/>
          <w:lang w:val="en-US"/>
        </w:rPr>
      </w:pPr>
      <w:r w:rsidRPr="00AF507D">
        <w:rPr>
          <w:color w:val="000000" w:themeColor="text1"/>
          <w:lang w:val="en-US"/>
        </w:rPr>
        <w:t xml:space="preserve">To estimate the relative importance of the independent variables in predicting symptom levels of depression, a standard multiple regression analysis was performed. All independent variables were entered into the model simultaneously. The </w:t>
      </w:r>
      <w:r w:rsidR="006F5469" w:rsidRPr="00AF507D">
        <w:rPr>
          <w:color w:val="000000" w:themeColor="text1"/>
          <w:lang w:val="en-US"/>
        </w:rPr>
        <w:t>category</w:t>
      </w:r>
      <w:r w:rsidRPr="00AF507D">
        <w:rPr>
          <w:color w:val="000000" w:themeColor="text1"/>
          <w:lang w:val="en-US"/>
        </w:rPr>
        <w:t xml:space="preserve"> grandchild </w:t>
      </w:r>
      <w:r w:rsidR="00DF026E" w:rsidRPr="00AF507D">
        <w:rPr>
          <w:color w:val="000000" w:themeColor="text1"/>
          <w:lang w:val="en-US"/>
        </w:rPr>
        <w:t>of the predictor variable ‘</w:t>
      </w:r>
      <w:r w:rsidRPr="00AF507D">
        <w:rPr>
          <w:color w:val="000000" w:themeColor="text1"/>
          <w:lang w:val="en-US"/>
        </w:rPr>
        <w:t>kinship</w:t>
      </w:r>
      <w:r w:rsidR="00DF026E" w:rsidRPr="00AF507D">
        <w:rPr>
          <w:color w:val="000000" w:themeColor="text1"/>
          <w:lang w:val="en-US"/>
        </w:rPr>
        <w:t>’</w:t>
      </w:r>
      <w:r w:rsidRPr="00AF507D">
        <w:rPr>
          <w:color w:val="000000" w:themeColor="text1"/>
          <w:lang w:val="en-US"/>
        </w:rPr>
        <w:t xml:space="preserve"> was removed from the analysis </w:t>
      </w:r>
      <w:r w:rsidR="00105A65" w:rsidRPr="00AF507D">
        <w:rPr>
          <w:color w:val="000000" w:themeColor="text1"/>
          <w:lang w:val="en-US"/>
        </w:rPr>
        <w:t xml:space="preserve">since </w:t>
      </w:r>
      <w:r w:rsidR="00BB7BFF" w:rsidRPr="00AF507D">
        <w:rPr>
          <w:color w:val="000000" w:themeColor="text1"/>
          <w:lang w:val="en-US"/>
        </w:rPr>
        <w:t>this category did not occur in the dataset</w:t>
      </w:r>
      <w:r w:rsidRPr="00AF507D">
        <w:rPr>
          <w:color w:val="000000" w:themeColor="text1"/>
          <w:lang w:val="en-US"/>
        </w:rPr>
        <w:t>. Unstandardized (</w:t>
      </w:r>
      <w:r w:rsidRPr="00AF507D">
        <w:rPr>
          <w:i/>
          <w:iCs/>
          <w:color w:val="000000" w:themeColor="text1"/>
          <w:lang w:val="en-US"/>
        </w:rPr>
        <w:t>B</w:t>
      </w:r>
      <w:r w:rsidRPr="00AF507D">
        <w:rPr>
          <w:color w:val="000000" w:themeColor="text1"/>
          <w:lang w:val="en-US"/>
        </w:rPr>
        <w:t>) and standardized (</w:t>
      </w:r>
      <w:r w:rsidRPr="00AF507D">
        <w:rPr>
          <w:i/>
          <w:iCs/>
          <w:color w:val="000000" w:themeColor="text1"/>
          <w:lang w:val="en-US"/>
        </w:rPr>
        <w:t>ß</w:t>
      </w:r>
      <w:r w:rsidRPr="00AF507D">
        <w:rPr>
          <w:color w:val="000000" w:themeColor="text1"/>
          <w:lang w:val="en-US"/>
        </w:rPr>
        <w:t xml:space="preserve">) regression coefficients for each predictor in the regression model are reported in Table 2. </w:t>
      </w:r>
    </w:p>
    <w:p w14:paraId="0000005C" w14:textId="57780016" w:rsidR="00042C0F" w:rsidRPr="00AF507D" w:rsidRDefault="008C1EAF" w:rsidP="00AF507D">
      <w:pPr>
        <w:spacing w:line="480" w:lineRule="auto"/>
        <w:ind w:firstLine="720"/>
        <w:rPr>
          <w:color w:val="000000" w:themeColor="text1"/>
          <w:lang w:val="en-US"/>
        </w:rPr>
      </w:pPr>
      <w:r w:rsidRPr="00AF507D">
        <w:rPr>
          <w:color w:val="000000" w:themeColor="text1"/>
          <w:lang w:val="en-US"/>
        </w:rPr>
        <w:t xml:space="preserve">The model was found to be significant and explained 9,8% of variance in levels of depression, </w:t>
      </w:r>
      <w:r w:rsidRPr="00AF507D">
        <w:rPr>
          <w:i/>
          <w:color w:val="000000" w:themeColor="text1"/>
          <w:lang w:val="en-US"/>
        </w:rPr>
        <w:t xml:space="preserve">F </w:t>
      </w:r>
      <w:r w:rsidRPr="00AF507D">
        <w:rPr>
          <w:color w:val="000000" w:themeColor="text1"/>
          <w:lang w:val="en-US"/>
        </w:rPr>
        <w:t xml:space="preserve">(13, 417) = 3.49, </w:t>
      </w:r>
      <w:r w:rsidRPr="00AF507D">
        <w:rPr>
          <w:i/>
          <w:color w:val="000000" w:themeColor="text1"/>
          <w:lang w:val="en-US"/>
        </w:rPr>
        <w:t>p</w:t>
      </w:r>
      <w:r w:rsidRPr="00AF507D">
        <w:rPr>
          <w:color w:val="000000" w:themeColor="text1"/>
          <w:lang w:val="en-US"/>
        </w:rPr>
        <w:t xml:space="preserve"> &lt; .001. History of </w:t>
      </w:r>
      <w:r w:rsidR="00DC1DA5" w:rsidRPr="00AF507D">
        <w:rPr>
          <w:color w:val="000000" w:themeColor="text1"/>
          <w:lang w:val="en-US"/>
        </w:rPr>
        <w:t xml:space="preserve">psychological </w:t>
      </w:r>
      <w:r w:rsidRPr="00AF507D">
        <w:rPr>
          <w:color w:val="000000" w:themeColor="text1"/>
          <w:lang w:val="en-US"/>
        </w:rPr>
        <w:t xml:space="preserve">support, unexpectedness </w:t>
      </w:r>
      <w:r w:rsidR="0002575F" w:rsidRPr="00AF507D">
        <w:rPr>
          <w:color w:val="000000" w:themeColor="text1"/>
          <w:lang w:val="en-US"/>
        </w:rPr>
        <w:t xml:space="preserve">of the loss </w:t>
      </w:r>
      <w:r w:rsidRPr="00AF507D">
        <w:rPr>
          <w:color w:val="000000" w:themeColor="text1"/>
          <w:lang w:val="en-US"/>
        </w:rPr>
        <w:t xml:space="preserve">and </w:t>
      </w:r>
      <w:r w:rsidR="006C0837" w:rsidRPr="00AF507D">
        <w:rPr>
          <w:color w:val="000000" w:themeColor="text1"/>
          <w:lang w:val="en-US"/>
        </w:rPr>
        <w:t xml:space="preserve">shorter </w:t>
      </w:r>
      <w:r w:rsidRPr="00AF507D">
        <w:rPr>
          <w:color w:val="000000" w:themeColor="text1"/>
          <w:lang w:val="en-US"/>
        </w:rPr>
        <w:t xml:space="preserve">time since loss were significant predictors of levels of depression, with history of </w:t>
      </w:r>
      <w:r w:rsidR="00DC1DA5" w:rsidRPr="00AF507D">
        <w:rPr>
          <w:color w:val="000000" w:themeColor="text1"/>
          <w:lang w:val="en-US"/>
        </w:rPr>
        <w:t xml:space="preserve">psychological </w:t>
      </w:r>
      <w:r w:rsidRPr="00AF507D">
        <w:rPr>
          <w:color w:val="000000" w:themeColor="text1"/>
          <w:lang w:val="en-US"/>
        </w:rPr>
        <w:t>support being the strongest predictor.</w:t>
      </w:r>
      <w:r w:rsidR="00E91364" w:rsidRPr="00AF507D">
        <w:rPr>
          <w:color w:val="000000" w:themeColor="text1"/>
          <w:lang w:val="en-US"/>
        </w:rPr>
        <w:t xml:space="preserve"> Specifically, individu</w:t>
      </w:r>
      <w:r w:rsidR="005A5B7A" w:rsidRPr="00AF507D">
        <w:rPr>
          <w:color w:val="000000" w:themeColor="text1"/>
          <w:lang w:val="en-US"/>
        </w:rPr>
        <w:t xml:space="preserve">als who </w:t>
      </w:r>
      <w:r w:rsidR="00167A1D" w:rsidRPr="00AF507D">
        <w:rPr>
          <w:color w:val="000000" w:themeColor="text1"/>
          <w:lang w:val="en-US"/>
        </w:rPr>
        <w:lastRenderedPageBreak/>
        <w:t>had a history of psychological support, who experienced an unexpected dea</w:t>
      </w:r>
      <w:r w:rsidR="00085B6E" w:rsidRPr="00AF507D">
        <w:rPr>
          <w:color w:val="000000" w:themeColor="text1"/>
          <w:lang w:val="en-US"/>
        </w:rPr>
        <w:t>th</w:t>
      </w:r>
      <w:r w:rsidR="00E81D50" w:rsidRPr="00AF507D">
        <w:rPr>
          <w:color w:val="000000" w:themeColor="text1"/>
          <w:lang w:val="en-US"/>
        </w:rPr>
        <w:t xml:space="preserve"> and</w:t>
      </w:r>
      <w:r w:rsidR="00E879B8" w:rsidRPr="00AF507D">
        <w:rPr>
          <w:color w:val="000000" w:themeColor="text1"/>
          <w:lang w:val="en-US"/>
        </w:rPr>
        <w:t>/or</w:t>
      </w:r>
      <w:r w:rsidR="00E81D50" w:rsidRPr="00AF507D">
        <w:rPr>
          <w:color w:val="000000" w:themeColor="text1"/>
          <w:lang w:val="en-US"/>
        </w:rPr>
        <w:t xml:space="preserve"> who lost a loved one </w:t>
      </w:r>
      <w:r w:rsidR="00B84147" w:rsidRPr="00AF507D">
        <w:rPr>
          <w:color w:val="000000" w:themeColor="text1"/>
          <w:lang w:val="en-US"/>
        </w:rPr>
        <w:t>more recently</w:t>
      </w:r>
      <w:r w:rsidR="005D2BDE" w:rsidRPr="00AF507D">
        <w:rPr>
          <w:color w:val="000000" w:themeColor="text1"/>
          <w:lang w:val="en-US"/>
        </w:rPr>
        <w:t xml:space="preserve">, were more likely to have </w:t>
      </w:r>
      <w:r w:rsidR="00F0302F" w:rsidRPr="00AF507D">
        <w:rPr>
          <w:color w:val="000000" w:themeColor="text1"/>
          <w:lang w:val="en-US"/>
        </w:rPr>
        <w:t xml:space="preserve">higher levels of depressive symptoms. </w:t>
      </w:r>
      <w:r w:rsidRPr="00AF507D">
        <w:rPr>
          <w:color w:val="000000" w:themeColor="text1"/>
          <w:lang w:val="en-US"/>
        </w:rPr>
        <w:t xml:space="preserve"> </w:t>
      </w:r>
    </w:p>
    <w:p w14:paraId="31A820E3" w14:textId="77777777" w:rsidR="00D77483" w:rsidRPr="008D26FF" w:rsidRDefault="00D77483" w:rsidP="008D26FF">
      <w:pPr>
        <w:spacing w:line="480" w:lineRule="auto"/>
        <w:ind w:firstLine="720"/>
        <w:rPr>
          <w:color w:val="000000" w:themeColor="text1"/>
          <w:lang w:val="en-US"/>
        </w:rPr>
      </w:pPr>
    </w:p>
    <w:p w14:paraId="0000005D" w14:textId="77777777" w:rsidR="00042C0F" w:rsidRPr="00784863" w:rsidRDefault="00165BB5" w:rsidP="003F08B7">
      <w:pPr>
        <w:spacing w:line="480" w:lineRule="auto"/>
        <w:rPr>
          <w:b/>
          <w:lang w:val="en-US"/>
        </w:rPr>
      </w:pPr>
      <w:r w:rsidRPr="00784863">
        <w:rPr>
          <w:b/>
          <w:lang w:val="en-US"/>
        </w:rPr>
        <w:t xml:space="preserve">Table 1 </w:t>
      </w:r>
    </w:p>
    <w:p w14:paraId="0000005E" w14:textId="143222DE" w:rsidR="00042C0F" w:rsidRDefault="00165BB5" w:rsidP="003F08B7">
      <w:pPr>
        <w:spacing w:line="480" w:lineRule="auto"/>
        <w:rPr>
          <w:i/>
          <w:lang w:val="en-US"/>
        </w:rPr>
      </w:pPr>
      <w:r w:rsidRPr="00784863">
        <w:rPr>
          <w:i/>
          <w:lang w:val="en-US"/>
        </w:rPr>
        <w:t xml:space="preserve">Participant Characteristics </w:t>
      </w:r>
    </w:p>
    <w:tbl>
      <w:tblPr>
        <w:tblStyle w:val="TableGrid"/>
        <w:tblW w:w="92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835"/>
        <w:gridCol w:w="2693"/>
      </w:tblGrid>
      <w:tr w:rsidR="00CA2AF4" w:rsidRPr="000E337E" w14:paraId="73A2A55C" w14:textId="77777777" w:rsidTr="001D6F0B">
        <w:tc>
          <w:tcPr>
            <w:tcW w:w="3681" w:type="dxa"/>
            <w:tcBorders>
              <w:top w:val="single" w:sz="12" w:space="0" w:color="auto"/>
              <w:bottom w:val="single" w:sz="12" w:space="0" w:color="auto"/>
            </w:tcBorders>
          </w:tcPr>
          <w:p w14:paraId="5041BAFC" w14:textId="70810BF4" w:rsidR="00CA2AF4" w:rsidRPr="00D915EB" w:rsidRDefault="00F936C0" w:rsidP="00C21199">
            <w:pPr>
              <w:tabs>
                <w:tab w:val="left" w:pos="2039"/>
              </w:tabs>
              <w:spacing w:line="276" w:lineRule="auto"/>
              <w:rPr>
                <w:lang w:val="en-US"/>
              </w:rPr>
            </w:pPr>
            <w:r w:rsidRPr="00D915EB">
              <w:rPr>
                <w:lang w:val="en-US"/>
              </w:rPr>
              <w:t>Variable</w:t>
            </w:r>
          </w:p>
        </w:tc>
        <w:tc>
          <w:tcPr>
            <w:tcW w:w="2835" w:type="dxa"/>
            <w:tcBorders>
              <w:top w:val="single" w:sz="12" w:space="0" w:color="auto"/>
              <w:bottom w:val="single" w:sz="12" w:space="0" w:color="auto"/>
            </w:tcBorders>
          </w:tcPr>
          <w:p w14:paraId="04AF3C94" w14:textId="7A0DE132" w:rsidR="00CA2AF4" w:rsidRPr="00D915EB" w:rsidRDefault="002849D7" w:rsidP="00BA79F0">
            <w:pPr>
              <w:tabs>
                <w:tab w:val="left" w:pos="2039"/>
              </w:tabs>
              <w:spacing w:line="276" w:lineRule="auto"/>
              <w:jc w:val="center"/>
              <w:rPr>
                <w:lang w:val="en-US"/>
              </w:rPr>
            </w:pPr>
            <w:r w:rsidRPr="00D915EB">
              <w:rPr>
                <w:lang w:val="en-US"/>
              </w:rPr>
              <w:t>n</w:t>
            </w:r>
          </w:p>
        </w:tc>
        <w:tc>
          <w:tcPr>
            <w:tcW w:w="2693" w:type="dxa"/>
            <w:tcBorders>
              <w:top w:val="single" w:sz="12" w:space="0" w:color="auto"/>
              <w:bottom w:val="single" w:sz="12" w:space="0" w:color="auto"/>
            </w:tcBorders>
          </w:tcPr>
          <w:p w14:paraId="51B3A3E0" w14:textId="0185221F" w:rsidR="00CA2AF4" w:rsidRPr="00D915EB" w:rsidRDefault="002849D7" w:rsidP="00BA79F0">
            <w:pPr>
              <w:tabs>
                <w:tab w:val="left" w:pos="2039"/>
              </w:tabs>
              <w:spacing w:line="276" w:lineRule="auto"/>
              <w:jc w:val="center"/>
              <w:rPr>
                <w:lang w:val="en-US"/>
              </w:rPr>
            </w:pPr>
            <w:r w:rsidRPr="00D915EB">
              <w:rPr>
                <w:lang w:val="en-US"/>
              </w:rPr>
              <w:t>%</w:t>
            </w:r>
          </w:p>
        </w:tc>
      </w:tr>
      <w:tr w:rsidR="00784863" w:rsidRPr="000E337E" w14:paraId="2168C9F9" w14:textId="77777777" w:rsidTr="001D6F0B">
        <w:tc>
          <w:tcPr>
            <w:tcW w:w="3681" w:type="dxa"/>
            <w:tcBorders>
              <w:top w:val="single" w:sz="12" w:space="0" w:color="auto"/>
            </w:tcBorders>
          </w:tcPr>
          <w:p w14:paraId="0C7B2B3D" w14:textId="23EFFEC2" w:rsidR="00784863" w:rsidRPr="000E337E" w:rsidRDefault="00784863" w:rsidP="00BA79F0">
            <w:pPr>
              <w:tabs>
                <w:tab w:val="left" w:pos="2039"/>
              </w:tabs>
              <w:spacing w:line="276" w:lineRule="auto"/>
              <w:rPr>
                <w:lang w:val="en-US"/>
              </w:rPr>
            </w:pPr>
            <w:r w:rsidRPr="000E337E">
              <w:rPr>
                <w:lang w:val="en-US"/>
              </w:rPr>
              <w:t>Gender</w:t>
            </w:r>
          </w:p>
        </w:tc>
        <w:tc>
          <w:tcPr>
            <w:tcW w:w="2835" w:type="dxa"/>
            <w:tcBorders>
              <w:top w:val="single" w:sz="12" w:space="0" w:color="auto"/>
            </w:tcBorders>
          </w:tcPr>
          <w:p w14:paraId="6C366A45" w14:textId="77777777" w:rsidR="00784863" w:rsidRPr="000E337E" w:rsidRDefault="00784863" w:rsidP="00BA79F0">
            <w:pPr>
              <w:tabs>
                <w:tab w:val="left" w:pos="2039"/>
              </w:tabs>
              <w:spacing w:line="276" w:lineRule="auto"/>
              <w:jc w:val="center"/>
              <w:rPr>
                <w:lang w:val="en-US"/>
              </w:rPr>
            </w:pPr>
          </w:p>
        </w:tc>
        <w:tc>
          <w:tcPr>
            <w:tcW w:w="2693" w:type="dxa"/>
            <w:tcBorders>
              <w:top w:val="single" w:sz="12" w:space="0" w:color="auto"/>
            </w:tcBorders>
          </w:tcPr>
          <w:p w14:paraId="7E97D239" w14:textId="77777777" w:rsidR="00784863" w:rsidRPr="000E337E" w:rsidRDefault="00784863" w:rsidP="00BA79F0">
            <w:pPr>
              <w:tabs>
                <w:tab w:val="left" w:pos="2039"/>
              </w:tabs>
              <w:spacing w:line="276" w:lineRule="auto"/>
              <w:jc w:val="center"/>
              <w:rPr>
                <w:lang w:val="en-US"/>
              </w:rPr>
            </w:pPr>
          </w:p>
        </w:tc>
      </w:tr>
      <w:tr w:rsidR="00784863" w:rsidRPr="000E337E" w14:paraId="39C55C53" w14:textId="77777777" w:rsidTr="00836622">
        <w:tc>
          <w:tcPr>
            <w:tcW w:w="3681" w:type="dxa"/>
          </w:tcPr>
          <w:p w14:paraId="4C191346" w14:textId="06BBB2F0" w:rsidR="00784863" w:rsidRPr="000E337E" w:rsidRDefault="00784863" w:rsidP="00BA79F0">
            <w:pPr>
              <w:tabs>
                <w:tab w:val="left" w:pos="2039"/>
              </w:tabs>
              <w:spacing w:line="276" w:lineRule="auto"/>
              <w:rPr>
                <w:lang w:val="en-US"/>
              </w:rPr>
            </w:pPr>
            <w:r w:rsidRPr="000E337E">
              <w:rPr>
                <w:lang w:val="en-US"/>
              </w:rPr>
              <w:t xml:space="preserve">  M</w:t>
            </w:r>
            <w:r w:rsidR="00D60F79">
              <w:rPr>
                <w:lang w:val="en-US"/>
              </w:rPr>
              <w:t>ale</w:t>
            </w:r>
          </w:p>
        </w:tc>
        <w:tc>
          <w:tcPr>
            <w:tcW w:w="2835" w:type="dxa"/>
          </w:tcPr>
          <w:p w14:paraId="790538A5" w14:textId="77777777" w:rsidR="00784863" w:rsidRPr="000E337E" w:rsidRDefault="00784863" w:rsidP="00BA79F0">
            <w:pPr>
              <w:tabs>
                <w:tab w:val="left" w:pos="2039"/>
              </w:tabs>
              <w:spacing w:line="276" w:lineRule="auto"/>
              <w:jc w:val="center"/>
              <w:rPr>
                <w:lang w:val="en-US"/>
              </w:rPr>
            </w:pPr>
            <w:r w:rsidRPr="000E337E">
              <w:rPr>
                <w:lang w:val="en-US"/>
              </w:rPr>
              <w:t xml:space="preserve">81 </w:t>
            </w:r>
          </w:p>
        </w:tc>
        <w:tc>
          <w:tcPr>
            <w:tcW w:w="2693" w:type="dxa"/>
          </w:tcPr>
          <w:p w14:paraId="585B1870" w14:textId="642AB6C9" w:rsidR="00784863" w:rsidRPr="000E337E" w:rsidRDefault="00784863" w:rsidP="00BA79F0">
            <w:pPr>
              <w:tabs>
                <w:tab w:val="left" w:pos="2039"/>
              </w:tabs>
              <w:spacing w:line="276" w:lineRule="auto"/>
              <w:jc w:val="center"/>
              <w:rPr>
                <w:lang w:val="en-US"/>
              </w:rPr>
            </w:pPr>
            <w:r w:rsidRPr="000E337E">
              <w:rPr>
                <w:lang w:val="en-US"/>
              </w:rPr>
              <w:t>1</w:t>
            </w:r>
            <w:r>
              <w:rPr>
                <w:lang w:val="en-US"/>
              </w:rPr>
              <w:t>9</w:t>
            </w:r>
          </w:p>
        </w:tc>
      </w:tr>
      <w:tr w:rsidR="00784863" w:rsidRPr="000E337E" w14:paraId="0D53B8C6" w14:textId="77777777" w:rsidTr="00836622">
        <w:tc>
          <w:tcPr>
            <w:tcW w:w="3681" w:type="dxa"/>
          </w:tcPr>
          <w:p w14:paraId="6373BB9C" w14:textId="5C45941B" w:rsidR="00784863" w:rsidRPr="000E337E" w:rsidRDefault="00784863" w:rsidP="00BA79F0">
            <w:pPr>
              <w:tabs>
                <w:tab w:val="left" w:pos="2039"/>
              </w:tabs>
              <w:spacing w:line="276" w:lineRule="auto"/>
              <w:rPr>
                <w:lang w:val="en-US"/>
              </w:rPr>
            </w:pPr>
            <w:r w:rsidRPr="000E337E">
              <w:rPr>
                <w:lang w:val="en-US"/>
              </w:rPr>
              <w:t xml:space="preserve">  </w:t>
            </w:r>
            <w:r w:rsidR="00D60F79">
              <w:rPr>
                <w:lang w:val="en-US"/>
              </w:rPr>
              <w:t>Female</w:t>
            </w:r>
          </w:p>
        </w:tc>
        <w:tc>
          <w:tcPr>
            <w:tcW w:w="2835" w:type="dxa"/>
          </w:tcPr>
          <w:p w14:paraId="69F1393E" w14:textId="77777777" w:rsidR="00784863" w:rsidRPr="000E337E" w:rsidRDefault="00784863" w:rsidP="00BA79F0">
            <w:pPr>
              <w:tabs>
                <w:tab w:val="left" w:pos="2039"/>
              </w:tabs>
              <w:spacing w:line="276" w:lineRule="auto"/>
              <w:jc w:val="center"/>
              <w:rPr>
                <w:lang w:val="en-US"/>
              </w:rPr>
            </w:pPr>
            <w:r w:rsidRPr="000E337E">
              <w:rPr>
                <w:lang w:val="en-US"/>
              </w:rPr>
              <w:t xml:space="preserve">352 </w:t>
            </w:r>
          </w:p>
        </w:tc>
        <w:tc>
          <w:tcPr>
            <w:tcW w:w="2693" w:type="dxa"/>
          </w:tcPr>
          <w:p w14:paraId="662DFD1A" w14:textId="6B739F09" w:rsidR="00784863" w:rsidRPr="000E337E" w:rsidRDefault="00784863" w:rsidP="00BA79F0">
            <w:pPr>
              <w:tabs>
                <w:tab w:val="left" w:pos="2039"/>
              </w:tabs>
              <w:spacing w:line="276" w:lineRule="auto"/>
              <w:jc w:val="center"/>
              <w:rPr>
                <w:lang w:val="en-US"/>
              </w:rPr>
            </w:pPr>
            <w:r w:rsidRPr="000E337E">
              <w:rPr>
                <w:lang w:val="en-US"/>
              </w:rPr>
              <w:t>81</w:t>
            </w:r>
          </w:p>
        </w:tc>
      </w:tr>
      <w:tr w:rsidR="00784863" w:rsidRPr="000E337E" w14:paraId="2DDBADDC" w14:textId="77777777" w:rsidTr="00836622">
        <w:tc>
          <w:tcPr>
            <w:tcW w:w="3681" w:type="dxa"/>
          </w:tcPr>
          <w:p w14:paraId="45E3DC01" w14:textId="62253049" w:rsidR="00784863" w:rsidRPr="000E337E" w:rsidRDefault="00784863" w:rsidP="00BA79F0">
            <w:pPr>
              <w:tabs>
                <w:tab w:val="left" w:pos="2039"/>
              </w:tabs>
              <w:spacing w:line="276" w:lineRule="auto"/>
              <w:rPr>
                <w:lang w:val="en-US"/>
              </w:rPr>
            </w:pPr>
            <w:r w:rsidRPr="000E337E">
              <w:rPr>
                <w:lang w:val="en-US"/>
              </w:rPr>
              <w:t xml:space="preserve">Religious </w:t>
            </w:r>
            <w:r w:rsidR="00E35BDC">
              <w:rPr>
                <w:lang w:val="en-US"/>
              </w:rPr>
              <w:t>a</w:t>
            </w:r>
            <w:r w:rsidRPr="000E337E">
              <w:rPr>
                <w:lang w:val="en-US"/>
              </w:rPr>
              <w:t>ffiliation</w:t>
            </w:r>
          </w:p>
        </w:tc>
        <w:tc>
          <w:tcPr>
            <w:tcW w:w="2835" w:type="dxa"/>
          </w:tcPr>
          <w:p w14:paraId="517BE95B" w14:textId="77777777" w:rsidR="00784863" w:rsidRPr="000E337E" w:rsidRDefault="00784863" w:rsidP="00BA79F0">
            <w:pPr>
              <w:tabs>
                <w:tab w:val="left" w:pos="2039"/>
              </w:tabs>
              <w:spacing w:line="276" w:lineRule="auto"/>
              <w:jc w:val="center"/>
              <w:rPr>
                <w:lang w:val="en-US"/>
              </w:rPr>
            </w:pPr>
          </w:p>
        </w:tc>
        <w:tc>
          <w:tcPr>
            <w:tcW w:w="2693" w:type="dxa"/>
          </w:tcPr>
          <w:p w14:paraId="19B41D7B" w14:textId="77777777" w:rsidR="00784863" w:rsidRPr="000E337E" w:rsidRDefault="00784863" w:rsidP="00BA79F0">
            <w:pPr>
              <w:tabs>
                <w:tab w:val="left" w:pos="2039"/>
              </w:tabs>
              <w:spacing w:line="276" w:lineRule="auto"/>
              <w:jc w:val="center"/>
              <w:rPr>
                <w:lang w:val="en-US"/>
              </w:rPr>
            </w:pPr>
          </w:p>
        </w:tc>
      </w:tr>
      <w:tr w:rsidR="00784863" w:rsidRPr="000E337E" w14:paraId="32C6D375" w14:textId="77777777" w:rsidTr="00836622">
        <w:tc>
          <w:tcPr>
            <w:tcW w:w="3681" w:type="dxa"/>
          </w:tcPr>
          <w:p w14:paraId="5FA990E9" w14:textId="0E79C2BD" w:rsidR="00784863" w:rsidRPr="000E337E" w:rsidRDefault="00784863" w:rsidP="00BA79F0">
            <w:pPr>
              <w:tabs>
                <w:tab w:val="left" w:pos="2039"/>
              </w:tabs>
              <w:spacing w:line="276" w:lineRule="auto"/>
              <w:rPr>
                <w:lang w:val="en-US"/>
              </w:rPr>
            </w:pPr>
            <w:r w:rsidRPr="000E337E">
              <w:rPr>
                <w:lang w:val="en-US"/>
              </w:rPr>
              <w:t xml:space="preserve">  Yes </w:t>
            </w:r>
          </w:p>
        </w:tc>
        <w:tc>
          <w:tcPr>
            <w:tcW w:w="2835" w:type="dxa"/>
          </w:tcPr>
          <w:p w14:paraId="07291922" w14:textId="77777777" w:rsidR="00784863" w:rsidRPr="000E337E" w:rsidRDefault="00784863" w:rsidP="00BA79F0">
            <w:pPr>
              <w:tabs>
                <w:tab w:val="left" w:pos="2039"/>
              </w:tabs>
              <w:spacing w:line="276" w:lineRule="auto"/>
              <w:jc w:val="center"/>
              <w:rPr>
                <w:lang w:val="en-US"/>
              </w:rPr>
            </w:pPr>
            <w:r w:rsidRPr="000E337E">
              <w:rPr>
                <w:lang w:val="en-US"/>
              </w:rPr>
              <w:t xml:space="preserve">207 </w:t>
            </w:r>
          </w:p>
        </w:tc>
        <w:tc>
          <w:tcPr>
            <w:tcW w:w="2693" w:type="dxa"/>
          </w:tcPr>
          <w:p w14:paraId="4EB5E2B3" w14:textId="40B7EFB4" w:rsidR="00784863" w:rsidRPr="000E337E" w:rsidRDefault="00784863" w:rsidP="00BA79F0">
            <w:pPr>
              <w:tabs>
                <w:tab w:val="left" w:pos="2039"/>
              </w:tabs>
              <w:spacing w:line="276" w:lineRule="auto"/>
              <w:jc w:val="center"/>
              <w:rPr>
                <w:lang w:val="en-US"/>
              </w:rPr>
            </w:pPr>
            <w:r w:rsidRPr="000E337E">
              <w:rPr>
                <w:lang w:val="en-US"/>
              </w:rPr>
              <w:t>4</w:t>
            </w:r>
            <w:r>
              <w:rPr>
                <w:lang w:val="en-US"/>
              </w:rPr>
              <w:t>8</w:t>
            </w:r>
          </w:p>
        </w:tc>
      </w:tr>
      <w:tr w:rsidR="00784863" w:rsidRPr="000E337E" w14:paraId="02ED51EF" w14:textId="77777777" w:rsidTr="00836622">
        <w:tc>
          <w:tcPr>
            <w:tcW w:w="3681" w:type="dxa"/>
          </w:tcPr>
          <w:p w14:paraId="10AAEE99" w14:textId="372417E8" w:rsidR="00784863" w:rsidRPr="000E337E" w:rsidRDefault="00784863" w:rsidP="00BA79F0">
            <w:pPr>
              <w:tabs>
                <w:tab w:val="left" w:pos="2039"/>
              </w:tabs>
              <w:spacing w:line="276" w:lineRule="auto"/>
              <w:rPr>
                <w:lang w:val="en-US"/>
              </w:rPr>
            </w:pPr>
            <w:r w:rsidRPr="000E337E">
              <w:rPr>
                <w:lang w:val="en-US"/>
              </w:rPr>
              <w:t xml:space="preserve">  No </w:t>
            </w:r>
          </w:p>
        </w:tc>
        <w:tc>
          <w:tcPr>
            <w:tcW w:w="2835" w:type="dxa"/>
          </w:tcPr>
          <w:p w14:paraId="089014D0" w14:textId="77777777" w:rsidR="00784863" w:rsidRPr="000E337E" w:rsidRDefault="00784863" w:rsidP="00BA79F0">
            <w:pPr>
              <w:tabs>
                <w:tab w:val="left" w:pos="2039"/>
              </w:tabs>
              <w:spacing w:line="276" w:lineRule="auto"/>
              <w:jc w:val="center"/>
              <w:rPr>
                <w:lang w:val="en-US"/>
              </w:rPr>
            </w:pPr>
            <w:r w:rsidRPr="000E337E">
              <w:rPr>
                <w:lang w:val="en-US"/>
              </w:rPr>
              <w:t xml:space="preserve">226 </w:t>
            </w:r>
          </w:p>
        </w:tc>
        <w:tc>
          <w:tcPr>
            <w:tcW w:w="2693" w:type="dxa"/>
          </w:tcPr>
          <w:p w14:paraId="1A7B3001" w14:textId="190EC074" w:rsidR="00784863" w:rsidRPr="000E337E" w:rsidRDefault="00784863" w:rsidP="00BA79F0">
            <w:pPr>
              <w:tabs>
                <w:tab w:val="left" w:pos="2039"/>
              </w:tabs>
              <w:spacing w:line="276" w:lineRule="auto"/>
              <w:jc w:val="center"/>
              <w:rPr>
                <w:lang w:val="en-US"/>
              </w:rPr>
            </w:pPr>
            <w:r w:rsidRPr="000E337E">
              <w:rPr>
                <w:lang w:val="en-US"/>
              </w:rPr>
              <w:t>52</w:t>
            </w:r>
          </w:p>
        </w:tc>
      </w:tr>
      <w:tr w:rsidR="00784863" w:rsidRPr="000E337E" w14:paraId="1A706C60" w14:textId="77777777" w:rsidTr="00836622">
        <w:tc>
          <w:tcPr>
            <w:tcW w:w="3681" w:type="dxa"/>
          </w:tcPr>
          <w:p w14:paraId="656D00CF" w14:textId="535FB36A" w:rsidR="00784863" w:rsidRPr="000E337E" w:rsidRDefault="00784863" w:rsidP="00885B0A">
            <w:pPr>
              <w:tabs>
                <w:tab w:val="left" w:pos="2039"/>
              </w:tabs>
              <w:spacing w:line="276" w:lineRule="auto"/>
              <w:rPr>
                <w:lang w:val="en-US"/>
              </w:rPr>
            </w:pPr>
            <w:r w:rsidRPr="000E337E">
              <w:rPr>
                <w:lang w:val="en-US"/>
              </w:rPr>
              <w:t xml:space="preserve">Multiple </w:t>
            </w:r>
            <w:r w:rsidR="00E35BDC">
              <w:rPr>
                <w:lang w:val="en-US"/>
              </w:rPr>
              <w:t>l</w:t>
            </w:r>
            <w:r w:rsidRPr="000E337E">
              <w:rPr>
                <w:lang w:val="en-US"/>
              </w:rPr>
              <w:t>oss</w:t>
            </w:r>
          </w:p>
        </w:tc>
        <w:tc>
          <w:tcPr>
            <w:tcW w:w="2835" w:type="dxa"/>
          </w:tcPr>
          <w:p w14:paraId="21C4EDE1" w14:textId="77777777" w:rsidR="00784863" w:rsidRPr="000E337E" w:rsidRDefault="00784863" w:rsidP="00BA79F0">
            <w:pPr>
              <w:tabs>
                <w:tab w:val="left" w:pos="2039"/>
              </w:tabs>
              <w:spacing w:line="276" w:lineRule="auto"/>
              <w:jc w:val="center"/>
              <w:rPr>
                <w:lang w:val="en-US"/>
              </w:rPr>
            </w:pPr>
          </w:p>
        </w:tc>
        <w:tc>
          <w:tcPr>
            <w:tcW w:w="2693" w:type="dxa"/>
          </w:tcPr>
          <w:p w14:paraId="1AE691B4" w14:textId="77777777" w:rsidR="00784863" w:rsidRPr="000E337E" w:rsidRDefault="00784863" w:rsidP="00BA79F0">
            <w:pPr>
              <w:tabs>
                <w:tab w:val="left" w:pos="2039"/>
              </w:tabs>
              <w:spacing w:line="276" w:lineRule="auto"/>
              <w:jc w:val="center"/>
              <w:rPr>
                <w:lang w:val="en-US"/>
              </w:rPr>
            </w:pPr>
          </w:p>
        </w:tc>
      </w:tr>
      <w:tr w:rsidR="00784863" w:rsidRPr="000E337E" w14:paraId="4A25CB15" w14:textId="77777777" w:rsidTr="00836622">
        <w:tc>
          <w:tcPr>
            <w:tcW w:w="3681" w:type="dxa"/>
          </w:tcPr>
          <w:p w14:paraId="65FA6B60" w14:textId="0AF06E80" w:rsidR="00784863" w:rsidRPr="000E337E" w:rsidRDefault="00784863" w:rsidP="00BA79F0">
            <w:pPr>
              <w:tabs>
                <w:tab w:val="left" w:pos="2039"/>
              </w:tabs>
              <w:spacing w:line="276" w:lineRule="auto"/>
              <w:rPr>
                <w:lang w:val="en-US"/>
              </w:rPr>
            </w:pPr>
            <w:r w:rsidRPr="000E337E">
              <w:rPr>
                <w:lang w:val="en-US"/>
              </w:rPr>
              <w:t xml:space="preserve">  Yes </w:t>
            </w:r>
          </w:p>
        </w:tc>
        <w:tc>
          <w:tcPr>
            <w:tcW w:w="2835" w:type="dxa"/>
          </w:tcPr>
          <w:p w14:paraId="52F62D2C" w14:textId="77777777" w:rsidR="00784863" w:rsidRPr="000E337E" w:rsidRDefault="00784863" w:rsidP="00BA79F0">
            <w:pPr>
              <w:tabs>
                <w:tab w:val="left" w:pos="2039"/>
              </w:tabs>
              <w:spacing w:line="276" w:lineRule="auto"/>
              <w:jc w:val="center"/>
              <w:rPr>
                <w:lang w:val="en-US"/>
              </w:rPr>
            </w:pPr>
            <w:r w:rsidRPr="000E337E">
              <w:rPr>
                <w:lang w:val="en-US"/>
              </w:rPr>
              <w:t xml:space="preserve">234 </w:t>
            </w:r>
          </w:p>
        </w:tc>
        <w:tc>
          <w:tcPr>
            <w:tcW w:w="2693" w:type="dxa"/>
          </w:tcPr>
          <w:p w14:paraId="492FCF05" w14:textId="2EBCD23A" w:rsidR="00784863" w:rsidRPr="000E337E" w:rsidRDefault="00784863" w:rsidP="00BA79F0">
            <w:pPr>
              <w:tabs>
                <w:tab w:val="left" w:pos="2039"/>
              </w:tabs>
              <w:spacing w:line="276" w:lineRule="auto"/>
              <w:jc w:val="center"/>
              <w:rPr>
                <w:lang w:val="en-US"/>
              </w:rPr>
            </w:pPr>
            <w:r w:rsidRPr="000E337E">
              <w:rPr>
                <w:lang w:val="en-US"/>
              </w:rPr>
              <w:t>54</w:t>
            </w:r>
          </w:p>
        </w:tc>
      </w:tr>
      <w:tr w:rsidR="00784863" w:rsidRPr="000E337E" w14:paraId="7C56511A" w14:textId="77777777" w:rsidTr="00836622">
        <w:tc>
          <w:tcPr>
            <w:tcW w:w="3681" w:type="dxa"/>
          </w:tcPr>
          <w:p w14:paraId="26ECBD6C" w14:textId="33E60172" w:rsidR="00784863" w:rsidRPr="000E337E" w:rsidRDefault="00784863" w:rsidP="00BA79F0">
            <w:pPr>
              <w:tabs>
                <w:tab w:val="left" w:pos="2039"/>
              </w:tabs>
              <w:spacing w:line="276" w:lineRule="auto"/>
              <w:rPr>
                <w:lang w:val="en-US"/>
              </w:rPr>
            </w:pPr>
            <w:r w:rsidRPr="000E337E">
              <w:rPr>
                <w:lang w:val="en-US"/>
              </w:rPr>
              <w:t xml:space="preserve">  </w:t>
            </w:r>
            <w:r w:rsidR="007A29BF">
              <w:rPr>
                <w:lang w:val="en-US"/>
              </w:rPr>
              <w:t xml:space="preserve"> </w:t>
            </w:r>
            <w:r w:rsidRPr="000E337E">
              <w:rPr>
                <w:lang w:val="en-US"/>
              </w:rPr>
              <w:t xml:space="preserve">No </w:t>
            </w:r>
          </w:p>
        </w:tc>
        <w:tc>
          <w:tcPr>
            <w:tcW w:w="2835" w:type="dxa"/>
          </w:tcPr>
          <w:p w14:paraId="632B9513" w14:textId="77777777" w:rsidR="00784863" w:rsidRPr="000E337E" w:rsidRDefault="00784863" w:rsidP="00BA79F0">
            <w:pPr>
              <w:tabs>
                <w:tab w:val="left" w:pos="2039"/>
              </w:tabs>
              <w:spacing w:line="276" w:lineRule="auto"/>
              <w:jc w:val="center"/>
              <w:rPr>
                <w:lang w:val="en-US"/>
              </w:rPr>
            </w:pPr>
            <w:r w:rsidRPr="000E337E">
              <w:rPr>
                <w:lang w:val="en-US"/>
              </w:rPr>
              <w:t xml:space="preserve">198 </w:t>
            </w:r>
          </w:p>
        </w:tc>
        <w:tc>
          <w:tcPr>
            <w:tcW w:w="2693" w:type="dxa"/>
          </w:tcPr>
          <w:p w14:paraId="1A02E6A0" w14:textId="53563F07" w:rsidR="00784863" w:rsidRPr="000E337E" w:rsidRDefault="00784863" w:rsidP="00BA79F0">
            <w:pPr>
              <w:tabs>
                <w:tab w:val="left" w:pos="2039"/>
              </w:tabs>
              <w:spacing w:line="276" w:lineRule="auto"/>
              <w:jc w:val="center"/>
              <w:rPr>
                <w:lang w:val="en-US"/>
              </w:rPr>
            </w:pPr>
            <w:r w:rsidRPr="000E337E">
              <w:rPr>
                <w:lang w:val="en-US"/>
              </w:rPr>
              <w:t>45</w:t>
            </w:r>
          </w:p>
        </w:tc>
      </w:tr>
      <w:tr w:rsidR="00784863" w:rsidRPr="000E337E" w14:paraId="618DCA37" w14:textId="77777777" w:rsidTr="00836622">
        <w:tc>
          <w:tcPr>
            <w:tcW w:w="3681" w:type="dxa"/>
          </w:tcPr>
          <w:p w14:paraId="16724F81" w14:textId="632FF9D4" w:rsidR="00784863" w:rsidRPr="000E337E" w:rsidRDefault="00784863" w:rsidP="00BA79F0">
            <w:pPr>
              <w:tabs>
                <w:tab w:val="left" w:pos="2039"/>
              </w:tabs>
              <w:spacing w:line="276" w:lineRule="auto"/>
              <w:rPr>
                <w:lang w:val="en-US"/>
              </w:rPr>
            </w:pPr>
            <w:r>
              <w:rPr>
                <w:lang w:val="en-US"/>
              </w:rPr>
              <w:t xml:space="preserve">History of </w:t>
            </w:r>
            <w:r w:rsidR="00E35BDC">
              <w:rPr>
                <w:lang w:val="en-US"/>
              </w:rPr>
              <w:t>s</w:t>
            </w:r>
            <w:r>
              <w:rPr>
                <w:lang w:val="en-US"/>
              </w:rPr>
              <w:t>upport</w:t>
            </w:r>
          </w:p>
        </w:tc>
        <w:tc>
          <w:tcPr>
            <w:tcW w:w="2835" w:type="dxa"/>
          </w:tcPr>
          <w:p w14:paraId="3A60C17C" w14:textId="77777777" w:rsidR="00784863" w:rsidRPr="000E337E" w:rsidRDefault="00784863" w:rsidP="00BA79F0">
            <w:pPr>
              <w:tabs>
                <w:tab w:val="left" w:pos="2039"/>
              </w:tabs>
              <w:spacing w:line="276" w:lineRule="auto"/>
              <w:jc w:val="center"/>
              <w:rPr>
                <w:lang w:val="en-US"/>
              </w:rPr>
            </w:pPr>
          </w:p>
        </w:tc>
        <w:tc>
          <w:tcPr>
            <w:tcW w:w="2693" w:type="dxa"/>
          </w:tcPr>
          <w:p w14:paraId="2CEB7FAD" w14:textId="77777777" w:rsidR="00784863" w:rsidRPr="000E337E" w:rsidRDefault="00784863" w:rsidP="00BA79F0">
            <w:pPr>
              <w:tabs>
                <w:tab w:val="left" w:pos="2039"/>
              </w:tabs>
              <w:spacing w:line="276" w:lineRule="auto"/>
              <w:jc w:val="center"/>
              <w:rPr>
                <w:lang w:val="en-US"/>
              </w:rPr>
            </w:pPr>
          </w:p>
        </w:tc>
      </w:tr>
      <w:tr w:rsidR="00784863" w:rsidRPr="000E337E" w14:paraId="0C549069" w14:textId="77777777" w:rsidTr="00836622">
        <w:tc>
          <w:tcPr>
            <w:tcW w:w="3681" w:type="dxa"/>
          </w:tcPr>
          <w:p w14:paraId="17938CEE" w14:textId="22FF5F6C" w:rsidR="00784863" w:rsidRDefault="00784863" w:rsidP="00BA79F0">
            <w:pPr>
              <w:tabs>
                <w:tab w:val="left" w:pos="2039"/>
              </w:tabs>
              <w:spacing w:line="276" w:lineRule="auto"/>
              <w:rPr>
                <w:lang w:val="en-US"/>
              </w:rPr>
            </w:pPr>
            <w:r>
              <w:rPr>
                <w:lang w:val="en-US"/>
              </w:rPr>
              <w:t xml:space="preserve">  Yes</w:t>
            </w:r>
          </w:p>
        </w:tc>
        <w:tc>
          <w:tcPr>
            <w:tcW w:w="2835" w:type="dxa"/>
          </w:tcPr>
          <w:p w14:paraId="12923DFC" w14:textId="77777777" w:rsidR="00784863" w:rsidRPr="000E337E" w:rsidRDefault="00784863" w:rsidP="00BA79F0">
            <w:pPr>
              <w:tabs>
                <w:tab w:val="left" w:pos="2039"/>
              </w:tabs>
              <w:spacing w:line="276" w:lineRule="auto"/>
              <w:jc w:val="center"/>
              <w:rPr>
                <w:lang w:val="en-US"/>
              </w:rPr>
            </w:pPr>
            <w:r>
              <w:rPr>
                <w:lang w:val="en-US"/>
              </w:rPr>
              <w:t>167</w:t>
            </w:r>
          </w:p>
        </w:tc>
        <w:tc>
          <w:tcPr>
            <w:tcW w:w="2693" w:type="dxa"/>
          </w:tcPr>
          <w:p w14:paraId="0F60B6E1" w14:textId="58DE6B3F" w:rsidR="00784863" w:rsidRPr="000E337E" w:rsidRDefault="00784863" w:rsidP="00BA79F0">
            <w:pPr>
              <w:tabs>
                <w:tab w:val="left" w:pos="2039"/>
              </w:tabs>
              <w:spacing w:line="276" w:lineRule="auto"/>
              <w:jc w:val="center"/>
              <w:rPr>
                <w:lang w:val="en-US"/>
              </w:rPr>
            </w:pPr>
            <w:r>
              <w:rPr>
                <w:lang w:val="en-US"/>
              </w:rPr>
              <w:t>39</w:t>
            </w:r>
          </w:p>
        </w:tc>
      </w:tr>
      <w:tr w:rsidR="00784863" w:rsidRPr="000E337E" w14:paraId="1B3E3907" w14:textId="77777777" w:rsidTr="00836622">
        <w:tc>
          <w:tcPr>
            <w:tcW w:w="3681" w:type="dxa"/>
          </w:tcPr>
          <w:p w14:paraId="2334C83D" w14:textId="459302FA" w:rsidR="00784863" w:rsidRDefault="00784863" w:rsidP="00BA79F0">
            <w:pPr>
              <w:tabs>
                <w:tab w:val="left" w:pos="2039"/>
              </w:tabs>
              <w:spacing w:line="276" w:lineRule="auto"/>
              <w:rPr>
                <w:lang w:val="en-US"/>
              </w:rPr>
            </w:pPr>
            <w:r>
              <w:rPr>
                <w:lang w:val="en-US"/>
              </w:rPr>
              <w:t xml:space="preserve">  </w:t>
            </w:r>
            <w:r w:rsidR="007A29BF">
              <w:rPr>
                <w:lang w:val="en-US"/>
              </w:rPr>
              <w:t xml:space="preserve"> </w:t>
            </w:r>
            <w:r>
              <w:rPr>
                <w:lang w:val="en-US"/>
              </w:rPr>
              <w:t>No</w:t>
            </w:r>
          </w:p>
        </w:tc>
        <w:tc>
          <w:tcPr>
            <w:tcW w:w="2835" w:type="dxa"/>
          </w:tcPr>
          <w:p w14:paraId="3AF29990" w14:textId="77777777" w:rsidR="00784863" w:rsidRPr="000E337E" w:rsidRDefault="00784863" w:rsidP="00BA79F0">
            <w:pPr>
              <w:tabs>
                <w:tab w:val="left" w:pos="2039"/>
              </w:tabs>
              <w:spacing w:line="276" w:lineRule="auto"/>
              <w:jc w:val="center"/>
              <w:rPr>
                <w:lang w:val="en-US"/>
              </w:rPr>
            </w:pPr>
            <w:r>
              <w:rPr>
                <w:lang w:val="en-US"/>
              </w:rPr>
              <w:t>266</w:t>
            </w:r>
          </w:p>
        </w:tc>
        <w:tc>
          <w:tcPr>
            <w:tcW w:w="2693" w:type="dxa"/>
          </w:tcPr>
          <w:p w14:paraId="07F9F525" w14:textId="5624B271" w:rsidR="00784863" w:rsidRPr="000E337E" w:rsidRDefault="00784863" w:rsidP="00BA79F0">
            <w:pPr>
              <w:tabs>
                <w:tab w:val="left" w:pos="2039"/>
              </w:tabs>
              <w:spacing w:line="276" w:lineRule="auto"/>
              <w:jc w:val="center"/>
              <w:rPr>
                <w:lang w:val="en-US"/>
              </w:rPr>
            </w:pPr>
            <w:r>
              <w:rPr>
                <w:lang w:val="en-US"/>
              </w:rPr>
              <w:t>61</w:t>
            </w:r>
          </w:p>
        </w:tc>
      </w:tr>
      <w:tr w:rsidR="00784863" w:rsidRPr="000E337E" w14:paraId="02F0A49C" w14:textId="77777777" w:rsidTr="00836622">
        <w:tc>
          <w:tcPr>
            <w:tcW w:w="3681" w:type="dxa"/>
          </w:tcPr>
          <w:p w14:paraId="3D1E77F1" w14:textId="387D8991" w:rsidR="00784863" w:rsidRPr="000E337E" w:rsidRDefault="00784863" w:rsidP="00BA79F0">
            <w:pPr>
              <w:tabs>
                <w:tab w:val="left" w:pos="2039"/>
              </w:tabs>
              <w:spacing w:line="276" w:lineRule="auto"/>
              <w:rPr>
                <w:lang w:val="en-US"/>
              </w:rPr>
            </w:pPr>
            <w:r w:rsidRPr="000E337E">
              <w:rPr>
                <w:lang w:val="en-US"/>
              </w:rPr>
              <w:t>Kinship</w:t>
            </w:r>
          </w:p>
        </w:tc>
        <w:tc>
          <w:tcPr>
            <w:tcW w:w="2835" w:type="dxa"/>
          </w:tcPr>
          <w:p w14:paraId="54EC2D72" w14:textId="77777777" w:rsidR="00784863" w:rsidRPr="000E337E" w:rsidRDefault="00784863" w:rsidP="00BA79F0">
            <w:pPr>
              <w:tabs>
                <w:tab w:val="left" w:pos="2039"/>
              </w:tabs>
              <w:spacing w:line="276" w:lineRule="auto"/>
              <w:jc w:val="center"/>
              <w:rPr>
                <w:lang w:val="en-US"/>
              </w:rPr>
            </w:pPr>
          </w:p>
        </w:tc>
        <w:tc>
          <w:tcPr>
            <w:tcW w:w="2693" w:type="dxa"/>
          </w:tcPr>
          <w:p w14:paraId="0398408A" w14:textId="77777777" w:rsidR="00784863" w:rsidRPr="000E337E" w:rsidRDefault="00784863" w:rsidP="00BA79F0">
            <w:pPr>
              <w:tabs>
                <w:tab w:val="left" w:pos="2039"/>
              </w:tabs>
              <w:spacing w:line="276" w:lineRule="auto"/>
              <w:jc w:val="center"/>
              <w:rPr>
                <w:lang w:val="en-US"/>
              </w:rPr>
            </w:pPr>
          </w:p>
        </w:tc>
      </w:tr>
      <w:tr w:rsidR="00784863" w:rsidRPr="000E337E" w14:paraId="05E2221E" w14:textId="77777777" w:rsidTr="00836622">
        <w:tc>
          <w:tcPr>
            <w:tcW w:w="3681" w:type="dxa"/>
          </w:tcPr>
          <w:p w14:paraId="64E7AA2B" w14:textId="319FEFF6" w:rsidR="00784863" w:rsidRPr="000E337E" w:rsidRDefault="00784863" w:rsidP="00BA79F0">
            <w:pPr>
              <w:tabs>
                <w:tab w:val="left" w:pos="2039"/>
              </w:tabs>
              <w:spacing w:line="276" w:lineRule="auto"/>
              <w:rPr>
                <w:lang w:val="en-US"/>
              </w:rPr>
            </w:pPr>
            <w:r w:rsidRPr="000E337E">
              <w:rPr>
                <w:lang w:val="en-US"/>
              </w:rPr>
              <w:t xml:space="preserve">  Partner</w:t>
            </w:r>
          </w:p>
        </w:tc>
        <w:tc>
          <w:tcPr>
            <w:tcW w:w="2835" w:type="dxa"/>
          </w:tcPr>
          <w:p w14:paraId="267827FD" w14:textId="77777777" w:rsidR="00784863" w:rsidRPr="000E337E" w:rsidRDefault="00784863" w:rsidP="00BA79F0">
            <w:pPr>
              <w:tabs>
                <w:tab w:val="left" w:pos="2039"/>
              </w:tabs>
              <w:spacing w:line="276" w:lineRule="auto"/>
              <w:jc w:val="center"/>
              <w:rPr>
                <w:lang w:val="en-US"/>
              </w:rPr>
            </w:pPr>
            <w:r w:rsidRPr="000E337E">
              <w:rPr>
                <w:lang w:val="en-US"/>
              </w:rPr>
              <w:t xml:space="preserve">119 </w:t>
            </w:r>
          </w:p>
        </w:tc>
        <w:tc>
          <w:tcPr>
            <w:tcW w:w="2693" w:type="dxa"/>
          </w:tcPr>
          <w:p w14:paraId="6AA2E2C2" w14:textId="2A2CEB60" w:rsidR="00784863" w:rsidRPr="000E337E" w:rsidRDefault="00784863" w:rsidP="00BA79F0">
            <w:pPr>
              <w:tabs>
                <w:tab w:val="left" w:pos="2039"/>
              </w:tabs>
              <w:spacing w:line="276" w:lineRule="auto"/>
              <w:jc w:val="center"/>
              <w:rPr>
                <w:lang w:val="en-US"/>
              </w:rPr>
            </w:pPr>
            <w:r w:rsidRPr="000E337E">
              <w:rPr>
                <w:lang w:val="en-US"/>
              </w:rPr>
              <w:t>2</w:t>
            </w:r>
            <w:r>
              <w:rPr>
                <w:lang w:val="en-US"/>
              </w:rPr>
              <w:t>7</w:t>
            </w:r>
          </w:p>
        </w:tc>
      </w:tr>
      <w:tr w:rsidR="00784863" w:rsidRPr="000E337E" w14:paraId="041E2BCE" w14:textId="77777777" w:rsidTr="00836622">
        <w:tc>
          <w:tcPr>
            <w:tcW w:w="3681" w:type="dxa"/>
          </w:tcPr>
          <w:p w14:paraId="4F43931E" w14:textId="38C80FC1" w:rsidR="00784863" w:rsidRPr="000E337E" w:rsidRDefault="00784863" w:rsidP="00BA79F0">
            <w:pPr>
              <w:tabs>
                <w:tab w:val="left" w:pos="2039"/>
              </w:tabs>
              <w:spacing w:line="276" w:lineRule="auto"/>
              <w:rPr>
                <w:lang w:val="en-US"/>
              </w:rPr>
            </w:pPr>
            <w:r w:rsidRPr="000E337E">
              <w:rPr>
                <w:lang w:val="en-US"/>
              </w:rPr>
              <w:t xml:space="preserve">  Child</w:t>
            </w:r>
          </w:p>
        </w:tc>
        <w:tc>
          <w:tcPr>
            <w:tcW w:w="2835" w:type="dxa"/>
          </w:tcPr>
          <w:p w14:paraId="6E6FC4E8" w14:textId="77777777" w:rsidR="00784863" w:rsidRPr="000E337E" w:rsidRDefault="00784863" w:rsidP="00BA79F0">
            <w:pPr>
              <w:tabs>
                <w:tab w:val="left" w:pos="2039"/>
              </w:tabs>
              <w:spacing w:line="276" w:lineRule="auto"/>
              <w:jc w:val="center"/>
              <w:rPr>
                <w:lang w:val="en-US"/>
              </w:rPr>
            </w:pPr>
            <w:r w:rsidRPr="000E337E">
              <w:rPr>
                <w:lang w:val="en-US"/>
              </w:rPr>
              <w:t xml:space="preserve">51 </w:t>
            </w:r>
          </w:p>
        </w:tc>
        <w:tc>
          <w:tcPr>
            <w:tcW w:w="2693" w:type="dxa"/>
          </w:tcPr>
          <w:p w14:paraId="50E1DE68" w14:textId="7E980CB8" w:rsidR="00784863" w:rsidRPr="000E337E" w:rsidRDefault="00784863" w:rsidP="00BA79F0">
            <w:pPr>
              <w:tabs>
                <w:tab w:val="left" w:pos="2039"/>
              </w:tabs>
              <w:spacing w:line="276" w:lineRule="auto"/>
              <w:jc w:val="center"/>
              <w:rPr>
                <w:lang w:val="en-US"/>
              </w:rPr>
            </w:pPr>
            <w:r w:rsidRPr="000E337E">
              <w:rPr>
                <w:lang w:val="en-US"/>
              </w:rPr>
              <w:t>1</w:t>
            </w:r>
            <w:r>
              <w:rPr>
                <w:lang w:val="en-US"/>
              </w:rPr>
              <w:t>2</w:t>
            </w:r>
          </w:p>
        </w:tc>
      </w:tr>
      <w:tr w:rsidR="00784863" w:rsidRPr="000E337E" w14:paraId="2CEFF3BB" w14:textId="77777777" w:rsidTr="00836622">
        <w:tc>
          <w:tcPr>
            <w:tcW w:w="3681" w:type="dxa"/>
          </w:tcPr>
          <w:p w14:paraId="14832028" w14:textId="762DA2B8" w:rsidR="00784863" w:rsidRPr="000E337E" w:rsidRDefault="00784863" w:rsidP="00BA79F0">
            <w:pPr>
              <w:tabs>
                <w:tab w:val="left" w:pos="2039"/>
              </w:tabs>
              <w:spacing w:line="276" w:lineRule="auto"/>
              <w:rPr>
                <w:lang w:val="en-US"/>
              </w:rPr>
            </w:pPr>
            <w:r w:rsidRPr="000E337E">
              <w:rPr>
                <w:lang w:val="en-US"/>
              </w:rPr>
              <w:t xml:space="preserve">  Parent</w:t>
            </w:r>
          </w:p>
        </w:tc>
        <w:tc>
          <w:tcPr>
            <w:tcW w:w="2835" w:type="dxa"/>
          </w:tcPr>
          <w:p w14:paraId="0575595B" w14:textId="77777777" w:rsidR="00784863" w:rsidRPr="000E337E" w:rsidRDefault="00784863" w:rsidP="00BA79F0">
            <w:pPr>
              <w:tabs>
                <w:tab w:val="left" w:pos="2039"/>
              </w:tabs>
              <w:spacing w:line="276" w:lineRule="auto"/>
              <w:jc w:val="center"/>
              <w:rPr>
                <w:lang w:val="en-US"/>
              </w:rPr>
            </w:pPr>
            <w:r w:rsidRPr="000E337E">
              <w:rPr>
                <w:lang w:val="en-US"/>
              </w:rPr>
              <w:t xml:space="preserve">130 </w:t>
            </w:r>
          </w:p>
        </w:tc>
        <w:tc>
          <w:tcPr>
            <w:tcW w:w="2693" w:type="dxa"/>
          </w:tcPr>
          <w:p w14:paraId="01F19BBB" w14:textId="2B9B444D" w:rsidR="00784863" w:rsidRPr="000E337E" w:rsidRDefault="00784863" w:rsidP="00BA79F0">
            <w:pPr>
              <w:tabs>
                <w:tab w:val="left" w:pos="2039"/>
              </w:tabs>
              <w:spacing w:line="276" w:lineRule="auto"/>
              <w:jc w:val="center"/>
              <w:rPr>
                <w:lang w:val="en-US"/>
              </w:rPr>
            </w:pPr>
            <w:r w:rsidRPr="000E337E">
              <w:rPr>
                <w:lang w:val="en-US"/>
              </w:rPr>
              <w:t>30</w:t>
            </w:r>
          </w:p>
        </w:tc>
      </w:tr>
      <w:tr w:rsidR="00784863" w:rsidRPr="000E337E" w14:paraId="16563604" w14:textId="77777777" w:rsidTr="00836622">
        <w:tc>
          <w:tcPr>
            <w:tcW w:w="3681" w:type="dxa"/>
          </w:tcPr>
          <w:p w14:paraId="0C661984" w14:textId="172F2563" w:rsidR="00784863" w:rsidRPr="000E337E" w:rsidRDefault="00784863" w:rsidP="00BA79F0">
            <w:pPr>
              <w:tabs>
                <w:tab w:val="left" w:pos="2039"/>
              </w:tabs>
              <w:spacing w:line="276" w:lineRule="auto"/>
              <w:rPr>
                <w:lang w:val="en-US"/>
              </w:rPr>
            </w:pPr>
            <w:r w:rsidRPr="000E337E">
              <w:rPr>
                <w:lang w:val="en-US"/>
              </w:rPr>
              <w:t xml:space="preserve">  Sibling</w:t>
            </w:r>
          </w:p>
        </w:tc>
        <w:tc>
          <w:tcPr>
            <w:tcW w:w="2835" w:type="dxa"/>
          </w:tcPr>
          <w:p w14:paraId="43ED997F" w14:textId="77777777" w:rsidR="00784863" w:rsidRPr="000E337E" w:rsidRDefault="00784863" w:rsidP="00BA79F0">
            <w:pPr>
              <w:tabs>
                <w:tab w:val="left" w:pos="2039"/>
              </w:tabs>
              <w:spacing w:line="276" w:lineRule="auto"/>
              <w:jc w:val="center"/>
              <w:rPr>
                <w:lang w:val="en-US"/>
              </w:rPr>
            </w:pPr>
            <w:r w:rsidRPr="000E337E">
              <w:rPr>
                <w:lang w:val="en-US"/>
              </w:rPr>
              <w:t>16</w:t>
            </w:r>
          </w:p>
        </w:tc>
        <w:tc>
          <w:tcPr>
            <w:tcW w:w="2693" w:type="dxa"/>
          </w:tcPr>
          <w:p w14:paraId="0D266DFD" w14:textId="42860C86" w:rsidR="00784863" w:rsidRPr="000E337E" w:rsidRDefault="00784863" w:rsidP="00BA79F0">
            <w:pPr>
              <w:tabs>
                <w:tab w:val="left" w:pos="2039"/>
              </w:tabs>
              <w:spacing w:line="276" w:lineRule="auto"/>
              <w:jc w:val="center"/>
              <w:rPr>
                <w:lang w:val="en-US"/>
              </w:rPr>
            </w:pPr>
            <w:r>
              <w:rPr>
                <w:lang w:val="en-US"/>
              </w:rPr>
              <w:t>4</w:t>
            </w:r>
          </w:p>
        </w:tc>
      </w:tr>
      <w:tr w:rsidR="00784863" w:rsidRPr="000E337E" w14:paraId="315455AE" w14:textId="77777777" w:rsidTr="00836622">
        <w:tc>
          <w:tcPr>
            <w:tcW w:w="3681" w:type="dxa"/>
          </w:tcPr>
          <w:p w14:paraId="0462E64A" w14:textId="4600F760" w:rsidR="00784863" w:rsidRPr="000E337E" w:rsidRDefault="00784863" w:rsidP="00BA79F0">
            <w:pPr>
              <w:tabs>
                <w:tab w:val="left" w:pos="2039"/>
              </w:tabs>
              <w:spacing w:line="276" w:lineRule="auto"/>
              <w:rPr>
                <w:lang w:val="en-US"/>
              </w:rPr>
            </w:pPr>
            <w:r w:rsidRPr="000E337E">
              <w:rPr>
                <w:lang w:val="en-US"/>
              </w:rPr>
              <w:t xml:space="preserve">  Grandparent</w:t>
            </w:r>
          </w:p>
        </w:tc>
        <w:tc>
          <w:tcPr>
            <w:tcW w:w="2835" w:type="dxa"/>
          </w:tcPr>
          <w:p w14:paraId="61294626" w14:textId="77777777" w:rsidR="00784863" w:rsidRPr="000E337E" w:rsidRDefault="00784863" w:rsidP="00BA79F0">
            <w:pPr>
              <w:tabs>
                <w:tab w:val="left" w:pos="2039"/>
              </w:tabs>
              <w:spacing w:line="276" w:lineRule="auto"/>
              <w:jc w:val="center"/>
              <w:rPr>
                <w:lang w:val="en-US"/>
              </w:rPr>
            </w:pPr>
            <w:r w:rsidRPr="000E337E">
              <w:rPr>
                <w:lang w:val="en-US"/>
              </w:rPr>
              <w:t xml:space="preserve">73 </w:t>
            </w:r>
          </w:p>
        </w:tc>
        <w:tc>
          <w:tcPr>
            <w:tcW w:w="2693" w:type="dxa"/>
          </w:tcPr>
          <w:p w14:paraId="07751286" w14:textId="184E9785" w:rsidR="00784863" w:rsidRPr="000E337E" w:rsidRDefault="00784863" w:rsidP="00BA79F0">
            <w:pPr>
              <w:tabs>
                <w:tab w:val="left" w:pos="2039"/>
              </w:tabs>
              <w:spacing w:line="276" w:lineRule="auto"/>
              <w:jc w:val="center"/>
              <w:rPr>
                <w:lang w:val="en-US"/>
              </w:rPr>
            </w:pPr>
            <w:r w:rsidRPr="000E337E">
              <w:rPr>
                <w:lang w:val="en-US"/>
              </w:rPr>
              <w:t>1</w:t>
            </w:r>
            <w:r>
              <w:rPr>
                <w:lang w:val="en-US"/>
              </w:rPr>
              <w:t>7</w:t>
            </w:r>
          </w:p>
        </w:tc>
      </w:tr>
      <w:tr w:rsidR="003D3F1C" w:rsidRPr="000E337E" w14:paraId="5FAE634C" w14:textId="77777777" w:rsidTr="00836622">
        <w:tc>
          <w:tcPr>
            <w:tcW w:w="3681" w:type="dxa"/>
          </w:tcPr>
          <w:p w14:paraId="357E4376" w14:textId="0C7D976C" w:rsidR="003D3F1C" w:rsidRPr="000E337E" w:rsidRDefault="009B2AB1" w:rsidP="00BA79F0">
            <w:pPr>
              <w:tabs>
                <w:tab w:val="left" w:pos="2039"/>
              </w:tabs>
              <w:spacing w:line="276" w:lineRule="auto"/>
              <w:rPr>
                <w:lang w:val="en-US"/>
              </w:rPr>
            </w:pPr>
            <w:r>
              <w:rPr>
                <w:lang w:val="en-US"/>
              </w:rPr>
              <w:t xml:space="preserve">  Grandchild</w:t>
            </w:r>
          </w:p>
        </w:tc>
        <w:tc>
          <w:tcPr>
            <w:tcW w:w="2835" w:type="dxa"/>
          </w:tcPr>
          <w:p w14:paraId="47EEDA03" w14:textId="248EAFAA" w:rsidR="003D3F1C" w:rsidRPr="000E337E" w:rsidRDefault="009B2AB1" w:rsidP="00BA79F0">
            <w:pPr>
              <w:tabs>
                <w:tab w:val="left" w:pos="2039"/>
              </w:tabs>
              <w:spacing w:line="276" w:lineRule="auto"/>
              <w:jc w:val="center"/>
              <w:rPr>
                <w:lang w:val="en-US"/>
              </w:rPr>
            </w:pPr>
            <w:r>
              <w:rPr>
                <w:lang w:val="en-US"/>
              </w:rPr>
              <w:t>0</w:t>
            </w:r>
          </w:p>
        </w:tc>
        <w:tc>
          <w:tcPr>
            <w:tcW w:w="2693" w:type="dxa"/>
          </w:tcPr>
          <w:p w14:paraId="312E7E41" w14:textId="5E6E26B6" w:rsidR="003D3F1C" w:rsidRPr="000E337E" w:rsidRDefault="009B2AB1" w:rsidP="00BA79F0">
            <w:pPr>
              <w:tabs>
                <w:tab w:val="left" w:pos="2039"/>
              </w:tabs>
              <w:spacing w:line="276" w:lineRule="auto"/>
              <w:jc w:val="center"/>
              <w:rPr>
                <w:lang w:val="en-US"/>
              </w:rPr>
            </w:pPr>
            <w:r>
              <w:rPr>
                <w:lang w:val="en-US"/>
              </w:rPr>
              <w:t>0</w:t>
            </w:r>
          </w:p>
        </w:tc>
      </w:tr>
      <w:tr w:rsidR="00784863" w:rsidRPr="000E337E" w14:paraId="23C103B3" w14:textId="77777777" w:rsidTr="00836622">
        <w:tc>
          <w:tcPr>
            <w:tcW w:w="3681" w:type="dxa"/>
          </w:tcPr>
          <w:p w14:paraId="0B67B421" w14:textId="6E19F606" w:rsidR="00784863" w:rsidRPr="000E337E" w:rsidRDefault="00784863" w:rsidP="00BA79F0">
            <w:pPr>
              <w:tabs>
                <w:tab w:val="left" w:pos="2039"/>
              </w:tabs>
              <w:spacing w:line="276" w:lineRule="auto"/>
              <w:rPr>
                <w:lang w:val="en-US"/>
              </w:rPr>
            </w:pPr>
            <w:r w:rsidRPr="000E337E">
              <w:rPr>
                <w:lang w:val="en-US"/>
              </w:rPr>
              <w:t xml:space="preserve">  Friend</w:t>
            </w:r>
          </w:p>
        </w:tc>
        <w:tc>
          <w:tcPr>
            <w:tcW w:w="2835" w:type="dxa"/>
          </w:tcPr>
          <w:p w14:paraId="24760725" w14:textId="77777777" w:rsidR="00784863" w:rsidRPr="000E337E" w:rsidRDefault="00784863" w:rsidP="00BA79F0">
            <w:pPr>
              <w:tabs>
                <w:tab w:val="left" w:pos="2039"/>
              </w:tabs>
              <w:spacing w:line="276" w:lineRule="auto"/>
              <w:jc w:val="center"/>
              <w:rPr>
                <w:lang w:val="en-US"/>
              </w:rPr>
            </w:pPr>
            <w:r w:rsidRPr="000E337E">
              <w:rPr>
                <w:lang w:val="en-US"/>
              </w:rPr>
              <w:t xml:space="preserve">19 </w:t>
            </w:r>
          </w:p>
        </w:tc>
        <w:tc>
          <w:tcPr>
            <w:tcW w:w="2693" w:type="dxa"/>
          </w:tcPr>
          <w:p w14:paraId="5EFCCFE9" w14:textId="45AB79D8" w:rsidR="00784863" w:rsidRPr="000E337E" w:rsidRDefault="00784863" w:rsidP="00BA79F0">
            <w:pPr>
              <w:tabs>
                <w:tab w:val="left" w:pos="2039"/>
              </w:tabs>
              <w:spacing w:line="276" w:lineRule="auto"/>
              <w:jc w:val="center"/>
              <w:rPr>
                <w:lang w:val="en-US"/>
              </w:rPr>
            </w:pPr>
            <w:r w:rsidRPr="000E337E">
              <w:rPr>
                <w:lang w:val="en-US"/>
              </w:rPr>
              <w:t>4</w:t>
            </w:r>
          </w:p>
        </w:tc>
      </w:tr>
      <w:tr w:rsidR="00784863" w:rsidRPr="000E337E" w14:paraId="7A5A6013" w14:textId="77777777" w:rsidTr="00836622">
        <w:tc>
          <w:tcPr>
            <w:tcW w:w="3681" w:type="dxa"/>
          </w:tcPr>
          <w:p w14:paraId="3EB7ACA4" w14:textId="3F7D70D9" w:rsidR="00784863" w:rsidRPr="000E337E" w:rsidRDefault="00784863" w:rsidP="00BA79F0">
            <w:pPr>
              <w:tabs>
                <w:tab w:val="left" w:pos="2039"/>
              </w:tabs>
              <w:spacing w:line="276" w:lineRule="auto"/>
              <w:rPr>
                <w:lang w:val="en-US"/>
              </w:rPr>
            </w:pPr>
            <w:r w:rsidRPr="000E337E">
              <w:rPr>
                <w:lang w:val="en-US"/>
              </w:rPr>
              <w:t xml:space="preserve">  Other </w:t>
            </w:r>
          </w:p>
        </w:tc>
        <w:tc>
          <w:tcPr>
            <w:tcW w:w="2835" w:type="dxa"/>
          </w:tcPr>
          <w:p w14:paraId="2766D56A" w14:textId="77777777" w:rsidR="00784863" w:rsidRPr="000E337E" w:rsidRDefault="00784863" w:rsidP="00BA79F0">
            <w:pPr>
              <w:tabs>
                <w:tab w:val="left" w:pos="2039"/>
              </w:tabs>
              <w:spacing w:line="276" w:lineRule="auto"/>
              <w:jc w:val="center"/>
              <w:rPr>
                <w:lang w:val="en-US"/>
              </w:rPr>
            </w:pPr>
            <w:r w:rsidRPr="000E337E">
              <w:rPr>
                <w:lang w:val="en-US"/>
              </w:rPr>
              <w:t xml:space="preserve">25 </w:t>
            </w:r>
          </w:p>
        </w:tc>
        <w:tc>
          <w:tcPr>
            <w:tcW w:w="2693" w:type="dxa"/>
          </w:tcPr>
          <w:p w14:paraId="2F160213" w14:textId="1AFF0ED3" w:rsidR="00784863" w:rsidRPr="000E337E" w:rsidRDefault="00784863" w:rsidP="00BA79F0">
            <w:pPr>
              <w:tabs>
                <w:tab w:val="left" w:pos="2039"/>
              </w:tabs>
              <w:spacing w:line="276" w:lineRule="auto"/>
              <w:jc w:val="center"/>
              <w:rPr>
                <w:lang w:val="en-US"/>
              </w:rPr>
            </w:pPr>
            <w:r>
              <w:rPr>
                <w:lang w:val="en-US"/>
              </w:rPr>
              <w:t>6</w:t>
            </w:r>
          </w:p>
        </w:tc>
      </w:tr>
      <w:tr w:rsidR="00784863" w:rsidRPr="000E337E" w14:paraId="3AC2A437" w14:textId="77777777" w:rsidTr="00836622">
        <w:tc>
          <w:tcPr>
            <w:tcW w:w="3681" w:type="dxa"/>
          </w:tcPr>
          <w:p w14:paraId="7824BC8C" w14:textId="36B30585" w:rsidR="00784863" w:rsidRPr="000E337E" w:rsidRDefault="00784863" w:rsidP="00BA79F0">
            <w:pPr>
              <w:tabs>
                <w:tab w:val="left" w:pos="2039"/>
              </w:tabs>
              <w:spacing w:line="276" w:lineRule="auto"/>
              <w:rPr>
                <w:lang w:val="en-US"/>
              </w:rPr>
            </w:pPr>
            <w:r w:rsidRPr="000E337E">
              <w:rPr>
                <w:lang w:val="en-US"/>
              </w:rPr>
              <w:t>Cause of death</w:t>
            </w:r>
          </w:p>
        </w:tc>
        <w:tc>
          <w:tcPr>
            <w:tcW w:w="2835" w:type="dxa"/>
          </w:tcPr>
          <w:p w14:paraId="34624C9B" w14:textId="77777777" w:rsidR="00784863" w:rsidRPr="000E337E" w:rsidRDefault="00784863" w:rsidP="00BA79F0">
            <w:pPr>
              <w:tabs>
                <w:tab w:val="left" w:pos="2039"/>
              </w:tabs>
              <w:spacing w:line="276" w:lineRule="auto"/>
              <w:jc w:val="center"/>
              <w:rPr>
                <w:lang w:val="en-US"/>
              </w:rPr>
            </w:pPr>
          </w:p>
        </w:tc>
        <w:tc>
          <w:tcPr>
            <w:tcW w:w="2693" w:type="dxa"/>
          </w:tcPr>
          <w:p w14:paraId="3A21B8FD" w14:textId="77777777" w:rsidR="00784863" w:rsidRPr="000E337E" w:rsidRDefault="00784863" w:rsidP="00BA79F0">
            <w:pPr>
              <w:tabs>
                <w:tab w:val="left" w:pos="2039"/>
              </w:tabs>
              <w:spacing w:line="276" w:lineRule="auto"/>
              <w:jc w:val="center"/>
              <w:rPr>
                <w:lang w:val="en-US"/>
              </w:rPr>
            </w:pPr>
          </w:p>
        </w:tc>
      </w:tr>
      <w:tr w:rsidR="00784863" w:rsidRPr="000E337E" w14:paraId="2ADEC725" w14:textId="77777777" w:rsidTr="00836622">
        <w:tc>
          <w:tcPr>
            <w:tcW w:w="3681" w:type="dxa"/>
          </w:tcPr>
          <w:p w14:paraId="5822B7CF" w14:textId="0D1ADE31" w:rsidR="00784863" w:rsidRPr="000E337E" w:rsidRDefault="00784863" w:rsidP="00BA79F0">
            <w:pPr>
              <w:tabs>
                <w:tab w:val="left" w:pos="2039"/>
              </w:tabs>
              <w:spacing w:line="276" w:lineRule="auto"/>
              <w:rPr>
                <w:lang w:val="en-US"/>
              </w:rPr>
            </w:pPr>
            <w:r w:rsidRPr="000E337E">
              <w:rPr>
                <w:lang w:val="en-US"/>
              </w:rPr>
              <w:t xml:space="preserve">  Natural</w:t>
            </w:r>
          </w:p>
        </w:tc>
        <w:tc>
          <w:tcPr>
            <w:tcW w:w="2835" w:type="dxa"/>
          </w:tcPr>
          <w:p w14:paraId="46F25445" w14:textId="77777777" w:rsidR="00784863" w:rsidRPr="000E337E" w:rsidRDefault="00784863" w:rsidP="00BA79F0">
            <w:pPr>
              <w:tabs>
                <w:tab w:val="left" w:pos="2039"/>
              </w:tabs>
              <w:spacing w:line="276" w:lineRule="auto"/>
              <w:jc w:val="center"/>
              <w:rPr>
                <w:lang w:val="en-US"/>
              </w:rPr>
            </w:pPr>
            <w:r w:rsidRPr="000E337E">
              <w:rPr>
                <w:lang w:val="en-US"/>
              </w:rPr>
              <w:t xml:space="preserve">334 </w:t>
            </w:r>
          </w:p>
        </w:tc>
        <w:tc>
          <w:tcPr>
            <w:tcW w:w="2693" w:type="dxa"/>
          </w:tcPr>
          <w:p w14:paraId="5997AD43" w14:textId="7614E76C" w:rsidR="00784863" w:rsidRPr="000E337E" w:rsidRDefault="00784863" w:rsidP="00BA79F0">
            <w:pPr>
              <w:tabs>
                <w:tab w:val="left" w:pos="2039"/>
              </w:tabs>
              <w:spacing w:line="276" w:lineRule="auto"/>
              <w:jc w:val="center"/>
              <w:rPr>
                <w:lang w:val="en-US"/>
              </w:rPr>
            </w:pPr>
            <w:r w:rsidRPr="000E337E">
              <w:rPr>
                <w:lang w:val="en-US"/>
              </w:rPr>
              <w:t>77</w:t>
            </w:r>
          </w:p>
        </w:tc>
      </w:tr>
      <w:tr w:rsidR="00784863" w:rsidRPr="000E337E" w14:paraId="5C00B891" w14:textId="77777777" w:rsidTr="00836622">
        <w:tc>
          <w:tcPr>
            <w:tcW w:w="3681" w:type="dxa"/>
          </w:tcPr>
          <w:p w14:paraId="3F8AAE2F" w14:textId="56981CE9" w:rsidR="00784863" w:rsidRDefault="00784863" w:rsidP="00BA79F0">
            <w:pPr>
              <w:tabs>
                <w:tab w:val="left" w:pos="2039"/>
              </w:tabs>
              <w:spacing w:line="276" w:lineRule="auto"/>
              <w:rPr>
                <w:lang w:val="en-US"/>
              </w:rPr>
            </w:pPr>
            <w:r w:rsidRPr="000E337E">
              <w:rPr>
                <w:lang w:val="en-US"/>
              </w:rPr>
              <w:t xml:space="preserve">  Unnatural</w:t>
            </w:r>
          </w:p>
          <w:p w14:paraId="46490F73" w14:textId="4F3DCA87" w:rsidR="00784863" w:rsidRPr="000E337E" w:rsidRDefault="00784863" w:rsidP="00BA79F0">
            <w:pPr>
              <w:tabs>
                <w:tab w:val="left" w:pos="2039"/>
              </w:tabs>
              <w:spacing w:line="276" w:lineRule="auto"/>
              <w:rPr>
                <w:i/>
                <w:iCs/>
                <w:lang w:val="en-US"/>
              </w:rPr>
            </w:pPr>
            <w:r>
              <w:rPr>
                <w:lang w:val="en-US"/>
              </w:rPr>
              <w:t xml:space="preserve">     </w:t>
            </w:r>
            <w:r w:rsidRPr="000E337E">
              <w:rPr>
                <w:i/>
                <w:iCs/>
                <w:lang w:val="en-US"/>
              </w:rPr>
              <w:t>Accident</w:t>
            </w:r>
          </w:p>
          <w:p w14:paraId="7BE28877" w14:textId="69FBD757" w:rsidR="00784863" w:rsidRDefault="00784863" w:rsidP="00BA79F0">
            <w:pPr>
              <w:tabs>
                <w:tab w:val="left" w:pos="2039"/>
              </w:tabs>
              <w:spacing w:line="276" w:lineRule="auto"/>
              <w:rPr>
                <w:i/>
                <w:iCs/>
                <w:lang w:val="en-US"/>
              </w:rPr>
            </w:pPr>
            <w:r>
              <w:rPr>
                <w:lang w:val="en-US"/>
              </w:rPr>
              <w:t xml:space="preserve">     </w:t>
            </w:r>
            <w:r w:rsidRPr="000E337E">
              <w:rPr>
                <w:i/>
                <w:iCs/>
                <w:lang w:val="en-US"/>
              </w:rPr>
              <w:t>Suicide</w:t>
            </w:r>
          </w:p>
          <w:p w14:paraId="3C9A2754" w14:textId="5E11EF02" w:rsidR="00784863" w:rsidRDefault="00784863" w:rsidP="00BA79F0">
            <w:pPr>
              <w:tabs>
                <w:tab w:val="left" w:pos="2039"/>
              </w:tabs>
              <w:spacing w:line="276" w:lineRule="auto"/>
              <w:rPr>
                <w:i/>
                <w:iCs/>
                <w:lang w:val="en-US"/>
              </w:rPr>
            </w:pPr>
            <w:r>
              <w:rPr>
                <w:i/>
                <w:iCs/>
                <w:lang w:val="en-US"/>
              </w:rPr>
              <w:t xml:space="preserve">     Murder</w:t>
            </w:r>
          </w:p>
          <w:p w14:paraId="00E3A327" w14:textId="4F8D64E5" w:rsidR="00784863" w:rsidRPr="000E337E" w:rsidRDefault="00784863" w:rsidP="00BA79F0">
            <w:pPr>
              <w:tabs>
                <w:tab w:val="left" w:pos="2039"/>
              </w:tabs>
              <w:spacing w:line="276" w:lineRule="auto"/>
              <w:rPr>
                <w:i/>
                <w:iCs/>
                <w:lang w:val="en-US"/>
              </w:rPr>
            </w:pPr>
            <w:r>
              <w:rPr>
                <w:lang w:val="en-US"/>
              </w:rPr>
              <w:t xml:space="preserve">     </w:t>
            </w:r>
            <w:r w:rsidRPr="000E337E">
              <w:rPr>
                <w:i/>
                <w:iCs/>
                <w:lang w:val="en-US"/>
              </w:rPr>
              <w:t>Other</w:t>
            </w:r>
          </w:p>
        </w:tc>
        <w:tc>
          <w:tcPr>
            <w:tcW w:w="2835" w:type="dxa"/>
          </w:tcPr>
          <w:p w14:paraId="37F6B648" w14:textId="77777777" w:rsidR="00784863" w:rsidRDefault="00784863" w:rsidP="00BA79F0">
            <w:pPr>
              <w:tabs>
                <w:tab w:val="left" w:pos="2039"/>
              </w:tabs>
              <w:spacing w:line="276" w:lineRule="auto"/>
              <w:jc w:val="center"/>
              <w:rPr>
                <w:lang w:val="en-US"/>
              </w:rPr>
            </w:pPr>
            <w:r w:rsidRPr="000E337E">
              <w:rPr>
                <w:lang w:val="en-US"/>
              </w:rPr>
              <w:t xml:space="preserve">99 </w:t>
            </w:r>
          </w:p>
          <w:p w14:paraId="0EBBBAF5" w14:textId="77777777" w:rsidR="00784863" w:rsidRDefault="00784863" w:rsidP="00BA79F0">
            <w:pPr>
              <w:tabs>
                <w:tab w:val="left" w:pos="2039"/>
              </w:tabs>
              <w:spacing w:line="276" w:lineRule="auto"/>
              <w:jc w:val="center"/>
              <w:rPr>
                <w:lang w:val="en-US"/>
              </w:rPr>
            </w:pPr>
            <w:r>
              <w:rPr>
                <w:lang w:val="en-US"/>
              </w:rPr>
              <w:t xml:space="preserve">27 </w:t>
            </w:r>
          </w:p>
          <w:p w14:paraId="52FFFCEE" w14:textId="77777777" w:rsidR="00784863" w:rsidRDefault="00784863" w:rsidP="00BA79F0">
            <w:pPr>
              <w:tabs>
                <w:tab w:val="left" w:pos="2039"/>
              </w:tabs>
              <w:spacing w:line="276" w:lineRule="auto"/>
              <w:jc w:val="center"/>
              <w:rPr>
                <w:lang w:val="en-US"/>
              </w:rPr>
            </w:pPr>
            <w:r>
              <w:rPr>
                <w:lang w:val="en-US"/>
              </w:rPr>
              <w:t xml:space="preserve">57 </w:t>
            </w:r>
          </w:p>
          <w:p w14:paraId="41970B94" w14:textId="77777777" w:rsidR="00784863" w:rsidRDefault="00784863" w:rsidP="00BA79F0">
            <w:pPr>
              <w:tabs>
                <w:tab w:val="left" w:pos="2039"/>
              </w:tabs>
              <w:spacing w:line="276" w:lineRule="auto"/>
              <w:jc w:val="center"/>
              <w:rPr>
                <w:lang w:val="en-US"/>
              </w:rPr>
            </w:pPr>
            <w:r>
              <w:rPr>
                <w:lang w:val="en-US"/>
              </w:rPr>
              <w:t xml:space="preserve">3 </w:t>
            </w:r>
          </w:p>
          <w:p w14:paraId="5AA413CA" w14:textId="77777777" w:rsidR="00784863" w:rsidRPr="000E337E" w:rsidRDefault="00784863" w:rsidP="00BA79F0">
            <w:pPr>
              <w:tabs>
                <w:tab w:val="left" w:pos="2039"/>
              </w:tabs>
              <w:spacing w:line="276" w:lineRule="auto"/>
              <w:jc w:val="center"/>
              <w:rPr>
                <w:lang w:val="en-US"/>
              </w:rPr>
            </w:pPr>
            <w:r>
              <w:rPr>
                <w:lang w:val="en-US"/>
              </w:rPr>
              <w:t xml:space="preserve">12 </w:t>
            </w:r>
          </w:p>
        </w:tc>
        <w:tc>
          <w:tcPr>
            <w:tcW w:w="2693" w:type="dxa"/>
          </w:tcPr>
          <w:p w14:paraId="63982338" w14:textId="53BC339D" w:rsidR="00784863" w:rsidRDefault="00784863" w:rsidP="00BA79F0">
            <w:pPr>
              <w:tabs>
                <w:tab w:val="left" w:pos="2039"/>
              </w:tabs>
              <w:spacing w:line="276" w:lineRule="auto"/>
              <w:jc w:val="center"/>
              <w:rPr>
                <w:lang w:val="en-US"/>
              </w:rPr>
            </w:pPr>
            <w:r w:rsidRPr="000E337E">
              <w:rPr>
                <w:lang w:val="en-US"/>
              </w:rPr>
              <w:t>2</w:t>
            </w:r>
            <w:r>
              <w:rPr>
                <w:lang w:val="en-US"/>
              </w:rPr>
              <w:t>3</w:t>
            </w:r>
          </w:p>
          <w:p w14:paraId="5E8BF854" w14:textId="5F36C8A4" w:rsidR="00784863" w:rsidRDefault="00784863" w:rsidP="00BA79F0">
            <w:pPr>
              <w:tabs>
                <w:tab w:val="left" w:pos="2039"/>
              </w:tabs>
              <w:spacing w:line="276" w:lineRule="auto"/>
              <w:jc w:val="center"/>
              <w:rPr>
                <w:lang w:val="en-US"/>
              </w:rPr>
            </w:pPr>
            <w:r>
              <w:rPr>
                <w:lang w:val="en-US"/>
              </w:rPr>
              <w:t>6</w:t>
            </w:r>
          </w:p>
          <w:p w14:paraId="3AC29851" w14:textId="6D82A875" w:rsidR="00784863" w:rsidRDefault="00784863" w:rsidP="00BA79F0">
            <w:pPr>
              <w:tabs>
                <w:tab w:val="left" w:pos="2039"/>
              </w:tabs>
              <w:spacing w:line="276" w:lineRule="auto"/>
              <w:jc w:val="center"/>
              <w:rPr>
                <w:lang w:val="en-US"/>
              </w:rPr>
            </w:pPr>
            <w:r>
              <w:rPr>
                <w:lang w:val="en-US"/>
              </w:rPr>
              <w:t>13</w:t>
            </w:r>
          </w:p>
          <w:p w14:paraId="565A212F" w14:textId="209E21C8" w:rsidR="00784863" w:rsidRDefault="00784863" w:rsidP="00BA79F0">
            <w:pPr>
              <w:tabs>
                <w:tab w:val="left" w:pos="2039"/>
              </w:tabs>
              <w:spacing w:line="276" w:lineRule="auto"/>
              <w:jc w:val="center"/>
              <w:rPr>
                <w:lang w:val="en-US"/>
              </w:rPr>
            </w:pPr>
            <w:r>
              <w:rPr>
                <w:lang w:val="en-US"/>
              </w:rPr>
              <w:t>1</w:t>
            </w:r>
          </w:p>
          <w:p w14:paraId="5AB7E608" w14:textId="0576260B" w:rsidR="00784863" w:rsidRPr="000E337E" w:rsidRDefault="00784863" w:rsidP="00BA79F0">
            <w:pPr>
              <w:tabs>
                <w:tab w:val="left" w:pos="2039"/>
              </w:tabs>
              <w:spacing w:line="276" w:lineRule="auto"/>
              <w:jc w:val="center"/>
              <w:rPr>
                <w:lang w:val="en-US"/>
              </w:rPr>
            </w:pPr>
            <w:r>
              <w:rPr>
                <w:lang w:val="en-US"/>
              </w:rPr>
              <w:t>3</w:t>
            </w:r>
          </w:p>
        </w:tc>
      </w:tr>
    </w:tbl>
    <w:p w14:paraId="00000063" w14:textId="03212E02" w:rsidR="00042C0F" w:rsidRDefault="009822E0" w:rsidP="00BA79F0">
      <w:pPr>
        <w:spacing w:line="360" w:lineRule="auto"/>
        <w:rPr>
          <w:lang w:val="en-US"/>
        </w:rPr>
      </w:pPr>
      <w:commentRangeStart w:id="6"/>
      <w:r w:rsidRPr="00A0240C">
        <w:rPr>
          <w:i/>
          <w:iCs/>
          <w:lang w:val="en-US"/>
        </w:rPr>
        <w:t>Note</w:t>
      </w:r>
      <w:r>
        <w:rPr>
          <w:lang w:val="en-US"/>
        </w:rPr>
        <w:t xml:space="preserve">. </w:t>
      </w:r>
      <w:r w:rsidR="00F44893">
        <w:rPr>
          <w:lang w:val="en-US"/>
        </w:rPr>
        <w:t>Participants were on average 43.05 years old (</w:t>
      </w:r>
      <w:r w:rsidR="00F44893" w:rsidRPr="00DC4D88">
        <w:rPr>
          <w:i/>
          <w:iCs/>
          <w:lang w:val="en-US"/>
        </w:rPr>
        <w:t>SD</w:t>
      </w:r>
      <w:r w:rsidR="00B677CA">
        <w:rPr>
          <w:lang w:val="en-US"/>
        </w:rPr>
        <w:t xml:space="preserve"> = 16.90)</w:t>
      </w:r>
      <w:r w:rsidR="00C3201B">
        <w:rPr>
          <w:lang w:val="en-US"/>
        </w:rPr>
        <w:t xml:space="preserve">, and time since loss </w:t>
      </w:r>
      <w:r w:rsidR="00080E5C">
        <w:rPr>
          <w:lang w:val="en-US"/>
        </w:rPr>
        <w:t>was on av</w:t>
      </w:r>
      <w:r w:rsidR="00B46971">
        <w:rPr>
          <w:lang w:val="en-US"/>
        </w:rPr>
        <w:t>erage 80.38 months (</w:t>
      </w:r>
      <w:r w:rsidR="00B46971" w:rsidRPr="00DC4D88">
        <w:rPr>
          <w:i/>
          <w:iCs/>
          <w:lang w:val="en-US"/>
        </w:rPr>
        <w:t>SD</w:t>
      </w:r>
      <w:r w:rsidR="00B46971">
        <w:rPr>
          <w:lang w:val="en-US"/>
        </w:rPr>
        <w:t xml:space="preserve"> = 98.03). </w:t>
      </w:r>
      <w:commentRangeEnd w:id="6"/>
      <w:r w:rsidR="00E42F60">
        <w:rPr>
          <w:rStyle w:val="CommentReference"/>
          <w:rFonts w:ascii="Arial" w:eastAsia="Arial" w:hAnsi="Arial" w:cs="Arial"/>
          <w:lang w:val="nl"/>
        </w:rPr>
        <w:commentReference w:id="6"/>
      </w:r>
    </w:p>
    <w:p w14:paraId="226FDA53" w14:textId="77777777" w:rsidR="000E5298" w:rsidRDefault="000E5298" w:rsidP="00784863">
      <w:pPr>
        <w:spacing w:line="480" w:lineRule="auto"/>
        <w:rPr>
          <w:lang w:val="en-US"/>
        </w:rPr>
      </w:pPr>
    </w:p>
    <w:p w14:paraId="46ADAB19" w14:textId="77777777" w:rsidR="00BA79F0" w:rsidRDefault="00BA79F0" w:rsidP="00784863">
      <w:pPr>
        <w:spacing w:line="480" w:lineRule="auto"/>
        <w:rPr>
          <w:lang w:val="en-US"/>
        </w:rPr>
      </w:pPr>
    </w:p>
    <w:p w14:paraId="00000064" w14:textId="77777777" w:rsidR="00042C0F" w:rsidRPr="00784863" w:rsidRDefault="00165BB5" w:rsidP="003F08B7">
      <w:pPr>
        <w:spacing w:line="480" w:lineRule="auto"/>
        <w:rPr>
          <w:b/>
          <w:lang w:val="en-US"/>
        </w:rPr>
      </w:pPr>
      <w:r w:rsidRPr="00784863">
        <w:rPr>
          <w:b/>
          <w:lang w:val="en-US"/>
        </w:rPr>
        <w:lastRenderedPageBreak/>
        <w:t xml:space="preserve">Table 2 </w:t>
      </w:r>
    </w:p>
    <w:p w14:paraId="00000065" w14:textId="7088E3B5" w:rsidR="00042C0F" w:rsidRDefault="00165BB5" w:rsidP="003F08B7">
      <w:pPr>
        <w:spacing w:line="480" w:lineRule="auto"/>
        <w:rPr>
          <w:i/>
          <w:lang w:val="en-US"/>
        </w:rPr>
      </w:pPr>
      <w:r w:rsidRPr="00784863">
        <w:rPr>
          <w:i/>
          <w:lang w:val="en-US"/>
        </w:rPr>
        <w:t>Predictors of Depression in Multiple Regression Analysis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032"/>
        <w:gridCol w:w="2032"/>
        <w:gridCol w:w="2032"/>
      </w:tblGrid>
      <w:tr w:rsidR="00784863" w:rsidRPr="00864116" w14:paraId="0D2E6DCD" w14:textId="77777777" w:rsidTr="008F5C88">
        <w:tc>
          <w:tcPr>
            <w:tcW w:w="2835" w:type="dxa"/>
            <w:tcBorders>
              <w:top w:val="single" w:sz="12" w:space="0" w:color="auto"/>
              <w:bottom w:val="single" w:sz="12" w:space="0" w:color="auto"/>
            </w:tcBorders>
          </w:tcPr>
          <w:p w14:paraId="346792A6" w14:textId="5E4EF3B7" w:rsidR="00784863" w:rsidRPr="003756F4" w:rsidRDefault="005700C6" w:rsidP="00836622">
            <w:pPr>
              <w:spacing w:line="360" w:lineRule="auto"/>
              <w:rPr>
                <w:lang w:val="en-US"/>
              </w:rPr>
            </w:pPr>
            <w:r w:rsidRPr="003756F4">
              <w:rPr>
                <w:lang w:val="en-US"/>
              </w:rPr>
              <w:t>Predictor</w:t>
            </w:r>
          </w:p>
        </w:tc>
        <w:tc>
          <w:tcPr>
            <w:tcW w:w="2032" w:type="dxa"/>
            <w:tcBorders>
              <w:top w:val="single" w:sz="12" w:space="0" w:color="auto"/>
              <w:bottom w:val="single" w:sz="12" w:space="0" w:color="auto"/>
            </w:tcBorders>
          </w:tcPr>
          <w:p w14:paraId="0471C62C" w14:textId="77777777" w:rsidR="00784863" w:rsidRPr="00B9459F" w:rsidRDefault="00784863" w:rsidP="00836622">
            <w:pPr>
              <w:spacing w:line="360" w:lineRule="auto"/>
              <w:jc w:val="center"/>
              <w:rPr>
                <w:i/>
                <w:iCs/>
                <w:lang w:val="en-US"/>
              </w:rPr>
            </w:pPr>
            <w:r w:rsidRPr="00B9459F">
              <w:rPr>
                <w:i/>
                <w:iCs/>
                <w:lang w:val="en-US"/>
              </w:rPr>
              <w:t>b</w:t>
            </w:r>
          </w:p>
        </w:tc>
        <w:tc>
          <w:tcPr>
            <w:tcW w:w="2032" w:type="dxa"/>
            <w:tcBorders>
              <w:top w:val="single" w:sz="12" w:space="0" w:color="auto"/>
              <w:bottom w:val="single" w:sz="12" w:space="0" w:color="auto"/>
            </w:tcBorders>
          </w:tcPr>
          <w:p w14:paraId="1BCC2DA0" w14:textId="77777777" w:rsidR="00784863" w:rsidRPr="00B9459F" w:rsidRDefault="00784863" w:rsidP="00836622">
            <w:pPr>
              <w:spacing w:line="360" w:lineRule="auto"/>
              <w:jc w:val="center"/>
              <w:rPr>
                <w:i/>
                <w:iCs/>
                <w:lang w:val="en-US"/>
              </w:rPr>
            </w:pPr>
            <w:r w:rsidRPr="00B9459F">
              <w:rPr>
                <w:i/>
                <w:iCs/>
                <w:lang w:val="en-US"/>
              </w:rPr>
              <w:t>SE B</w:t>
            </w:r>
          </w:p>
        </w:tc>
        <w:tc>
          <w:tcPr>
            <w:tcW w:w="2032" w:type="dxa"/>
            <w:tcBorders>
              <w:top w:val="single" w:sz="12" w:space="0" w:color="auto"/>
              <w:bottom w:val="single" w:sz="12" w:space="0" w:color="auto"/>
            </w:tcBorders>
          </w:tcPr>
          <w:p w14:paraId="02FF09FA" w14:textId="77777777" w:rsidR="00784863" w:rsidRPr="005E58E1" w:rsidRDefault="00784863" w:rsidP="00836622">
            <w:pPr>
              <w:spacing w:line="360" w:lineRule="auto"/>
              <w:jc w:val="center"/>
              <w:rPr>
                <w:i/>
                <w:iCs/>
                <w:lang w:val="en-US"/>
              </w:rPr>
            </w:pPr>
            <w:r w:rsidRPr="005E58E1">
              <w:rPr>
                <w:i/>
                <w:iCs/>
                <w:lang w:val="en-US"/>
              </w:rPr>
              <w:t>ß</w:t>
            </w:r>
          </w:p>
        </w:tc>
      </w:tr>
      <w:tr w:rsidR="00784863" w:rsidRPr="00864116" w14:paraId="6F7FD0E6" w14:textId="77777777" w:rsidTr="008F5C88">
        <w:tc>
          <w:tcPr>
            <w:tcW w:w="2835" w:type="dxa"/>
            <w:tcBorders>
              <w:top w:val="single" w:sz="12" w:space="0" w:color="auto"/>
            </w:tcBorders>
          </w:tcPr>
          <w:p w14:paraId="49370ADF" w14:textId="77777777" w:rsidR="00784863" w:rsidRPr="00864116" w:rsidRDefault="00784863" w:rsidP="00836622">
            <w:pPr>
              <w:spacing w:line="360" w:lineRule="auto"/>
              <w:rPr>
                <w:lang w:val="en-US"/>
              </w:rPr>
            </w:pPr>
            <w:r w:rsidRPr="00864116">
              <w:rPr>
                <w:lang w:val="en-US"/>
              </w:rPr>
              <w:t>Constant</w:t>
            </w:r>
          </w:p>
        </w:tc>
        <w:tc>
          <w:tcPr>
            <w:tcW w:w="2032" w:type="dxa"/>
            <w:tcBorders>
              <w:top w:val="single" w:sz="12" w:space="0" w:color="auto"/>
            </w:tcBorders>
          </w:tcPr>
          <w:p w14:paraId="5FA8DCB9" w14:textId="77777777" w:rsidR="00784863" w:rsidRPr="00864116" w:rsidRDefault="00784863" w:rsidP="00836622">
            <w:pPr>
              <w:spacing w:line="360" w:lineRule="auto"/>
              <w:jc w:val="center"/>
              <w:rPr>
                <w:lang w:val="en-US"/>
              </w:rPr>
            </w:pPr>
            <w:r w:rsidRPr="00864116">
              <w:rPr>
                <w:lang w:val="en-US"/>
              </w:rPr>
              <w:t>11.9</w:t>
            </w:r>
            <w:r>
              <w:rPr>
                <w:lang w:val="en-US"/>
              </w:rPr>
              <w:t>1</w:t>
            </w:r>
          </w:p>
        </w:tc>
        <w:tc>
          <w:tcPr>
            <w:tcW w:w="2032" w:type="dxa"/>
            <w:tcBorders>
              <w:top w:val="single" w:sz="12" w:space="0" w:color="auto"/>
            </w:tcBorders>
          </w:tcPr>
          <w:p w14:paraId="6C28A050" w14:textId="77777777" w:rsidR="00784863" w:rsidRPr="00864116" w:rsidRDefault="00784863" w:rsidP="00836622">
            <w:pPr>
              <w:spacing w:line="360" w:lineRule="auto"/>
              <w:jc w:val="center"/>
              <w:rPr>
                <w:lang w:val="en-US"/>
              </w:rPr>
            </w:pPr>
            <w:r w:rsidRPr="00864116">
              <w:rPr>
                <w:lang w:val="en-US"/>
              </w:rPr>
              <w:t>1.53</w:t>
            </w:r>
          </w:p>
        </w:tc>
        <w:tc>
          <w:tcPr>
            <w:tcW w:w="2032" w:type="dxa"/>
            <w:tcBorders>
              <w:top w:val="single" w:sz="12" w:space="0" w:color="auto"/>
            </w:tcBorders>
          </w:tcPr>
          <w:p w14:paraId="6D9B079C" w14:textId="77777777" w:rsidR="00784863" w:rsidRPr="00864116" w:rsidRDefault="00784863" w:rsidP="00836622">
            <w:pPr>
              <w:spacing w:line="360" w:lineRule="auto"/>
              <w:jc w:val="center"/>
              <w:rPr>
                <w:lang w:val="en-US"/>
              </w:rPr>
            </w:pPr>
          </w:p>
        </w:tc>
      </w:tr>
      <w:tr w:rsidR="00784863" w:rsidRPr="00864116" w14:paraId="7460E4A1" w14:textId="77777777" w:rsidTr="0084779F">
        <w:tc>
          <w:tcPr>
            <w:tcW w:w="2835" w:type="dxa"/>
          </w:tcPr>
          <w:p w14:paraId="157DF0AF" w14:textId="77777777" w:rsidR="00784863" w:rsidRPr="00464956" w:rsidRDefault="00784863" w:rsidP="00836622">
            <w:pPr>
              <w:spacing w:line="360" w:lineRule="auto"/>
              <w:rPr>
                <w:vertAlign w:val="superscript"/>
                <w:lang w:val="en-US"/>
              </w:rPr>
            </w:pPr>
            <w:r w:rsidRPr="00864116">
              <w:rPr>
                <w:lang w:val="en-US"/>
              </w:rPr>
              <w:t>Gender</w:t>
            </w:r>
            <w:r>
              <w:rPr>
                <w:lang w:val="en-US"/>
              </w:rPr>
              <w:t xml:space="preserve"> </w:t>
            </w:r>
            <w:r>
              <w:rPr>
                <w:vertAlign w:val="superscript"/>
                <w:lang w:val="en-US"/>
              </w:rPr>
              <w:t>a</w:t>
            </w:r>
          </w:p>
        </w:tc>
        <w:tc>
          <w:tcPr>
            <w:tcW w:w="2032" w:type="dxa"/>
          </w:tcPr>
          <w:p w14:paraId="1B87170F" w14:textId="7960F05F" w:rsidR="00784863" w:rsidRPr="00864116" w:rsidRDefault="00AB6569" w:rsidP="00A51363">
            <w:pPr>
              <w:spacing w:line="360" w:lineRule="auto"/>
              <w:jc w:val="center"/>
              <w:rPr>
                <w:lang w:val="en-US"/>
              </w:rPr>
            </w:pPr>
            <w:r>
              <w:rPr>
                <w:lang w:val="en-US"/>
              </w:rPr>
              <w:t>0</w:t>
            </w:r>
            <w:r w:rsidR="00784863" w:rsidRPr="00864116">
              <w:rPr>
                <w:lang w:val="en-US"/>
              </w:rPr>
              <w:t>.6</w:t>
            </w:r>
            <w:r w:rsidR="00784863">
              <w:rPr>
                <w:lang w:val="en-US"/>
              </w:rPr>
              <w:t>1</w:t>
            </w:r>
          </w:p>
        </w:tc>
        <w:tc>
          <w:tcPr>
            <w:tcW w:w="2032" w:type="dxa"/>
          </w:tcPr>
          <w:p w14:paraId="288C57BE" w14:textId="6AE8A6E8" w:rsidR="00784863" w:rsidRPr="00864116" w:rsidRDefault="00126834" w:rsidP="00836622">
            <w:pPr>
              <w:spacing w:line="360" w:lineRule="auto"/>
              <w:jc w:val="center"/>
              <w:rPr>
                <w:lang w:val="en-US"/>
              </w:rPr>
            </w:pPr>
            <w:r>
              <w:rPr>
                <w:lang w:val="en-US"/>
              </w:rPr>
              <w:t>0</w:t>
            </w:r>
            <w:r w:rsidR="00784863" w:rsidRPr="00864116">
              <w:rPr>
                <w:lang w:val="en-US"/>
              </w:rPr>
              <w:t>.55</w:t>
            </w:r>
          </w:p>
        </w:tc>
        <w:tc>
          <w:tcPr>
            <w:tcW w:w="2032" w:type="dxa"/>
          </w:tcPr>
          <w:p w14:paraId="2B0EDDD4" w14:textId="77777777" w:rsidR="00784863" w:rsidRPr="00864116" w:rsidRDefault="00784863" w:rsidP="00836622">
            <w:pPr>
              <w:spacing w:line="360" w:lineRule="auto"/>
              <w:jc w:val="center"/>
              <w:rPr>
                <w:lang w:val="en-US"/>
              </w:rPr>
            </w:pPr>
            <w:r w:rsidRPr="00864116">
              <w:rPr>
                <w:lang w:val="en-US"/>
              </w:rPr>
              <w:t>.05</w:t>
            </w:r>
          </w:p>
        </w:tc>
      </w:tr>
      <w:tr w:rsidR="00784863" w:rsidRPr="00864116" w14:paraId="515641B8" w14:textId="77777777" w:rsidTr="0084779F">
        <w:tc>
          <w:tcPr>
            <w:tcW w:w="2835" w:type="dxa"/>
          </w:tcPr>
          <w:p w14:paraId="442FF3CB" w14:textId="3B2B7727" w:rsidR="00784863" w:rsidRPr="00464956" w:rsidRDefault="00784863" w:rsidP="00836622">
            <w:pPr>
              <w:spacing w:line="360" w:lineRule="auto"/>
              <w:rPr>
                <w:vertAlign w:val="superscript"/>
                <w:lang w:val="en-US"/>
              </w:rPr>
            </w:pPr>
            <w:r w:rsidRPr="00864116">
              <w:rPr>
                <w:lang w:val="en-US"/>
              </w:rPr>
              <w:t xml:space="preserve">Multiple </w:t>
            </w:r>
            <w:r w:rsidR="00BC4CC3">
              <w:rPr>
                <w:lang w:val="en-US"/>
              </w:rPr>
              <w:t>l</w:t>
            </w:r>
            <w:r w:rsidRPr="00864116">
              <w:rPr>
                <w:lang w:val="en-US"/>
              </w:rPr>
              <w:t>oss</w:t>
            </w:r>
            <w:r>
              <w:rPr>
                <w:lang w:val="en-US"/>
              </w:rPr>
              <w:t xml:space="preserve"> </w:t>
            </w:r>
            <w:r>
              <w:rPr>
                <w:vertAlign w:val="superscript"/>
                <w:lang w:val="en-US"/>
              </w:rPr>
              <w:t>b</w:t>
            </w:r>
          </w:p>
        </w:tc>
        <w:tc>
          <w:tcPr>
            <w:tcW w:w="2032" w:type="dxa"/>
          </w:tcPr>
          <w:p w14:paraId="7EA87D99" w14:textId="16F27509" w:rsidR="00784863" w:rsidRPr="00864116" w:rsidRDefault="00AB6569" w:rsidP="00836622">
            <w:pPr>
              <w:spacing w:line="360" w:lineRule="auto"/>
              <w:jc w:val="center"/>
              <w:rPr>
                <w:lang w:val="en-US"/>
              </w:rPr>
            </w:pPr>
            <w:r>
              <w:rPr>
                <w:lang w:val="en-US"/>
              </w:rPr>
              <w:t>0</w:t>
            </w:r>
            <w:r w:rsidR="00784863" w:rsidRPr="00864116">
              <w:rPr>
                <w:lang w:val="en-US"/>
              </w:rPr>
              <w:t>.18</w:t>
            </w:r>
          </w:p>
        </w:tc>
        <w:tc>
          <w:tcPr>
            <w:tcW w:w="2032" w:type="dxa"/>
          </w:tcPr>
          <w:p w14:paraId="20E74208" w14:textId="277E3927" w:rsidR="00784863" w:rsidRPr="00864116" w:rsidRDefault="00AB6569" w:rsidP="00836622">
            <w:pPr>
              <w:spacing w:line="360" w:lineRule="auto"/>
              <w:jc w:val="center"/>
              <w:rPr>
                <w:lang w:val="en-US"/>
              </w:rPr>
            </w:pPr>
            <w:r>
              <w:rPr>
                <w:lang w:val="en-US"/>
              </w:rPr>
              <w:t>0</w:t>
            </w:r>
            <w:r w:rsidR="00784863" w:rsidRPr="00864116">
              <w:rPr>
                <w:lang w:val="en-US"/>
              </w:rPr>
              <w:t>.4</w:t>
            </w:r>
            <w:r w:rsidR="00784863">
              <w:rPr>
                <w:lang w:val="en-US"/>
              </w:rPr>
              <w:t>4</w:t>
            </w:r>
          </w:p>
        </w:tc>
        <w:tc>
          <w:tcPr>
            <w:tcW w:w="2032" w:type="dxa"/>
          </w:tcPr>
          <w:p w14:paraId="62DCF2AA" w14:textId="77777777" w:rsidR="00784863" w:rsidRPr="00864116" w:rsidRDefault="00784863" w:rsidP="00836622">
            <w:pPr>
              <w:spacing w:line="360" w:lineRule="auto"/>
              <w:jc w:val="center"/>
              <w:rPr>
                <w:lang w:val="en-US"/>
              </w:rPr>
            </w:pPr>
            <w:r w:rsidRPr="00864116">
              <w:rPr>
                <w:lang w:val="en-US"/>
              </w:rPr>
              <w:t>.02</w:t>
            </w:r>
          </w:p>
        </w:tc>
      </w:tr>
      <w:tr w:rsidR="00784863" w:rsidRPr="00864116" w14:paraId="4465C30B" w14:textId="77777777" w:rsidTr="0084779F">
        <w:tc>
          <w:tcPr>
            <w:tcW w:w="2835" w:type="dxa"/>
          </w:tcPr>
          <w:p w14:paraId="75240123" w14:textId="0C6D3555" w:rsidR="00784863" w:rsidRPr="00464956" w:rsidRDefault="00784863" w:rsidP="00836622">
            <w:pPr>
              <w:spacing w:line="360" w:lineRule="auto"/>
              <w:rPr>
                <w:lang w:val="en-US"/>
              </w:rPr>
            </w:pPr>
            <w:r w:rsidRPr="00864116">
              <w:rPr>
                <w:lang w:val="en-US"/>
              </w:rPr>
              <w:t xml:space="preserve">History of </w:t>
            </w:r>
            <w:r w:rsidR="00BC4CC3">
              <w:rPr>
                <w:lang w:val="en-US"/>
              </w:rPr>
              <w:t>s</w:t>
            </w:r>
            <w:r w:rsidRPr="00864116">
              <w:rPr>
                <w:lang w:val="en-US"/>
              </w:rPr>
              <w:t>upport</w:t>
            </w:r>
            <w:r>
              <w:rPr>
                <w:lang w:val="en-US"/>
              </w:rPr>
              <w:t xml:space="preserve"> </w:t>
            </w:r>
            <w:r>
              <w:rPr>
                <w:vertAlign w:val="superscript"/>
                <w:lang w:val="en-US"/>
              </w:rPr>
              <w:t>c</w:t>
            </w:r>
          </w:p>
        </w:tc>
        <w:tc>
          <w:tcPr>
            <w:tcW w:w="2032" w:type="dxa"/>
          </w:tcPr>
          <w:p w14:paraId="014C9EFE" w14:textId="77777777" w:rsidR="00784863" w:rsidRPr="00864116" w:rsidRDefault="00784863" w:rsidP="00836622">
            <w:pPr>
              <w:spacing w:line="360" w:lineRule="auto"/>
              <w:jc w:val="center"/>
              <w:rPr>
                <w:lang w:val="en-US"/>
              </w:rPr>
            </w:pPr>
            <w:r w:rsidRPr="00864116">
              <w:rPr>
                <w:lang w:val="en-US"/>
              </w:rPr>
              <w:t>1.86</w:t>
            </w:r>
          </w:p>
        </w:tc>
        <w:tc>
          <w:tcPr>
            <w:tcW w:w="2032" w:type="dxa"/>
          </w:tcPr>
          <w:p w14:paraId="737C32BD" w14:textId="30634D9C" w:rsidR="00784863" w:rsidRPr="00864116" w:rsidRDefault="00AB6569" w:rsidP="00836622">
            <w:pPr>
              <w:spacing w:line="360" w:lineRule="auto"/>
              <w:jc w:val="center"/>
              <w:rPr>
                <w:lang w:val="en-US"/>
              </w:rPr>
            </w:pPr>
            <w:r>
              <w:rPr>
                <w:lang w:val="en-US"/>
              </w:rPr>
              <w:t>0</w:t>
            </w:r>
            <w:r w:rsidR="00784863" w:rsidRPr="00864116">
              <w:rPr>
                <w:lang w:val="en-US"/>
              </w:rPr>
              <w:t>.44</w:t>
            </w:r>
          </w:p>
        </w:tc>
        <w:tc>
          <w:tcPr>
            <w:tcW w:w="2032" w:type="dxa"/>
          </w:tcPr>
          <w:p w14:paraId="7EB36CE7" w14:textId="77777777" w:rsidR="00784863" w:rsidRPr="00464956" w:rsidRDefault="00784863" w:rsidP="00836622">
            <w:pPr>
              <w:spacing w:line="360" w:lineRule="auto"/>
              <w:jc w:val="center"/>
              <w:rPr>
                <w:lang w:val="en-US"/>
              </w:rPr>
            </w:pPr>
            <w:r w:rsidRPr="00464956">
              <w:rPr>
                <w:lang w:val="en-US"/>
              </w:rPr>
              <w:t>.20***</w:t>
            </w:r>
          </w:p>
        </w:tc>
      </w:tr>
      <w:tr w:rsidR="00784863" w:rsidRPr="00864116" w14:paraId="077FFFE5" w14:textId="77777777" w:rsidTr="0084779F">
        <w:tc>
          <w:tcPr>
            <w:tcW w:w="2835" w:type="dxa"/>
          </w:tcPr>
          <w:p w14:paraId="0EF850D8" w14:textId="28646FE3" w:rsidR="00784863" w:rsidRPr="00464956" w:rsidRDefault="00784863" w:rsidP="00836622">
            <w:pPr>
              <w:spacing w:line="360" w:lineRule="auto"/>
              <w:rPr>
                <w:vertAlign w:val="superscript"/>
                <w:lang w:val="en-US"/>
              </w:rPr>
            </w:pPr>
            <w:r w:rsidRPr="00864116">
              <w:rPr>
                <w:lang w:val="en-US"/>
              </w:rPr>
              <w:t xml:space="preserve">Religious </w:t>
            </w:r>
            <w:r w:rsidR="00BC4CC3">
              <w:rPr>
                <w:lang w:val="en-US"/>
              </w:rPr>
              <w:t>a</w:t>
            </w:r>
            <w:r w:rsidRPr="00864116">
              <w:rPr>
                <w:lang w:val="en-US"/>
              </w:rPr>
              <w:t>ffiliation</w:t>
            </w:r>
            <w:r>
              <w:rPr>
                <w:lang w:val="en-US"/>
              </w:rPr>
              <w:t xml:space="preserve"> </w:t>
            </w:r>
            <w:r>
              <w:rPr>
                <w:vertAlign w:val="superscript"/>
                <w:lang w:val="en-US"/>
              </w:rPr>
              <w:t xml:space="preserve">d </w:t>
            </w:r>
          </w:p>
        </w:tc>
        <w:tc>
          <w:tcPr>
            <w:tcW w:w="2032" w:type="dxa"/>
          </w:tcPr>
          <w:p w14:paraId="67422BC2" w14:textId="6E808BF2" w:rsidR="00784863" w:rsidRPr="00864116" w:rsidRDefault="00784863" w:rsidP="00836622">
            <w:pPr>
              <w:spacing w:line="360" w:lineRule="auto"/>
              <w:jc w:val="center"/>
              <w:rPr>
                <w:lang w:val="en-US"/>
              </w:rPr>
            </w:pPr>
            <w:r w:rsidRPr="00864116">
              <w:rPr>
                <w:lang w:val="en-US"/>
              </w:rPr>
              <w:t>-</w:t>
            </w:r>
            <w:r w:rsidR="00AB6569">
              <w:rPr>
                <w:lang w:val="en-US"/>
              </w:rPr>
              <w:t>0</w:t>
            </w:r>
            <w:r w:rsidRPr="00864116">
              <w:rPr>
                <w:lang w:val="en-US"/>
              </w:rPr>
              <w:t>.65</w:t>
            </w:r>
          </w:p>
        </w:tc>
        <w:tc>
          <w:tcPr>
            <w:tcW w:w="2032" w:type="dxa"/>
          </w:tcPr>
          <w:p w14:paraId="7095A1A4" w14:textId="6CA5153D" w:rsidR="00784863" w:rsidRPr="00864116" w:rsidRDefault="00AB6569" w:rsidP="00836622">
            <w:pPr>
              <w:spacing w:line="360" w:lineRule="auto"/>
              <w:jc w:val="center"/>
              <w:rPr>
                <w:lang w:val="en-US"/>
              </w:rPr>
            </w:pPr>
            <w:r>
              <w:rPr>
                <w:lang w:val="en-US"/>
              </w:rPr>
              <w:t>0</w:t>
            </w:r>
            <w:r w:rsidR="00784863" w:rsidRPr="00864116">
              <w:rPr>
                <w:lang w:val="en-US"/>
              </w:rPr>
              <w:t>.4</w:t>
            </w:r>
            <w:r w:rsidR="00784863">
              <w:rPr>
                <w:lang w:val="en-US"/>
              </w:rPr>
              <w:t>4</w:t>
            </w:r>
          </w:p>
        </w:tc>
        <w:tc>
          <w:tcPr>
            <w:tcW w:w="2032" w:type="dxa"/>
          </w:tcPr>
          <w:p w14:paraId="37670D8F" w14:textId="77777777" w:rsidR="00784863" w:rsidRPr="00464956" w:rsidRDefault="00784863" w:rsidP="00836622">
            <w:pPr>
              <w:spacing w:line="360" w:lineRule="auto"/>
              <w:jc w:val="center"/>
              <w:rPr>
                <w:lang w:val="en-US"/>
              </w:rPr>
            </w:pPr>
            <w:r w:rsidRPr="00464956">
              <w:rPr>
                <w:lang w:val="en-US"/>
              </w:rPr>
              <w:t>-.07</w:t>
            </w:r>
          </w:p>
        </w:tc>
      </w:tr>
      <w:tr w:rsidR="00784863" w:rsidRPr="00864116" w14:paraId="3DF1E536" w14:textId="77777777" w:rsidTr="0084779F">
        <w:tc>
          <w:tcPr>
            <w:tcW w:w="2835" w:type="dxa"/>
          </w:tcPr>
          <w:p w14:paraId="5488989B" w14:textId="77777777" w:rsidR="00784863" w:rsidRPr="00464956" w:rsidRDefault="00784863" w:rsidP="00836622">
            <w:pPr>
              <w:spacing w:line="360" w:lineRule="auto"/>
              <w:rPr>
                <w:vertAlign w:val="superscript"/>
                <w:lang w:val="en-US"/>
              </w:rPr>
            </w:pPr>
            <w:r w:rsidRPr="00864116">
              <w:rPr>
                <w:lang w:val="en-US"/>
              </w:rPr>
              <w:t>Cause of death</w:t>
            </w:r>
            <w:r>
              <w:rPr>
                <w:lang w:val="en-US"/>
              </w:rPr>
              <w:t xml:space="preserve"> </w:t>
            </w:r>
            <w:r>
              <w:rPr>
                <w:vertAlign w:val="superscript"/>
                <w:lang w:val="en-US"/>
              </w:rPr>
              <w:t>e</w:t>
            </w:r>
          </w:p>
        </w:tc>
        <w:tc>
          <w:tcPr>
            <w:tcW w:w="2032" w:type="dxa"/>
          </w:tcPr>
          <w:p w14:paraId="175356CA" w14:textId="5485AD29" w:rsidR="00784863" w:rsidRPr="00864116" w:rsidRDefault="00AB6569" w:rsidP="00836622">
            <w:pPr>
              <w:spacing w:line="360" w:lineRule="auto"/>
              <w:jc w:val="center"/>
              <w:rPr>
                <w:lang w:val="en-US"/>
              </w:rPr>
            </w:pPr>
            <w:r>
              <w:rPr>
                <w:lang w:val="en-US"/>
              </w:rPr>
              <w:t>0</w:t>
            </w:r>
            <w:r w:rsidR="00784863" w:rsidRPr="00864116">
              <w:rPr>
                <w:lang w:val="en-US"/>
              </w:rPr>
              <w:t>.22</w:t>
            </w:r>
          </w:p>
        </w:tc>
        <w:tc>
          <w:tcPr>
            <w:tcW w:w="2032" w:type="dxa"/>
          </w:tcPr>
          <w:p w14:paraId="73354D1C" w14:textId="142CAE83" w:rsidR="00784863" w:rsidRPr="00864116" w:rsidRDefault="00AB6569" w:rsidP="00836622">
            <w:pPr>
              <w:spacing w:line="360" w:lineRule="auto"/>
              <w:jc w:val="center"/>
              <w:rPr>
                <w:lang w:val="en-US"/>
              </w:rPr>
            </w:pPr>
            <w:r>
              <w:rPr>
                <w:lang w:val="en-US"/>
              </w:rPr>
              <w:t>0</w:t>
            </w:r>
            <w:r w:rsidR="00784863" w:rsidRPr="00864116">
              <w:rPr>
                <w:lang w:val="en-US"/>
              </w:rPr>
              <w:t>.56</w:t>
            </w:r>
          </w:p>
        </w:tc>
        <w:tc>
          <w:tcPr>
            <w:tcW w:w="2032" w:type="dxa"/>
          </w:tcPr>
          <w:p w14:paraId="5EDC212F" w14:textId="77777777" w:rsidR="00784863" w:rsidRPr="00464956" w:rsidRDefault="00784863" w:rsidP="00836622">
            <w:pPr>
              <w:spacing w:line="360" w:lineRule="auto"/>
              <w:jc w:val="center"/>
              <w:rPr>
                <w:lang w:val="en-US"/>
              </w:rPr>
            </w:pPr>
            <w:r w:rsidRPr="00464956">
              <w:rPr>
                <w:lang w:val="en-US"/>
              </w:rPr>
              <w:t>.02</w:t>
            </w:r>
          </w:p>
        </w:tc>
      </w:tr>
      <w:tr w:rsidR="00784863" w:rsidRPr="00864116" w14:paraId="40D17285" w14:textId="77777777" w:rsidTr="0084779F">
        <w:tc>
          <w:tcPr>
            <w:tcW w:w="2835" w:type="dxa"/>
          </w:tcPr>
          <w:p w14:paraId="03F319FE" w14:textId="22DA98C4" w:rsidR="00784863" w:rsidRPr="00864116" w:rsidRDefault="00C44299" w:rsidP="00836622">
            <w:pPr>
              <w:spacing w:line="360" w:lineRule="auto"/>
              <w:rPr>
                <w:lang w:val="en-US"/>
              </w:rPr>
            </w:pPr>
            <w:r>
              <w:rPr>
                <w:lang w:val="en-US"/>
              </w:rPr>
              <w:t>E</w:t>
            </w:r>
            <w:r w:rsidR="00784863" w:rsidRPr="00864116">
              <w:rPr>
                <w:lang w:val="en-US"/>
              </w:rPr>
              <w:t xml:space="preserve">xpectedness </w:t>
            </w:r>
          </w:p>
        </w:tc>
        <w:tc>
          <w:tcPr>
            <w:tcW w:w="2032" w:type="dxa"/>
          </w:tcPr>
          <w:p w14:paraId="2038E2CB" w14:textId="2750ED9D" w:rsidR="00784863" w:rsidRPr="00864116" w:rsidRDefault="00AB6569" w:rsidP="00836622">
            <w:pPr>
              <w:spacing w:line="360" w:lineRule="auto"/>
              <w:jc w:val="center"/>
              <w:rPr>
                <w:lang w:val="en-US"/>
              </w:rPr>
            </w:pPr>
            <w:r>
              <w:rPr>
                <w:lang w:val="en-US"/>
              </w:rPr>
              <w:t>0</w:t>
            </w:r>
            <w:r w:rsidR="00784863" w:rsidRPr="00864116">
              <w:rPr>
                <w:lang w:val="en-US"/>
              </w:rPr>
              <w:t>.36</w:t>
            </w:r>
          </w:p>
        </w:tc>
        <w:tc>
          <w:tcPr>
            <w:tcW w:w="2032" w:type="dxa"/>
          </w:tcPr>
          <w:p w14:paraId="41613E18" w14:textId="112F9A0E" w:rsidR="00784863" w:rsidRPr="00864116" w:rsidRDefault="00AB6569" w:rsidP="00836622">
            <w:pPr>
              <w:spacing w:line="360" w:lineRule="auto"/>
              <w:jc w:val="center"/>
              <w:rPr>
                <w:lang w:val="en-US"/>
              </w:rPr>
            </w:pPr>
            <w:r>
              <w:rPr>
                <w:lang w:val="en-US"/>
              </w:rPr>
              <w:t>0</w:t>
            </w:r>
            <w:r w:rsidR="00784863" w:rsidRPr="00864116">
              <w:rPr>
                <w:lang w:val="en-US"/>
              </w:rPr>
              <w:t>.14</w:t>
            </w:r>
          </w:p>
        </w:tc>
        <w:tc>
          <w:tcPr>
            <w:tcW w:w="2032" w:type="dxa"/>
          </w:tcPr>
          <w:p w14:paraId="4A97E8F9" w14:textId="77777777" w:rsidR="00784863" w:rsidRPr="00464956" w:rsidRDefault="00784863" w:rsidP="00836622">
            <w:pPr>
              <w:spacing w:line="360" w:lineRule="auto"/>
              <w:jc w:val="center"/>
              <w:rPr>
                <w:lang w:val="en-US"/>
              </w:rPr>
            </w:pPr>
            <w:r w:rsidRPr="00464956">
              <w:rPr>
                <w:lang w:val="en-US"/>
              </w:rPr>
              <w:t>.1</w:t>
            </w:r>
            <w:r>
              <w:rPr>
                <w:lang w:val="en-US"/>
              </w:rPr>
              <w:t>3</w:t>
            </w:r>
            <w:r w:rsidRPr="00464956">
              <w:rPr>
                <w:lang w:val="en-US"/>
              </w:rPr>
              <w:t>*</w:t>
            </w:r>
          </w:p>
        </w:tc>
      </w:tr>
      <w:tr w:rsidR="00784863" w:rsidRPr="00864116" w14:paraId="040D5E16" w14:textId="77777777" w:rsidTr="0084779F">
        <w:tc>
          <w:tcPr>
            <w:tcW w:w="2835" w:type="dxa"/>
          </w:tcPr>
          <w:p w14:paraId="3E233EE5" w14:textId="1D200B58" w:rsidR="00784863" w:rsidRPr="00864116" w:rsidRDefault="00784863" w:rsidP="00836622">
            <w:pPr>
              <w:spacing w:line="360" w:lineRule="auto"/>
              <w:rPr>
                <w:lang w:val="en-US"/>
              </w:rPr>
            </w:pPr>
            <w:r w:rsidRPr="00864116">
              <w:rPr>
                <w:lang w:val="en-US"/>
              </w:rPr>
              <w:t xml:space="preserve">Time </w:t>
            </w:r>
            <w:r w:rsidR="00BC4CC3">
              <w:rPr>
                <w:lang w:val="en-US"/>
              </w:rPr>
              <w:t>s</w:t>
            </w:r>
            <w:r w:rsidRPr="00864116">
              <w:rPr>
                <w:lang w:val="en-US"/>
              </w:rPr>
              <w:t xml:space="preserve">ince </w:t>
            </w:r>
            <w:r w:rsidR="00BC4CC3">
              <w:rPr>
                <w:lang w:val="en-US"/>
              </w:rPr>
              <w:t>l</w:t>
            </w:r>
            <w:r w:rsidRPr="00864116">
              <w:rPr>
                <w:lang w:val="en-US"/>
              </w:rPr>
              <w:t>oss</w:t>
            </w:r>
            <w:r w:rsidR="0084779F">
              <w:rPr>
                <w:lang w:val="en-US"/>
              </w:rPr>
              <w:t xml:space="preserve"> (months)</w:t>
            </w:r>
          </w:p>
        </w:tc>
        <w:tc>
          <w:tcPr>
            <w:tcW w:w="2032" w:type="dxa"/>
          </w:tcPr>
          <w:p w14:paraId="6930A437" w14:textId="66B87334" w:rsidR="00784863" w:rsidRPr="00864116" w:rsidRDefault="00784863" w:rsidP="00836622">
            <w:pPr>
              <w:spacing w:line="360" w:lineRule="auto"/>
              <w:jc w:val="center"/>
              <w:rPr>
                <w:lang w:val="en-US"/>
              </w:rPr>
            </w:pPr>
            <w:r w:rsidRPr="00864116">
              <w:rPr>
                <w:lang w:val="en-US"/>
              </w:rPr>
              <w:t>-</w:t>
            </w:r>
            <w:r w:rsidR="00AB6569">
              <w:rPr>
                <w:lang w:val="en-US"/>
              </w:rPr>
              <w:t>0</w:t>
            </w:r>
            <w:r w:rsidRPr="00864116">
              <w:rPr>
                <w:lang w:val="en-US"/>
              </w:rPr>
              <w:t>.0</w:t>
            </w:r>
            <w:r>
              <w:rPr>
                <w:lang w:val="en-US"/>
              </w:rPr>
              <w:t>1</w:t>
            </w:r>
          </w:p>
        </w:tc>
        <w:tc>
          <w:tcPr>
            <w:tcW w:w="2032" w:type="dxa"/>
          </w:tcPr>
          <w:p w14:paraId="0A18C7B2" w14:textId="6A35C2FB" w:rsidR="00784863" w:rsidRPr="00864116" w:rsidRDefault="00AB6569" w:rsidP="00836622">
            <w:pPr>
              <w:spacing w:line="360" w:lineRule="auto"/>
              <w:jc w:val="center"/>
              <w:rPr>
                <w:lang w:val="en-US"/>
              </w:rPr>
            </w:pPr>
            <w:r>
              <w:rPr>
                <w:lang w:val="en-US"/>
              </w:rPr>
              <w:t>0</w:t>
            </w:r>
            <w:r w:rsidR="00784863" w:rsidRPr="00864116">
              <w:rPr>
                <w:lang w:val="en-US"/>
              </w:rPr>
              <w:t>.00</w:t>
            </w:r>
          </w:p>
        </w:tc>
        <w:tc>
          <w:tcPr>
            <w:tcW w:w="2032" w:type="dxa"/>
          </w:tcPr>
          <w:p w14:paraId="73B1B8D9" w14:textId="77777777" w:rsidR="00784863" w:rsidRPr="00464956" w:rsidRDefault="00784863" w:rsidP="00836622">
            <w:pPr>
              <w:spacing w:line="360" w:lineRule="auto"/>
              <w:jc w:val="center"/>
              <w:rPr>
                <w:lang w:val="en-US"/>
              </w:rPr>
            </w:pPr>
            <w:r w:rsidRPr="00464956">
              <w:rPr>
                <w:lang w:val="en-US"/>
              </w:rPr>
              <w:t>-.</w:t>
            </w:r>
            <w:r>
              <w:rPr>
                <w:lang w:val="en-US"/>
              </w:rPr>
              <w:t>10</w:t>
            </w:r>
            <w:r w:rsidRPr="00464956">
              <w:rPr>
                <w:lang w:val="en-US"/>
              </w:rPr>
              <w:t>*</w:t>
            </w:r>
          </w:p>
        </w:tc>
      </w:tr>
      <w:tr w:rsidR="00784863" w:rsidRPr="00864116" w14:paraId="6F643DE5" w14:textId="77777777" w:rsidTr="0084779F">
        <w:tc>
          <w:tcPr>
            <w:tcW w:w="2835" w:type="dxa"/>
          </w:tcPr>
          <w:p w14:paraId="0FDF3236" w14:textId="060C0643" w:rsidR="00784863" w:rsidRPr="00864116" w:rsidRDefault="00784863" w:rsidP="00836622">
            <w:pPr>
              <w:spacing w:line="360" w:lineRule="auto"/>
              <w:rPr>
                <w:lang w:val="en-US"/>
              </w:rPr>
            </w:pPr>
            <w:r w:rsidRPr="00864116">
              <w:rPr>
                <w:lang w:val="en-US"/>
              </w:rPr>
              <w:t xml:space="preserve">Partner </w:t>
            </w:r>
            <w:r w:rsidR="00BC4CC3">
              <w:rPr>
                <w:lang w:val="en-US"/>
              </w:rPr>
              <w:t>k</w:t>
            </w:r>
            <w:r w:rsidRPr="00864116">
              <w:rPr>
                <w:lang w:val="en-US"/>
              </w:rPr>
              <w:t>inship</w:t>
            </w:r>
          </w:p>
        </w:tc>
        <w:tc>
          <w:tcPr>
            <w:tcW w:w="2032" w:type="dxa"/>
          </w:tcPr>
          <w:p w14:paraId="0095E849" w14:textId="4D28838E" w:rsidR="00784863" w:rsidRPr="00864116" w:rsidRDefault="00AB6569" w:rsidP="00836622">
            <w:pPr>
              <w:spacing w:line="360" w:lineRule="auto"/>
              <w:jc w:val="center"/>
              <w:rPr>
                <w:lang w:val="en-US"/>
              </w:rPr>
            </w:pPr>
            <w:r>
              <w:rPr>
                <w:lang w:val="en-US"/>
              </w:rPr>
              <w:t>0</w:t>
            </w:r>
            <w:r w:rsidR="00784863" w:rsidRPr="00864116">
              <w:rPr>
                <w:lang w:val="en-US"/>
              </w:rPr>
              <w:t>.02</w:t>
            </w:r>
          </w:p>
        </w:tc>
        <w:tc>
          <w:tcPr>
            <w:tcW w:w="2032" w:type="dxa"/>
          </w:tcPr>
          <w:p w14:paraId="11FCE182" w14:textId="2B86045B" w:rsidR="00784863" w:rsidRPr="00864116" w:rsidRDefault="00AB6569" w:rsidP="00836622">
            <w:pPr>
              <w:spacing w:line="360" w:lineRule="auto"/>
              <w:jc w:val="center"/>
              <w:rPr>
                <w:lang w:val="en-US"/>
              </w:rPr>
            </w:pPr>
            <w:r>
              <w:rPr>
                <w:lang w:val="en-US"/>
              </w:rPr>
              <w:t>0</w:t>
            </w:r>
            <w:r w:rsidR="00784863" w:rsidRPr="00864116">
              <w:rPr>
                <w:lang w:val="en-US"/>
              </w:rPr>
              <w:t>.9</w:t>
            </w:r>
            <w:r w:rsidR="00784863">
              <w:rPr>
                <w:lang w:val="en-US"/>
              </w:rPr>
              <w:t>7</w:t>
            </w:r>
          </w:p>
        </w:tc>
        <w:tc>
          <w:tcPr>
            <w:tcW w:w="2032" w:type="dxa"/>
          </w:tcPr>
          <w:p w14:paraId="2D63F96B" w14:textId="77777777" w:rsidR="00784863" w:rsidRPr="00864116" w:rsidRDefault="00784863" w:rsidP="00836622">
            <w:pPr>
              <w:spacing w:line="360" w:lineRule="auto"/>
              <w:jc w:val="center"/>
              <w:rPr>
                <w:lang w:val="en-US"/>
              </w:rPr>
            </w:pPr>
            <w:r w:rsidRPr="00864116">
              <w:rPr>
                <w:lang w:val="en-US"/>
              </w:rPr>
              <w:t>.00</w:t>
            </w:r>
          </w:p>
        </w:tc>
      </w:tr>
      <w:tr w:rsidR="00784863" w:rsidRPr="00864116" w14:paraId="43B13917" w14:textId="77777777" w:rsidTr="0084779F">
        <w:tc>
          <w:tcPr>
            <w:tcW w:w="2835" w:type="dxa"/>
          </w:tcPr>
          <w:p w14:paraId="73A76F57" w14:textId="6E04EF74" w:rsidR="00784863" w:rsidRPr="00864116" w:rsidRDefault="00784863" w:rsidP="00836622">
            <w:pPr>
              <w:spacing w:line="360" w:lineRule="auto"/>
              <w:rPr>
                <w:lang w:val="en-US"/>
              </w:rPr>
            </w:pPr>
            <w:r w:rsidRPr="00864116">
              <w:rPr>
                <w:lang w:val="en-US"/>
              </w:rPr>
              <w:t xml:space="preserve">Child </w:t>
            </w:r>
            <w:r w:rsidR="00BC4CC3">
              <w:rPr>
                <w:lang w:val="en-US"/>
              </w:rPr>
              <w:t>k</w:t>
            </w:r>
            <w:r w:rsidRPr="00864116">
              <w:rPr>
                <w:lang w:val="en-US"/>
              </w:rPr>
              <w:t>inship</w:t>
            </w:r>
          </w:p>
        </w:tc>
        <w:tc>
          <w:tcPr>
            <w:tcW w:w="2032" w:type="dxa"/>
          </w:tcPr>
          <w:p w14:paraId="79674979" w14:textId="77777777" w:rsidR="00784863" w:rsidRPr="00864116" w:rsidRDefault="00784863" w:rsidP="00836622">
            <w:pPr>
              <w:spacing w:line="360" w:lineRule="auto"/>
              <w:jc w:val="center"/>
              <w:rPr>
                <w:lang w:val="en-US"/>
              </w:rPr>
            </w:pPr>
            <w:r w:rsidRPr="00864116">
              <w:rPr>
                <w:lang w:val="en-US"/>
              </w:rPr>
              <w:t>-1.1</w:t>
            </w:r>
            <w:r>
              <w:rPr>
                <w:lang w:val="en-US"/>
              </w:rPr>
              <w:t>6</w:t>
            </w:r>
          </w:p>
        </w:tc>
        <w:tc>
          <w:tcPr>
            <w:tcW w:w="2032" w:type="dxa"/>
          </w:tcPr>
          <w:p w14:paraId="0A7AA451" w14:textId="77777777" w:rsidR="00784863" w:rsidRPr="00864116" w:rsidRDefault="00784863" w:rsidP="00836622">
            <w:pPr>
              <w:spacing w:line="360" w:lineRule="auto"/>
              <w:jc w:val="center"/>
              <w:rPr>
                <w:lang w:val="en-US"/>
              </w:rPr>
            </w:pPr>
            <w:r w:rsidRPr="00864116">
              <w:rPr>
                <w:lang w:val="en-US"/>
              </w:rPr>
              <w:t>1.0</w:t>
            </w:r>
            <w:r>
              <w:rPr>
                <w:lang w:val="en-US"/>
              </w:rPr>
              <w:t>8</w:t>
            </w:r>
          </w:p>
        </w:tc>
        <w:tc>
          <w:tcPr>
            <w:tcW w:w="2032" w:type="dxa"/>
          </w:tcPr>
          <w:p w14:paraId="1DFE668F" w14:textId="77777777" w:rsidR="00784863" w:rsidRPr="00864116" w:rsidRDefault="00784863" w:rsidP="00836622">
            <w:pPr>
              <w:spacing w:line="360" w:lineRule="auto"/>
              <w:jc w:val="center"/>
              <w:rPr>
                <w:lang w:val="en-US"/>
              </w:rPr>
            </w:pPr>
            <w:r w:rsidRPr="00864116">
              <w:rPr>
                <w:lang w:val="en-US"/>
              </w:rPr>
              <w:t>-.08</w:t>
            </w:r>
          </w:p>
        </w:tc>
      </w:tr>
      <w:tr w:rsidR="00784863" w:rsidRPr="00864116" w14:paraId="0D8E6C23" w14:textId="77777777" w:rsidTr="0084779F">
        <w:tc>
          <w:tcPr>
            <w:tcW w:w="2835" w:type="dxa"/>
          </w:tcPr>
          <w:p w14:paraId="00E80997" w14:textId="4F867CC4" w:rsidR="00784863" w:rsidRPr="00864116" w:rsidRDefault="00784863" w:rsidP="00836622">
            <w:pPr>
              <w:spacing w:line="360" w:lineRule="auto"/>
              <w:rPr>
                <w:lang w:val="en-US"/>
              </w:rPr>
            </w:pPr>
            <w:r w:rsidRPr="00864116">
              <w:rPr>
                <w:lang w:val="en-US"/>
              </w:rPr>
              <w:t xml:space="preserve">Parent </w:t>
            </w:r>
            <w:r w:rsidR="00BC4CC3">
              <w:rPr>
                <w:lang w:val="en-US"/>
              </w:rPr>
              <w:t>k</w:t>
            </w:r>
            <w:r w:rsidRPr="00864116">
              <w:rPr>
                <w:lang w:val="en-US"/>
              </w:rPr>
              <w:t>inship</w:t>
            </w:r>
          </w:p>
        </w:tc>
        <w:tc>
          <w:tcPr>
            <w:tcW w:w="2032" w:type="dxa"/>
          </w:tcPr>
          <w:p w14:paraId="60C49E5A" w14:textId="77777777" w:rsidR="00784863" w:rsidRPr="00864116" w:rsidRDefault="00784863" w:rsidP="00836622">
            <w:pPr>
              <w:spacing w:line="360" w:lineRule="auto"/>
              <w:jc w:val="center"/>
              <w:rPr>
                <w:lang w:val="en-US"/>
              </w:rPr>
            </w:pPr>
            <w:r w:rsidRPr="00864116">
              <w:rPr>
                <w:lang w:val="en-US"/>
              </w:rPr>
              <w:t>-1.17</w:t>
            </w:r>
          </w:p>
        </w:tc>
        <w:tc>
          <w:tcPr>
            <w:tcW w:w="2032" w:type="dxa"/>
          </w:tcPr>
          <w:p w14:paraId="71FBBAE2" w14:textId="4F61E37C" w:rsidR="00784863" w:rsidRPr="00864116" w:rsidRDefault="00AB6569" w:rsidP="00836622">
            <w:pPr>
              <w:spacing w:line="360" w:lineRule="auto"/>
              <w:jc w:val="center"/>
              <w:rPr>
                <w:lang w:val="en-US"/>
              </w:rPr>
            </w:pPr>
            <w:r>
              <w:rPr>
                <w:lang w:val="en-US"/>
              </w:rPr>
              <w:t>0</w:t>
            </w:r>
            <w:r w:rsidR="00784863" w:rsidRPr="00864116">
              <w:rPr>
                <w:lang w:val="en-US"/>
              </w:rPr>
              <w:t>.96</w:t>
            </w:r>
          </w:p>
        </w:tc>
        <w:tc>
          <w:tcPr>
            <w:tcW w:w="2032" w:type="dxa"/>
          </w:tcPr>
          <w:p w14:paraId="613D73C0" w14:textId="77777777" w:rsidR="00784863" w:rsidRPr="00864116" w:rsidRDefault="00784863" w:rsidP="00836622">
            <w:pPr>
              <w:spacing w:line="360" w:lineRule="auto"/>
              <w:jc w:val="center"/>
              <w:rPr>
                <w:lang w:val="en-US"/>
              </w:rPr>
            </w:pPr>
            <w:r w:rsidRPr="00AB2375">
              <w:rPr>
                <w:lang w:val="en-US"/>
              </w:rPr>
              <w:t>-.1</w:t>
            </w:r>
            <w:r>
              <w:rPr>
                <w:lang w:val="en-US"/>
              </w:rPr>
              <w:t>2</w:t>
            </w:r>
          </w:p>
        </w:tc>
      </w:tr>
      <w:tr w:rsidR="00784863" w:rsidRPr="00864116" w14:paraId="7CBEE9B0" w14:textId="77777777" w:rsidTr="0084779F">
        <w:tc>
          <w:tcPr>
            <w:tcW w:w="2835" w:type="dxa"/>
          </w:tcPr>
          <w:p w14:paraId="2BD736F5" w14:textId="7D4ED989" w:rsidR="00784863" w:rsidRPr="00864116" w:rsidRDefault="00784863" w:rsidP="00836622">
            <w:pPr>
              <w:spacing w:line="360" w:lineRule="auto"/>
              <w:rPr>
                <w:lang w:val="en-US"/>
              </w:rPr>
            </w:pPr>
            <w:r w:rsidRPr="00864116">
              <w:rPr>
                <w:lang w:val="en-US"/>
              </w:rPr>
              <w:t xml:space="preserve">Sibling </w:t>
            </w:r>
            <w:r w:rsidR="00BC4CC3">
              <w:rPr>
                <w:lang w:val="en-US"/>
              </w:rPr>
              <w:t>k</w:t>
            </w:r>
            <w:r w:rsidRPr="00864116">
              <w:rPr>
                <w:lang w:val="en-US"/>
              </w:rPr>
              <w:t>inship</w:t>
            </w:r>
          </w:p>
        </w:tc>
        <w:tc>
          <w:tcPr>
            <w:tcW w:w="2032" w:type="dxa"/>
          </w:tcPr>
          <w:p w14:paraId="7A643057" w14:textId="264BCD7B" w:rsidR="00784863" w:rsidRPr="00864116" w:rsidRDefault="00784863" w:rsidP="00836622">
            <w:pPr>
              <w:spacing w:line="360" w:lineRule="auto"/>
              <w:jc w:val="center"/>
              <w:rPr>
                <w:lang w:val="en-US"/>
              </w:rPr>
            </w:pPr>
            <w:r w:rsidRPr="00864116">
              <w:rPr>
                <w:lang w:val="en-US"/>
              </w:rPr>
              <w:t>-</w:t>
            </w:r>
            <w:r w:rsidR="00AB6569">
              <w:rPr>
                <w:lang w:val="en-US"/>
              </w:rPr>
              <w:t>0</w:t>
            </w:r>
            <w:r w:rsidRPr="00864116">
              <w:rPr>
                <w:lang w:val="en-US"/>
              </w:rPr>
              <w:t>.03</w:t>
            </w:r>
          </w:p>
        </w:tc>
        <w:tc>
          <w:tcPr>
            <w:tcW w:w="2032" w:type="dxa"/>
          </w:tcPr>
          <w:p w14:paraId="709F638D" w14:textId="77777777" w:rsidR="00784863" w:rsidRPr="00864116" w:rsidRDefault="00784863" w:rsidP="00836622">
            <w:pPr>
              <w:spacing w:line="360" w:lineRule="auto"/>
              <w:jc w:val="center"/>
              <w:rPr>
                <w:lang w:val="en-US"/>
              </w:rPr>
            </w:pPr>
            <w:r w:rsidRPr="00864116">
              <w:rPr>
                <w:lang w:val="en-US"/>
              </w:rPr>
              <w:t>1.42</w:t>
            </w:r>
          </w:p>
        </w:tc>
        <w:tc>
          <w:tcPr>
            <w:tcW w:w="2032" w:type="dxa"/>
          </w:tcPr>
          <w:p w14:paraId="2DBB126F" w14:textId="77777777" w:rsidR="00784863" w:rsidRPr="00864116" w:rsidRDefault="00784863" w:rsidP="00836622">
            <w:pPr>
              <w:spacing w:line="360" w:lineRule="auto"/>
              <w:jc w:val="center"/>
              <w:rPr>
                <w:lang w:val="en-US"/>
              </w:rPr>
            </w:pPr>
            <w:r w:rsidRPr="00864116">
              <w:rPr>
                <w:lang w:val="en-US"/>
              </w:rPr>
              <w:t>-.00</w:t>
            </w:r>
          </w:p>
        </w:tc>
      </w:tr>
      <w:tr w:rsidR="00784863" w:rsidRPr="00864116" w14:paraId="0C14D1D9" w14:textId="77777777" w:rsidTr="0084779F">
        <w:tc>
          <w:tcPr>
            <w:tcW w:w="2835" w:type="dxa"/>
          </w:tcPr>
          <w:p w14:paraId="4317FC13" w14:textId="6D34B47B" w:rsidR="00784863" w:rsidRPr="00864116" w:rsidRDefault="00784863" w:rsidP="00836622">
            <w:pPr>
              <w:spacing w:line="360" w:lineRule="auto"/>
              <w:rPr>
                <w:lang w:val="en-US"/>
              </w:rPr>
            </w:pPr>
            <w:r w:rsidRPr="00864116">
              <w:rPr>
                <w:lang w:val="en-US"/>
              </w:rPr>
              <w:t xml:space="preserve">Grandparent </w:t>
            </w:r>
            <w:r w:rsidR="00BC4CC3">
              <w:rPr>
                <w:lang w:val="en-US"/>
              </w:rPr>
              <w:t>k</w:t>
            </w:r>
            <w:r w:rsidRPr="00864116">
              <w:rPr>
                <w:lang w:val="en-US"/>
              </w:rPr>
              <w:t>inship</w:t>
            </w:r>
          </w:p>
        </w:tc>
        <w:tc>
          <w:tcPr>
            <w:tcW w:w="2032" w:type="dxa"/>
          </w:tcPr>
          <w:p w14:paraId="0A2E378D" w14:textId="4516BAEE" w:rsidR="00784863" w:rsidRPr="00864116" w:rsidRDefault="00784863" w:rsidP="00836622">
            <w:pPr>
              <w:spacing w:line="360" w:lineRule="auto"/>
              <w:jc w:val="center"/>
              <w:rPr>
                <w:lang w:val="en-US"/>
              </w:rPr>
            </w:pPr>
            <w:r w:rsidRPr="00864116">
              <w:rPr>
                <w:lang w:val="en-US"/>
              </w:rPr>
              <w:t>-</w:t>
            </w:r>
            <w:r w:rsidR="00AB6569">
              <w:rPr>
                <w:lang w:val="en-US"/>
              </w:rPr>
              <w:t>0</w:t>
            </w:r>
            <w:r w:rsidRPr="00864116">
              <w:rPr>
                <w:lang w:val="en-US"/>
              </w:rPr>
              <w:t>.85</w:t>
            </w:r>
          </w:p>
        </w:tc>
        <w:tc>
          <w:tcPr>
            <w:tcW w:w="2032" w:type="dxa"/>
          </w:tcPr>
          <w:p w14:paraId="2A15DD1D" w14:textId="77777777" w:rsidR="00784863" w:rsidRPr="00864116" w:rsidRDefault="00784863" w:rsidP="00836622">
            <w:pPr>
              <w:spacing w:line="360" w:lineRule="auto"/>
              <w:jc w:val="center"/>
              <w:rPr>
                <w:lang w:val="en-US"/>
              </w:rPr>
            </w:pPr>
            <w:r w:rsidRPr="00864116">
              <w:rPr>
                <w:lang w:val="en-US"/>
              </w:rPr>
              <w:t>1.0</w:t>
            </w:r>
            <w:r>
              <w:rPr>
                <w:lang w:val="en-US"/>
              </w:rPr>
              <w:t>3</w:t>
            </w:r>
          </w:p>
        </w:tc>
        <w:tc>
          <w:tcPr>
            <w:tcW w:w="2032" w:type="dxa"/>
          </w:tcPr>
          <w:p w14:paraId="23D0608D" w14:textId="77777777" w:rsidR="00784863" w:rsidRPr="00864116" w:rsidRDefault="00784863" w:rsidP="00836622">
            <w:pPr>
              <w:spacing w:line="360" w:lineRule="auto"/>
              <w:jc w:val="center"/>
              <w:rPr>
                <w:lang w:val="en-US"/>
              </w:rPr>
            </w:pPr>
            <w:r w:rsidRPr="00864116">
              <w:rPr>
                <w:lang w:val="en-US"/>
              </w:rPr>
              <w:t>-.07</w:t>
            </w:r>
          </w:p>
        </w:tc>
      </w:tr>
      <w:tr w:rsidR="00784863" w:rsidRPr="00864116" w14:paraId="094B3D33" w14:textId="77777777" w:rsidTr="008F5C88">
        <w:tc>
          <w:tcPr>
            <w:tcW w:w="2835" w:type="dxa"/>
            <w:tcBorders>
              <w:bottom w:val="single" w:sz="12" w:space="0" w:color="auto"/>
            </w:tcBorders>
          </w:tcPr>
          <w:p w14:paraId="15C33665" w14:textId="1302427D" w:rsidR="00784863" w:rsidRPr="00864116" w:rsidRDefault="00784863" w:rsidP="00836622">
            <w:pPr>
              <w:spacing w:line="360" w:lineRule="auto"/>
              <w:rPr>
                <w:lang w:val="en-US"/>
              </w:rPr>
            </w:pPr>
            <w:r w:rsidRPr="00864116">
              <w:rPr>
                <w:lang w:val="en-US"/>
              </w:rPr>
              <w:t xml:space="preserve">Friend </w:t>
            </w:r>
            <w:r w:rsidR="00BC4CC3">
              <w:rPr>
                <w:lang w:val="en-US"/>
              </w:rPr>
              <w:t>k</w:t>
            </w:r>
            <w:r w:rsidRPr="00864116">
              <w:rPr>
                <w:lang w:val="en-US"/>
              </w:rPr>
              <w:t>inship</w:t>
            </w:r>
          </w:p>
        </w:tc>
        <w:tc>
          <w:tcPr>
            <w:tcW w:w="2032" w:type="dxa"/>
            <w:tcBorders>
              <w:bottom w:val="single" w:sz="12" w:space="0" w:color="auto"/>
            </w:tcBorders>
          </w:tcPr>
          <w:p w14:paraId="7D0A7BE2" w14:textId="77777777" w:rsidR="00784863" w:rsidRPr="00864116" w:rsidRDefault="00784863" w:rsidP="00836622">
            <w:pPr>
              <w:spacing w:line="360" w:lineRule="auto"/>
              <w:jc w:val="center"/>
              <w:rPr>
                <w:lang w:val="en-US"/>
              </w:rPr>
            </w:pPr>
            <w:r w:rsidRPr="00864116">
              <w:rPr>
                <w:lang w:val="en-US"/>
              </w:rPr>
              <w:t>-2.1</w:t>
            </w:r>
            <w:r>
              <w:rPr>
                <w:lang w:val="en-US"/>
              </w:rPr>
              <w:t>5</w:t>
            </w:r>
          </w:p>
        </w:tc>
        <w:tc>
          <w:tcPr>
            <w:tcW w:w="2032" w:type="dxa"/>
            <w:tcBorders>
              <w:bottom w:val="single" w:sz="12" w:space="0" w:color="auto"/>
            </w:tcBorders>
          </w:tcPr>
          <w:p w14:paraId="163F79FA" w14:textId="77777777" w:rsidR="00784863" w:rsidRPr="00864116" w:rsidRDefault="00784863" w:rsidP="00836622">
            <w:pPr>
              <w:spacing w:line="360" w:lineRule="auto"/>
              <w:jc w:val="center"/>
              <w:rPr>
                <w:lang w:val="en-US"/>
              </w:rPr>
            </w:pPr>
            <w:r w:rsidRPr="00864116">
              <w:rPr>
                <w:lang w:val="en-US"/>
              </w:rPr>
              <w:t>1.33</w:t>
            </w:r>
          </w:p>
        </w:tc>
        <w:tc>
          <w:tcPr>
            <w:tcW w:w="2032" w:type="dxa"/>
            <w:tcBorders>
              <w:bottom w:val="single" w:sz="12" w:space="0" w:color="auto"/>
            </w:tcBorders>
          </w:tcPr>
          <w:p w14:paraId="1C371C74" w14:textId="77777777" w:rsidR="00784863" w:rsidRPr="00864116" w:rsidRDefault="00784863" w:rsidP="00836622">
            <w:pPr>
              <w:spacing w:line="360" w:lineRule="auto"/>
              <w:jc w:val="center"/>
              <w:rPr>
                <w:lang w:val="en-US"/>
              </w:rPr>
            </w:pPr>
            <w:r w:rsidRPr="00864116">
              <w:rPr>
                <w:lang w:val="en-US"/>
              </w:rPr>
              <w:t>-.</w:t>
            </w:r>
            <w:r>
              <w:rPr>
                <w:lang w:val="en-US"/>
              </w:rPr>
              <w:t>10</w:t>
            </w:r>
          </w:p>
        </w:tc>
      </w:tr>
    </w:tbl>
    <w:p w14:paraId="7AC4AB47" w14:textId="63343975" w:rsidR="00784863" w:rsidRDefault="00784863" w:rsidP="00784863">
      <w:pPr>
        <w:spacing w:line="360" w:lineRule="auto"/>
      </w:pPr>
      <w:proofErr w:type="spellStart"/>
      <w:r w:rsidRPr="00570C2E">
        <w:rPr>
          <w:i/>
          <w:iCs/>
        </w:rPr>
        <w:t>Note</w:t>
      </w:r>
      <w:proofErr w:type="spellEnd"/>
      <w:r w:rsidRPr="00570C2E">
        <w:t xml:space="preserve">. </w:t>
      </w:r>
      <w:r w:rsidRPr="00682D65">
        <w:rPr>
          <w:i/>
          <w:iCs/>
        </w:rPr>
        <w:t>R</w:t>
      </w:r>
      <w:r>
        <w:rPr>
          <w:vertAlign w:val="superscript"/>
        </w:rPr>
        <w:t>2</w:t>
      </w:r>
      <w:r>
        <w:t xml:space="preserve"> = .10</w:t>
      </w:r>
    </w:p>
    <w:p w14:paraId="65EBAB77" w14:textId="2C17EB28" w:rsidR="00784863" w:rsidRPr="00B74202" w:rsidRDefault="00784863" w:rsidP="00784863">
      <w:pPr>
        <w:spacing w:line="360" w:lineRule="auto"/>
        <w:rPr>
          <w:lang w:val="en-US"/>
        </w:rPr>
      </w:pPr>
      <w:r w:rsidRPr="00B74202">
        <w:rPr>
          <w:lang w:val="en-US"/>
        </w:rPr>
        <w:t xml:space="preserve">* = </w:t>
      </w:r>
      <w:r w:rsidRPr="00B74202">
        <w:rPr>
          <w:i/>
          <w:iCs/>
          <w:lang w:val="en-US"/>
        </w:rPr>
        <w:t>p</w:t>
      </w:r>
      <w:r w:rsidRPr="00B74202">
        <w:rPr>
          <w:lang w:val="en-US"/>
        </w:rPr>
        <w:t xml:space="preserve"> &lt; .05, *** = </w:t>
      </w:r>
      <w:r w:rsidRPr="00B74202">
        <w:rPr>
          <w:i/>
          <w:iCs/>
          <w:lang w:val="en-US"/>
        </w:rPr>
        <w:t>p</w:t>
      </w:r>
      <w:r w:rsidRPr="00B74202">
        <w:rPr>
          <w:lang w:val="en-US"/>
        </w:rPr>
        <w:t xml:space="preserve"> &lt; .001</w:t>
      </w:r>
      <w:r w:rsidR="00B74202">
        <w:rPr>
          <w:lang w:val="en-US"/>
        </w:rPr>
        <w:t>.</w:t>
      </w:r>
    </w:p>
    <w:p w14:paraId="00000066" w14:textId="1ACFAC76" w:rsidR="00042C0F" w:rsidRDefault="00784863" w:rsidP="00784863">
      <w:pPr>
        <w:spacing w:line="360" w:lineRule="auto"/>
        <w:rPr>
          <w:lang w:val="en-US"/>
        </w:rPr>
      </w:pPr>
      <w:r w:rsidRPr="00464956">
        <w:rPr>
          <w:vertAlign w:val="superscript"/>
          <w:lang w:val="en-US"/>
        </w:rPr>
        <w:t>a</w:t>
      </w:r>
      <w:r w:rsidRPr="00464956">
        <w:rPr>
          <w:lang w:val="en-US"/>
        </w:rPr>
        <w:t xml:space="preserve"> 1 = male, 2 = female</w:t>
      </w:r>
      <w:r w:rsidR="00DE139E">
        <w:rPr>
          <w:lang w:val="en-US"/>
        </w:rPr>
        <w:t xml:space="preserve">. </w:t>
      </w:r>
      <w:r>
        <w:rPr>
          <w:vertAlign w:val="superscript"/>
          <w:lang w:val="en-US"/>
        </w:rPr>
        <w:t>b</w:t>
      </w:r>
      <w:r w:rsidRPr="00464956">
        <w:rPr>
          <w:lang w:val="en-US"/>
        </w:rPr>
        <w:t xml:space="preserve"> 0 = </w:t>
      </w:r>
      <w:r>
        <w:rPr>
          <w:lang w:val="en-US"/>
        </w:rPr>
        <w:t xml:space="preserve">no, </w:t>
      </w:r>
      <w:r w:rsidRPr="00464956">
        <w:rPr>
          <w:lang w:val="en-US"/>
        </w:rPr>
        <w:t>1 =</w:t>
      </w:r>
      <w:r>
        <w:rPr>
          <w:lang w:val="en-US"/>
        </w:rPr>
        <w:t xml:space="preserve"> yes</w:t>
      </w:r>
      <w:r w:rsidR="00DE139E">
        <w:rPr>
          <w:lang w:val="en-US"/>
        </w:rPr>
        <w:t xml:space="preserve">. </w:t>
      </w:r>
      <w:r>
        <w:rPr>
          <w:vertAlign w:val="superscript"/>
          <w:lang w:val="en-US"/>
        </w:rPr>
        <w:t>c</w:t>
      </w:r>
      <w:r w:rsidRPr="00464956">
        <w:rPr>
          <w:lang w:val="en-US"/>
        </w:rPr>
        <w:t xml:space="preserve"> </w:t>
      </w:r>
      <w:r>
        <w:rPr>
          <w:lang w:val="en-US"/>
        </w:rPr>
        <w:t>1</w:t>
      </w:r>
      <w:r w:rsidRPr="00464956">
        <w:rPr>
          <w:lang w:val="en-US"/>
        </w:rPr>
        <w:t xml:space="preserve"> =</w:t>
      </w:r>
      <w:r>
        <w:rPr>
          <w:lang w:val="en-US"/>
        </w:rPr>
        <w:t xml:space="preserve"> no,</w:t>
      </w:r>
      <w:r w:rsidRPr="00464956">
        <w:rPr>
          <w:lang w:val="en-US"/>
        </w:rPr>
        <w:t xml:space="preserve"> </w:t>
      </w:r>
      <w:r>
        <w:rPr>
          <w:lang w:val="en-US"/>
        </w:rPr>
        <w:t>2</w:t>
      </w:r>
      <w:r w:rsidRPr="00464956">
        <w:rPr>
          <w:lang w:val="en-US"/>
        </w:rPr>
        <w:t xml:space="preserve"> =</w:t>
      </w:r>
      <w:r>
        <w:rPr>
          <w:lang w:val="en-US"/>
        </w:rPr>
        <w:t xml:space="preserve"> yes</w:t>
      </w:r>
      <w:r w:rsidR="00DE139E">
        <w:rPr>
          <w:lang w:val="en-US"/>
        </w:rPr>
        <w:t xml:space="preserve">. </w:t>
      </w:r>
      <w:r>
        <w:rPr>
          <w:vertAlign w:val="superscript"/>
          <w:lang w:val="en-US"/>
        </w:rPr>
        <w:t>d</w:t>
      </w:r>
      <w:r w:rsidRPr="00464956">
        <w:rPr>
          <w:lang w:val="en-US"/>
        </w:rPr>
        <w:t xml:space="preserve"> 0 =</w:t>
      </w:r>
      <w:r>
        <w:rPr>
          <w:lang w:val="en-US"/>
        </w:rPr>
        <w:t xml:space="preserve"> no,</w:t>
      </w:r>
      <w:r w:rsidRPr="00464956">
        <w:rPr>
          <w:lang w:val="en-US"/>
        </w:rPr>
        <w:t xml:space="preserve"> 1 =</w:t>
      </w:r>
      <w:r>
        <w:rPr>
          <w:lang w:val="en-US"/>
        </w:rPr>
        <w:t xml:space="preserve"> yes</w:t>
      </w:r>
      <w:r w:rsidR="00DE139E">
        <w:rPr>
          <w:lang w:val="en-US"/>
        </w:rPr>
        <w:t xml:space="preserve">. </w:t>
      </w:r>
      <w:r>
        <w:rPr>
          <w:vertAlign w:val="superscript"/>
          <w:lang w:val="en-US"/>
        </w:rPr>
        <w:t>e</w:t>
      </w:r>
      <w:r w:rsidRPr="00464956">
        <w:rPr>
          <w:lang w:val="en-US"/>
        </w:rPr>
        <w:t xml:space="preserve"> 0 = </w:t>
      </w:r>
      <w:r>
        <w:rPr>
          <w:lang w:val="en-US"/>
        </w:rPr>
        <w:t xml:space="preserve">natural, </w:t>
      </w:r>
      <w:r w:rsidRPr="00464956">
        <w:rPr>
          <w:lang w:val="en-US"/>
        </w:rPr>
        <w:t>1 =</w:t>
      </w:r>
      <w:r>
        <w:rPr>
          <w:lang w:val="en-US"/>
        </w:rPr>
        <w:t xml:space="preserve"> unnatural</w:t>
      </w:r>
      <w:r w:rsidR="00B74202">
        <w:rPr>
          <w:lang w:val="en-US"/>
        </w:rPr>
        <w:t>.</w:t>
      </w:r>
      <w:r>
        <w:rPr>
          <w:lang w:val="en-US"/>
        </w:rPr>
        <w:t xml:space="preserve"> </w:t>
      </w:r>
      <w:r w:rsidRPr="00464956">
        <w:rPr>
          <w:lang w:val="en-US"/>
        </w:rPr>
        <w:t xml:space="preserve"> </w:t>
      </w:r>
    </w:p>
    <w:p w14:paraId="17296B46" w14:textId="77777777" w:rsidR="00784863" w:rsidRPr="00784863" w:rsidRDefault="00784863" w:rsidP="00964EC5">
      <w:pPr>
        <w:spacing w:line="480" w:lineRule="auto"/>
        <w:rPr>
          <w:lang w:val="en-US"/>
        </w:rPr>
      </w:pPr>
    </w:p>
    <w:p w14:paraId="00000067" w14:textId="077F5786" w:rsidR="00042C0F" w:rsidRPr="00784863" w:rsidRDefault="00464897" w:rsidP="00784863">
      <w:pPr>
        <w:spacing w:line="480" w:lineRule="auto"/>
        <w:rPr>
          <w:b/>
          <w:lang w:val="en-US"/>
        </w:rPr>
      </w:pPr>
      <w:r>
        <w:rPr>
          <w:b/>
          <w:lang w:val="en-US"/>
        </w:rPr>
        <w:t>Risk Factors for</w:t>
      </w:r>
      <w:r w:rsidR="00165BB5" w:rsidRPr="00784863">
        <w:rPr>
          <w:b/>
          <w:lang w:val="en-US"/>
        </w:rPr>
        <w:t xml:space="preserve"> Pathological Grief </w:t>
      </w:r>
    </w:p>
    <w:p w14:paraId="00000068" w14:textId="457BE3EC" w:rsidR="00042C0F" w:rsidRPr="00784863" w:rsidRDefault="00165BB5" w:rsidP="00AA6308">
      <w:pPr>
        <w:spacing w:line="480" w:lineRule="auto"/>
        <w:ind w:firstLine="720"/>
        <w:rPr>
          <w:lang w:val="en-US"/>
        </w:rPr>
      </w:pPr>
      <w:r w:rsidRPr="00784863">
        <w:rPr>
          <w:lang w:val="en-US"/>
        </w:rPr>
        <w:t xml:space="preserve">A standard multiple regression analysis was performed for </w:t>
      </w:r>
      <w:r w:rsidR="00097BBC">
        <w:rPr>
          <w:lang w:val="en-US"/>
        </w:rPr>
        <w:t>predicting l</w:t>
      </w:r>
      <w:r w:rsidRPr="00784863">
        <w:rPr>
          <w:lang w:val="en-US"/>
        </w:rPr>
        <w:t>evels of pathological grief as well. All independent variables were entered into the model simultaneously.</w:t>
      </w:r>
      <w:r w:rsidR="002F5157" w:rsidRPr="002F5157">
        <w:rPr>
          <w:lang w:val="en-US"/>
        </w:rPr>
        <w:t xml:space="preserve"> </w:t>
      </w:r>
      <w:r w:rsidR="002F5157" w:rsidRPr="00784863">
        <w:rPr>
          <w:lang w:val="en-US"/>
        </w:rPr>
        <w:t xml:space="preserve">The </w:t>
      </w:r>
      <w:r w:rsidR="002F5157">
        <w:rPr>
          <w:lang w:val="en-US"/>
        </w:rPr>
        <w:t>category</w:t>
      </w:r>
      <w:r w:rsidR="002F5157" w:rsidRPr="00784863">
        <w:rPr>
          <w:lang w:val="en-US"/>
        </w:rPr>
        <w:t xml:space="preserve"> grandchild </w:t>
      </w:r>
      <w:r w:rsidR="002F5157">
        <w:rPr>
          <w:lang w:val="en-US"/>
        </w:rPr>
        <w:t>of the predictor variable ‘</w:t>
      </w:r>
      <w:r w:rsidR="002F5157" w:rsidRPr="00784863">
        <w:rPr>
          <w:lang w:val="en-US"/>
        </w:rPr>
        <w:t>kinship</w:t>
      </w:r>
      <w:r w:rsidR="002F5157">
        <w:rPr>
          <w:lang w:val="en-US"/>
        </w:rPr>
        <w:t>’</w:t>
      </w:r>
      <w:r w:rsidR="002F5157" w:rsidRPr="00784863">
        <w:rPr>
          <w:lang w:val="en-US"/>
        </w:rPr>
        <w:t xml:space="preserve"> was removed from the analysis </w:t>
      </w:r>
      <w:r w:rsidR="002F5157">
        <w:rPr>
          <w:lang w:val="en-US"/>
        </w:rPr>
        <w:t>since this category did not occur in the dataset</w:t>
      </w:r>
      <w:r w:rsidRPr="00784863">
        <w:rPr>
          <w:lang w:val="en-US"/>
        </w:rPr>
        <w:t xml:space="preserve">. Regression coefficients for each predictor in the regression model are reported in Table 3. </w:t>
      </w:r>
    </w:p>
    <w:p w14:paraId="2F24D015" w14:textId="21A0BDE5" w:rsidR="00A45185" w:rsidRDefault="00165BB5" w:rsidP="00784863">
      <w:pPr>
        <w:spacing w:line="480" w:lineRule="auto"/>
        <w:rPr>
          <w:color w:val="FF0000"/>
          <w:lang w:val="en-US"/>
        </w:rPr>
      </w:pPr>
      <w:r w:rsidRPr="00784863">
        <w:rPr>
          <w:lang w:val="en-US"/>
        </w:rPr>
        <w:tab/>
        <w:t xml:space="preserve">The model was found to be significant and explained 2,4% of variance in levels of pathological grief, </w:t>
      </w:r>
      <w:r w:rsidRPr="00784863">
        <w:rPr>
          <w:i/>
          <w:lang w:val="en-US"/>
        </w:rPr>
        <w:t>F</w:t>
      </w:r>
      <w:r w:rsidRPr="00784863">
        <w:rPr>
          <w:lang w:val="en-US"/>
        </w:rPr>
        <w:t xml:space="preserve"> (13, 417) = 9.97, </w:t>
      </w:r>
      <w:r w:rsidRPr="00784863">
        <w:rPr>
          <w:i/>
          <w:lang w:val="en-US"/>
        </w:rPr>
        <w:t>p</w:t>
      </w:r>
      <w:r w:rsidRPr="00784863">
        <w:rPr>
          <w:lang w:val="en-US"/>
        </w:rPr>
        <w:t xml:space="preserve"> &lt; .001. History of </w:t>
      </w:r>
      <w:r w:rsidR="00937AB7">
        <w:rPr>
          <w:lang w:val="en-US"/>
        </w:rPr>
        <w:t xml:space="preserve">psychological </w:t>
      </w:r>
      <w:r w:rsidRPr="00784863">
        <w:rPr>
          <w:lang w:val="en-US"/>
        </w:rPr>
        <w:t xml:space="preserve">support, unnatural </w:t>
      </w:r>
      <w:r w:rsidRPr="00784863">
        <w:rPr>
          <w:lang w:val="en-US"/>
        </w:rPr>
        <w:lastRenderedPageBreak/>
        <w:t>cause of death, unexpectedness</w:t>
      </w:r>
      <w:r w:rsidR="006D0531">
        <w:rPr>
          <w:lang w:val="en-US"/>
        </w:rPr>
        <w:t xml:space="preserve"> of the loss</w:t>
      </w:r>
      <w:r w:rsidRPr="00784863">
        <w:rPr>
          <w:lang w:val="en-US"/>
        </w:rPr>
        <w:t xml:space="preserve">, </w:t>
      </w:r>
      <w:r w:rsidR="006C0837">
        <w:rPr>
          <w:lang w:val="en-US"/>
        </w:rPr>
        <w:t>shorter</w:t>
      </w:r>
      <w:r w:rsidRPr="00784863">
        <w:rPr>
          <w:lang w:val="en-US"/>
        </w:rPr>
        <w:t xml:space="preserve"> time since loss and loss of a grandparent </w:t>
      </w:r>
      <w:r w:rsidR="00AE780D" w:rsidRPr="00CE1892">
        <w:rPr>
          <w:color w:val="000000" w:themeColor="text1"/>
          <w:lang w:val="en-US"/>
        </w:rPr>
        <w:t xml:space="preserve">compared to the loss of </w:t>
      </w:r>
      <w:r w:rsidR="00CE1892" w:rsidRPr="00CE1892">
        <w:rPr>
          <w:color w:val="000000" w:themeColor="text1"/>
          <w:lang w:val="en-US"/>
        </w:rPr>
        <w:t>‘other’</w:t>
      </w:r>
      <w:r w:rsidR="00CE1892">
        <w:rPr>
          <w:color w:val="000000" w:themeColor="text1"/>
          <w:lang w:val="en-US"/>
        </w:rPr>
        <w:t xml:space="preserve">, </w:t>
      </w:r>
      <w:r w:rsidRPr="00784863">
        <w:rPr>
          <w:lang w:val="en-US"/>
        </w:rPr>
        <w:t xml:space="preserve">were significant predictors of levels of pathological grief, with </w:t>
      </w:r>
      <w:r w:rsidR="006C0837">
        <w:rPr>
          <w:lang w:val="en-US"/>
        </w:rPr>
        <w:t>shorter</w:t>
      </w:r>
      <w:r w:rsidR="00C6445E">
        <w:rPr>
          <w:lang w:val="en-US"/>
        </w:rPr>
        <w:t xml:space="preserve"> </w:t>
      </w:r>
      <w:r w:rsidRPr="00784863">
        <w:rPr>
          <w:lang w:val="en-US"/>
        </w:rPr>
        <w:t xml:space="preserve">time since loss being the strongest predictor. </w:t>
      </w:r>
    </w:p>
    <w:p w14:paraId="0D3E353C" w14:textId="77777777" w:rsidR="004714F2" w:rsidRPr="004714F2" w:rsidRDefault="004714F2" w:rsidP="00784863">
      <w:pPr>
        <w:spacing w:line="480" w:lineRule="auto"/>
        <w:rPr>
          <w:color w:val="FF0000"/>
          <w:lang w:val="en-US"/>
        </w:rPr>
      </w:pPr>
    </w:p>
    <w:p w14:paraId="0000006B" w14:textId="77777777" w:rsidR="00042C0F" w:rsidRPr="00784863" w:rsidRDefault="00165BB5" w:rsidP="00A51363">
      <w:pPr>
        <w:spacing w:line="480" w:lineRule="auto"/>
        <w:rPr>
          <w:b/>
          <w:lang w:val="en-US"/>
        </w:rPr>
      </w:pPr>
      <w:r w:rsidRPr="00784863">
        <w:rPr>
          <w:b/>
          <w:lang w:val="en-US"/>
        </w:rPr>
        <w:t xml:space="preserve">Table 3 </w:t>
      </w:r>
    </w:p>
    <w:p w14:paraId="0000006C" w14:textId="7611B49E" w:rsidR="00042C0F" w:rsidRDefault="00165BB5" w:rsidP="00A51363">
      <w:pPr>
        <w:spacing w:line="480" w:lineRule="auto"/>
        <w:rPr>
          <w:i/>
          <w:lang w:val="en-US"/>
        </w:rPr>
      </w:pPr>
      <w:r w:rsidRPr="00784863">
        <w:rPr>
          <w:i/>
          <w:lang w:val="en-US"/>
        </w:rPr>
        <w:t xml:space="preserve">Predictors of Pathological Grief in Multiple Regression Analysis </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032"/>
        <w:gridCol w:w="2032"/>
        <w:gridCol w:w="2032"/>
      </w:tblGrid>
      <w:tr w:rsidR="00784863" w:rsidRPr="00864116" w14:paraId="1BF538DB" w14:textId="77777777" w:rsidTr="008F5C88">
        <w:tc>
          <w:tcPr>
            <w:tcW w:w="2835" w:type="dxa"/>
            <w:tcBorders>
              <w:top w:val="single" w:sz="12" w:space="0" w:color="auto"/>
              <w:bottom w:val="single" w:sz="12" w:space="0" w:color="auto"/>
            </w:tcBorders>
            <w:vAlign w:val="center"/>
          </w:tcPr>
          <w:p w14:paraId="799BE1F3" w14:textId="3FC930B8" w:rsidR="00784863" w:rsidRPr="003756F4" w:rsidRDefault="005700C6" w:rsidP="00D172D8">
            <w:pPr>
              <w:spacing w:line="360" w:lineRule="auto"/>
              <w:rPr>
                <w:lang w:val="en-US"/>
              </w:rPr>
            </w:pPr>
            <w:r w:rsidRPr="003756F4">
              <w:rPr>
                <w:lang w:val="en-US"/>
              </w:rPr>
              <w:t>Predictor</w:t>
            </w:r>
          </w:p>
        </w:tc>
        <w:tc>
          <w:tcPr>
            <w:tcW w:w="2032" w:type="dxa"/>
            <w:tcBorders>
              <w:top w:val="single" w:sz="12" w:space="0" w:color="auto"/>
              <w:bottom w:val="single" w:sz="12" w:space="0" w:color="auto"/>
            </w:tcBorders>
            <w:vAlign w:val="center"/>
          </w:tcPr>
          <w:p w14:paraId="6C38218F" w14:textId="77777777" w:rsidR="00784863" w:rsidRPr="005E58E1" w:rsidRDefault="00784863" w:rsidP="00C3685B">
            <w:pPr>
              <w:spacing w:line="360" w:lineRule="auto"/>
              <w:jc w:val="center"/>
              <w:rPr>
                <w:i/>
                <w:iCs/>
                <w:lang w:val="en-US"/>
              </w:rPr>
            </w:pPr>
            <w:r w:rsidRPr="005E58E1">
              <w:rPr>
                <w:i/>
                <w:iCs/>
                <w:lang w:val="en-US"/>
              </w:rPr>
              <w:t>b</w:t>
            </w:r>
          </w:p>
        </w:tc>
        <w:tc>
          <w:tcPr>
            <w:tcW w:w="2032" w:type="dxa"/>
            <w:tcBorders>
              <w:top w:val="single" w:sz="12" w:space="0" w:color="auto"/>
              <w:bottom w:val="single" w:sz="12" w:space="0" w:color="auto"/>
            </w:tcBorders>
            <w:vAlign w:val="center"/>
          </w:tcPr>
          <w:p w14:paraId="406C5593" w14:textId="77777777" w:rsidR="00784863" w:rsidRPr="005E58E1" w:rsidRDefault="00784863" w:rsidP="00C3685B">
            <w:pPr>
              <w:spacing w:line="360" w:lineRule="auto"/>
              <w:jc w:val="center"/>
              <w:rPr>
                <w:i/>
                <w:iCs/>
                <w:lang w:val="en-US"/>
              </w:rPr>
            </w:pPr>
            <w:r w:rsidRPr="005E58E1">
              <w:rPr>
                <w:i/>
                <w:iCs/>
                <w:lang w:val="en-US"/>
              </w:rPr>
              <w:t>SE B</w:t>
            </w:r>
          </w:p>
        </w:tc>
        <w:tc>
          <w:tcPr>
            <w:tcW w:w="2032" w:type="dxa"/>
            <w:tcBorders>
              <w:top w:val="single" w:sz="12" w:space="0" w:color="auto"/>
              <w:bottom w:val="single" w:sz="12" w:space="0" w:color="auto"/>
            </w:tcBorders>
            <w:vAlign w:val="center"/>
          </w:tcPr>
          <w:p w14:paraId="171BAE2A" w14:textId="77777777" w:rsidR="00784863" w:rsidRPr="005E58E1" w:rsidRDefault="00784863" w:rsidP="00C3685B">
            <w:pPr>
              <w:spacing w:line="360" w:lineRule="auto"/>
              <w:jc w:val="center"/>
              <w:rPr>
                <w:i/>
                <w:iCs/>
                <w:lang w:val="en-US"/>
              </w:rPr>
            </w:pPr>
            <w:r w:rsidRPr="005E58E1">
              <w:rPr>
                <w:i/>
                <w:iCs/>
                <w:lang w:val="en-US"/>
              </w:rPr>
              <w:t>ß</w:t>
            </w:r>
          </w:p>
        </w:tc>
      </w:tr>
      <w:tr w:rsidR="00784863" w:rsidRPr="00864116" w14:paraId="73D8370E" w14:textId="77777777" w:rsidTr="008F5C88">
        <w:tc>
          <w:tcPr>
            <w:tcW w:w="2835" w:type="dxa"/>
            <w:tcBorders>
              <w:top w:val="single" w:sz="12" w:space="0" w:color="auto"/>
            </w:tcBorders>
          </w:tcPr>
          <w:p w14:paraId="2992FADC" w14:textId="77777777" w:rsidR="00784863" w:rsidRPr="00864116" w:rsidRDefault="00784863" w:rsidP="00836622">
            <w:pPr>
              <w:spacing w:line="360" w:lineRule="auto"/>
              <w:rPr>
                <w:lang w:val="en-US"/>
              </w:rPr>
            </w:pPr>
            <w:r w:rsidRPr="00864116">
              <w:rPr>
                <w:lang w:val="en-US"/>
              </w:rPr>
              <w:t>Constant</w:t>
            </w:r>
          </w:p>
        </w:tc>
        <w:tc>
          <w:tcPr>
            <w:tcW w:w="2032" w:type="dxa"/>
            <w:tcBorders>
              <w:top w:val="single" w:sz="12" w:space="0" w:color="auto"/>
            </w:tcBorders>
          </w:tcPr>
          <w:p w14:paraId="06AE8079" w14:textId="77777777" w:rsidR="00784863" w:rsidRPr="00864116" w:rsidRDefault="00784863" w:rsidP="00836622">
            <w:pPr>
              <w:spacing w:line="360" w:lineRule="auto"/>
              <w:jc w:val="center"/>
              <w:rPr>
                <w:lang w:val="en-US"/>
              </w:rPr>
            </w:pPr>
            <w:r>
              <w:rPr>
                <w:lang w:val="en-US"/>
              </w:rPr>
              <w:t>31.35</w:t>
            </w:r>
          </w:p>
        </w:tc>
        <w:tc>
          <w:tcPr>
            <w:tcW w:w="2032" w:type="dxa"/>
            <w:tcBorders>
              <w:top w:val="single" w:sz="12" w:space="0" w:color="auto"/>
            </w:tcBorders>
          </w:tcPr>
          <w:p w14:paraId="6F835E6C" w14:textId="77777777" w:rsidR="00784863" w:rsidRPr="00864116" w:rsidRDefault="00784863" w:rsidP="00836622">
            <w:pPr>
              <w:spacing w:line="360" w:lineRule="auto"/>
              <w:jc w:val="center"/>
              <w:rPr>
                <w:lang w:val="en-US"/>
              </w:rPr>
            </w:pPr>
            <w:r>
              <w:rPr>
                <w:lang w:val="en-US"/>
              </w:rPr>
              <w:t>4.57</w:t>
            </w:r>
          </w:p>
        </w:tc>
        <w:tc>
          <w:tcPr>
            <w:tcW w:w="2032" w:type="dxa"/>
            <w:tcBorders>
              <w:top w:val="single" w:sz="12" w:space="0" w:color="auto"/>
            </w:tcBorders>
          </w:tcPr>
          <w:p w14:paraId="1DCA457B" w14:textId="77777777" w:rsidR="00784863" w:rsidRPr="00864116" w:rsidRDefault="00784863" w:rsidP="00836622">
            <w:pPr>
              <w:spacing w:line="360" w:lineRule="auto"/>
              <w:jc w:val="center"/>
              <w:rPr>
                <w:lang w:val="en-US"/>
              </w:rPr>
            </w:pPr>
          </w:p>
        </w:tc>
      </w:tr>
      <w:tr w:rsidR="00784863" w:rsidRPr="00864116" w14:paraId="4C51A580" w14:textId="77777777" w:rsidTr="00735B7F">
        <w:tc>
          <w:tcPr>
            <w:tcW w:w="2835" w:type="dxa"/>
          </w:tcPr>
          <w:p w14:paraId="48C4F6D7" w14:textId="77777777" w:rsidR="00784863" w:rsidRPr="00184079" w:rsidRDefault="00784863" w:rsidP="00836622">
            <w:pPr>
              <w:spacing w:line="360" w:lineRule="auto"/>
              <w:rPr>
                <w:vertAlign w:val="superscript"/>
                <w:lang w:val="en-US"/>
              </w:rPr>
            </w:pPr>
            <w:r w:rsidRPr="00864116">
              <w:rPr>
                <w:lang w:val="en-US"/>
              </w:rPr>
              <w:t>Gender</w:t>
            </w:r>
            <w:r>
              <w:rPr>
                <w:lang w:val="en-US"/>
              </w:rPr>
              <w:t xml:space="preserve"> </w:t>
            </w:r>
            <w:r>
              <w:rPr>
                <w:vertAlign w:val="superscript"/>
                <w:lang w:val="en-US"/>
              </w:rPr>
              <w:t>a</w:t>
            </w:r>
          </w:p>
        </w:tc>
        <w:tc>
          <w:tcPr>
            <w:tcW w:w="2032" w:type="dxa"/>
          </w:tcPr>
          <w:p w14:paraId="473E7F88" w14:textId="77777777" w:rsidR="00784863" w:rsidRPr="00864116" w:rsidRDefault="00784863" w:rsidP="00836622">
            <w:pPr>
              <w:spacing w:line="360" w:lineRule="auto"/>
              <w:jc w:val="center"/>
              <w:rPr>
                <w:lang w:val="en-US"/>
              </w:rPr>
            </w:pPr>
            <w:r>
              <w:rPr>
                <w:lang w:val="en-US"/>
              </w:rPr>
              <w:t>2</w:t>
            </w:r>
            <w:r w:rsidRPr="00864116">
              <w:rPr>
                <w:lang w:val="en-US"/>
              </w:rPr>
              <w:t>.</w:t>
            </w:r>
            <w:r>
              <w:rPr>
                <w:lang w:val="en-US"/>
              </w:rPr>
              <w:t>71</w:t>
            </w:r>
          </w:p>
        </w:tc>
        <w:tc>
          <w:tcPr>
            <w:tcW w:w="2032" w:type="dxa"/>
          </w:tcPr>
          <w:p w14:paraId="43AF4DB0" w14:textId="77777777" w:rsidR="00784863" w:rsidRPr="00864116" w:rsidRDefault="00784863" w:rsidP="00836622">
            <w:pPr>
              <w:spacing w:line="360" w:lineRule="auto"/>
              <w:jc w:val="center"/>
              <w:rPr>
                <w:lang w:val="en-US"/>
              </w:rPr>
            </w:pPr>
            <w:r>
              <w:rPr>
                <w:lang w:val="en-US"/>
              </w:rPr>
              <w:t>1.64</w:t>
            </w:r>
          </w:p>
        </w:tc>
        <w:tc>
          <w:tcPr>
            <w:tcW w:w="2032" w:type="dxa"/>
          </w:tcPr>
          <w:p w14:paraId="37442524" w14:textId="77777777" w:rsidR="00784863" w:rsidRPr="00864116" w:rsidRDefault="00784863" w:rsidP="00836622">
            <w:pPr>
              <w:spacing w:line="360" w:lineRule="auto"/>
              <w:jc w:val="center"/>
              <w:rPr>
                <w:lang w:val="en-US"/>
              </w:rPr>
            </w:pPr>
            <w:r w:rsidRPr="00864116">
              <w:rPr>
                <w:lang w:val="en-US"/>
              </w:rPr>
              <w:t>.</w:t>
            </w:r>
            <w:r>
              <w:rPr>
                <w:lang w:val="en-US"/>
              </w:rPr>
              <w:t>07</w:t>
            </w:r>
          </w:p>
        </w:tc>
      </w:tr>
      <w:tr w:rsidR="00784863" w:rsidRPr="00864116" w14:paraId="4BECE559" w14:textId="77777777" w:rsidTr="00735B7F">
        <w:tc>
          <w:tcPr>
            <w:tcW w:w="2835" w:type="dxa"/>
          </w:tcPr>
          <w:p w14:paraId="73470E04" w14:textId="29F529E9" w:rsidR="00784863" w:rsidRPr="00184079" w:rsidRDefault="00784863" w:rsidP="00836622">
            <w:pPr>
              <w:spacing w:line="360" w:lineRule="auto"/>
              <w:rPr>
                <w:vertAlign w:val="superscript"/>
                <w:lang w:val="en-US"/>
              </w:rPr>
            </w:pPr>
            <w:r w:rsidRPr="00864116">
              <w:rPr>
                <w:lang w:val="en-US"/>
              </w:rPr>
              <w:t xml:space="preserve">Multiple </w:t>
            </w:r>
            <w:r w:rsidR="006E5CFB">
              <w:rPr>
                <w:lang w:val="en-US"/>
              </w:rPr>
              <w:t>l</w:t>
            </w:r>
            <w:r w:rsidRPr="00864116">
              <w:rPr>
                <w:lang w:val="en-US"/>
              </w:rPr>
              <w:t>oss</w:t>
            </w:r>
            <w:r>
              <w:rPr>
                <w:lang w:val="en-US"/>
              </w:rPr>
              <w:t xml:space="preserve"> </w:t>
            </w:r>
            <w:r>
              <w:rPr>
                <w:vertAlign w:val="superscript"/>
                <w:lang w:val="en-US"/>
              </w:rPr>
              <w:t>b</w:t>
            </w:r>
          </w:p>
        </w:tc>
        <w:tc>
          <w:tcPr>
            <w:tcW w:w="2032" w:type="dxa"/>
          </w:tcPr>
          <w:p w14:paraId="07F1AC96" w14:textId="21D87A19" w:rsidR="00784863" w:rsidRPr="00864116" w:rsidRDefault="00784863" w:rsidP="00836622">
            <w:pPr>
              <w:spacing w:line="360" w:lineRule="auto"/>
              <w:jc w:val="center"/>
              <w:rPr>
                <w:lang w:val="en-US"/>
              </w:rPr>
            </w:pPr>
            <w:r>
              <w:rPr>
                <w:lang w:val="en-US"/>
              </w:rPr>
              <w:t>-</w:t>
            </w:r>
            <w:r w:rsidR="00B9459F">
              <w:rPr>
                <w:lang w:val="en-US"/>
              </w:rPr>
              <w:t>0</w:t>
            </w:r>
            <w:r w:rsidRPr="00864116">
              <w:rPr>
                <w:lang w:val="en-US"/>
              </w:rPr>
              <w:t>.</w:t>
            </w:r>
            <w:r>
              <w:rPr>
                <w:lang w:val="en-US"/>
              </w:rPr>
              <w:t>16</w:t>
            </w:r>
          </w:p>
        </w:tc>
        <w:tc>
          <w:tcPr>
            <w:tcW w:w="2032" w:type="dxa"/>
          </w:tcPr>
          <w:p w14:paraId="5D76B727" w14:textId="77777777" w:rsidR="00784863" w:rsidRPr="00864116" w:rsidRDefault="00784863" w:rsidP="00836622">
            <w:pPr>
              <w:spacing w:line="360" w:lineRule="auto"/>
              <w:jc w:val="center"/>
              <w:rPr>
                <w:lang w:val="en-US"/>
              </w:rPr>
            </w:pPr>
            <w:r>
              <w:rPr>
                <w:lang w:val="en-US"/>
              </w:rPr>
              <w:t>1.30</w:t>
            </w:r>
          </w:p>
        </w:tc>
        <w:tc>
          <w:tcPr>
            <w:tcW w:w="2032" w:type="dxa"/>
          </w:tcPr>
          <w:p w14:paraId="2E5D4A01" w14:textId="77777777" w:rsidR="00784863" w:rsidRPr="00864116" w:rsidRDefault="00784863" w:rsidP="00836622">
            <w:pPr>
              <w:spacing w:line="360" w:lineRule="auto"/>
              <w:jc w:val="center"/>
              <w:rPr>
                <w:lang w:val="en-US"/>
              </w:rPr>
            </w:pPr>
            <w:r>
              <w:rPr>
                <w:lang w:val="en-US"/>
              </w:rPr>
              <w:t>-.01</w:t>
            </w:r>
          </w:p>
        </w:tc>
      </w:tr>
      <w:tr w:rsidR="00784863" w:rsidRPr="00864116" w14:paraId="71E68937" w14:textId="77777777" w:rsidTr="00735B7F">
        <w:tc>
          <w:tcPr>
            <w:tcW w:w="2835" w:type="dxa"/>
          </w:tcPr>
          <w:p w14:paraId="5A277121" w14:textId="1679D815" w:rsidR="00784863" w:rsidRPr="00184079" w:rsidRDefault="00784863" w:rsidP="00836622">
            <w:pPr>
              <w:spacing w:line="360" w:lineRule="auto"/>
              <w:rPr>
                <w:vertAlign w:val="superscript"/>
                <w:lang w:val="en-US"/>
              </w:rPr>
            </w:pPr>
            <w:r w:rsidRPr="00864116">
              <w:rPr>
                <w:lang w:val="en-US"/>
              </w:rPr>
              <w:t xml:space="preserve">History of </w:t>
            </w:r>
            <w:r w:rsidR="006E5CFB">
              <w:rPr>
                <w:lang w:val="en-US"/>
              </w:rPr>
              <w:t>s</w:t>
            </w:r>
            <w:r w:rsidRPr="00864116">
              <w:rPr>
                <w:lang w:val="en-US"/>
              </w:rPr>
              <w:t>upport</w:t>
            </w:r>
            <w:r>
              <w:rPr>
                <w:lang w:val="en-US"/>
              </w:rPr>
              <w:t xml:space="preserve"> </w:t>
            </w:r>
            <w:r>
              <w:rPr>
                <w:vertAlign w:val="superscript"/>
                <w:lang w:val="en-US"/>
              </w:rPr>
              <w:t>c</w:t>
            </w:r>
          </w:p>
        </w:tc>
        <w:tc>
          <w:tcPr>
            <w:tcW w:w="2032" w:type="dxa"/>
          </w:tcPr>
          <w:p w14:paraId="362BEB1C" w14:textId="77777777" w:rsidR="00784863" w:rsidRPr="00864116" w:rsidRDefault="00784863" w:rsidP="00836622">
            <w:pPr>
              <w:spacing w:line="360" w:lineRule="auto"/>
              <w:jc w:val="center"/>
              <w:rPr>
                <w:lang w:val="en-US"/>
              </w:rPr>
            </w:pPr>
            <w:r>
              <w:rPr>
                <w:lang w:val="en-US"/>
              </w:rPr>
              <w:t>3.06</w:t>
            </w:r>
          </w:p>
        </w:tc>
        <w:tc>
          <w:tcPr>
            <w:tcW w:w="2032" w:type="dxa"/>
          </w:tcPr>
          <w:p w14:paraId="4DE76F22" w14:textId="77777777" w:rsidR="00784863" w:rsidRPr="00864116" w:rsidRDefault="00784863" w:rsidP="00836622">
            <w:pPr>
              <w:spacing w:line="360" w:lineRule="auto"/>
              <w:jc w:val="center"/>
              <w:rPr>
                <w:lang w:val="en-US"/>
              </w:rPr>
            </w:pPr>
            <w:r>
              <w:rPr>
                <w:lang w:val="en-US"/>
              </w:rPr>
              <w:t>1.31</w:t>
            </w:r>
          </w:p>
        </w:tc>
        <w:tc>
          <w:tcPr>
            <w:tcW w:w="2032" w:type="dxa"/>
          </w:tcPr>
          <w:p w14:paraId="429F3CA6" w14:textId="77777777" w:rsidR="00784863" w:rsidRPr="00184079" w:rsidRDefault="00784863" w:rsidP="00836622">
            <w:pPr>
              <w:spacing w:line="360" w:lineRule="auto"/>
              <w:jc w:val="center"/>
              <w:rPr>
                <w:lang w:val="en-US"/>
              </w:rPr>
            </w:pPr>
            <w:r w:rsidRPr="00184079">
              <w:rPr>
                <w:lang w:val="en-US"/>
              </w:rPr>
              <w:t>.10*</w:t>
            </w:r>
          </w:p>
        </w:tc>
      </w:tr>
      <w:tr w:rsidR="00784863" w:rsidRPr="00864116" w14:paraId="48221871" w14:textId="77777777" w:rsidTr="00735B7F">
        <w:tc>
          <w:tcPr>
            <w:tcW w:w="2835" w:type="dxa"/>
          </w:tcPr>
          <w:p w14:paraId="342AE5D0" w14:textId="0B36F57A" w:rsidR="00784863" w:rsidRPr="00184079" w:rsidRDefault="00784863" w:rsidP="00836622">
            <w:pPr>
              <w:spacing w:line="360" w:lineRule="auto"/>
              <w:rPr>
                <w:vertAlign w:val="superscript"/>
                <w:lang w:val="en-US"/>
              </w:rPr>
            </w:pPr>
            <w:r w:rsidRPr="00864116">
              <w:rPr>
                <w:lang w:val="en-US"/>
              </w:rPr>
              <w:t xml:space="preserve">Religious </w:t>
            </w:r>
            <w:r w:rsidR="006E5CFB">
              <w:rPr>
                <w:lang w:val="en-US"/>
              </w:rPr>
              <w:t>a</w:t>
            </w:r>
            <w:r w:rsidRPr="00864116">
              <w:rPr>
                <w:lang w:val="en-US"/>
              </w:rPr>
              <w:t>ffiliation</w:t>
            </w:r>
            <w:r>
              <w:rPr>
                <w:lang w:val="en-US"/>
              </w:rPr>
              <w:t xml:space="preserve"> </w:t>
            </w:r>
            <w:r>
              <w:rPr>
                <w:vertAlign w:val="superscript"/>
                <w:lang w:val="en-US"/>
              </w:rPr>
              <w:t>d</w:t>
            </w:r>
          </w:p>
        </w:tc>
        <w:tc>
          <w:tcPr>
            <w:tcW w:w="2032" w:type="dxa"/>
          </w:tcPr>
          <w:p w14:paraId="6CBF2684" w14:textId="77777777" w:rsidR="00784863" w:rsidRPr="00864116" w:rsidRDefault="00784863" w:rsidP="00836622">
            <w:pPr>
              <w:spacing w:line="360" w:lineRule="auto"/>
              <w:jc w:val="center"/>
              <w:rPr>
                <w:lang w:val="en-US"/>
              </w:rPr>
            </w:pPr>
            <w:r w:rsidRPr="00864116">
              <w:rPr>
                <w:lang w:val="en-US"/>
              </w:rPr>
              <w:t>-</w:t>
            </w:r>
            <w:r>
              <w:rPr>
                <w:lang w:val="en-US"/>
              </w:rPr>
              <w:t>1.22</w:t>
            </w:r>
          </w:p>
        </w:tc>
        <w:tc>
          <w:tcPr>
            <w:tcW w:w="2032" w:type="dxa"/>
          </w:tcPr>
          <w:p w14:paraId="7C357A81" w14:textId="77777777" w:rsidR="00784863" w:rsidRPr="00864116" w:rsidRDefault="00784863" w:rsidP="00836622">
            <w:pPr>
              <w:spacing w:line="360" w:lineRule="auto"/>
              <w:jc w:val="center"/>
              <w:rPr>
                <w:lang w:val="en-US"/>
              </w:rPr>
            </w:pPr>
            <w:r>
              <w:rPr>
                <w:lang w:val="en-US"/>
              </w:rPr>
              <w:t>1.30</w:t>
            </w:r>
          </w:p>
        </w:tc>
        <w:tc>
          <w:tcPr>
            <w:tcW w:w="2032" w:type="dxa"/>
          </w:tcPr>
          <w:p w14:paraId="2AA99E13" w14:textId="77777777" w:rsidR="00784863" w:rsidRPr="00184079" w:rsidRDefault="00784863" w:rsidP="00836622">
            <w:pPr>
              <w:spacing w:line="360" w:lineRule="auto"/>
              <w:jc w:val="center"/>
              <w:rPr>
                <w:lang w:val="en-US"/>
              </w:rPr>
            </w:pPr>
            <w:r w:rsidRPr="00184079">
              <w:rPr>
                <w:lang w:val="en-US"/>
              </w:rPr>
              <w:t>-.04</w:t>
            </w:r>
          </w:p>
        </w:tc>
      </w:tr>
      <w:tr w:rsidR="00784863" w:rsidRPr="00864116" w14:paraId="1CA35948" w14:textId="77777777" w:rsidTr="00735B7F">
        <w:tc>
          <w:tcPr>
            <w:tcW w:w="2835" w:type="dxa"/>
          </w:tcPr>
          <w:p w14:paraId="5F108336" w14:textId="77777777" w:rsidR="00784863" w:rsidRPr="00184079" w:rsidRDefault="00784863" w:rsidP="00836622">
            <w:pPr>
              <w:spacing w:line="360" w:lineRule="auto"/>
              <w:rPr>
                <w:vertAlign w:val="superscript"/>
                <w:lang w:val="en-US"/>
              </w:rPr>
            </w:pPr>
            <w:r w:rsidRPr="00864116">
              <w:rPr>
                <w:lang w:val="en-US"/>
              </w:rPr>
              <w:t>Cause of death</w:t>
            </w:r>
            <w:r>
              <w:rPr>
                <w:lang w:val="en-US"/>
              </w:rPr>
              <w:t xml:space="preserve"> </w:t>
            </w:r>
            <w:r>
              <w:rPr>
                <w:vertAlign w:val="superscript"/>
                <w:lang w:val="en-US"/>
              </w:rPr>
              <w:t>e</w:t>
            </w:r>
          </w:p>
        </w:tc>
        <w:tc>
          <w:tcPr>
            <w:tcW w:w="2032" w:type="dxa"/>
          </w:tcPr>
          <w:p w14:paraId="1786987E" w14:textId="77777777" w:rsidR="00784863" w:rsidRPr="00864116" w:rsidRDefault="00784863" w:rsidP="00836622">
            <w:pPr>
              <w:spacing w:line="360" w:lineRule="auto"/>
              <w:jc w:val="center"/>
              <w:rPr>
                <w:lang w:val="en-US"/>
              </w:rPr>
            </w:pPr>
            <w:r>
              <w:rPr>
                <w:lang w:val="en-US"/>
              </w:rPr>
              <w:t>3.69</w:t>
            </w:r>
          </w:p>
        </w:tc>
        <w:tc>
          <w:tcPr>
            <w:tcW w:w="2032" w:type="dxa"/>
          </w:tcPr>
          <w:p w14:paraId="2194E681" w14:textId="77777777" w:rsidR="00784863" w:rsidRPr="00864116" w:rsidRDefault="00784863" w:rsidP="00836622">
            <w:pPr>
              <w:spacing w:line="360" w:lineRule="auto"/>
              <w:jc w:val="center"/>
              <w:rPr>
                <w:lang w:val="en-US"/>
              </w:rPr>
            </w:pPr>
            <w:r>
              <w:rPr>
                <w:lang w:val="en-US"/>
              </w:rPr>
              <w:t>1.67</w:t>
            </w:r>
          </w:p>
        </w:tc>
        <w:tc>
          <w:tcPr>
            <w:tcW w:w="2032" w:type="dxa"/>
          </w:tcPr>
          <w:p w14:paraId="685B9656" w14:textId="77777777" w:rsidR="00784863" w:rsidRPr="00184079" w:rsidRDefault="00784863" w:rsidP="00836622">
            <w:pPr>
              <w:spacing w:line="360" w:lineRule="auto"/>
              <w:jc w:val="center"/>
              <w:rPr>
                <w:lang w:val="en-US"/>
              </w:rPr>
            </w:pPr>
            <w:r w:rsidRPr="00184079">
              <w:rPr>
                <w:lang w:val="en-US"/>
              </w:rPr>
              <w:t>.1</w:t>
            </w:r>
            <w:r>
              <w:rPr>
                <w:lang w:val="en-US"/>
              </w:rPr>
              <w:t>1</w:t>
            </w:r>
            <w:r w:rsidRPr="00184079">
              <w:rPr>
                <w:lang w:val="en-US"/>
              </w:rPr>
              <w:t>*</w:t>
            </w:r>
          </w:p>
        </w:tc>
      </w:tr>
      <w:tr w:rsidR="00784863" w:rsidRPr="00864116" w14:paraId="3621469D" w14:textId="77777777" w:rsidTr="00735B7F">
        <w:tc>
          <w:tcPr>
            <w:tcW w:w="2835" w:type="dxa"/>
          </w:tcPr>
          <w:p w14:paraId="41A4D22F" w14:textId="77777777" w:rsidR="00784863" w:rsidRPr="00864116" w:rsidRDefault="00784863" w:rsidP="00836622">
            <w:pPr>
              <w:spacing w:line="360" w:lineRule="auto"/>
              <w:rPr>
                <w:lang w:val="en-US"/>
              </w:rPr>
            </w:pPr>
            <w:r w:rsidRPr="00864116">
              <w:rPr>
                <w:lang w:val="en-US"/>
              </w:rPr>
              <w:t xml:space="preserve">Expectedness </w:t>
            </w:r>
          </w:p>
        </w:tc>
        <w:tc>
          <w:tcPr>
            <w:tcW w:w="2032" w:type="dxa"/>
          </w:tcPr>
          <w:p w14:paraId="6B20234C" w14:textId="77777777" w:rsidR="00784863" w:rsidRPr="00864116" w:rsidRDefault="00784863" w:rsidP="00836622">
            <w:pPr>
              <w:spacing w:line="360" w:lineRule="auto"/>
              <w:jc w:val="center"/>
              <w:rPr>
                <w:lang w:val="en-US"/>
              </w:rPr>
            </w:pPr>
            <w:r>
              <w:rPr>
                <w:lang w:val="en-US"/>
              </w:rPr>
              <w:t>1.13</w:t>
            </w:r>
          </w:p>
        </w:tc>
        <w:tc>
          <w:tcPr>
            <w:tcW w:w="2032" w:type="dxa"/>
          </w:tcPr>
          <w:p w14:paraId="4AF70CBA" w14:textId="3CC1DA88" w:rsidR="00784863" w:rsidRPr="00864116" w:rsidRDefault="00B9459F" w:rsidP="00836622">
            <w:pPr>
              <w:spacing w:line="360" w:lineRule="auto"/>
              <w:jc w:val="center"/>
              <w:rPr>
                <w:lang w:val="en-US"/>
              </w:rPr>
            </w:pPr>
            <w:r>
              <w:rPr>
                <w:lang w:val="en-US"/>
              </w:rPr>
              <w:t>0</w:t>
            </w:r>
            <w:r w:rsidR="00784863" w:rsidRPr="00864116">
              <w:rPr>
                <w:lang w:val="en-US"/>
              </w:rPr>
              <w:t>.</w:t>
            </w:r>
            <w:r w:rsidR="00784863">
              <w:rPr>
                <w:lang w:val="en-US"/>
              </w:rPr>
              <w:t>42</w:t>
            </w:r>
          </w:p>
        </w:tc>
        <w:tc>
          <w:tcPr>
            <w:tcW w:w="2032" w:type="dxa"/>
          </w:tcPr>
          <w:p w14:paraId="02B007A0" w14:textId="77777777" w:rsidR="00784863" w:rsidRPr="00184079" w:rsidRDefault="00784863" w:rsidP="00836622">
            <w:pPr>
              <w:spacing w:line="360" w:lineRule="auto"/>
              <w:jc w:val="center"/>
              <w:rPr>
                <w:lang w:val="en-US"/>
              </w:rPr>
            </w:pPr>
            <w:r w:rsidRPr="00184079">
              <w:rPr>
                <w:lang w:val="en-US"/>
              </w:rPr>
              <w:t>.1</w:t>
            </w:r>
            <w:r>
              <w:rPr>
                <w:lang w:val="en-US"/>
              </w:rPr>
              <w:t>3</w:t>
            </w:r>
            <w:r w:rsidRPr="00184079">
              <w:rPr>
                <w:lang w:val="en-US"/>
              </w:rPr>
              <w:t>**</w:t>
            </w:r>
          </w:p>
        </w:tc>
      </w:tr>
      <w:tr w:rsidR="00784863" w:rsidRPr="00864116" w14:paraId="49918154" w14:textId="77777777" w:rsidTr="00735B7F">
        <w:tc>
          <w:tcPr>
            <w:tcW w:w="2835" w:type="dxa"/>
          </w:tcPr>
          <w:p w14:paraId="359EC570" w14:textId="5943A7F4" w:rsidR="00784863" w:rsidRPr="00864116" w:rsidRDefault="00784863" w:rsidP="00836622">
            <w:pPr>
              <w:spacing w:line="360" w:lineRule="auto"/>
              <w:rPr>
                <w:lang w:val="en-US"/>
              </w:rPr>
            </w:pPr>
            <w:r w:rsidRPr="00864116">
              <w:rPr>
                <w:lang w:val="en-US"/>
              </w:rPr>
              <w:t xml:space="preserve">Time </w:t>
            </w:r>
            <w:r w:rsidR="006E5CFB">
              <w:rPr>
                <w:lang w:val="en-US"/>
              </w:rPr>
              <w:t>s</w:t>
            </w:r>
            <w:r w:rsidRPr="00864116">
              <w:rPr>
                <w:lang w:val="en-US"/>
              </w:rPr>
              <w:t xml:space="preserve">ince </w:t>
            </w:r>
            <w:r w:rsidR="006E5CFB">
              <w:rPr>
                <w:lang w:val="en-US"/>
              </w:rPr>
              <w:t>l</w:t>
            </w:r>
            <w:r w:rsidRPr="00864116">
              <w:rPr>
                <w:lang w:val="en-US"/>
              </w:rPr>
              <w:t>oss</w:t>
            </w:r>
            <w:r w:rsidR="00735B7F">
              <w:rPr>
                <w:lang w:val="en-US"/>
              </w:rPr>
              <w:t xml:space="preserve"> (months)</w:t>
            </w:r>
          </w:p>
        </w:tc>
        <w:tc>
          <w:tcPr>
            <w:tcW w:w="2032" w:type="dxa"/>
          </w:tcPr>
          <w:p w14:paraId="27092059" w14:textId="08D0CB28" w:rsidR="00784863" w:rsidRPr="00864116" w:rsidRDefault="00784863" w:rsidP="00A51363">
            <w:pPr>
              <w:spacing w:line="360" w:lineRule="auto"/>
              <w:jc w:val="center"/>
              <w:rPr>
                <w:lang w:val="en-US"/>
              </w:rPr>
            </w:pPr>
            <w:r w:rsidRPr="00864116">
              <w:rPr>
                <w:lang w:val="en-US"/>
              </w:rPr>
              <w:t>-</w:t>
            </w:r>
            <w:r w:rsidR="00B9459F">
              <w:rPr>
                <w:lang w:val="en-US"/>
              </w:rPr>
              <w:t>0</w:t>
            </w:r>
            <w:r w:rsidRPr="00864116">
              <w:rPr>
                <w:lang w:val="en-US"/>
              </w:rPr>
              <w:t>.</w:t>
            </w:r>
            <w:r>
              <w:rPr>
                <w:lang w:val="en-US"/>
              </w:rPr>
              <w:t>04</w:t>
            </w:r>
          </w:p>
        </w:tc>
        <w:tc>
          <w:tcPr>
            <w:tcW w:w="2032" w:type="dxa"/>
          </w:tcPr>
          <w:p w14:paraId="242AB4D3" w14:textId="4D0E683D" w:rsidR="00784863" w:rsidRPr="00864116" w:rsidRDefault="00B9459F" w:rsidP="00836622">
            <w:pPr>
              <w:spacing w:line="360" w:lineRule="auto"/>
              <w:jc w:val="center"/>
              <w:rPr>
                <w:lang w:val="en-US"/>
              </w:rPr>
            </w:pPr>
            <w:r>
              <w:rPr>
                <w:lang w:val="en-US"/>
              </w:rPr>
              <w:t>0</w:t>
            </w:r>
            <w:r w:rsidR="00784863" w:rsidRPr="00864116">
              <w:rPr>
                <w:lang w:val="en-US"/>
              </w:rPr>
              <w:t>.</w:t>
            </w:r>
            <w:r w:rsidR="00784863">
              <w:rPr>
                <w:lang w:val="en-US"/>
              </w:rPr>
              <w:t>01</w:t>
            </w:r>
          </w:p>
        </w:tc>
        <w:tc>
          <w:tcPr>
            <w:tcW w:w="2032" w:type="dxa"/>
          </w:tcPr>
          <w:p w14:paraId="1567C8DD" w14:textId="77777777" w:rsidR="00784863" w:rsidRPr="00184079" w:rsidRDefault="00784863" w:rsidP="00836622">
            <w:pPr>
              <w:spacing w:line="360" w:lineRule="auto"/>
              <w:jc w:val="center"/>
              <w:rPr>
                <w:lang w:val="en-US"/>
              </w:rPr>
            </w:pPr>
            <w:r w:rsidRPr="00184079">
              <w:rPr>
                <w:lang w:val="en-US"/>
              </w:rPr>
              <w:t>-.27***</w:t>
            </w:r>
          </w:p>
        </w:tc>
      </w:tr>
      <w:tr w:rsidR="00784863" w:rsidRPr="00864116" w14:paraId="00E41BDE" w14:textId="77777777" w:rsidTr="00735B7F">
        <w:tc>
          <w:tcPr>
            <w:tcW w:w="2835" w:type="dxa"/>
          </w:tcPr>
          <w:p w14:paraId="6E1B5273" w14:textId="7368BF27" w:rsidR="00784863" w:rsidRPr="00864116" w:rsidRDefault="00784863" w:rsidP="00836622">
            <w:pPr>
              <w:spacing w:line="360" w:lineRule="auto"/>
              <w:rPr>
                <w:lang w:val="en-US"/>
              </w:rPr>
            </w:pPr>
            <w:r w:rsidRPr="00864116">
              <w:rPr>
                <w:lang w:val="en-US"/>
              </w:rPr>
              <w:t xml:space="preserve">Partner </w:t>
            </w:r>
            <w:r w:rsidR="006E5CFB">
              <w:rPr>
                <w:lang w:val="en-US"/>
              </w:rPr>
              <w:t>k</w:t>
            </w:r>
            <w:r w:rsidRPr="00864116">
              <w:rPr>
                <w:lang w:val="en-US"/>
              </w:rPr>
              <w:t>inship</w:t>
            </w:r>
          </w:p>
        </w:tc>
        <w:tc>
          <w:tcPr>
            <w:tcW w:w="2032" w:type="dxa"/>
          </w:tcPr>
          <w:p w14:paraId="2936E4F0" w14:textId="77777777" w:rsidR="00784863" w:rsidRPr="00864116" w:rsidRDefault="00784863" w:rsidP="00836622">
            <w:pPr>
              <w:spacing w:line="360" w:lineRule="auto"/>
              <w:jc w:val="center"/>
              <w:rPr>
                <w:lang w:val="en-US"/>
              </w:rPr>
            </w:pPr>
            <w:r>
              <w:rPr>
                <w:lang w:val="en-US"/>
              </w:rPr>
              <w:t>3.84</w:t>
            </w:r>
          </w:p>
        </w:tc>
        <w:tc>
          <w:tcPr>
            <w:tcW w:w="2032" w:type="dxa"/>
          </w:tcPr>
          <w:p w14:paraId="39F9990A" w14:textId="77777777" w:rsidR="00784863" w:rsidRPr="00864116" w:rsidRDefault="00784863" w:rsidP="00836622">
            <w:pPr>
              <w:spacing w:line="360" w:lineRule="auto"/>
              <w:jc w:val="center"/>
              <w:rPr>
                <w:lang w:val="en-US"/>
              </w:rPr>
            </w:pPr>
            <w:r>
              <w:rPr>
                <w:lang w:val="en-US"/>
              </w:rPr>
              <w:t>2.89</w:t>
            </w:r>
          </w:p>
        </w:tc>
        <w:tc>
          <w:tcPr>
            <w:tcW w:w="2032" w:type="dxa"/>
          </w:tcPr>
          <w:p w14:paraId="3770E3E8" w14:textId="77777777" w:rsidR="00784863" w:rsidRPr="00184079" w:rsidRDefault="00784863" w:rsidP="00836622">
            <w:pPr>
              <w:spacing w:line="360" w:lineRule="auto"/>
              <w:jc w:val="center"/>
              <w:rPr>
                <w:lang w:val="en-US"/>
              </w:rPr>
            </w:pPr>
            <w:r w:rsidRPr="00184079">
              <w:rPr>
                <w:lang w:val="en-US"/>
              </w:rPr>
              <w:t>.1</w:t>
            </w:r>
            <w:r>
              <w:rPr>
                <w:lang w:val="en-US"/>
              </w:rPr>
              <w:t>2</w:t>
            </w:r>
          </w:p>
        </w:tc>
      </w:tr>
      <w:tr w:rsidR="00784863" w:rsidRPr="00864116" w14:paraId="4621158E" w14:textId="77777777" w:rsidTr="00735B7F">
        <w:tc>
          <w:tcPr>
            <w:tcW w:w="2835" w:type="dxa"/>
          </w:tcPr>
          <w:p w14:paraId="4A0DCC4B" w14:textId="3133129A" w:rsidR="00784863" w:rsidRPr="00864116" w:rsidRDefault="00784863" w:rsidP="00836622">
            <w:pPr>
              <w:spacing w:line="360" w:lineRule="auto"/>
              <w:rPr>
                <w:lang w:val="en-US"/>
              </w:rPr>
            </w:pPr>
            <w:r w:rsidRPr="00864116">
              <w:rPr>
                <w:lang w:val="en-US"/>
              </w:rPr>
              <w:t xml:space="preserve">Child </w:t>
            </w:r>
            <w:r w:rsidR="006E5CFB">
              <w:rPr>
                <w:lang w:val="en-US"/>
              </w:rPr>
              <w:t>k</w:t>
            </w:r>
            <w:r w:rsidRPr="00864116">
              <w:rPr>
                <w:lang w:val="en-US"/>
              </w:rPr>
              <w:t>inship</w:t>
            </w:r>
          </w:p>
        </w:tc>
        <w:tc>
          <w:tcPr>
            <w:tcW w:w="2032" w:type="dxa"/>
          </w:tcPr>
          <w:p w14:paraId="0E633F61" w14:textId="77777777" w:rsidR="00784863" w:rsidRPr="00864116" w:rsidRDefault="00784863" w:rsidP="00836622">
            <w:pPr>
              <w:spacing w:line="360" w:lineRule="auto"/>
              <w:jc w:val="center"/>
              <w:rPr>
                <w:lang w:val="en-US"/>
              </w:rPr>
            </w:pPr>
            <w:r>
              <w:rPr>
                <w:lang w:val="en-US"/>
              </w:rPr>
              <w:t>3.20</w:t>
            </w:r>
          </w:p>
        </w:tc>
        <w:tc>
          <w:tcPr>
            <w:tcW w:w="2032" w:type="dxa"/>
          </w:tcPr>
          <w:p w14:paraId="10831AEC" w14:textId="77777777" w:rsidR="00784863" w:rsidRPr="00864116" w:rsidRDefault="00784863" w:rsidP="00836622">
            <w:pPr>
              <w:spacing w:line="360" w:lineRule="auto"/>
              <w:jc w:val="center"/>
              <w:rPr>
                <w:lang w:val="en-US"/>
              </w:rPr>
            </w:pPr>
            <w:r>
              <w:rPr>
                <w:lang w:val="en-US"/>
              </w:rPr>
              <w:t>3.22</w:t>
            </w:r>
          </w:p>
        </w:tc>
        <w:tc>
          <w:tcPr>
            <w:tcW w:w="2032" w:type="dxa"/>
          </w:tcPr>
          <w:p w14:paraId="10AC896F" w14:textId="77777777" w:rsidR="00784863" w:rsidRPr="00184079" w:rsidRDefault="00784863" w:rsidP="00836622">
            <w:pPr>
              <w:spacing w:line="360" w:lineRule="auto"/>
              <w:jc w:val="center"/>
              <w:rPr>
                <w:lang w:val="en-US"/>
              </w:rPr>
            </w:pPr>
            <w:r w:rsidRPr="00184079">
              <w:rPr>
                <w:lang w:val="en-US"/>
              </w:rPr>
              <w:t>.07</w:t>
            </w:r>
          </w:p>
        </w:tc>
      </w:tr>
      <w:tr w:rsidR="00784863" w:rsidRPr="00864116" w14:paraId="00566F3C" w14:textId="77777777" w:rsidTr="00735B7F">
        <w:tc>
          <w:tcPr>
            <w:tcW w:w="2835" w:type="dxa"/>
          </w:tcPr>
          <w:p w14:paraId="7E44C532" w14:textId="0C8A7112" w:rsidR="00784863" w:rsidRPr="00864116" w:rsidRDefault="00784863" w:rsidP="00836622">
            <w:pPr>
              <w:spacing w:line="360" w:lineRule="auto"/>
              <w:rPr>
                <w:lang w:val="en-US"/>
              </w:rPr>
            </w:pPr>
            <w:r w:rsidRPr="00864116">
              <w:rPr>
                <w:lang w:val="en-US"/>
              </w:rPr>
              <w:t xml:space="preserve">Parent </w:t>
            </w:r>
            <w:r w:rsidR="006E5CFB">
              <w:rPr>
                <w:lang w:val="en-US"/>
              </w:rPr>
              <w:t>k</w:t>
            </w:r>
            <w:r w:rsidRPr="00864116">
              <w:rPr>
                <w:lang w:val="en-US"/>
              </w:rPr>
              <w:t>inship</w:t>
            </w:r>
          </w:p>
        </w:tc>
        <w:tc>
          <w:tcPr>
            <w:tcW w:w="2032" w:type="dxa"/>
          </w:tcPr>
          <w:p w14:paraId="2F4DFC7C" w14:textId="77777777" w:rsidR="00784863" w:rsidRPr="00864116" w:rsidRDefault="00784863" w:rsidP="00836622">
            <w:pPr>
              <w:spacing w:line="360" w:lineRule="auto"/>
              <w:jc w:val="center"/>
              <w:rPr>
                <w:lang w:val="en-US"/>
              </w:rPr>
            </w:pPr>
            <w:r>
              <w:rPr>
                <w:lang w:val="en-US"/>
              </w:rPr>
              <w:t>-1.03</w:t>
            </w:r>
          </w:p>
        </w:tc>
        <w:tc>
          <w:tcPr>
            <w:tcW w:w="2032" w:type="dxa"/>
          </w:tcPr>
          <w:p w14:paraId="5DDBFB7C" w14:textId="77777777" w:rsidR="00784863" w:rsidRPr="00864116" w:rsidRDefault="00784863" w:rsidP="00836622">
            <w:pPr>
              <w:spacing w:line="360" w:lineRule="auto"/>
              <w:jc w:val="center"/>
              <w:rPr>
                <w:lang w:val="en-US"/>
              </w:rPr>
            </w:pPr>
            <w:r>
              <w:rPr>
                <w:lang w:val="en-US"/>
              </w:rPr>
              <w:t>2.87</w:t>
            </w:r>
          </w:p>
        </w:tc>
        <w:tc>
          <w:tcPr>
            <w:tcW w:w="2032" w:type="dxa"/>
          </w:tcPr>
          <w:p w14:paraId="5B4BA71A" w14:textId="77777777" w:rsidR="00784863" w:rsidRPr="00184079" w:rsidRDefault="00784863" w:rsidP="00836622">
            <w:pPr>
              <w:spacing w:line="360" w:lineRule="auto"/>
              <w:jc w:val="center"/>
              <w:rPr>
                <w:lang w:val="en-US"/>
              </w:rPr>
            </w:pPr>
            <w:r w:rsidRPr="00184079">
              <w:rPr>
                <w:lang w:val="en-US"/>
              </w:rPr>
              <w:t>-.03</w:t>
            </w:r>
          </w:p>
        </w:tc>
      </w:tr>
      <w:tr w:rsidR="00784863" w:rsidRPr="00864116" w14:paraId="2DA306F7" w14:textId="77777777" w:rsidTr="00735B7F">
        <w:tc>
          <w:tcPr>
            <w:tcW w:w="2835" w:type="dxa"/>
          </w:tcPr>
          <w:p w14:paraId="0EF5FBA9" w14:textId="161A0FEE" w:rsidR="00784863" w:rsidRPr="00864116" w:rsidRDefault="00784863" w:rsidP="00836622">
            <w:pPr>
              <w:spacing w:line="360" w:lineRule="auto"/>
              <w:rPr>
                <w:lang w:val="en-US"/>
              </w:rPr>
            </w:pPr>
            <w:r w:rsidRPr="00864116">
              <w:rPr>
                <w:lang w:val="en-US"/>
              </w:rPr>
              <w:t xml:space="preserve">Sibling </w:t>
            </w:r>
            <w:r w:rsidR="006E5CFB">
              <w:rPr>
                <w:lang w:val="en-US"/>
              </w:rPr>
              <w:t>k</w:t>
            </w:r>
            <w:r w:rsidRPr="00864116">
              <w:rPr>
                <w:lang w:val="en-US"/>
              </w:rPr>
              <w:t>inship</w:t>
            </w:r>
          </w:p>
        </w:tc>
        <w:tc>
          <w:tcPr>
            <w:tcW w:w="2032" w:type="dxa"/>
          </w:tcPr>
          <w:p w14:paraId="0DC431FB" w14:textId="77777777" w:rsidR="00784863" w:rsidRPr="00864116" w:rsidRDefault="00784863" w:rsidP="00836622">
            <w:pPr>
              <w:spacing w:line="360" w:lineRule="auto"/>
              <w:jc w:val="center"/>
              <w:rPr>
                <w:lang w:val="en-US"/>
              </w:rPr>
            </w:pPr>
            <w:r>
              <w:rPr>
                <w:lang w:val="en-US"/>
              </w:rPr>
              <w:t>1.36</w:t>
            </w:r>
          </w:p>
        </w:tc>
        <w:tc>
          <w:tcPr>
            <w:tcW w:w="2032" w:type="dxa"/>
          </w:tcPr>
          <w:p w14:paraId="3ABE12C7" w14:textId="77777777" w:rsidR="00784863" w:rsidRPr="00864116" w:rsidRDefault="00784863" w:rsidP="00836622">
            <w:pPr>
              <w:spacing w:line="360" w:lineRule="auto"/>
              <w:jc w:val="center"/>
              <w:rPr>
                <w:lang w:val="en-US"/>
              </w:rPr>
            </w:pPr>
            <w:r>
              <w:rPr>
                <w:lang w:val="en-US"/>
              </w:rPr>
              <w:t>4.23</w:t>
            </w:r>
          </w:p>
        </w:tc>
        <w:tc>
          <w:tcPr>
            <w:tcW w:w="2032" w:type="dxa"/>
          </w:tcPr>
          <w:p w14:paraId="28E328DA" w14:textId="77777777" w:rsidR="00784863" w:rsidRPr="00184079" w:rsidRDefault="00784863" w:rsidP="00836622">
            <w:pPr>
              <w:spacing w:line="360" w:lineRule="auto"/>
              <w:jc w:val="center"/>
              <w:rPr>
                <w:lang w:val="en-US"/>
              </w:rPr>
            </w:pPr>
            <w:r w:rsidRPr="00184079">
              <w:rPr>
                <w:lang w:val="en-US"/>
              </w:rPr>
              <w:t>.0</w:t>
            </w:r>
            <w:r>
              <w:rPr>
                <w:lang w:val="en-US"/>
              </w:rPr>
              <w:t>2</w:t>
            </w:r>
          </w:p>
        </w:tc>
      </w:tr>
      <w:tr w:rsidR="00784863" w:rsidRPr="00864116" w14:paraId="17A476EB" w14:textId="77777777" w:rsidTr="00735B7F">
        <w:tc>
          <w:tcPr>
            <w:tcW w:w="2835" w:type="dxa"/>
          </w:tcPr>
          <w:p w14:paraId="624F0E6A" w14:textId="7307EE1F" w:rsidR="00784863" w:rsidRPr="00864116" w:rsidRDefault="00784863" w:rsidP="00836622">
            <w:pPr>
              <w:spacing w:line="360" w:lineRule="auto"/>
              <w:rPr>
                <w:lang w:val="en-US"/>
              </w:rPr>
            </w:pPr>
            <w:r w:rsidRPr="00864116">
              <w:rPr>
                <w:lang w:val="en-US"/>
              </w:rPr>
              <w:t xml:space="preserve">Grandparent </w:t>
            </w:r>
            <w:r w:rsidR="006E5CFB">
              <w:rPr>
                <w:lang w:val="en-US"/>
              </w:rPr>
              <w:t>k</w:t>
            </w:r>
            <w:r w:rsidRPr="00864116">
              <w:rPr>
                <w:lang w:val="en-US"/>
              </w:rPr>
              <w:t>inship</w:t>
            </w:r>
          </w:p>
        </w:tc>
        <w:tc>
          <w:tcPr>
            <w:tcW w:w="2032" w:type="dxa"/>
          </w:tcPr>
          <w:p w14:paraId="0DE8ECCD" w14:textId="77777777" w:rsidR="00784863" w:rsidRPr="00864116" w:rsidRDefault="00784863" w:rsidP="00836622">
            <w:pPr>
              <w:spacing w:line="360" w:lineRule="auto"/>
              <w:jc w:val="center"/>
              <w:rPr>
                <w:lang w:val="en-US"/>
              </w:rPr>
            </w:pPr>
            <w:r w:rsidRPr="00864116">
              <w:rPr>
                <w:lang w:val="en-US"/>
              </w:rPr>
              <w:t>-</w:t>
            </w:r>
            <w:r>
              <w:rPr>
                <w:lang w:val="en-US"/>
              </w:rPr>
              <w:t>8.06</w:t>
            </w:r>
          </w:p>
        </w:tc>
        <w:tc>
          <w:tcPr>
            <w:tcW w:w="2032" w:type="dxa"/>
          </w:tcPr>
          <w:p w14:paraId="3BD1245A" w14:textId="77777777" w:rsidR="00784863" w:rsidRPr="00864116" w:rsidRDefault="00784863" w:rsidP="00836622">
            <w:pPr>
              <w:spacing w:line="360" w:lineRule="auto"/>
              <w:jc w:val="center"/>
              <w:rPr>
                <w:lang w:val="en-US"/>
              </w:rPr>
            </w:pPr>
            <w:r>
              <w:rPr>
                <w:lang w:val="en-US"/>
              </w:rPr>
              <w:t>3.06</w:t>
            </w:r>
          </w:p>
        </w:tc>
        <w:tc>
          <w:tcPr>
            <w:tcW w:w="2032" w:type="dxa"/>
          </w:tcPr>
          <w:p w14:paraId="616C6D28" w14:textId="77777777" w:rsidR="00784863" w:rsidRPr="00184079" w:rsidRDefault="00784863" w:rsidP="00836622">
            <w:pPr>
              <w:spacing w:line="360" w:lineRule="auto"/>
              <w:jc w:val="center"/>
              <w:rPr>
                <w:lang w:val="en-US"/>
              </w:rPr>
            </w:pPr>
            <w:r w:rsidRPr="00184079">
              <w:rPr>
                <w:lang w:val="en-US"/>
              </w:rPr>
              <w:t>-.2</w:t>
            </w:r>
            <w:r>
              <w:rPr>
                <w:lang w:val="en-US"/>
              </w:rPr>
              <w:t>1</w:t>
            </w:r>
            <w:r w:rsidRPr="00184079">
              <w:rPr>
                <w:lang w:val="en-US"/>
              </w:rPr>
              <w:t>**</w:t>
            </w:r>
          </w:p>
        </w:tc>
      </w:tr>
      <w:tr w:rsidR="00784863" w:rsidRPr="00864116" w14:paraId="1EFC0508" w14:textId="77777777" w:rsidTr="0073229C">
        <w:tc>
          <w:tcPr>
            <w:tcW w:w="2835" w:type="dxa"/>
            <w:tcBorders>
              <w:bottom w:val="single" w:sz="12" w:space="0" w:color="auto"/>
            </w:tcBorders>
          </w:tcPr>
          <w:p w14:paraId="1B72D19E" w14:textId="4D5FDCA8" w:rsidR="00784863" w:rsidRPr="00864116" w:rsidRDefault="00784863" w:rsidP="00836622">
            <w:pPr>
              <w:spacing w:line="360" w:lineRule="auto"/>
              <w:rPr>
                <w:lang w:val="en-US"/>
              </w:rPr>
            </w:pPr>
            <w:r w:rsidRPr="00864116">
              <w:rPr>
                <w:lang w:val="en-US"/>
              </w:rPr>
              <w:t xml:space="preserve">Friend </w:t>
            </w:r>
            <w:r w:rsidR="006E5CFB">
              <w:rPr>
                <w:lang w:val="en-US"/>
              </w:rPr>
              <w:t>k</w:t>
            </w:r>
            <w:r w:rsidRPr="00864116">
              <w:rPr>
                <w:lang w:val="en-US"/>
              </w:rPr>
              <w:t>inship</w:t>
            </w:r>
          </w:p>
        </w:tc>
        <w:tc>
          <w:tcPr>
            <w:tcW w:w="2032" w:type="dxa"/>
            <w:tcBorders>
              <w:bottom w:val="single" w:sz="12" w:space="0" w:color="auto"/>
            </w:tcBorders>
          </w:tcPr>
          <w:p w14:paraId="1EE04F60" w14:textId="77777777" w:rsidR="00784863" w:rsidRPr="00864116" w:rsidRDefault="00784863" w:rsidP="00836622">
            <w:pPr>
              <w:spacing w:line="360" w:lineRule="auto"/>
              <w:jc w:val="center"/>
              <w:rPr>
                <w:lang w:val="en-US"/>
              </w:rPr>
            </w:pPr>
            <w:r w:rsidRPr="00864116">
              <w:rPr>
                <w:lang w:val="en-US"/>
              </w:rPr>
              <w:t>-</w:t>
            </w:r>
            <w:r>
              <w:rPr>
                <w:lang w:val="en-US"/>
              </w:rPr>
              <w:t>3.43</w:t>
            </w:r>
          </w:p>
        </w:tc>
        <w:tc>
          <w:tcPr>
            <w:tcW w:w="2032" w:type="dxa"/>
            <w:tcBorders>
              <w:bottom w:val="single" w:sz="12" w:space="0" w:color="auto"/>
            </w:tcBorders>
          </w:tcPr>
          <w:p w14:paraId="1E51D976" w14:textId="77777777" w:rsidR="00784863" w:rsidRPr="00864116" w:rsidRDefault="00784863" w:rsidP="00836622">
            <w:pPr>
              <w:spacing w:line="360" w:lineRule="auto"/>
              <w:jc w:val="center"/>
              <w:rPr>
                <w:lang w:val="en-US"/>
              </w:rPr>
            </w:pPr>
            <w:r>
              <w:rPr>
                <w:lang w:val="en-US"/>
              </w:rPr>
              <w:t>3.98</w:t>
            </w:r>
          </w:p>
        </w:tc>
        <w:tc>
          <w:tcPr>
            <w:tcW w:w="2032" w:type="dxa"/>
            <w:tcBorders>
              <w:bottom w:val="single" w:sz="12" w:space="0" w:color="auto"/>
            </w:tcBorders>
          </w:tcPr>
          <w:p w14:paraId="45105790" w14:textId="77777777" w:rsidR="00784863" w:rsidRPr="00864116" w:rsidRDefault="00784863" w:rsidP="00836622">
            <w:pPr>
              <w:spacing w:line="360" w:lineRule="auto"/>
              <w:jc w:val="center"/>
              <w:rPr>
                <w:lang w:val="en-US"/>
              </w:rPr>
            </w:pPr>
            <w:r w:rsidRPr="00864116">
              <w:rPr>
                <w:lang w:val="en-US"/>
              </w:rPr>
              <w:t>-.</w:t>
            </w:r>
            <w:r>
              <w:rPr>
                <w:lang w:val="en-US"/>
              </w:rPr>
              <w:t>05</w:t>
            </w:r>
          </w:p>
        </w:tc>
      </w:tr>
    </w:tbl>
    <w:p w14:paraId="25B537EE" w14:textId="1398EA6A" w:rsidR="00784863" w:rsidRPr="008C1EAF" w:rsidRDefault="00784863" w:rsidP="00784863">
      <w:pPr>
        <w:spacing w:line="360" w:lineRule="auto"/>
        <w:rPr>
          <w:lang w:val="en-US"/>
        </w:rPr>
      </w:pPr>
      <w:r w:rsidRPr="008C1EAF">
        <w:rPr>
          <w:i/>
          <w:iCs/>
          <w:lang w:val="en-US"/>
        </w:rPr>
        <w:t>Note</w:t>
      </w:r>
      <w:r w:rsidRPr="008C1EAF">
        <w:rPr>
          <w:lang w:val="en-US"/>
        </w:rPr>
        <w:t xml:space="preserve">. </w:t>
      </w:r>
      <w:r w:rsidRPr="008C1EAF">
        <w:rPr>
          <w:i/>
          <w:iCs/>
          <w:color w:val="000000" w:themeColor="text1"/>
          <w:lang w:val="en-US"/>
        </w:rPr>
        <w:t>R</w:t>
      </w:r>
      <w:r w:rsidRPr="008C1EAF">
        <w:rPr>
          <w:color w:val="000000" w:themeColor="text1"/>
          <w:vertAlign w:val="superscript"/>
          <w:lang w:val="en-US"/>
        </w:rPr>
        <w:t>2</w:t>
      </w:r>
      <w:r w:rsidRPr="008C1EAF">
        <w:rPr>
          <w:color w:val="000000" w:themeColor="text1"/>
          <w:lang w:val="en-US"/>
        </w:rPr>
        <w:t xml:space="preserve"> = .24</w:t>
      </w:r>
    </w:p>
    <w:p w14:paraId="342F5E8F" w14:textId="42A33E42" w:rsidR="00784863" w:rsidRPr="00184079" w:rsidRDefault="00784863" w:rsidP="00784863">
      <w:pPr>
        <w:spacing w:line="360" w:lineRule="auto"/>
        <w:rPr>
          <w:lang w:val="en-US"/>
        </w:rPr>
      </w:pPr>
      <w:r w:rsidRPr="00184079">
        <w:rPr>
          <w:lang w:val="en-US"/>
        </w:rPr>
        <w:t xml:space="preserve">* = </w:t>
      </w:r>
      <w:r w:rsidRPr="00184079">
        <w:rPr>
          <w:i/>
          <w:iCs/>
          <w:lang w:val="en-US"/>
        </w:rPr>
        <w:t>p</w:t>
      </w:r>
      <w:r w:rsidRPr="00184079">
        <w:rPr>
          <w:lang w:val="en-US"/>
        </w:rPr>
        <w:t xml:space="preserve"> &lt; .05, ** = </w:t>
      </w:r>
      <w:r w:rsidRPr="00184079">
        <w:rPr>
          <w:i/>
          <w:iCs/>
          <w:lang w:val="en-US"/>
        </w:rPr>
        <w:t>p</w:t>
      </w:r>
      <w:r w:rsidRPr="00184079">
        <w:rPr>
          <w:lang w:val="en-US"/>
        </w:rPr>
        <w:t xml:space="preserve"> &lt; .01, *** = </w:t>
      </w:r>
      <w:r w:rsidRPr="00184079">
        <w:rPr>
          <w:i/>
          <w:iCs/>
          <w:lang w:val="en-US"/>
        </w:rPr>
        <w:t>p</w:t>
      </w:r>
      <w:r w:rsidRPr="00184079">
        <w:rPr>
          <w:lang w:val="en-US"/>
        </w:rPr>
        <w:t xml:space="preserve"> &lt; .001</w:t>
      </w:r>
      <w:r w:rsidR="00EB38F2">
        <w:rPr>
          <w:lang w:val="en-US"/>
        </w:rPr>
        <w:t>.</w:t>
      </w:r>
    </w:p>
    <w:p w14:paraId="0B97252E" w14:textId="0B984731" w:rsidR="00784863" w:rsidRDefault="00784863" w:rsidP="00784863">
      <w:pPr>
        <w:spacing w:line="360" w:lineRule="auto"/>
        <w:rPr>
          <w:lang w:val="en-US"/>
        </w:rPr>
      </w:pPr>
      <w:r w:rsidRPr="00464956">
        <w:rPr>
          <w:vertAlign w:val="superscript"/>
          <w:lang w:val="en-US"/>
        </w:rPr>
        <w:t>a</w:t>
      </w:r>
      <w:r w:rsidRPr="00464956">
        <w:rPr>
          <w:lang w:val="en-US"/>
        </w:rPr>
        <w:t xml:space="preserve"> 1 = male, 2 = female</w:t>
      </w:r>
      <w:r w:rsidR="00D93F4C">
        <w:rPr>
          <w:lang w:val="en-US"/>
        </w:rPr>
        <w:t xml:space="preserve">. </w:t>
      </w:r>
      <w:r>
        <w:rPr>
          <w:vertAlign w:val="superscript"/>
          <w:lang w:val="en-US"/>
        </w:rPr>
        <w:t>b</w:t>
      </w:r>
      <w:r w:rsidRPr="00464956">
        <w:rPr>
          <w:lang w:val="en-US"/>
        </w:rPr>
        <w:t xml:space="preserve"> 0 = </w:t>
      </w:r>
      <w:r>
        <w:rPr>
          <w:lang w:val="en-US"/>
        </w:rPr>
        <w:t xml:space="preserve">no, </w:t>
      </w:r>
      <w:r w:rsidRPr="00464956">
        <w:rPr>
          <w:lang w:val="en-US"/>
        </w:rPr>
        <w:t>1 =</w:t>
      </w:r>
      <w:r>
        <w:rPr>
          <w:lang w:val="en-US"/>
        </w:rPr>
        <w:t xml:space="preserve"> yes</w:t>
      </w:r>
      <w:r w:rsidR="00D93F4C">
        <w:rPr>
          <w:lang w:val="en-US"/>
        </w:rPr>
        <w:t xml:space="preserve">. </w:t>
      </w:r>
      <w:r>
        <w:rPr>
          <w:vertAlign w:val="superscript"/>
          <w:lang w:val="en-US"/>
        </w:rPr>
        <w:t>c</w:t>
      </w:r>
      <w:r w:rsidRPr="00464956">
        <w:rPr>
          <w:lang w:val="en-US"/>
        </w:rPr>
        <w:t xml:space="preserve"> </w:t>
      </w:r>
      <w:r>
        <w:rPr>
          <w:lang w:val="en-US"/>
        </w:rPr>
        <w:t>1</w:t>
      </w:r>
      <w:r w:rsidRPr="00464956">
        <w:rPr>
          <w:lang w:val="en-US"/>
        </w:rPr>
        <w:t xml:space="preserve"> =</w:t>
      </w:r>
      <w:r>
        <w:rPr>
          <w:lang w:val="en-US"/>
        </w:rPr>
        <w:t xml:space="preserve"> no,</w:t>
      </w:r>
      <w:r w:rsidRPr="00464956">
        <w:rPr>
          <w:lang w:val="en-US"/>
        </w:rPr>
        <w:t xml:space="preserve"> </w:t>
      </w:r>
      <w:r>
        <w:rPr>
          <w:lang w:val="en-US"/>
        </w:rPr>
        <w:t>2</w:t>
      </w:r>
      <w:r w:rsidRPr="00464956">
        <w:rPr>
          <w:lang w:val="en-US"/>
        </w:rPr>
        <w:t xml:space="preserve"> =</w:t>
      </w:r>
      <w:r>
        <w:rPr>
          <w:lang w:val="en-US"/>
        </w:rPr>
        <w:t xml:space="preserve"> yes</w:t>
      </w:r>
      <w:r w:rsidR="00D93F4C">
        <w:rPr>
          <w:lang w:val="en-US"/>
        </w:rPr>
        <w:t xml:space="preserve">. </w:t>
      </w:r>
      <w:r>
        <w:rPr>
          <w:vertAlign w:val="superscript"/>
          <w:lang w:val="en-US"/>
        </w:rPr>
        <w:t>d</w:t>
      </w:r>
      <w:r w:rsidRPr="00464956">
        <w:rPr>
          <w:lang w:val="en-US"/>
        </w:rPr>
        <w:t xml:space="preserve"> 0 =</w:t>
      </w:r>
      <w:r>
        <w:rPr>
          <w:lang w:val="en-US"/>
        </w:rPr>
        <w:t xml:space="preserve"> no,</w:t>
      </w:r>
      <w:r w:rsidRPr="00464956">
        <w:rPr>
          <w:lang w:val="en-US"/>
        </w:rPr>
        <w:t xml:space="preserve"> 1 =</w:t>
      </w:r>
      <w:r>
        <w:rPr>
          <w:lang w:val="en-US"/>
        </w:rPr>
        <w:t xml:space="preserve"> yes</w:t>
      </w:r>
      <w:r w:rsidR="00D93F4C">
        <w:rPr>
          <w:lang w:val="en-US"/>
        </w:rPr>
        <w:t xml:space="preserve">. </w:t>
      </w:r>
      <w:r>
        <w:rPr>
          <w:vertAlign w:val="superscript"/>
          <w:lang w:val="en-US"/>
        </w:rPr>
        <w:t>e</w:t>
      </w:r>
      <w:r w:rsidRPr="00464956">
        <w:rPr>
          <w:lang w:val="en-US"/>
        </w:rPr>
        <w:t xml:space="preserve"> 0 = </w:t>
      </w:r>
      <w:r>
        <w:rPr>
          <w:lang w:val="en-US"/>
        </w:rPr>
        <w:t xml:space="preserve">natural, </w:t>
      </w:r>
      <w:r w:rsidRPr="00464956">
        <w:rPr>
          <w:lang w:val="en-US"/>
        </w:rPr>
        <w:t>1 =</w:t>
      </w:r>
      <w:r>
        <w:rPr>
          <w:lang w:val="en-US"/>
        </w:rPr>
        <w:t xml:space="preserve"> unnatural</w:t>
      </w:r>
      <w:r w:rsidR="00EB38F2">
        <w:rPr>
          <w:lang w:val="en-US"/>
        </w:rPr>
        <w:t>.</w:t>
      </w:r>
      <w:r>
        <w:rPr>
          <w:lang w:val="en-US"/>
        </w:rPr>
        <w:t xml:space="preserve"> </w:t>
      </w:r>
      <w:r w:rsidRPr="00464956">
        <w:rPr>
          <w:lang w:val="en-US"/>
        </w:rPr>
        <w:t xml:space="preserve"> </w:t>
      </w:r>
    </w:p>
    <w:p w14:paraId="5C28C460" w14:textId="77777777" w:rsidR="004714F2" w:rsidRDefault="004714F2" w:rsidP="00784863">
      <w:pPr>
        <w:spacing w:line="360" w:lineRule="auto"/>
        <w:rPr>
          <w:lang w:val="en-US"/>
        </w:rPr>
      </w:pPr>
    </w:p>
    <w:p w14:paraId="559B5DC0" w14:textId="55552C36" w:rsidR="004714F2" w:rsidRPr="00AF507D" w:rsidRDefault="004714F2" w:rsidP="00AF507D">
      <w:pPr>
        <w:spacing w:line="480" w:lineRule="auto"/>
        <w:rPr>
          <w:b/>
          <w:bCs/>
          <w:color w:val="000000" w:themeColor="text1"/>
          <w:lang w:val="en-US"/>
        </w:rPr>
      </w:pPr>
      <w:r w:rsidRPr="00AF507D">
        <w:rPr>
          <w:b/>
          <w:bCs/>
          <w:color w:val="000000" w:themeColor="text1"/>
          <w:lang w:val="en-US"/>
        </w:rPr>
        <w:t xml:space="preserve">Comparison </w:t>
      </w:r>
      <w:r w:rsidR="00A243F4" w:rsidRPr="00AF507D">
        <w:rPr>
          <w:b/>
          <w:bCs/>
          <w:color w:val="000000" w:themeColor="text1"/>
          <w:lang w:val="en-US"/>
        </w:rPr>
        <w:t xml:space="preserve">of Predictors for </w:t>
      </w:r>
      <w:r w:rsidRPr="00AF507D">
        <w:rPr>
          <w:b/>
          <w:bCs/>
          <w:color w:val="000000" w:themeColor="text1"/>
          <w:lang w:val="en-US"/>
        </w:rPr>
        <w:t>Pathological Grief and Depression</w:t>
      </w:r>
    </w:p>
    <w:p w14:paraId="446880DE" w14:textId="4383316C" w:rsidR="004714F2" w:rsidRPr="00AF507D" w:rsidRDefault="00F672ED" w:rsidP="00AF507D">
      <w:pPr>
        <w:spacing w:line="480" w:lineRule="auto"/>
        <w:ind w:firstLine="720"/>
        <w:rPr>
          <w:color w:val="000000" w:themeColor="text1"/>
          <w:lang w:val="en-US"/>
        </w:rPr>
      </w:pPr>
      <w:r w:rsidRPr="00AF507D">
        <w:rPr>
          <w:color w:val="000000" w:themeColor="text1"/>
          <w:lang w:val="en-US"/>
        </w:rPr>
        <w:t xml:space="preserve">The results of multiple regression analysis </w:t>
      </w:r>
      <w:r w:rsidR="00CF31BB" w:rsidRPr="00AF507D">
        <w:rPr>
          <w:color w:val="000000" w:themeColor="text1"/>
          <w:lang w:val="en-US"/>
        </w:rPr>
        <w:t xml:space="preserve">for </w:t>
      </w:r>
      <w:r w:rsidR="003E4288" w:rsidRPr="00AF507D">
        <w:rPr>
          <w:color w:val="000000" w:themeColor="text1"/>
          <w:lang w:val="en-US"/>
        </w:rPr>
        <w:t xml:space="preserve">depression and </w:t>
      </w:r>
      <w:r w:rsidR="00CF31BB" w:rsidRPr="00AF507D">
        <w:rPr>
          <w:color w:val="000000" w:themeColor="text1"/>
          <w:lang w:val="en-US"/>
        </w:rPr>
        <w:t xml:space="preserve">pathological grief </w:t>
      </w:r>
      <w:r w:rsidR="003E4288" w:rsidRPr="00AF507D">
        <w:rPr>
          <w:color w:val="000000" w:themeColor="text1"/>
          <w:lang w:val="en-US"/>
        </w:rPr>
        <w:t>a</w:t>
      </w:r>
      <w:r w:rsidRPr="00AF507D">
        <w:rPr>
          <w:color w:val="000000" w:themeColor="text1"/>
          <w:lang w:val="en-US"/>
        </w:rPr>
        <w:t xml:space="preserve">re shown in Table 2 and Table 3. </w:t>
      </w:r>
      <w:r w:rsidR="00E10F1D" w:rsidRPr="00AF507D">
        <w:rPr>
          <w:color w:val="000000" w:themeColor="text1"/>
          <w:lang w:val="en-US"/>
        </w:rPr>
        <w:t>Depression and pathological grief share the following</w:t>
      </w:r>
      <w:r w:rsidR="00E936C1" w:rsidRPr="00AF507D">
        <w:rPr>
          <w:color w:val="000000" w:themeColor="text1"/>
          <w:lang w:val="en-US"/>
        </w:rPr>
        <w:t xml:space="preserve"> significant</w:t>
      </w:r>
      <w:r w:rsidR="00E10F1D" w:rsidRPr="00AF507D">
        <w:rPr>
          <w:color w:val="000000" w:themeColor="text1"/>
          <w:lang w:val="en-US"/>
        </w:rPr>
        <w:t xml:space="preserve"> predictors: history of psychological support, </w:t>
      </w:r>
      <w:r w:rsidR="00D018EE" w:rsidRPr="00AF507D">
        <w:rPr>
          <w:color w:val="000000" w:themeColor="text1"/>
          <w:lang w:val="en-US"/>
        </w:rPr>
        <w:t xml:space="preserve">shorter </w:t>
      </w:r>
      <w:r w:rsidR="00E10F1D" w:rsidRPr="00AF507D">
        <w:rPr>
          <w:color w:val="000000" w:themeColor="text1"/>
          <w:lang w:val="en-US"/>
        </w:rPr>
        <w:t xml:space="preserve">time since loss and </w:t>
      </w:r>
      <w:r w:rsidR="00E10F1D" w:rsidRPr="00AF507D">
        <w:rPr>
          <w:color w:val="000000" w:themeColor="text1"/>
          <w:lang w:val="en-US"/>
        </w:rPr>
        <w:lastRenderedPageBreak/>
        <w:t>unexpectedness</w:t>
      </w:r>
      <w:r w:rsidR="00D018EE" w:rsidRPr="00AF507D">
        <w:rPr>
          <w:color w:val="000000" w:themeColor="text1"/>
          <w:lang w:val="en-US"/>
        </w:rPr>
        <w:t xml:space="preserve"> of the loss.</w:t>
      </w:r>
      <w:r w:rsidR="00950C8B" w:rsidRPr="00AF507D">
        <w:rPr>
          <w:color w:val="000000" w:themeColor="text1"/>
          <w:lang w:val="en-US"/>
        </w:rPr>
        <w:t xml:space="preserve"> For depression</w:t>
      </w:r>
      <w:r w:rsidR="00964EE7" w:rsidRPr="00AF507D">
        <w:rPr>
          <w:color w:val="000000" w:themeColor="text1"/>
          <w:lang w:val="en-US"/>
        </w:rPr>
        <w:t>,</w:t>
      </w:r>
      <w:r w:rsidR="00950C8B" w:rsidRPr="00AF507D">
        <w:rPr>
          <w:color w:val="000000" w:themeColor="text1"/>
          <w:lang w:val="en-US"/>
        </w:rPr>
        <w:t xml:space="preserve"> history of psychological support was the strongest predictor</w:t>
      </w:r>
      <w:r w:rsidR="00B676D3" w:rsidRPr="00AF507D">
        <w:rPr>
          <w:color w:val="000000" w:themeColor="text1"/>
          <w:lang w:val="en-US"/>
        </w:rPr>
        <w:t xml:space="preserve"> (</w:t>
      </w:r>
      <w:r w:rsidR="00B676D3" w:rsidRPr="00AF507D">
        <w:rPr>
          <w:i/>
          <w:iCs/>
          <w:color w:val="000000" w:themeColor="text1"/>
          <w:lang w:val="en-US"/>
        </w:rPr>
        <w:t>ß</w:t>
      </w:r>
      <w:r w:rsidR="00B676D3" w:rsidRPr="00AF507D">
        <w:rPr>
          <w:color w:val="000000" w:themeColor="text1"/>
          <w:lang w:val="en-US"/>
        </w:rPr>
        <w:t xml:space="preserve"> = .20)</w:t>
      </w:r>
      <w:r w:rsidR="00950C8B" w:rsidRPr="00AF507D">
        <w:rPr>
          <w:color w:val="000000" w:themeColor="text1"/>
          <w:lang w:val="en-US"/>
        </w:rPr>
        <w:t xml:space="preserve">, for pathological grief </w:t>
      </w:r>
      <w:r w:rsidR="006F64C8" w:rsidRPr="00AF507D">
        <w:rPr>
          <w:color w:val="000000" w:themeColor="text1"/>
          <w:lang w:val="en-US"/>
        </w:rPr>
        <w:t>the strongest predictor</w:t>
      </w:r>
      <w:r w:rsidR="00950C8B" w:rsidRPr="00AF507D">
        <w:rPr>
          <w:color w:val="000000" w:themeColor="text1"/>
          <w:lang w:val="en-US"/>
        </w:rPr>
        <w:t xml:space="preserve"> was shorter time since loss</w:t>
      </w:r>
      <w:r w:rsidR="00B676D3" w:rsidRPr="00AF507D">
        <w:rPr>
          <w:color w:val="000000" w:themeColor="text1"/>
          <w:lang w:val="en-US"/>
        </w:rPr>
        <w:t xml:space="preserve"> (</w:t>
      </w:r>
      <w:r w:rsidR="00B676D3" w:rsidRPr="00AF507D">
        <w:rPr>
          <w:i/>
          <w:iCs/>
          <w:color w:val="000000" w:themeColor="text1"/>
          <w:lang w:val="en-US"/>
        </w:rPr>
        <w:t>ß</w:t>
      </w:r>
      <w:r w:rsidR="00B676D3" w:rsidRPr="00AF507D">
        <w:rPr>
          <w:color w:val="000000" w:themeColor="text1"/>
          <w:lang w:val="en-US"/>
        </w:rPr>
        <w:t xml:space="preserve"> = -.27)</w:t>
      </w:r>
      <w:r w:rsidR="00950C8B" w:rsidRPr="00AF507D">
        <w:rPr>
          <w:color w:val="000000" w:themeColor="text1"/>
          <w:lang w:val="en-US"/>
        </w:rPr>
        <w:t>. Results show</w:t>
      </w:r>
      <w:r w:rsidR="00F85C47" w:rsidRPr="00AF507D">
        <w:rPr>
          <w:color w:val="000000" w:themeColor="text1"/>
          <w:lang w:val="en-US"/>
        </w:rPr>
        <w:t xml:space="preserve"> two additional predictors for p</w:t>
      </w:r>
      <w:r w:rsidR="00950C8B" w:rsidRPr="00AF507D">
        <w:rPr>
          <w:color w:val="000000" w:themeColor="text1"/>
          <w:lang w:val="en-US"/>
        </w:rPr>
        <w:t>athological</w:t>
      </w:r>
      <w:r w:rsidR="00F85C47" w:rsidRPr="00AF507D">
        <w:rPr>
          <w:color w:val="000000" w:themeColor="text1"/>
          <w:lang w:val="en-US"/>
        </w:rPr>
        <w:t xml:space="preserve"> grief: unnatural cause of death</w:t>
      </w:r>
      <w:r w:rsidR="008D2B77" w:rsidRPr="00AF507D">
        <w:rPr>
          <w:color w:val="000000" w:themeColor="text1"/>
          <w:lang w:val="en-US"/>
        </w:rPr>
        <w:t xml:space="preserve"> </w:t>
      </w:r>
      <w:r w:rsidR="00970240" w:rsidRPr="00AF507D">
        <w:rPr>
          <w:color w:val="000000" w:themeColor="text1"/>
          <w:lang w:val="en-US"/>
        </w:rPr>
        <w:t>(</w:t>
      </w:r>
      <w:r w:rsidR="00970240" w:rsidRPr="00AF507D">
        <w:rPr>
          <w:i/>
          <w:iCs/>
          <w:color w:val="000000" w:themeColor="text1"/>
          <w:lang w:val="en-US"/>
        </w:rPr>
        <w:t>ß</w:t>
      </w:r>
      <w:r w:rsidR="00970240" w:rsidRPr="00AF507D">
        <w:rPr>
          <w:color w:val="000000" w:themeColor="text1"/>
          <w:lang w:val="en-US"/>
        </w:rPr>
        <w:t xml:space="preserve"> = .11</w:t>
      </w:r>
      <w:r w:rsidR="00010BD7" w:rsidRPr="00AF507D">
        <w:rPr>
          <w:color w:val="000000" w:themeColor="text1"/>
          <w:lang w:val="en-US"/>
        </w:rPr>
        <w:t xml:space="preserve">) </w:t>
      </w:r>
      <w:r w:rsidR="00F85C47" w:rsidRPr="00AF507D">
        <w:rPr>
          <w:color w:val="000000" w:themeColor="text1"/>
          <w:lang w:val="en-US"/>
        </w:rPr>
        <w:t xml:space="preserve">and </w:t>
      </w:r>
      <w:r w:rsidR="00922952" w:rsidRPr="00AF507D">
        <w:rPr>
          <w:color w:val="000000" w:themeColor="text1"/>
          <w:lang w:val="en-US"/>
        </w:rPr>
        <w:t>loss</w:t>
      </w:r>
      <w:r w:rsidR="00F85C47" w:rsidRPr="00AF507D">
        <w:rPr>
          <w:color w:val="000000" w:themeColor="text1"/>
          <w:lang w:val="en-US"/>
        </w:rPr>
        <w:t xml:space="preserve"> of a grandparent</w:t>
      </w:r>
      <w:r w:rsidR="00A55F6E" w:rsidRPr="00AF507D">
        <w:rPr>
          <w:color w:val="000000" w:themeColor="text1"/>
          <w:lang w:val="en-US"/>
        </w:rPr>
        <w:t xml:space="preserve"> compared to ‘other’</w:t>
      </w:r>
      <w:r w:rsidR="00970240" w:rsidRPr="00AF507D">
        <w:rPr>
          <w:color w:val="000000" w:themeColor="text1"/>
          <w:lang w:val="en-US"/>
        </w:rPr>
        <w:t xml:space="preserve"> (</w:t>
      </w:r>
      <w:r w:rsidR="00970240" w:rsidRPr="00AF507D">
        <w:rPr>
          <w:i/>
          <w:iCs/>
          <w:color w:val="000000" w:themeColor="text1"/>
          <w:lang w:val="en-US"/>
        </w:rPr>
        <w:t>ß</w:t>
      </w:r>
      <w:r w:rsidR="00970240" w:rsidRPr="00AF507D">
        <w:rPr>
          <w:color w:val="000000" w:themeColor="text1"/>
          <w:lang w:val="en-US"/>
        </w:rPr>
        <w:t xml:space="preserve"> = -.21)</w:t>
      </w:r>
      <w:commentRangeStart w:id="7"/>
      <w:r w:rsidR="00F85C47" w:rsidRPr="00AF507D">
        <w:rPr>
          <w:color w:val="000000" w:themeColor="text1"/>
          <w:lang w:val="en-US"/>
        </w:rPr>
        <w:t xml:space="preserve">. </w:t>
      </w:r>
      <w:commentRangeEnd w:id="7"/>
      <w:r w:rsidR="00E42F60">
        <w:rPr>
          <w:rStyle w:val="CommentReference"/>
          <w:rFonts w:ascii="Arial" w:eastAsia="Arial" w:hAnsi="Arial" w:cs="Arial"/>
          <w:lang w:val="nl"/>
        </w:rPr>
        <w:commentReference w:id="7"/>
      </w:r>
    </w:p>
    <w:p w14:paraId="173E645C" w14:textId="7C1033D9" w:rsidR="00755006" w:rsidRDefault="00755006" w:rsidP="00BC4CC3">
      <w:pPr>
        <w:spacing w:line="480" w:lineRule="auto"/>
        <w:rPr>
          <w:lang w:val="en-US"/>
        </w:rPr>
      </w:pPr>
    </w:p>
    <w:p w14:paraId="14A205D1" w14:textId="26C5F1AD" w:rsidR="008364CE" w:rsidRDefault="008364CE" w:rsidP="00BC4CC3">
      <w:pPr>
        <w:spacing w:line="480" w:lineRule="auto"/>
        <w:rPr>
          <w:lang w:val="en-US"/>
        </w:rPr>
      </w:pPr>
    </w:p>
    <w:p w14:paraId="12D55005" w14:textId="1C6B7EF3" w:rsidR="008364CE" w:rsidRDefault="008364CE" w:rsidP="00BC4CC3">
      <w:pPr>
        <w:spacing w:line="480" w:lineRule="auto"/>
        <w:rPr>
          <w:lang w:val="en-US"/>
        </w:rPr>
      </w:pPr>
    </w:p>
    <w:p w14:paraId="62F1ED6B" w14:textId="762E0419" w:rsidR="008364CE" w:rsidRDefault="008364CE" w:rsidP="00BC4CC3">
      <w:pPr>
        <w:spacing w:line="480" w:lineRule="auto"/>
        <w:rPr>
          <w:lang w:val="en-US"/>
        </w:rPr>
      </w:pPr>
    </w:p>
    <w:p w14:paraId="5E60384E" w14:textId="2C5CE0AE" w:rsidR="008364CE" w:rsidRDefault="008364CE" w:rsidP="00BC4CC3">
      <w:pPr>
        <w:spacing w:line="480" w:lineRule="auto"/>
        <w:rPr>
          <w:lang w:val="en-US"/>
        </w:rPr>
      </w:pPr>
    </w:p>
    <w:p w14:paraId="02242C9C" w14:textId="40D01565" w:rsidR="008364CE" w:rsidRDefault="008364CE" w:rsidP="00BC4CC3">
      <w:pPr>
        <w:spacing w:line="480" w:lineRule="auto"/>
        <w:rPr>
          <w:lang w:val="en-US"/>
        </w:rPr>
      </w:pPr>
    </w:p>
    <w:p w14:paraId="09D18A6E" w14:textId="46B8540F" w:rsidR="008364CE" w:rsidRDefault="008364CE" w:rsidP="00BC4CC3">
      <w:pPr>
        <w:spacing w:line="480" w:lineRule="auto"/>
        <w:rPr>
          <w:lang w:val="en-US"/>
        </w:rPr>
      </w:pPr>
    </w:p>
    <w:p w14:paraId="287DA2D6" w14:textId="76DCA7FB" w:rsidR="008364CE" w:rsidRDefault="008364CE" w:rsidP="00BC4CC3">
      <w:pPr>
        <w:spacing w:line="480" w:lineRule="auto"/>
        <w:rPr>
          <w:lang w:val="en-US"/>
        </w:rPr>
      </w:pPr>
    </w:p>
    <w:p w14:paraId="0A2549E3" w14:textId="53904D20" w:rsidR="008364CE" w:rsidRDefault="008364CE" w:rsidP="00BC4CC3">
      <w:pPr>
        <w:spacing w:line="480" w:lineRule="auto"/>
        <w:rPr>
          <w:lang w:val="en-US"/>
        </w:rPr>
      </w:pPr>
    </w:p>
    <w:p w14:paraId="61EB9F49" w14:textId="274AAB7B" w:rsidR="008364CE" w:rsidRDefault="008364CE" w:rsidP="00BC4CC3">
      <w:pPr>
        <w:spacing w:line="480" w:lineRule="auto"/>
        <w:rPr>
          <w:lang w:val="en-US"/>
        </w:rPr>
      </w:pPr>
    </w:p>
    <w:p w14:paraId="76A1601A" w14:textId="27F0BE28" w:rsidR="008364CE" w:rsidRDefault="008364CE" w:rsidP="00BC4CC3">
      <w:pPr>
        <w:spacing w:line="480" w:lineRule="auto"/>
        <w:rPr>
          <w:lang w:val="en-US"/>
        </w:rPr>
      </w:pPr>
    </w:p>
    <w:p w14:paraId="59BBCFFC" w14:textId="1526CD04" w:rsidR="008364CE" w:rsidRDefault="008364CE" w:rsidP="00BC4CC3">
      <w:pPr>
        <w:spacing w:line="480" w:lineRule="auto"/>
        <w:rPr>
          <w:lang w:val="en-US"/>
        </w:rPr>
      </w:pPr>
    </w:p>
    <w:p w14:paraId="0C93DD76" w14:textId="1FA3A487" w:rsidR="008364CE" w:rsidRDefault="008364CE" w:rsidP="00BC4CC3">
      <w:pPr>
        <w:spacing w:line="480" w:lineRule="auto"/>
        <w:rPr>
          <w:lang w:val="en-US"/>
        </w:rPr>
      </w:pPr>
    </w:p>
    <w:p w14:paraId="63EB8C68" w14:textId="5E7668EA" w:rsidR="008364CE" w:rsidRDefault="008364CE" w:rsidP="00BC4CC3">
      <w:pPr>
        <w:spacing w:line="480" w:lineRule="auto"/>
        <w:rPr>
          <w:lang w:val="en-US"/>
        </w:rPr>
      </w:pPr>
    </w:p>
    <w:p w14:paraId="7FA3D1DD" w14:textId="4AB70AF6" w:rsidR="008364CE" w:rsidRDefault="008364CE" w:rsidP="00BC4CC3">
      <w:pPr>
        <w:spacing w:line="480" w:lineRule="auto"/>
        <w:rPr>
          <w:lang w:val="en-US"/>
        </w:rPr>
      </w:pPr>
    </w:p>
    <w:p w14:paraId="6B2C6CFC" w14:textId="225DF5C9" w:rsidR="008364CE" w:rsidRDefault="008364CE" w:rsidP="00BC4CC3">
      <w:pPr>
        <w:spacing w:line="480" w:lineRule="auto"/>
        <w:rPr>
          <w:lang w:val="en-US"/>
        </w:rPr>
      </w:pPr>
    </w:p>
    <w:p w14:paraId="09AAEBC7" w14:textId="38F6959A" w:rsidR="008364CE" w:rsidRDefault="008364CE" w:rsidP="00BC4CC3">
      <w:pPr>
        <w:spacing w:line="480" w:lineRule="auto"/>
        <w:rPr>
          <w:lang w:val="en-US"/>
        </w:rPr>
      </w:pPr>
    </w:p>
    <w:p w14:paraId="66D609D6" w14:textId="3C444F3A" w:rsidR="004F4C84" w:rsidRDefault="004F4C84" w:rsidP="00BC4CC3">
      <w:pPr>
        <w:spacing w:line="480" w:lineRule="auto"/>
        <w:rPr>
          <w:lang w:val="en-US"/>
        </w:rPr>
      </w:pPr>
    </w:p>
    <w:p w14:paraId="23A040E9" w14:textId="55E6E024" w:rsidR="004F4C84" w:rsidRDefault="004F4C84" w:rsidP="00BC4CC3">
      <w:pPr>
        <w:spacing w:line="480" w:lineRule="auto"/>
        <w:rPr>
          <w:lang w:val="en-US"/>
        </w:rPr>
      </w:pPr>
    </w:p>
    <w:p w14:paraId="1531B972" w14:textId="2FA40143" w:rsidR="004F4C84" w:rsidRDefault="004F4C84" w:rsidP="00BC4CC3">
      <w:pPr>
        <w:spacing w:line="480" w:lineRule="auto"/>
        <w:rPr>
          <w:lang w:val="en-US"/>
        </w:rPr>
      </w:pPr>
    </w:p>
    <w:p w14:paraId="41D13FAE" w14:textId="77777777" w:rsidR="004F4C84" w:rsidRDefault="004F4C84" w:rsidP="00BC4CC3">
      <w:pPr>
        <w:spacing w:line="480" w:lineRule="auto"/>
        <w:rPr>
          <w:lang w:val="en-US"/>
        </w:rPr>
      </w:pPr>
    </w:p>
    <w:p w14:paraId="7D43824F" w14:textId="2E462E6C" w:rsidR="00BC4CC3" w:rsidRDefault="00BC4CC3" w:rsidP="00E9016C">
      <w:pPr>
        <w:spacing w:line="480" w:lineRule="auto"/>
        <w:jc w:val="center"/>
        <w:rPr>
          <w:b/>
          <w:bCs/>
          <w:color w:val="000000" w:themeColor="text1"/>
          <w:lang w:val="en-US"/>
        </w:rPr>
      </w:pPr>
      <w:r w:rsidRPr="00E9016C">
        <w:rPr>
          <w:b/>
          <w:bCs/>
          <w:color w:val="000000" w:themeColor="text1"/>
          <w:lang w:val="en-US"/>
        </w:rPr>
        <w:lastRenderedPageBreak/>
        <w:t>Discussion</w:t>
      </w:r>
    </w:p>
    <w:p w14:paraId="556FB15C" w14:textId="38F4053E" w:rsidR="00F65FB7" w:rsidRDefault="00F65FB7" w:rsidP="00F65FB7">
      <w:pPr>
        <w:spacing w:line="480" w:lineRule="auto"/>
        <w:rPr>
          <w:color w:val="000000" w:themeColor="text1"/>
          <w:lang w:val="en-US"/>
        </w:rPr>
      </w:pPr>
    </w:p>
    <w:p w14:paraId="0479E7CE" w14:textId="18B322BC" w:rsidR="00F65FB7" w:rsidRDefault="00F65FB7" w:rsidP="00F65FB7">
      <w:pPr>
        <w:spacing w:line="480" w:lineRule="auto"/>
        <w:rPr>
          <w:color w:val="000000" w:themeColor="text1"/>
          <w:lang w:val="en-US"/>
        </w:rPr>
      </w:pPr>
      <w:r>
        <w:rPr>
          <w:color w:val="000000" w:themeColor="text1"/>
          <w:lang w:val="en-US"/>
        </w:rPr>
        <w:tab/>
        <w:t>Research has focused on the extent to which pathological grief is distinct from depression. Several studies have shown that they are distinguishable syndromes (</w:t>
      </w:r>
      <w:r w:rsidRPr="00E9016C">
        <w:rPr>
          <w:color w:val="000000" w:themeColor="text1"/>
          <w:lang w:val="en-US"/>
        </w:rPr>
        <w:t xml:space="preserve">Boelen et al., 2010; Boelen &amp; </w:t>
      </w:r>
      <w:proofErr w:type="spellStart"/>
      <w:r w:rsidRPr="00E9016C">
        <w:rPr>
          <w:color w:val="000000" w:themeColor="text1"/>
          <w:lang w:val="en-US"/>
        </w:rPr>
        <w:t>Lenferink</w:t>
      </w:r>
      <w:proofErr w:type="spellEnd"/>
      <w:r w:rsidRPr="00E9016C">
        <w:rPr>
          <w:color w:val="000000" w:themeColor="text1"/>
          <w:lang w:val="en-US"/>
        </w:rPr>
        <w:t xml:space="preserve">, 2019; Boelen &amp; van den Bout, 2005; </w:t>
      </w:r>
      <w:proofErr w:type="spellStart"/>
      <w:r w:rsidRPr="00E9016C">
        <w:rPr>
          <w:color w:val="000000" w:themeColor="text1"/>
          <w:lang w:val="en-US"/>
        </w:rPr>
        <w:t>Bonanno</w:t>
      </w:r>
      <w:proofErr w:type="spellEnd"/>
      <w:r w:rsidRPr="00E9016C">
        <w:rPr>
          <w:color w:val="000000" w:themeColor="text1"/>
          <w:lang w:val="en-US"/>
        </w:rPr>
        <w:t xml:space="preserve"> et al., 2017; Pies, 2014</w:t>
      </w:r>
      <w:r>
        <w:rPr>
          <w:color w:val="000000" w:themeColor="text1"/>
          <w:lang w:val="en-US"/>
        </w:rPr>
        <w:t>). The current study focused on risk factors and specifically on whether pathological grief and depression have different risk factors. The predictors that were analyzed in the current study were based on the results of previous research</w:t>
      </w:r>
      <w:r w:rsidR="0053304A">
        <w:rPr>
          <w:color w:val="000000" w:themeColor="text1"/>
          <w:lang w:val="en-US"/>
        </w:rPr>
        <w:t xml:space="preserve"> </w:t>
      </w:r>
      <w:r w:rsidR="0053304A" w:rsidRPr="008B366B">
        <w:rPr>
          <w:color w:val="000000" w:themeColor="text1"/>
          <w:lang w:val="en-US"/>
        </w:rPr>
        <w:t xml:space="preserve">(Boelen et al., 2019b; Boelen &amp; </w:t>
      </w:r>
      <w:proofErr w:type="spellStart"/>
      <w:r w:rsidR="0053304A" w:rsidRPr="008B366B">
        <w:rPr>
          <w:color w:val="000000" w:themeColor="text1"/>
          <w:lang w:val="en-US"/>
        </w:rPr>
        <w:t>Lenferink</w:t>
      </w:r>
      <w:proofErr w:type="spellEnd"/>
      <w:r w:rsidR="0053304A" w:rsidRPr="008B366B">
        <w:rPr>
          <w:color w:val="000000" w:themeColor="text1"/>
          <w:lang w:val="en-US"/>
        </w:rPr>
        <w:t xml:space="preserve">, 2019; Burke &amp; </w:t>
      </w:r>
      <w:proofErr w:type="spellStart"/>
      <w:r w:rsidR="0053304A" w:rsidRPr="008B366B">
        <w:rPr>
          <w:color w:val="000000" w:themeColor="text1"/>
          <w:lang w:val="en-US"/>
        </w:rPr>
        <w:t>Neimeyer</w:t>
      </w:r>
      <w:proofErr w:type="spellEnd"/>
      <w:r w:rsidR="0053304A" w:rsidRPr="008B366B">
        <w:rPr>
          <w:color w:val="000000" w:themeColor="text1"/>
          <w:lang w:val="en-US"/>
        </w:rPr>
        <w:t>, 2013; Lobb et al., 2010; Shear et al., 2013)</w:t>
      </w:r>
      <w:r w:rsidR="0053304A">
        <w:rPr>
          <w:color w:val="000000" w:themeColor="text1"/>
          <w:lang w:val="en-US"/>
        </w:rPr>
        <w:t>. It was hypothesized that higher symptom levels of pathological grief a</w:t>
      </w:r>
      <w:r w:rsidR="004B0107">
        <w:rPr>
          <w:color w:val="000000" w:themeColor="text1"/>
          <w:lang w:val="en-US"/>
        </w:rPr>
        <w:t xml:space="preserve">re more associated with loss-related predictors (i.e., cause, kinship, and expectedness) and that higher symptom levels of depression are more associated with predictors related to the individual (i.e., gender, religious affiliation, multiple loss, time since loss and history of support). </w:t>
      </w:r>
    </w:p>
    <w:p w14:paraId="2A86703A" w14:textId="51D5A44C" w:rsidR="00D97A16" w:rsidRDefault="004B0107" w:rsidP="00B06F8D">
      <w:pPr>
        <w:spacing w:line="480" w:lineRule="auto"/>
        <w:ind w:firstLine="720"/>
        <w:rPr>
          <w:color w:val="000000" w:themeColor="text1"/>
          <w:lang w:val="en-US"/>
        </w:rPr>
      </w:pPr>
      <w:r>
        <w:rPr>
          <w:color w:val="000000" w:themeColor="text1"/>
          <w:lang w:val="en-US"/>
        </w:rPr>
        <w:t xml:space="preserve">The results indicate that pathological grief and depression share some important predictors: a history of psychological support, shorter time since loss, and unexpectedness of the loss. For pathological grief additional predictors were found: an unnatural cause of death and loss of a grandparent compared to ‘other’. The current study analyzed eight predictors, of which five seem to play a role in predicting symptom levels of pathological grief and/or depression. Religious affiliation, gender, multiple loss, and other categories of the predictor variable ‘kinship’ showed no effects in the current study. </w:t>
      </w:r>
      <w:r w:rsidR="00471C12">
        <w:rPr>
          <w:color w:val="000000" w:themeColor="text1"/>
          <w:lang w:val="en-US"/>
        </w:rPr>
        <w:t>The findings partly support the hypothesis.</w:t>
      </w:r>
      <w:r w:rsidR="003B2D7C">
        <w:rPr>
          <w:color w:val="000000" w:themeColor="text1"/>
          <w:lang w:val="en-US"/>
        </w:rPr>
        <w:t xml:space="preserve"> It was not expected that unexpectedness of the loss would play a role in predicting symptom levels of depression. </w:t>
      </w:r>
      <w:r w:rsidR="003B2D7C" w:rsidRPr="001B3F33">
        <w:rPr>
          <w:lang w:val="en-US"/>
        </w:rPr>
        <w:t xml:space="preserve">The review of </w:t>
      </w:r>
      <w:r w:rsidR="003B2D7C">
        <w:rPr>
          <w:lang w:val="en-US"/>
        </w:rPr>
        <w:t xml:space="preserve">Kristensen et al. (2012) </w:t>
      </w:r>
      <w:r w:rsidR="003B2D7C" w:rsidRPr="001B3F33">
        <w:rPr>
          <w:lang w:val="en-US"/>
        </w:rPr>
        <w:t xml:space="preserve">provides a possible explanation for this </w:t>
      </w:r>
      <w:r w:rsidR="003B2D7C">
        <w:rPr>
          <w:lang w:val="en-US"/>
        </w:rPr>
        <w:t xml:space="preserve">result. The authors found that an unexpected loss can adversely affect mental health and that mental health disorders (e.g., post-traumatic stress disorder, depressive disorder, and pathological grief) are more elevated after sudden loss compared to </w:t>
      </w:r>
      <w:r w:rsidR="003B2D7C">
        <w:rPr>
          <w:lang w:val="en-US"/>
        </w:rPr>
        <w:lastRenderedPageBreak/>
        <w:t xml:space="preserve">natural deaths. </w:t>
      </w:r>
      <w:commentRangeStart w:id="8"/>
      <w:r w:rsidR="003B2D7C">
        <w:rPr>
          <w:lang w:val="en-US"/>
        </w:rPr>
        <w:t>Thus, it seems that unexpectedness of the loss can also play a role in predicting symptom levels of depression.</w:t>
      </w:r>
      <w:r w:rsidR="00414401">
        <w:rPr>
          <w:lang w:val="en-US"/>
        </w:rPr>
        <w:t xml:space="preserve"> </w:t>
      </w:r>
      <w:commentRangeEnd w:id="8"/>
      <w:r w:rsidR="00E42F60">
        <w:rPr>
          <w:rStyle w:val="CommentReference"/>
          <w:rFonts w:ascii="Arial" w:eastAsia="Arial" w:hAnsi="Arial" w:cs="Arial"/>
          <w:lang w:val="nl"/>
        </w:rPr>
        <w:commentReference w:id="8"/>
      </w:r>
      <w:r w:rsidR="00414401">
        <w:rPr>
          <w:color w:val="000000" w:themeColor="text1"/>
          <w:lang w:val="en-US"/>
        </w:rPr>
        <w:t xml:space="preserve">Furthermore, it was not expected that a history of psychological support and shorter time since loss would play a role in predicting symptom levels of pathological grief. However, these results are not surprising because research into risk factors for pathological grief found them as well (Boelen &amp; </w:t>
      </w:r>
      <w:proofErr w:type="spellStart"/>
      <w:r w:rsidR="00414401">
        <w:rPr>
          <w:color w:val="000000" w:themeColor="text1"/>
          <w:lang w:val="en-US"/>
        </w:rPr>
        <w:t>Lenferink</w:t>
      </w:r>
      <w:proofErr w:type="spellEnd"/>
      <w:r w:rsidR="00414401">
        <w:rPr>
          <w:color w:val="000000" w:themeColor="text1"/>
          <w:lang w:val="en-US"/>
        </w:rPr>
        <w:t>, 2019; Lobb et al., 2010</w:t>
      </w:r>
      <w:commentRangeStart w:id="9"/>
      <w:r w:rsidR="00414401">
        <w:rPr>
          <w:color w:val="000000" w:themeColor="text1"/>
          <w:lang w:val="en-US"/>
        </w:rPr>
        <w:t xml:space="preserve">). </w:t>
      </w:r>
      <w:r w:rsidR="00D246A5">
        <w:rPr>
          <w:color w:val="000000" w:themeColor="text1"/>
          <w:lang w:val="en-US"/>
        </w:rPr>
        <w:t>It</w:t>
      </w:r>
      <w:r w:rsidR="00414401">
        <w:rPr>
          <w:color w:val="000000" w:themeColor="text1"/>
          <w:lang w:val="en-US"/>
        </w:rPr>
        <w:t xml:space="preserve"> was </w:t>
      </w:r>
      <w:r w:rsidR="00D246A5">
        <w:rPr>
          <w:color w:val="000000" w:themeColor="text1"/>
          <w:lang w:val="en-US"/>
        </w:rPr>
        <w:t xml:space="preserve">only </w:t>
      </w:r>
      <w:r w:rsidR="00414401">
        <w:rPr>
          <w:color w:val="000000" w:themeColor="text1"/>
          <w:lang w:val="en-US"/>
        </w:rPr>
        <w:t>expected</w:t>
      </w:r>
      <w:r w:rsidR="00D246A5">
        <w:rPr>
          <w:color w:val="000000" w:themeColor="text1"/>
          <w:lang w:val="en-US"/>
        </w:rPr>
        <w:t xml:space="preserve"> </w:t>
      </w:r>
      <w:r w:rsidR="00414401">
        <w:rPr>
          <w:color w:val="000000" w:themeColor="text1"/>
          <w:lang w:val="en-US"/>
        </w:rPr>
        <w:t>that a history of psychological support and shorter time since loss would be more strongly associated with symptom levels of depression than with symptom levels of pathological grief.</w:t>
      </w:r>
      <w:commentRangeEnd w:id="9"/>
      <w:r w:rsidR="00E42F60">
        <w:rPr>
          <w:rStyle w:val="CommentReference"/>
          <w:rFonts w:ascii="Arial" w:eastAsia="Arial" w:hAnsi="Arial" w:cs="Arial"/>
          <w:lang w:val="nl"/>
        </w:rPr>
        <w:commentReference w:id="9"/>
      </w:r>
      <w:r w:rsidR="00D97A16">
        <w:rPr>
          <w:color w:val="000000" w:themeColor="text1"/>
          <w:lang w:val="en-US"/>
        </w:rPr>
        <w:t xml:space="preserve"> Loss of a grandparent compared to ‘other’ was </w:t>
      </w:r>
      <w:r w:rsidR="00D169F1">
        <w:rPr>
          <w:color w:val="000000" w:themeColor="text1"/>
          <w:lang w:val="en-US"/>
        </w:rPr>
        <w:t xml:space="preserve">not defined as being a close relationship to the deceased, this finding is therefore not in line with the hypothesis. </w:t>
      </w:r>
      <w:r w:rsidR="004A192C">
        <w:rPr>
          <w:color w:val="000000" w:themeColor="text1"/>
          <w:lang w:val="en-US"/>
        </w:rPr>
        <w:t xml:space="preserve">However, this should be stated carefully since it is not clear what the category ‘other’ entails. </w:t>
      </w:r>
      <w:r w:rsidR="00B41C77">
        <w:rPr>
          <w:color w:val="000000" w:themeColor="text1"/>
          <w:lang w:val="en-US"/>
        </w:rPr>
        <w:t xml:space="preserve">Gender showed no effect in the current study, perhaps due to methodological reasons. The variable gender was </w:t>
      </w:r>
      <w:r w:rsidR="00060E13">
        <w:rPr>
          <w:color w:val="000000" w:themeColor="text1"/>
          <w:lang w:val="en-US"/>
        </w:rPr>
        <w:t xml:space="preserve">not equally distributed in the sample: </w:t>
      </w:r>
      <w:r w:rsidR="005C4D28">
        <w:rPr>
          <w:color w:val="000000" w:themeColor="text1"/>
          <w:lang w:val="en-US"/>
        </w:rPr>
        <w:t>81 men</w:t>
      </w:r>
      <w:r w:rsidR="00060E13">
        <w:rPr>
          <w:color w:val="000000" w:themeColor="text1"/>
          <w:lang w:val="en-US"/>
        </w:rPr>
        <w:t xml:space="preserve"> (19%) and </w:t>
      </w:r>
      <w:r w:rsidR="005C4D28">
        <w:rPr>
          <w:color w:val="000000" w:themeColor="text1"/>
          <w:lang w:val="en-US"/>
        </w:rPr>
        <w:t>352 women</w:t>
      </w:r>
      <w:r w:rsidR="00060E13">
        <w:rPr>
          <w:color w:val="000000" w:themeColor="text1"/>
          <w:lang w:val="en-US"/>
        </w:rPr>
        <w:t xml:space="preserve"> (81%)</w:t>
      </w:r>
      <w:r w:rsidR="005C4D28">
        <w:rPr>
          <w:color w:val="000000" w:themeColor="text1"/>
          <w:lang w:val="en-US"/>
        </w:rPr>
        <w:t xml:space="preserve"> </w:t>
      </w:r>
      <w:r w:rsidR="00430C33">
        <w:rPr>
          <w:color w:val="000000" w:themeColor="text1"/>
          <w:lang w:val="en-US"/>
        </w:rPr>
        <w:t>participated in the study</w:t>
      </w:r>
      <w:r w:rsidR="00060E13">
        <w:rPr>
          <w:color w:val="000000" w:themeColor="text1"/>
          <w:lang w:val="en-US"/>
        </w:rPr>
        <w:t xml:space="preserve">. </w:t>
      </w:r>
      <w:r w:rsidR="006C488E">
        <w:rPr>
          <w:color w:val="000000" w:themeColor="text1"/>
          <w:lang w:val="en-US"/>
        </w:rPr>
        <w:t>T</w:t>
      </w:r>
      <w:r w:rsidR="00D246A5">
        <w:rPr>
          <w:color w:val="000000" w:themeColor="text1"/>
          <w:lang w:val="en-US"/>
        </w:rPr>
        <w:t>o conclude, t</w:t>
      </w:r>
      <w:r w:rsidR="006C488E">
        <w:rPr>
          <w:color w:val="000000" w:themeColor="text1"/>
          <w:lang w:val="en-US"/>
        </w:rPr>
        <w:t xml:space="preserve">he additional findings for pathological grief support the hypothesis that predictors are different for pathological grief and depression. </w:t>
      </w:r>
    </w:p>
    <w:p w14:paraId="059EA394" w14:textId="57304D1B" w:rsidR="00E27FC8" w:rsidRPr="00E0745E" w:rsidRDefault="007E2B6B" w:rsidP="00AF1D30">
      <w:pPr>
        <w:spacing w:line="480" w:lineRule="auto"/>
        <w:ind w:firstLine="720"/>
        <w:rPr>
          <w:color w:val="000000" w:themeColor="text1"/>
          <w:lang w:val="en-US"/>
        </w:rPr>
      </w:pPr>
      <w:r w:rsidRPr="007E2B6B">
        <w:rPr>
          <w:color w:val="000000" w:themeColor="text1"/>
          <w:lang w:val="en-US"/>
        </w:rPr>
        <w:t xml:space="preserve">These findings have implications for clinical practice. It seems that having a history of psychological support, </w:t>
      </w:r>
      <w:commentRangeStart w:id="10"/>
      <w:r w:rsidRPr="007E2B6B">
        <w:rPr>
          <w:color w:val="000000" w:themeColor="text1"/>
          <w:lang w:val="en-US"/>
        </w:rPr>
        <w:t xml:space="preserve">a shorter time since loss </w:t>
      </w:r>
      <w:commentRangeEnd w:id="10"/>
      <w:r w:rsidR="00E42F60">
        <w:rPr>
          <w:rStyle w:val="CommentReference"/>
          <w:rFonts w:ascii="Arial" w:eastAsia="Arial" w:hAnsi="Arial" w:cs="Arial"/>
          <w:lang w:val="nl"/>
        </w:rPr>
        <w:commentReference w:id="10"/>
      </w:r>
      <w:r w:rsidRPr="007E2B6B">
        <w:rPr>
          <w:color w:val="000000" w:themeColor="text1"/>
          <w:lang w:val="en-US"/>
        </w:rPr>
        <w:t xml:space="preserve">and unexpectedness of the loss are important in predicting symptom levels of both pathological grief and depression. Therefore, healthcare professionals should recognize and screen for these circumstances in order to intervene early. </w:t>
      </w:r>
      <w:r w:rsidR="004E608B">
        <w:rPr>
          <w:color w:val="000000" w:themeColor="text1"/>
          <w:lang w:val="en-US"/>
        </w:rPr>
        <w:t>Having</w:t>
      </w:r>
      <w:r w:rsidRPr="007E2B6B">
        <w:rPr>
          <w:color w:val="000000" w:themeColor="text1"/>
          <w:lang w:val="en-US"/>
        </w:rPr>
        <w:t xml:space="preserve"> lost a loved in due to unnatural causes (e.g., an accident or suicide) increases the chance of developing pathological grief symptoms. Again, it is important for healthcare professionals to recognize and screen for this. </w:t>
      </w:r>
      <w:r w:rsidR="00B97F35">
        <w:rPr>
          <w:color w:val="000000" w:themeColor="text1"/>
          <w:lang w:val="en-US"/>
        </w:rPr>
        <w:t xml:space="preserve">Furthermore, research showed that patients with pathological grief improve more from a treatment that focuses on grief, than a treatment </w:t>
      </w:r>
      <w:r w:rsidR="00D246A5">
        <w:rPr>
          <w:color w:val="000000" w:themeColor="text1"/>
          <w:lang w:val="en-US"/>
        </w:rPr>
        <w:t>for depression</w:t>
      </w:r>
      <w:r w:rsidR="00B97F35">
        <w:rPr>
          <w:color w:val="000000" w:themeColor="text1"/>
          <w:lang w:val="en-US"/>
        </w:rPr>
        <w:t xml:space="preserve"> (Shear et al., 2005). This indicates that pathological grief should be treated differently than other </w:t>
      </w:r>
      <w:r w:rsidR="005177E1">
        <w:rPr>
          <w:color w:val="000000" w:themeColor="text1"/>
          <w:lang w:val="en-US"/>
        </w:rPr>
        <w:t>mental disorders.</w:t>
      </w:r>
    </w:p>
    <w:p w14:paraId="186637F2" w14:textId="4B8F8327" w:rsidR="00C81B1B" w:rsidRPr="00A36B71" w:rsidRDefault="00E97F4B" w:rsidP="00A36B71">
      <w:pPr>
        <w:spacing w:line="480" w:lineRule="auto"/>
        <w:ind w:firstLine="720"/>
        <w:rPr>
          <w:color w:val="000000" w:themeColor="text1"/>
          <w:lang w:val="en-US"/>
        </w:rPr>
      </w:pPr>
      <w:r w:rsidRPr="00AF1D30">
        <w:rPr>
          <w:color w:val="000000" w:themeColor="text1"/>
          <w:lang w:val="en-US"/>
        </w:rPr>
        <w:lastRenderedPageBreak/>
        <w:t xml:space="preserve">As with all research, there are limitations to this study. </w:t>
      </w:r>
      <w:r w:rsidR="007A0449" w:rsidRPr="00AF1D30">
        <w:rPr>
          <w:color w:val="000000" w:themeColor="text1"/>
          <w:lang w:val="en-US"/>
        </w:rPr>
        <w:t>The PHQ-9</w:t>
      </w:r>
      <w:r w:rsidR="000139AB" w:rsidRPr="00AF1D30">
        <w:rPr>
          <w:color w:val="000000" w:themeColor="text1"/>
          <w:lang w:val="en-US"/>
        </w:rPr>
        <w:t xml:space="preserve"> </w:t>
      </w:r>
      <w:r w:rsidR="007A0449" w:rsidRPr="00AF1D30">
        <w:rPr>
          <w:color w:val="000000" w:themeColor="text1"/>
          <w:lang w:val="en-US"/>
        </w:rPr>
        <w:t xml:space="preserve">is used in clinical practice as a screening instrument. </w:t>
      </w:r>
      <w:commentRangeStart w:id="11"/>
      <w:r w:rsidR="007A0449" w:rsidRPr="00AF1D30">
        <w:rPr>
          <w:color w:val="000000" w:themeColor="text1"/>
          <w:lang w:val="en-US"/>
        </w:rPr>
        <w:t>It is not recommended to use this questionnaire for diagnostic purposes</w:t>
      </w:r>
      <w:commentRangeEnd w:id="11"/>
      <w:r w:rsidR="00E42F60">
        <w:rPr>
          <w:rStyle w:val="CommentReference"/>
          <w:rFonts w:ascii="Arial" w:eastAsia="Arial" w:hAnsi="Arial" w:cs="Arial"/>
          <w:lang w:val="nl"/>
        </w:rPr>
        <w:commentReference w:id="11"/>
      </w:r>
      <w:r w:rsidR="007A0449" w:rsidRPr="00AF1D30">
        <w:rPr>
          <w:color w:val="000000" w:themeColor="text1"/>
          <w:lang w:val="en-US"/>
        </w:rPr>
        <w:t xml:space="preserve"> (</w:t>
      </w:r>
      <w:proofErr w:type="spellStart"/>
      <w:r w:rsidR="007A0449" w:rsidRPr="00AF1D30">
        <w:rPr>
          <w:color w:val="000000" w:themeColor="text1"/>
          <w:lang w:val="en-US"/>
        </w:rPr>
        <w:t>Manea</w:t>
      </w:r>
      <w:proofErr w:type="spellEnd"/>
      <w:r w:rsidR="007A0449" w:rsidRPr="00AF1D30">
        <w:rPr>
          <w:color w:val="000000" w:themeColor="text1"/>
          <w:lang w:val="en-US"/>
        </w:rPr>
        <w:t xml:space="preserve"> et al., 2012; </w:t>
      </w:r>
      <w:proofErr w:type="spellStart"/>
      <w:r w:rsidR="007A0449" w:rsidRPr="00AF1D30">
        <w:rPr>
          <w:color w:val="000000" w:themeColor="text1"/>
          <w:lang w:val="en-US"/>
        </w:rPr>
        <w:t>Manea</w:t>
      </w:r>
      <w:proofErr w:type="spellEnd"/>
      <w:r w:rsidR="007A0449" w:rsidRPr="00AF1D30">
        <w:rPr>
          <w:color w:val="000000" w:themeColor="text1"/>
          <w:lang w:val="en-US"/>
        </w:rPr>
        <w:t xml:space="preserve"> et al., 2015). </w:t>
      </w:r>
      <w:r w:rsidR="00A03ADF">
        <w:rPr>
          <w:color w:val="000000" w:themeColor="text1"/>
          <w:lang w:val="en-US"/>
        </w:rPr>
        <w:t>Therefore, in the current study</w:t>
      </w:r>
      <w:r w:rsidR="00896627" w:rsidRPr="00AF1D30">
        <w:rPr>
          <w:color w:val="000000" w:themeColor="text1"/>
          <w:lang w:val="en-US"/>
        </w:rPr>
        <w:t>, a depressive disorder could not be classified amongst participants. Instead, symptom levels of depression were used as an outcome measure.</w:t>
      </w:r>
      <w:r w:rsidR="000139AB" w:rsidRPr="00AF1D30">
        <w:rPr>
          <w:color w:val="000000" w:themeColor="text1"/>
          <w:lang w:val="en-US"/>
        </w:rPr>
        <w:t xml:space="preserve"> </w:t>
      </w:r>
      <w:r w:rsidR="009A2998" w:rsidRPr="00AF1D30">
        <w:rPr>
          <w:color w:val="000000" w:themeColor="text1"/>
          <w:lang w:val="en-US"/>
        </w:rPr>
        <w:t xml:space="preserve">It would be </w:t>
      </w:r>
      <w:r w:rsidR="009A2998" w:rsidRPr="00A36B71">
        <w:rPr>
          <w:color w:val="000000" w:themeColor="text1"/>
          <w:lang w:val="en-US"/>
        </w:rPr>
        <w:t xml:space="preserve">interesting for future research to use </w:t>
      </w:r>
      <w:r w:rsidR="00AF1D30" w:rsidRPr="00A36B71">
        <w:rPr>
          <w:color w:val="000000" w:themeColor="text1"/>
          <w:lang w:val="en-US"/>
        </w:rPr>
        <w:t>depressive disorder as an outcome measure, instead of symptom levels of depression.</w:t>
      </w:r>
      <w:r w:rsidR="00F8109E" w:rsidRPr="00F8109E">
        <w:rPr>
          <w:color w:val="000000" w:themeColor="text1"/>
          <w:lang w:val="en-US"/>
        </w:rPr>
        <w:t xml:space="preserve"> </w:t>
      </w:r>
      <w:r w:rsidR="004D104B">
        <w:rPr>
          <w:color w:val="000000" w:themeColor="text1"/>
          <w:lang w:val="en-US"/>
        </w:rPr>
        <w:t>By using a dichotomous outcome variable (</w:t>
      </w:r>
      <w:r w:rsidR="00B81F8D">
        <w:rPr>
          <w:color w:val="000000" w:themeColor="text1"/>
          <w:lang w:val="en-US"/>
        </w:rPr>
        <w:t>i.e., depressive disorder</w:t>
      </w:r>
      <w:r w:rsidR="004D104B">
        <w:rPr>
          <w:color w:val="000000" w:themeColor="text1"/>
          <w:lang w:val="en-US"/>
        </w:rPr>
        <w:t xml:space="preserve"> yes or no) </w:t>
      </w:r>
      <w:commentRangeStart w:id="12"/>
      <w:r w:rsidR="00E97853">
        <w:rPr>
          <w:color w:val="000000" w:themeColor="text1"/>
          <w:lang w:val="en-US"/>
        </w:rPr>
        <w:t xml:space="preserve">risk factors can be measured more </w:t>
      </w:r>
      <w:r w:rsidR="00D246A5">
        <w:rPr>
          <w:color w:val="000000" w:themeColor="text1"/>
          <w:lang w:val="en-US"/>
        </w:rPr>
        <w:t>explicitly</w:t>
      </w:r>
      <w:r w:rsidR="00E97853">
        <w:rPr>
          <w:color w:val="000000" w:themeColor="text1"/>
          <w:lang w:val="en-US"/>
        </w:rPr>
        <w:t xml:space="preserve">. </w:t>
      </w:r>
      <w:commentRangeEnd w:id="12"/>
      <w:r w:rsidR="00E42F60">
        <w:rPr>
          <w:rStyle w:val="CommentReference"/>
          <w:rFonts w:ascii="Arial" w:eastAsia="Arial" w:hAnsi="Arial" w:cs="Arial"/>
          <w:lang w:val="nl"/>
        </w:rPr>
        <w:commentReference w:id="12"/>
      </w:r>
      <w:r w:rsidR="00F8109E" w:rsidRPr="00754067">
        <w:rPr>
          <w:color w:val="000000" w:themeColor="text1"/>
          <w:lang w:val="en-US"/>
        </w:rPr>
        <w:t xml:space="preserve">It is recommended for future research to use an instrument that is more suitable for classifying </w:t>
      </w:r>
      <w:r w:rsidR="00D246A5">
        <w:rPr>
          <w:color w:val="000000" w:themeColor="text1"/>
          <w:lang w:val="en-US"/>
        </w:rPr>
        <w:t>a depressive disorder</w:t>
      </w:r>
      <w:r w:rsidR="00F8109E">
        <w:rPr>
          <w:color w:val="000000" w:themeColor="text1"/>
          <w:lang w:val="en-US"/>
        </w:rPr>
        <w:t>, so that the outcome measure can be dichotomous</w:t>
      </w:r>
      <w:r w:rsidR="00F8109E" w:rsidRPr="00754067">
        <w:rPr>
          <w:color w:val="000000" w:themeColor="text1"/>
          <w:lang w:val="en-US"/>
        </w:rPr>
        <w:t>.</w:t>
      </w:r>
      <w:r w:rsidR="00B81F8D">
        <w:rPr>
          <w:color w:val="000000" w:themeColor="text1"/>
          <w:lang w:val="en-US"/>
        </w:rPr>
        <w:t xml:space="preserve"> </w:t>
      </w:r>
    </w:p>
    <w:p w14:paraId="32AA1D58" w14:textId="55C27A10" w:rsidR="0088020A" w:rsidRPr="00A36B71" w:rsidRDefault="007A0449" w:rsidP="00A36B71">
      <w:pPr>
        <w:spacing w:line="480" w:lineRule="auto"/>
        <w:ind w:firstLine="720"/>
        <w:rPr>
          <w:color w:val="000000" w:themeColor="text1"/>
          <w:lang w:val="en-US"/>
        </w:rPr>
      </w:pPr>
      <w:r w:rsidRPr="00A36B71">
        <w:rPr>
          <w:color w:val="000000" w:themeColor="text1"/>
          <w:lang w:val="en-US"/>
        </w:rPr>
        <w:t>Second, t</w:t>
      </w:r>
      <w:r w:rsidR="008A2A6E" w:rsidRPr="00A36B71">
        <w:rPr>
          <w:color w:val="000000" w:themeColor="text1"/>
          <w:lang w:val="en-US"/>
        </w:rPr>
        <w:t xml:space="preserve">he current study used the term ‘pathological grief’ in order to describe and summarize the symptoms associated with all different grief classifications (PCBD; DSM-5; APA, 2013; PGD; ICD-11; WHO, 2019; PGD; </w:t>
      </w:r>
      <w:proofErr w:type="spellStart"/>
      <w:r w:rsidR="008A2A6E" w:rsidRPr="00A36B71">
        <w:rPr>
          <w:color w:val="000000" w:themeColor="text1"/>
          <w:lang w:val="en-US"/>
        </w:rPr>
        <w:t>Prigerson</w:t>
      </w:r>
      <w:proofErr w:type="spellEnd"/>
      <w:r w:rsidR="008A2A6E" w:rsidRPr="00A36B71">
        <w:rPr>
          <w:color w:val="000000" w:themeColor="text1"/>
          <w:lang w:val="en-US"/>
        </w:rPr>
        <w:t xml:space="preserve"> et al., 2009; CG; Shear et al., 2011). </w:t>
      </w:r>
      <w:r w:rsidR="007910A0" w:rsidRPr="00A36B71">
        <w:rPr>
          <w:color w:val="000000" w:themeColor="text1"/>
          <w:lang w:val="en-US"/>
        </w:rPr>
        <w:t xml:space="preserve">The instrument used in the current study, the TGI-CA, measures </w:t>
      </w:r>
      <w:r w:rsidR="003D1D2D" w:rsidRPr="00A36B71">
        <w:rPr>
          <w:color w:val="000000" w:themeColor="text1"/>
          <w:lang w:val="en-US"/>
        </w:rPr>
        <w:t xml:space="preserve">symptoms of </w:t>
      </w:r>
      <w:r w:rsidR="007910A0" w:rsidRPr="00A36B71">
        <w:rPr>
          <w:color w:val="000000" w:themeColor="text1"/>
          <w:lang w:val="en-US"/>
        </w:rPr>
        <w:t>PCBD (APA, 2013), PGD (WHO, 2019) and PGD (</w:t>
      </w:r>
      <w:proofErr w:type="spellStart"/>
      <w:r w:rsidR="007910A0" w:rsidRPr="00A36B71">
        <w:rPr>
          <w:color w:val="000000" w:themeColor="text1"/>
          <w:lang w:val="en-US"/>
        </w:rPr>
        <w:t>Prigerson</w:t>
      </w:r>
      <w:proofErr w:type="spellEnd"/>
      <w:r w:rsidR="007910A0" w:rsidRPr="00A36B71">
        <w:rPr>
          <w:color w:val="000000" w:themeColor="text1"/>
          <w:lang w:val="en-US"/>
        </w:rPr>
        <w:t xml:space="preserve"> et al., 2009). </w:t>
      </w:r>
      <w:r w:rsidR="006E5E5A" w:rsidRPr="00A36B71">
        <w:rPr>
          <w:color w:val="000000" w:themeColor="text1"/>
          <w:lang w:val="en-US"/>
        </w:rPr>
        <w:t xml:space="preserve">These different grief classifications </w:t>
      </w:r>
      <w:r w:rsidR="004B4BC2" w:rsidRPr="00A36B71">
        <w:rPr>
          <w:color w:val="000000" w:themeColor="text1"/>
          <w:lang w:val="en-US"/>
        </w:rPr>
        <w:t>have</w:t>
      </w:r>
      <w:r w:rsidR="00E84A1B" w:rsidRPr="00A36B71">
        <w:rPr>
          <w:color w:val="000000" w:themeColor="text1"/>
          <w:lang w:val="en-US"/>
        </w:rPr>
        <w:t xml:space="preserve"> different </w:t>
      </w:r>
      <w:r w:rsidR="004B4BC2" w:rsidRPr="00A36B71">
        <w:rPr>
          <w:color w:val="000000" w:themeColor="text1"/>
          <w:lang w:val="en-US"/>
        </w:rPr>
        <w:t xml:space="preserve">symptoms and </w:t>
      </w:r>
      <w:r w:rsidR="00E84A1B" w:rsidRPr="00A36B71">
        <w:rPr>
          <w:color w:val="000000" w:themeColor="text1"/>
          <w:lang w:val="en-US"/>
        </w:rPr>
        <w:t>criteria sets (</w:t>
      </w:r>
      <w:proofErr w:type="spellStart"/>
      <w:r w:rsidR="00E84A1B" w:rsidRPr="00A36B71">
        <w:rPr>
          <w:color w:val="000000" w:themeColor="text1"/>
          <w:lang w:val="en-US"/>
        </w:rPr>
        <w:t>Lenferink</w:t>
      </w:r>
      <w:proofErr w:type="spellEnd"/>
      <w:r w:rsidR="00E84A1B" w:rsidRPr="00A36B71">
        <w:rPr>
          <w:color w:val="000000" w:themeColor="text1"/>
          <w:lang w:val="en-US"/>
        </w:rPr>
        <w:t xml:space="preserve"> et al., 2019). </w:t>
      </w:r>
      <w:r w:rsidR="00BD735E" w:rsidRPr="00A36B71">
        <w:rPr>
          <w:color w:val="000000" w:themeColor="text1"/>
          <w:lang w:val="en-US"/>
        </w:rPr>
        <w:t xml:space="preserve">This indicates a lack of consistency. </w:t>
      </w:r>
      <w:r w:rsidR="00343D42" w:rsidRPr="00A36B71">
        <w:rPr>
          <w:color w:val="000000" w:themeColor="text1"/>
          <w:lang w:val="en-US"/>
        </w:rPr>
        <w:t xml:space="preserve">Future research </w:t>
      </w:r>
      <w:r w:rsidR="008D26DE" w:rsidRPr="00A36B71">
        <w:rPr>
          <w:color w:val="000000" w:themeColor="text1"/>
          <w:lang w:val="en-US"/>
        </w:rPr>
        <w:t xml:space="preserve">should define the concept of pathological grief more clearly and use an instrument based on </w:t>
      </w:r>
      <w:r w:rsidR="00211592" w:rsidRPr="00A36B71">
        <w:rPr>
          <w:color w:val="000000" w:themeColor="text1"/>
          <w:lang w:val="en-US"/>
        </w:rPr>
        <w:t xml:space="preserve">that </w:t>
      </w:r>
      <w:r w:rsidR="008D26DE" w:rsidRPr="00A36B71">
        <w:rPr>
          <w:color w:val="000000" w:themeColor="text1"/>
          <w:lang w:val="en-US"/>
        </w:rPr>
        <w:t>specific classification. It is recommended to</w:t>
      </w:r>
      <w:r w:rsidR="00343D42" w:rsidRPr="00A36B71">
        <w:rPr>
          <w:color w:val="000000" w:themeColor="text1"/>
          <w:lang w:val="en-US"/>
        </w:rPr>
        <w:t xml:space="preserve"> </w:t>
      </w:r>
      <w:r w:rsidR="009A4290" w:rsidRPr="00A36B71">
        <w:rPr>
          <w:color w:val="000000" w:themeColor="text1"/>
          <w:lang w:val="en-US"/>
        </w:rPr>
        <w:t>focus</w:t>
      </w:r>
      <w:r w:rsidR="00F64848" w:rsidRPr="00A36B71">
        <w:rPr>
          <w:color w:val="000000" w:themeColor="text1"/>
          <w:lang w:val="en-US"/>
        </w:rPr>
        <w:t xml:space="preserve"> </w:t>
      </w:r>
      <w:r w:rsidR="008D26DE" w:rsidRPr="00A36B71">
        <w:rPr>
          <w:color w:val="000000" w:themeColor="text1"/>
          <w:lang w:val="en-US"/>
        </w:rPr>
        <w:t xml:space="preserve">on </w:t>
      </w:r>
      <w:r w:rsidR="00F64848" w:rsidRPr="00A36B71">
        <w:rPr>
          <w:color w:val="000000" w:themeColor="text1"/>
          <w:lang w:val="en-US"/>
        </w:rPr>
        <w:t>PCBD, as this classification will be adopted by the DSM (APA, 2013)</w:t>
      </w:r>
      <w:r w:rsidR="00502A6C" w:rsidRPr="00A36B71">
        <w:rPr>
          <w:color w:val="000000" w:themeColor="text1"/>
          <w:lang w:val="en-US"/>
        </w:rPr>
        <w:t xml:space="preserve">. </w:t>
      </w:r>
      <w:commentRangeStart w:id="13"/>
      <w:r w:rsidR="00EE746D">
        <w:rPr>
          <w:color w:val="000000" w:themeColor="text1"/>
          <w:lang w:val="en-US"/>
        </w:rPr>
        <w:t xml:space="preserve">The current </w:t>
      </w:r>
      <w:r w:rsidR="003E11A3">
        <w:rPr>
          <w:color w:val="000000" w:themeColor="text1"/>
          <w:lang w:val="en-US"/>
        </w:rPr>
        <w:t>study used the complete set of items in the TGI-CA, since</w:t>
      </w:r>
      <w:r w:rsidR="00AC7246">
        <w:rPr>
          <w:color w:val="000000" w:themeColor="text1"/>
          <w:lang w:val="en-US"/>
        </w:rPr>
        <w:t xml:space="preserve"> the focus was on symptom levels for pathological grief</w:t>
      </w:r>
      <w:r w:rsidR="00CD3A88">
        <w:rPr>
          <w:color w:val="000000" w:themeColor="text1"/>
          <w:lang w:val="en-US"/>
        </w:rPr>
        <w:t xml:space="preserve"> not classifying pathological grief.</w:t>
      </w:r>
      <w:commentRangeEnd w:id="13"/>
      <w:r w:rsidR="00E42F60">
        <w:rPr>
          <w:rStyle w:val="CommentReference"/>
          <w:rFonts w:ascii="Arial" w:eastAsia="Arial" w:hAnsi="Arial" w:cs="Arial"/>
          <w:lang w:val="nl"/>
        </w:rPr>
        <w:commentReference w:id="13"/>
      </w:r>
    </w:p>
    <w:p w14:paraId="6439C29D" w14:textId="784FCACA" w:rsidR="00F2738A" w:rsidRDefault="00677155" w:rsidP="00FC4549">
      <w:pPr>
        <w:spacing w:line="480" w:lineRule="auto"/>
        <w:ind w:firstLine="720"/>
        <w:rPr>
          <w:color w:val="000000" w:themeColor="text1"/>
          <w:lang w:val="en-US"/>
        </w:rPr>
      </w:pPr>
      <w:r w:rsidRPr="00A72B0E">
        <w:rPr>
          <w:color w:val="000000" w:themeColor="text1"/>
          <w:lang w:val="en-US"/>
        </w:rPr>
        <w:t xml:space="preserve">The period in which the interviews have taken place forms another possible limitation of this study. </w:t>
      </w:r>
      <w:r w:rsidR="00AB7D9D" w:rsidRPr="00A72B0E">
        <w:rPr>
          <w:color w:val="000000" w:themeColor="text1"/>
          <w:lang w:val="en-US"/>
        </w:rPr>
        <w:t xml:space="preserve">The interviews for the first measurement-point of the study were conducted from November 2019 to May 2020. During this period the Netherlands and Germany were in lockdown due to the COVID-19 virus. This period of distress and isolation may have </w:t>
      </w:r>
      <w:r w:rsidR="00AB7D9D" w:rsidRPr="00A72B0E">
        <w:rPr>
          <w:color w:val="000000" w:themeColor="text1"/>
          <w:lang w:val="en-US"/>
        </w:rPr>
        <w:lastRenderedPageBreak/>
        <w:t xml:space="preserve">influenced participants’ mental health. </w:t>
      </w:r>
      <w:r w:rsidR="00E932B2">
        <w:rPr>
          <w:color w:val="000000" w:themeColor="text1"/>
          <w:lang w:val="en-US"/>
        </w:rPr>
        <w:t xml:space="preserve">The WHO explicitly </w:t>
      </w:r>
      <w:r w:rsidR="00CB22A7">
        <w:rPr>
          <w:color w:val="000000" w:themeColor="text1"/>
          <w:lang w:val="en-US"/>
        </w:rPr>
        <w:t>stressed the importance of taking care of our mental health during this period (WHO, 2020)</w:t>
      </w:r>
      <w:r w:rsidR="009F7EBC">
        <w:rPr>
          <w:color w:val="000000" w:themeColor="text1"/>
          <w:lang w:val="en-US"/>
        </w:rPr>
        <w:t>, since p</w:t>
      </w:r>
      <w:r w:rsidR="00AB7D9D" w:rsidRPr="00A72B0E">
        <w:rPr>
          <w:color w:val="000000" w:themeColor="text1"/>
          <w:lang w:val="en-US"/>
        </w:rPr>
        <w:t>eople were confronted with disease and loss on a daily basis</w:t>
      </w:r>
      <w:r w:rsidR="009237B0">
        <w:rPr>
          <w:color w:val="000000" w:themeColor="text1"/>
          <w:lang w:val="en-US"/>
        </w:rPr>
        <w:t>. P</w:t>
      </w:r>
      <w:r w:rsidR="00AB7D9D" w:rsidRPr="00A72B0E">
        <w:rPr>
          <w:color w:val="000000" w:themeColor="text1"/>
          <w:lang w:val="en-US"/>
        </w:rPr>
        <w:t>erhaps this caused participants to have more attention for the loss of their own loved one(s). This could mean that answers on the PHQ-9 and TGI-CA exceed</w:t>
      </w:r>
      <w:r w:rsidR="0068352D">
        <w:rPr>
          <w:color w:val="000000" w:themeColor="text1"/>
          <w:lang w:val="en-US"/>
        </w:rPr>
        <w:t>ed</w:t>
      </w:r>
      <w:r w:rsidR="00AB7D9D" w:rsidRPr="00A72B0E">
        <w:rPr>
          <w:color w:val="000000" w:themeColor="text1"/>
          <w:lang w:val="en-US"/>
        </w:rPr>
        <w:t xml:space="preserve"> normal levels. This may </w:t>
      </w:r>
      <w:r w:rsidR="000019BE" w:rsidRPr="00A72B0E">
        <w:rPr>
          <w:color w:val="000000" w:themeColor="text1"/>
          <w:lang w:val="en-US"/>
        </w:rPr>
        <w:t>have</w:t>
      </w:r>
      <w:r w:rsidR="00AB7D9D" w:rsidRPr="00A72B0E">
        <w:rPr>
          <w:color w:val="000000" w:themeColor="text1"/>
          <w:lang w:val="en-US"/>
        </w:rPr>
        <w:t xml:space="preserve"> </w:t>
      </w:r>
      <w:r w:rsidR="00945C52" w:rsidRPr="00A72B0E">
        <w:rPr>
          <w:color w:val="000000" w:themeColor="text1"/>
          <w:lang w:val="en-US"/>
        </w:rPr>
        <w:t>led</w:t>
      </w:r>
      <w:r w:rsidR="00AB7D9D" w:rsidRPr="00A72B0E">
        <w:rPr>
          <w:color w:val="000000" w:themeColor="text1"/>
          <w:lang w:val="en-US"/>
        </w:rPr>
        <w:t xml:space="preserve"> to an overestimation of the results</w:t>
      </w:r>
      <w:r w:rsidR="00945C52" w:rsidRPr="00A72B0E">
        <w:rPr>
          <w:color w:val="000000" w:themeColor="text1"/>
          <w:lang w:val="en-US"/>
        </w:rPr>
        <w:t>,</w:t>
      </w:r>
      <w:r w:rsidR="00AB7D9D" w:rsidRPr="00A72B0E">
        <w:rPr>
          <w:color w:val="000000" w:themeColor="text1"/>
          <w:lang w:val="en-US"/>
        </w:rPr>
        <w:t xml:space="preserve"> which forms a limitation of this study.</w:t>
      </w:r>
    </w:p>
    <w:p w14:paraId="3FCDEFA8" w14:textId="0AF74BF8" w:rsidR="007A3769" w:rsidRDefault="007A3769" w:rsidP="00FC4549">
      <w:pPr>
        <w:spacing w:line="480" w:lineRule="auto"/>
        <w:ind w:firstLine="720"/>
        <w:rPr>
          <w:color w:val="000000" w:themeColor="text1"/>
          <w:lang w:val="en-US"/>
        </w:rPr>
      </w:pPr>
      <w:r>
        <w:rPr>
          <w:color w:val="000000" w:themeColor="text1"/>
          <w:lang w:val="en-US"/>
        </w:rPr>
        <w:t>T</w:t>
      </w:r>
      <w:r w:rsidR="00D246A5">
        <w:rPr>
          <w:color w:val="000000" w:themeColor="text1"/>
          <w:lang w:val="en-US"/>
        </w:rPr>
        <w:t>o conclude, t</w:t>
      </w:r>
      <w:r>
        <w:rPr>
          <w:color w:val="000000" w:themeColor="text1"/>
          <w:lang w:val="en-US"/>
        </w:rPr>
        <w:t>he research design forms another limitation of this study. The current study only used data available at the first</w:t>
      </w:r>
      <w:r w:rsidR="009E689E">
        <w:rPr>
          <w:color w:val="000000" w:themeColor="text1"/>
          <w:lang w:val="en-US"/>
        </w:rPr>
        <w:t xml:space="preserve"> </w:t>
      </w:r>
      <w:r>
        <w:rPr>
          <w:color w:val="000000" w:themeColor="text1"/>
          <w:lang w:val="en-US"/>
        </w:rPr>
        <w:t>measurement</w:t>
      </w:r>
      <w:r w:rsidR="009E689E">
        <w:rPr>
          <w:color w:val="000000" w:themeColor="text1"/>
          <w:lang w:val="en-US"/>
        </w:rPr>
        <w:t>-</w:t>
      </w:r>
      <w:r>
        <w:rPr>
          <w:color w:val="000000" w:themeColor="text1"/>
          <w:lang w:val="en-US"/>
        </w:rPr>
        <w:t xml:space="preserve">point </w:t>
      </w:r>
      <w:r w:rsidR="009E689E">
        <w:rPr>
          <w:color w:val="000000" w:themeColor="text1"/>
          <w:lang w:val="en-US"/>
        </w:rPr>
        <w:t xml:space="preserve">of the </w:t>
      </w:r>
      <w:r w:rsidR="009E689E" w:rsidRPr="00F94D21">
        <w:rPr>
          <w:color w:val="000000" w:themeColor="text1"/>
          <w:lang w:val="en-US"/>
        </w:rPr>
        <w:t>TALE</w:t>
      </w:r>
      <w:r w:rsidR="009E689E">
        <w:rPr>
          <w:color w:val="000000" w:themeColor="text1"/>
          <w:lang w:val="en-US"/>
        </w:rPr>
        <w:t xml:space="preserve">-study. </w:t>
      </w:r>
      <w:r w:rsidR="00042FE0">
        <w:rPr>
          <w:color w:val="000000" w:themeColor="text1"/>
          <w:lang w:val="en-US"/>
        </w:rPr>
        <w:t xml:space="preserve">This way, the predictive value of the risk factors could not be measured. </w:t>
      </w:r>
      <w:r w:rsidR="000B4500">
        <w:rPr>
          <w:color w:val="000000" w:themeColor="text1"/>
          <w:lang w:val="en-US"/>
        </w:rPr>
        <w:t>By conducting longitudinal research</w:t>
      </w:r>
      <w:r w:rsidR="00D246A5">
        <w:rPr>
          <w:color w:val="000000" w:themeColor="text1"/>
          <w:lang w:val="en-US"/>
        </w:rPr>
        <w:t xml:space="preserve"> risk factors can be measured more precisely and the influence of risk factors over time can be measured</w:t>
      </w:r>
      <w:r w:rsidR="00CF6553">
        <w:rPr>
          <w:color w:val="000000" w:themeColor="text1"/>
          <w:lang w:val="en-US"/>
        </w:rPr>
        <w:t>.</w:t>
      </w:r>
      <w:r w:rsidR="00E42F60">
        <w:rPr>
          <w:color w:val="000000" w:themeColor="text1"/>
          <w:lang w:val="en-US"/>
        </w:rPr>
        <w:t xml:space="preserve"> </w:t>
      </w:r>
    </w:p>
    <w:p w14:paraId="524FB478" w14:textId="711572A7" w:rsidR="00A45BF1" w:rsidRDefault="00D65D2E" w:rsidP="00A45BF1">
      <w:pPr>
        <w:spacing w:line="480" w:lineRule="auto"/>
        <w:ind w:firstLine="720"/>
        <w:rPr>
          <w:color w:val="000000" w:themeColor="text1"/>
          <w:lang w:val="en-US"/>
        </w:rPr>
      </w:pPr>
      <w:r>
        <w:rPr>
          <w:color w:val="000000" w:themeColor="text1"/>
          <w:lang w:val="en-US"/>
        </w:rPr>
        <w:t>Strength</w:t>
      </w:r>
      <w:r w:rsidR="00832B29">
        <w:rPr>
          <w:color w:val="000000" w:themeColor="text1"/>
          <w:lang w:val="en-US"/>
        </w:rPr>
        <w:t>s</w:t>
      </w:r>
      <w:r>
        <w:rPr>
          <w:color w:val="000000" w:themeColor="text1"/>
          <w:lang w:val="en-US"/>
        </w:rPr>
        <w:t xml:space="preserve"> of the current study include </w:t>
      </w:r>
      <w:r w:rsidR="001B416C">
        <w:rPr>
          <w:color w:val="000000" w:themeColor="text1"/>
          <w:lang w:val="en-US"/>
        </w:rPr>
        <w:t xml:space="preserve">a large </w:t>
      </w:r>
      <w:r w:rsidR="00770787">
        <w:rPr>
          <w:color w:val="000000" w:themeColor="text1"/>
          <w:lang w:val="en-US"/>
        </w:rPr>
        <w:t xml:space="preserve">(international) </w:t>
      </w:r>
      <w:r w:rsidR="001B416C">
        <w:rPr>
          <w:color w:val="000000" w:themeColor="text1"/>
          <w:lang w:val="en-US"/>
        </w:rPr>
        <w:t>sample</w:t>
      </w:r>
      <w:r w:rsidR="000E36EC">
        <w:rPr>
          <w:color w:val="000000" w:themeColor="text1"/>
          <w:lang w:val="en-US"/>
        </w:rPr>
        <w:t xml:space="preserve"> that represents the general population</w:t>
      </w:r>
      <w:r w:rsidR="00D246A5">
        <w:rPr>
          <w:color w:val="000000" w:themeColor="text1"/>
          <w:lang w:val="en-US"/>
        </w:rPr>
        <w:t xml:space="preserve">, which </w:t>
      </w:r>
      <w:r w:rsidR="00A45BF1">
        <w:rPr>
          <w:color w:val="000000" w:themeColor="text1"/>
          <w:lang w:val="en-US"/>
        </w:rPr>
        <w:t>increase</w:t>
      </w:r>
      <w:r w:rsidR="00D246A5">
        <w:rPr>
          <w:color w:val="000000" w:themeColor="text1"/>
          <w:lang w:val="en-US"/>
        </w:rPr>
        <w:t>s</w:t>
      </w:r>
      <w:r w:rsidR="00A45BF1">
        <w:rPr>
          <w:color w:val="000000" w:themeColor="text1"/>
          <w:lang w:val="en-US"/>
        </w:rPr>
        <w:t xml:space="preserve"> the external validity of this research. </w:t>
      </w:r>
      <w:r w:rsidR="00934056">
        <w:rPr>
          <w:color w:val="000000" w:themeColor="text1"/>
          <w:lang w:val="en-US"/>
        </w:rPr>
        <w:t xml:space="preserve">The psychometric properties of </w:t>
      </w:r>
      <w:r w:rsidR="00AE5CB3">
        <w:rPr>
          <w:color w:val="000000" w:themeColor="text1"/>
          <w:lang w:val="en-US"/>
        </w:rPr>
        <w:t>both</w:t>
      </w:r>
      <w:r w:rsidR="00934056">
        <w:rPr>
          <w:color w:val="000000" w:themeColor="text1"/>
          <w:lang w:val="en-US"/>
        </w:rPr>
        <w:t xml:space="preserve"> instruments proved to be good. </w:t>
      </w:r>
      <w:r w:rsidR="00A45BF1">
        <w:rPr>
          <w:color w:val="000000" w:themeColor="text1"/>
          <w:lang w:val="en-US"/>
        </w:rPr>
        <w:t xml:space="preserve">The study examined multiple risk factors based on the results of previous research. </w:t>
      </w:r>
      <w:r w:rsidR="002B022B">
        <w:rPr>
          <w:color w:val="000000" w:themeColor="text1"/>
          <w:lang w:val="en-US"/>
        </w:rPr>
        <w:t xml:space="preserve">No assumptions were violated in order to use statistical analysis. Furthermore, this research </w:t>
      </w:r>
      <w:r w:rsidR="006C1DFA">
        <w:rPr>
          <w:color w:val="000000" w:themeColor="text1"/>
          <w:lang w:val="en-US"/>
        </w:rPr>
        <w:t xml:space="preserve">differs from previous research comparing risk factors for pathological grief and depression. It </w:t>
      </w:r>
      <w:r w:rsidR="00D246A5">
        <w:rPr>
          <w:color w:val="000000" w:themeColor="text1"/>
          <w:lang w:val="en-US"/>
        </w:rPr>
        <w:t xml:space="preserve">also </w:t>
      </w:r>
      <w:r w:rsidR="006C1DFA">
        <w:rPr>
          <w:color w:val="000000" w:themeColor="text1"/>
          <w:lang w:val="en-US"/>
        </w:rPr>
        <w:t>provides useful insight for clinical practice and scientific literature.</w:t>
      </w:r>
    </w:p>
    <w:p w14:paraId="5D84EDF9" w14:textId="7075B3B5" w:rsidR="00CF6553" w:rsidRPr="00320AB2" w:rsidRDefault="007816B9" w:rsidP="00CF6553">
      <w:pPr>
        <w:spacing w:line="480" w:lineRule="auto"/>
        <w:ind w:firstLine="720"/>
        <w:rPr>
          <w:color w:val="000000" w:themeColor="text1"/>
          <w:lang w:val="en-US"/>
        </w:rPr>
      </w:pPr>
      <w:r>
        <w:rPr>
          <w:color w:val="000000" w:themeColor="text1"/>
          <w:lang w:val="en-US"/>
        </w:rPr>
        <w:t xml:space="preserve">Future research should elaborate on </w:t>
      </w:r>
      <w:r w:rsidR="000E1567">
        <w:rPr>
          <w:color w:val="000000" w:themeColor="text1"/>
          <w:lang w:val="en-US"/>
        </w:rPr>
        <w:t xml:space="preserve">risk factors on and differences between pathological grief and depression. It is recommended to use </w:t>
      </w:r>
      <w:r w:rsidR="00BB7E1E">
        <w:rPr>
          <w:color w:val="000000" w:themeColor="text1"/>
          <w:lang w:val="en-US"/>
        </w:rPr>
        <w:t xml:space="preserve">a depressive disorder and </w:t>
      </w:r>
      <w:r w:rsidR="00B16A3F">
        <w:rPr>
          <w:color w:val="000000" w:themeColor="text1"/>
          <w:lang w:val="en-US"/>
        </w:rPr>
        <w:t>a grief classification</w:t>
      </w:r>
      <w:r w:rsidR="00BB7E1E" w:rsidRPr="00B16A3F">
        <w:rPr>
          <w:color w:val="000000" w:themeColor="text1"/>
          <w:lang w:val="en-US"/>
        </w:rPr>
        <w:t xml:space="preserve"> </w:t>
      </w:r>
      <w:r w:rsidR="00BB7E1E">
        <w:rPr>
          <w:color w:val="000000" w:themeColor="text1"/>
          <w:lang w:val="en-US"/>
        </w:rPr>
        <w:t xml:space="preserve">as outcome measures, instead of symptom levels. </w:t>
      </w:r>
      <w:r w:rsidR="00B34B8B">
        <w:rPr>
          <w:color w:val="000000" w:themeColor="text1"/>
          <w:lang w:val="en-US"/>
        </w:rPr>
        <w:t>It would be interesting to conduct longitudinal research to examine the predictive value of the risk factors.</w:t>
      </w:r>
      <w:r w:rsidR="00CB0E96">
        <w:rPr>
          <w:color w:val="000000" w:themeColor="text1"/>
          <w:lang w:val="en-US"/>
        </w:rPr>
        <w:t xml:space="preserve"> Although this study already examined multiple risk factors, future research could elaborate on this. </w:t>
      </w:r>
      <w:r w:rsidR="00D246A5">
        <w:rPr>
          <w:color w:val="000000" w:themeColor="text1"/>
          <w:lang w:val="en-US"/>
        </w:rPr>
        <w:t>For example, i</w:t>
      </w:r>
      <w:r w:rsidR="004A478F">
        <w:rPr>
          <w:color w:val="000000" w:themeColor="text1"/>
          <w:lang w:val="en-US"/>
        </w:rPr>
        <w:t xml:space="preserve">ntrapersonal categories </w:t>
      </w:r>
      <w:r w:rsidR="0081209C">
        <w:rPr>
          <w:color w:val="000000" w:themeColor="text1"/>
          <w:lang w:val="en-US"/>
        </w:rPr>
        <w:t xml:space="preserve">(e.g., rumination, </w:t>
      </w:r>
      <w:r w:rsidR="000013E7">
        <w:rPr>
          <w:color w:val="000000" w:themeColor="text1"/>
          <w:lang w:val="en-US"/>
        </w:rPr>
        <w:t xml:space="preserve">worry, neuroticism) </w:t>
      </w:r>
      <w:r w:rsidR="004A478F">
        <w:rPr>
          <w:color w:val="000000" w:themeColor="text1"/>
          <w:lang w:val="en-US"/>
        </w:rPr>
        <w:t>were found to be important in predicting pathological grief symptoms</w:t>
      </w:r>
      <w:r w:rsidR="00F3021A">
        <w:rPr>
          <w:color w:val="000000" w:themeColor="text1"/>
          <w:lang w:val="en-US"/>
        </w:rPr>
        <w:t xml:space="preserve"> and depression in several studies</w:t>
      </w:r>
      <w:r w:rsidR="004A478F">
        <w:rPr>
          <w:color w:val="000000" w:themeColor="text1"/>
          <w:lang w:val="en-US"/>
        </w:rPr>
        <w:t xml:space="preserve"> </w:t>
      </w:r>
      <w:r w:rsidR="004A478F">
        <w:rPr>
          <w:color w:val="000000" w:themeColor="text1"/>
          <w:lang w:val="en-US"/>
        </w:rPr>
        <w:lastRenderedPageBreak/>
        <w:t>(</w:t>
      </w:r>
      <w:r w:rsidR="004C4EDB">
        <w:rPr>
          <w:color w:val="000000" w:themeColor="text1"/>
          <w:lang w:val="en-US"/>
        </w:rPr>
        <w:t xml:space="preserve">Boelen et al., 2016; </w:t>
      </w:r>
      <w:r w:rsidR="004A478F">
        <w:rPr>
          <w:color w:val="000000" w:themeColor="text1"/>
          <w:lang w:val="en-US"/>
        </w:rPr>
        <w:t xml:space="preserve">Burke &amp; </w:t>
      </w:r>
      <w:proofErr w:type="spellStart"/>
      <w:r w:rsidR="004A478F">
        <w:rPr>
          <w:color w:val="000000" w:themeColor="text1"/>
          <w:lang w:val="en-US"/>
        </w:rPr>
        <w:t>Neimeyer</w:t>
      </w:r>
      <w:proofErr w:type="spellEnd"/>
      <w:r w:rsidR="004A478F">
        <w:rPr>
          <w:color w:val="000000" w:themeColor="text1"/>
          <w:lang w:val="en-US"/>
        </w:rPr>
        <w:t>, 2013</w:t>
      </w:r>
      <w:r w:rsidR="006814A1">
        <w:rPr>
          <w:color w:val="000000" w:themeColor="text1"/>
          <w:lang w:val="en-US"/>
        </w:rPr>
        <w:t xml:space="preserve">; </w:t>
      </w:r>
      <w:proofErr w:type="spellStart"/>
      <w:r w:rsidR="006814A1">
        <w:rPr>
          <w:color w:val="000000" w:themeColor="text1"/>
          <w:lang w:val="en-US"/>
        </w:rPr>
        <w:t>Eisma</w:t>
      </w:r>
      <w:proofErr w:type="spellEnd"/>
      <w:r w:rsidR="006814A1">
        <w:rPr>
          <w:color w:val="000000" w:themeColor="text1"/>
          <w:lang w:val="en-US"/>
        </w:rPr>
        <w:t xml:space="preserve"> et al., 2013</w:t>
      </w:r>
      <w:r w:rsidR="004A478F">
        <w:rPr>
          <w:color w:val="000000" w:themeColor="text1"/>
          <w:lang w:val="en-US"/>
        </w:rPr>
        <w:t xml:space="preserve">). </w:t>
      </w:r>
      <w:r w:rsidR="00F3021A">
        <w:rPr>
          <w:color w:val="000000" w:themeColor="text1"/>
          <w:lang w:val="en-US"/>
        </w:rPr>
        <w:t>Future research should include these intrapersonal categories</w:t>
      </w:r>
      <w:r w:rsidR="00D246A5">
        <w:rPr>
          <w:color w:val="000000" w:themeColor="text1"/>
          <w:lang w:val="en-US"/>
        </w:rPr>
        <w:t xml:space="preserve"> into the analysis</w:t>
      </w:r>
      <w:r w:rsidR="00F3021A">
        <w:rPr>
          <w:color w:val="000000" w:themeColor="text1"/>
          <w:lang w:val="en-US"/>
        </w:rPr>
        <w:t xml:space="preserve">. </w:t>
      </w:r>
    </w:p>
    <w:p w14:paraId="339E0E55" w14:textId="2240254F" w:rsidR="0024616D" w:rsidRPr="00A36B71" w:rsidRDefault="00954D9E" w:rsidP="0063096A">
      <w:pPr>
        <w:spacing w:line="480" w:lineRule="auto"/>
        <w:ind w:firstLine="720"/>
        <w:rPr>
          <w:color w:val="000000" w:themeColor="text1"/>
          <w:lang w:val="en-US"/>
        </w:rPr>
      </w:pPr>
      <w:r w:rsidRPr="00A36B71">
        <w:rPr>
          <w:color w:val="000000" w:themeColor="text1"/>
          <w:lang w:val="en-US"/>
        </w:rPr>
        <w:t xml:space="preserve">To </w:t>
      </w:r>
      <w:r w:rsidR="00CF6553">
        <w:rPr>
          <w:color w:val="000000" w:themeColor="text1"/>
          <w:lang w:val="en-US"/>
        </w:rPr>
        <w:t>conclude</w:t>
      </w:r>
      <w:r w:rsidRPr="00A36B71">
        <w:rPr>
          <w:color w:val="000000" w:themeColor="text1"/>
          <w:lang w:val="en-US"/>
        </w:rPr>
        <w:t xml:space="preserve"> </w:t>
      </w:r>
      <w:r w:rsidR="00D246A5">
        <w:rPr>
          <w:color w:val="000000" w:themeColor="text1"/>
          <w:lang w:val="en-US"/>
        </w:rPr>
        <w:t>this study examined</w:t>
      </w:r>
      <w:r w:rsidRPr="00A36B71">
        <w:rPr>
          <w:color w:val="000000" w:themeColor="text1"/>
          <w:lang w:val="en-US"/>
        </w:rPr>
        <w:t xml:space="preserve"> and compare</w:t>
      </w:r>
      <w:r w:rsidR="00D246A5">
        <w:rPr>
          <w:color w:val="000000" w:themeColor="text1"/>
          <w:lang w:val="en-US"/>
        </w:rPr>
        <w:t>d</w:t>
      </w:r>
      <w:r w:rsidRPr="00A36B71">
        <w:rPr>
          <w:color w:val="000000" w:themeColor="text1"/>
          <w:lang w:val="en-US"/>
        </w:rPr>
        <w:t xml:space="preserve"> risk factors for pathological grief and depression</w:t>
      </w:r>
      <w:r w:rsidR="00630CF8" w:rsidRPr="00A36B71">
        <w:rPr>
          <w:color w:val="000000" w:themeColor="text1"/>
          <w:lang w:val="en-US"/>
        </w:rPr>
        <w:t xml:space="preserve"> in a general sample</w:t>
      </w:r>
      <w:r w:rsidRPr="00A36B71">
        <w:rPr>
          <w:color w:val="000000" w:themeColor="text1"/>
          <w:lang w:val="en-US"/>
        </w:rPr>
        <w:t xml:space="preserve">. </w:t>
      </w:r>
      <w:r w:rsidR="005A0509" w:rsidRPr="00A36B71">
        <w:rPr>
          <w:color w:val="000000" w:themeColor="text1"/>
          <w:lang w:val="en-US"/>
        </w:rPr>
        <w:t xml:space="preserve">The results show that </w:t>
      </w:r>
      <w:r w:rsidR="009451BA" w:rsidRPr="00A36B71">
        <w:rPr>
          <w:color w:val="000000" w:themeColor="text1"/>
          <w:lang w:val="en-US"/>
        </w:rPr>
        <w:t xml:space="preserve">depression and pathological grief are strongly associated, </w:t>
      </w:r>
      <w:r w:rsidR="00504565" w:rsidRPr="00A36B71">
        <w:rPr>
          <w:color w:val="000000" w:themeColor="text1"/>
          <w:lang w:val="en-US"/>
        </w:rPr>
        <w:t xml:space="preserve">but </w:t>
      </w:r>
      <w:r w:rsidR="00677155" w:rsidRPr="00A36B71">
        <w:rPr>
          <w:color w:val="000000" w:themeColor="text1"/>
          <w:lang w:val="en-US"/>
        </w:rPr>
        <w:t>still</w:t>
      </w:r>
      <w:r w:rsidR="00504565" w:rsidRPr="00A36B71">
        <w:rPr>
          <w:color w:val="000000" w:themeColor="text1"/>
          <w:lang w:val="en-US"/>
        </w:rPr>
        <w:t xml:space="preserve"> appear to be different</w:t>
      </w:r>
      <w:r w:rsidR="003D21D8" w:rsidRPr="00A36B71">
        <w:rPr>
          <w:color w:val="000000" w:themeColor="text1"/>
          <w:lang w:val="en-US"/>
        </w:rPr>
        <w:t xml:space="preserve">. Additional predictors seem to be involved in higher symptom levels of pathological grief. </w:t>
      </w:r>
      <w:r w:rsidR="003E5941" w:rsidRPr="00A36B71">
        <w:rPr>
          <w:color w:val="000000" w:themeColor="text1"/>
          <w:lang w:val="en-US"/>
        </w:rPr>
        <w:t>These results are important for clinical practice</w:t>
      </w:r>
      <w:r w:rsidR="00E56CF6" w:rsidRPr="00A36B71">
        <w:rPr>
          <w:color w:val="000000" w:themeColor="text1"/>
          <w:lang w:val="en-US"/>
        </w:rPr>
        <w:t xml:space="preserve">, because this way individuals at risk can be recognized </w:t>
      </w:r>
      <w:r w:rsidR="00635911" w:rsidRPr="00A36B71">
        <w:rPr>
          <w:color w:val="000000" w:themeColor="text1"/>
          <w:lang w:val="en-US"/>
        </w:rPr>
        <w:t>early and healthcare professionals can intervene early.</w:t>
      </w:r>
      <w:r w:rsidR="006F1C60">
        <w:rPr>
          <w:color w:val="000000" w:themeColor="text1"/>
          <w:lang w:val="en-US"/>
        </w:rPr>
        <w:t xml:space="preserve"> </w:t>
      </w:r>
      <w:r w:rsidR="006F1C60" w:rsidRPr="00D246A5">
        <w:rPr>
          <w:color w:val="000000" w:themeColor="text1"/>
          <w:lang w:val="en-US"/>
        </w:rPr>
        <w:t xml:space="preserve">Furthermore, </w:t>
      </w:r>
      <w:r w:rsidR="00D246A5" w:rsidRPr="00D246A5">
        <w:rPr>
          <w:color w:val="000000" w:themeColor="text1"/>
          <w:lang w:val="en-US"/>
        </w:rPr>
        <w:t xml:space="preserve">research showed that </w:t>
      </w:r>
      <w:r w:rsidR="00D246A5">
        <w:rPr>
          <w:color w:val="000000" w:themeColor="text1"/>
          <w:lang w:val="en-US"/>
        </w:rPr>
        <w:t>treatment</w:t>
      </w:r>
      <w:r w:rsidR="00D246A5" w:rsidRPr="00D246A5">
        <w:rPr>
          <w:color w:val="000000" w:themeColor="text1"/>
          <w:lang w:val="en-US"/>
        </w:rPr>
        <w:t xml:space="preserve"> should be different between pathological grief and depression </w:t>
      </w:r>
      <w:r w:rsidR="0063096A" w:rsidRPr="00D246A5">
        <w:rPr>
          <w:color w:val="000000" w:themeColor="text1"/>
          <w:lang w:val="en-US"/>
        </w:rPr>
        <w:t xml:space="preserve">(Shear et al., 2005). </w:t>
      </w:r>
      <w:r w:rsidR="0063096A">
        <w:rPr>
          <w:color w:val="000000" w:themeColor="text1"/>
          <w:lang w:val="en-US"/>
        </w:rPr>
        <w:t>T</w:t>
      </w:r>
      <w:r w:rsidR="00F81FE2" w:rsidRPr="00A36B71">
        <w:rPr>
          <w:color w:val="000000" w:themeColor="text1"/>
          <w:lang w:val="en-US"/>
        </w:rPr>
        <w:t xml:space="preserve">he </w:t>
      </w:r>
      <w:r w:rsidR="00411CBF">
        <w:rPr>
          <w:color w:val="000000" w:themeColor="text1"/>
          <w:lang w:val="en-US"/>
        </w:rPr>
        <w:t>results</w:t>
      </w:r>
      <w:r w:rsidR="00F81FE2" w:rsidRPr="00A36B71">
        <w:rPr>
          <w:color w:val="000000" w:themeColor="text1"/>
          <w:lang w:val="en-US"/>
        </w:rPr>
        <w:t xml:space="preserve"> add to the scientific literature of pathological grief and depression being </w:t>
      </w:r>
      <w:r w:rsidR="00091F64" w:rsidRPr="00A36B71">
        <w:rPr>
          <w:color w:val="000000" w:themeColor="text1"/>
          <w:lang w:val="en-US"/>
        </w:rPr>
        <w:t>similar</w:t>
      </w:r>
      <w:r w:rsidR="00D246A5">
        <w:rPr>
          <w:color w:val="000000" w:themeColor="text1"/>
          <w:lang w:val="en-US"/>
        </w:rPr>
        <w:t>,</w:t>
      </w:r>
      <w:r w:rsidR="00091F64" w:rsidRPr="00A36B71">
        <w:rPr>
          <w:color w:val="000000" w:themeColor="text1"/>
          <w:lang w:val="en-US"/>
        </w:rPr>
        <w:t xml:space="preserve"> but </w:t>
      </w:r>
      <w:r w:rsidR="00F81FE2" w:rsidRPr="00A36B71">
        <w:rPr>
          <w:color w:val="000000" w:themeColor="text1"/>
          <w:lang w:val="en-US"/>
        </w:rPr>
        <w:t xml:space="preserve">two </w:t>
      </w:r>
      <w:r w:rsidR="00E25380" w:rsidRPr="00A36B71">
        <w:rPr>
          <w:color w:val="000000" w:themeColor="text1"/>
          <w:lang w:val="en-US"/>
        </w:rPr>
        <w:t>distinct</w:t>
      </w:r>
      <w:r w:rsidR="00F81FE2" w:rsidRPr="00A36B71">
        <w:rPr>
          <w:color w:val="000000" w:themeColor="text1"/>
          <w:lang w:val="en-US"/>
        </w:rPr>
        <w:t xml:space="preserve"> </w:t>
      </w:r>
      <w:r w:rsidR="00E25380" w:rsidRPr="00A36B71">
        <w:rPr>
          <w:color w:val="000000" w:themeColor="text1"/>
          <w:lang w:val="en-US"/>
        </w:rPr>
        <w:t>disorders</w:t>
      </w:r>
      <w:r w:rsidR="00A46F98" w:rsidRPr="00A36B71">
        <w:rPr>
          <w:color w:val="000000" w:themeColor="text1"/>
          <w:lang w:val="en-US"/>
        </w:rPr>
        <w:t xml:space="preserve"> (Boelen et al., 2010; Boelen &amp; </w:t>
      </w:r>
      <w:proofErr w:type="spellStart"/>
      <w:r w:rsidR="00A46F98" w:rsidRPr="00A36B71">
        <w:rPr>
          <w:color w:val="000000" w:themeColor="text1"/>
          <w:lang w:val="en-US"/>
        </w:rPr>
        <w:t>Lenferink</w:t>
      </w:r>
      <w:proofErr w:type="spellEnd"/>
      <w:r w:rsidR="00A46F98" w:rsidRPr="00A36B71">
        <w:rPr>
          <w:color w:val="000000" w:themeColor="text1"/>
          <w:lang w:val="en-US"/>
        </w:rPr>
        <w:t xml:space="preserve">, 2019; Boelen &amp; van den Bout, 2005; </w:t>
      </w:r>
      <w:proofErr w:type="spellStart"/>
      <w:r w:rsidR="00A46F98" w:rsidRPr="00A36B71">
        <w:rPr>
          <w:color w:val="000000" w:themeColor="text1"/>
          <w:lang w:val="en-US"/>
        </w:rPr>
        <w:t>Bonanno</w:t>
      </w:r>
      <w:proofErr w:type="spellEnd"/>
      <w:r w:rsidR="00A46F98" w:rsidRPr="00A36B71">
        <w:rPr>
          <w:color w:val="000000" w:themeColor="text1"/>
          <w:lang w:val="en-US"/>
        </w:rPr>
        <w:t xml:space="preserve"> et al., 2017; Pies, 2014)</w:t>
      </w:r>
      <w:r w:rsidR="00F81FE2" w:rsidRPr="00A36B71">
        <w:rPr>
          <w:color w:val="000000" w:themeColor="text1"/>
          <w:lang w:val="en-US"/>
        </w:rPr>
        <w:t xml:space="preserve">. </w:t>
      </w:r>
      <w:r w:rsidR="00A76C06" w:rsidRPr="00D246A5">
        <w:rPr>
          <w:color w:val="000000" w:themeColor="text1"/>
          <w:lang w:val="en-US"/>
        </w:rPr>
        <w:t>This research provide</w:t>
      </w:r>
      <w:r w:rsidR="00D246A5" w:rsidRPr="00D246A5">
        <w:rPr>
          <w:color w:val="000000" w:themeColor="text1"/>
          <w:lang w:val="en-US"/>
        </w:rPr>
        <w:t xml:space="preserve">d results for risk factors of </w:t>
      </w:r>
      <w:r w:rsidR="00D246A5">
        <w:rPr>
          <w:color w:val="000000" w:themeColor="text1"/>
          <w:lang w:val="en-US"/>
        </w:rPr>
        <w:t xml:space="preserve">pathological grief and </w:t>
      </w:r>
      <w:r w:rsidR="00D246A5" w:rsidRPr="00D246A5">
        <w:rPr>
          <w:color w:val="000000" w:themeColor="text1"/>
          <w:lang w:val="en-US"/>
        </w:rPr>
        <w:t xml:space="preserve">depression </w:t>
      </w:r>
      <w:r w:rsidR="00D246A5">
        <w:rPr>
          <w:color w:val="000000" w:themeColor="text1"/>
          <w:lang w:val="en-US"/>
        </w:rPr>
        <w:t>on</w:t>
      </w:r>
      <w:r w:rsidR="00A76C06" w:rsidRPr="00D246A5">
        <w:rPr>
          <w:color w:val="000000" w:themeColor="text1"/>
          <w:lang w:val="en-US"/>
        </w:rPr>
        <w:t xml:space="preserve"> which future research should </w:t>
      </w:r>
      <w:commentRangeStart w:id="14"/>
      <w:r w:rsidR="00A76C06" w:rsidRPr="00D246A5">
        <w:rPr>
          <w:color w:val="000000" w:themeColor="text1"/>
          <w:lang w:val="en-US"/>
        </w:rPr>
        <w:t>elaborate</w:t>
      </w:r>
      <w:commentRangeEnd w:id="14"/>
      <w:r w:rsidR="00E42F60">
        <w:rPr>
          <w:rStyle w:val="CommentReference"/>
          <w:rFonts w:ascii="Arial" w:eastAsia="Arial" w:hAnsi="Arial" w:cs="Arial"/>
          <w:lang w:val="nl"/>
        </w:rPr>
        <w:commentReference w:id="14"/>
      </w:r>
      <w:r w:rsidR="00A76C06" w:rsidRPr="00D246A5">
        <w:rPr>
          <w:color w:val="000000" w:themeColor="text1"/>
          <w:lang w:val="en-US"/>
        </w:rPr>
        <w:t xml:space="preserve">. </w:t>
      </w:r>
    </w:p>
    <w:p w14:paraId="1BF2D537" w14:textId="5C93CA59" w:rsidR="00D90292" w:rsidRPr="00461BFC" w:rsidRDefault="00D90292" w:rsidP="00677155">
      <w:pPr>
        <w:spacing w:line="480" w:lineRule="auto"/>
        <w:rPr>
          <w:color w:val="FF0000"/>
          <w:lang w:val="en-US"/>
        </w:rPr>
      </w:pPr>
    </w:p>
    <w:p w14:paraId="2CC69C70" w14:textId="5A6C41F0" w:rsidR="00CA5DF5" w:rsidRPr="00461BFC" w:rsidRDefault="00CA5DF5" w:rsidP="00677155">
      <w:pPr>
        <w:spacing w:line="480" w:lineRule="auto"/>
        <w:rPr>
          <w:color w:val="FF0000"/>
          <w:lang w:val="en-US"/>
        </w:rPr>
      </w:pPr>
    </w:p>
    <w:p w14:paraId="062A7872" w14:textId="265B623E" w:rsidR="00CA5DF5" w:rsidRPr="00461BFC" w:rsidRDefault="00CA5DF5" w:rsidP="00677155">
      <w:pPr>
        <w:spacing w:line="480" w:lineRule="auto"/>
        <w:rPr>
          <w:color w:val="FF0000"/>
          <w:lang w:val="en-US"/>
        </w:rPr>
      </w:pPr>
    </w:p>
    <w:p w14:paraId="1AD49A2D" w14:textId="692B65EB" w:rsidR="00CA5DF5" w:rsidRPr="00461BFC" w:rsidRDefault="00CA5DF5" w:rsidP="00677155">
      <w:pPr>
        <w:spacing w:line="480" w:lineRule="auto"/>
        <w:rPr>
          <w:color w:val="FF0000"/>
          <w:lang w:val="en-US"/>
        </w:rPr>
      </w:pPr>
    </w:p>
    <w:p w14:paraId="40F1E3B4" w14:textId="1AB9497C" w:rsidR="00CA5DF5" w:rsidRPr="00461BFC" w:rsidRDefault="00CA5DF5" w:rsidP="00677155">
      <w:pPr>
        <w:spacing w:line="480" w:lineRule="auto"/>
        <w:rPr>
          <w:color w:val="FF0000"/>
          <w:lang w:val="en-US"/>
        </w:rPr>
      </w:pPr>
    </w:p>
    <w:p w14:paraId="5144CC66" w14:textId="5762414A" w:rsidR="00CA5DF5" w:rsidRPr="00461BFC" w:rsidRDefault="00CA5DF5" w:rsidP="00677155">
      <w:pPr>
        <w:spacing w:line="480" w:lineRule="auto"/>
        <w:rPr>
          <w:color w:val="FF0000"/>
          <w:lang w:val="en-US"/>
        </w:rPr>
      </w:pPr>
    </w:p>
    <w:p w14:paraId="6F6FA4B9" w14:textId="290F3C2D" w:rsidR="00CA5DF5" w:rsidRPr="00461BFC" w:rsidRDefault="00CA5DF5" w:rsidP="00677155">
      <w:pPr>
        <w:spacing w:line="480" w:lineRule="auto"/>
        <w:rPr>
          <w:color w:val="FF0000"/>
          <w:lang w:val="en-US"/>
        </w:rPr>
      </w:pPr>
    </w:p>
    <w:p w14:paraId="488464A3" w14:textId="1A159656" w:rsidR="00CA5DF5" w:rsidRPr="00461BFC" w:rsidRDefault="00CA5DF5" w:rsidP="00677155">
      <w:pPr>
        <w:spacing w:line="480" w:lineRule="auto"/>
        <w:rPr>
          <w:color w:val="FF0000"/>
          <w:lang w:val="en-US"/>
        </w:rPr>
      </w:pPr>
    </w:p>
    <w:p w14:paraId="493521E8" w14:textId="166291C2" w:rsidR="00CA5DF5" w:rsidRPr="00461BFC" w:rsidRDefault="00CA5DF5" w:rsidP="00677155">
      <w:pPr>
        <w:spacing w:line="480" w:lineRule="auto"/>
        <w:rPr>
          <w:color w:val="FF0000"/>
          <w:lang w:val="en-US"/>
        </w:rPr>
      </w:pPr>
    </w:p>
    <w:p w14:paraId="5E7E7619" w14:textId="348586E2" w:rsidR="00CA5DF5" w:rsidRPr="00461BFC" w:rsidRDefault="00CA5DF5" w:rsidP="00677155">
      <w:pPr>
        <w:spacing w:line="480" w:lineRule="auto"/>
        <w:rPr>
          <w:color w:val="FF0000"/>
          <w:lang w:val="en-US"/>
        </w:rPr>
      </w:pPr>
    </w:p>
    <w:p w14:paraId="019451DD" w14:textId="49816A3B" w:rsidR="00CA5DF5" w:rsidRDefault="00CA5DF5" w:rsidP="00677155">
      <w:pPr>
        <w:spacing w:line="480" w:lineRule="auto"/>
        <w:rPr>
          <w:b/>
          <w:color w:val="000000" w:themeColor="text1"/>
          <w:lang w:val="en-US"/>
        </w:rPr>
      </w:pPr>
    </w:p>
    <w:p w14:paraId="04D54602" w14:textId="77777777" w:rsidR="00D246A5" w:rsidRPr="00461BFC" w:rsidRDefault="00D246A5" w:rsidP="00677155">
      <w:pPr>
        <w:spacing w:line="480" w:lineRule="auto"/>
        <w:rPr>
          <w:b/>
          <w:color w:val="000000" w:themeColor="text1"/>
          <w:lang w:val="en-US"/>
        </w:rPr>
      </w:pPr>
    </w:p>
    <w:p w14:paraId="0000006E" w14:textId="6C81DABD" w:rsidR="00042C0F" w:rsidRPr="00685560" w:rsidRDefault="00165BB5" w:rsidP="00685560">
      <w:pPr>
        <w:spacing w:line="480" w:lineRule="auto"/>
        <w:jc w:val="center"/>
        <w:rPr>
          <w:b/>
          <w:color w:val="000000" w:themeColor="text1"/>
          <w:lang w:val="en-US"/>
        </w:rPr>
      </w:pPr>
      <w:r w:rsidRPr="00685560">
        <w:rPr>
          <w:b/>
          <w:color w:val="000000" w:themeColor="text1"/>
          <w:lang w:val="en-US"/>
        </w:rPr>
        <w:lastRenderedPageBreak/>
        <w:t>Reference list</w:t>
      </w:r>
    </w:p>
    <w:p w14:paraId="2D5E65E4" w14:textId="77777777" w:rsidR="00784863" w:rsidRPr="00685560" w:rsidRDefault="00784863" w:rsidP="00685560">
      <w:pPr>
        <w:spacing w:line="480" w:lineRule="auto"/>
        <w:jc w:val="center"/>
        <w:rPr>
          <w:b/>
          <w:color w:val="000000" w:themeColor="text1"/>
          <w:lang w:val="en-US"/>
        </w:rPr>
      </w:pPr>
    </w:p>
    <w:p w14:paraId="0000006F" w14:textId="77777777" w:rsidR="00042C0F" w:rsidRPr="00685560" w:rsidRDefault="00165BB5" w:rsidP="00685560">
      <w:pPr>
        <w:spacing w:line="480" w:lineRule="auto"/>
        <w:rPr>
          <w:i/>
          <w:color w:val="000000" w:themeColor="text1"/>
          <w:lang w:val="en-US"/>
        </w:rPr>
      </w:pPr>
      <w:r w:rsidRPr="00685560">
        <w:rPr>
          <w:color w:val="000000" w:themeColor="text1"/>
          <w:lang w:val="en-US"/>
        </w:rPr>
        <w:t xml:space="preserve">American Psychiatric Association. (1980). </w:t>
      </w:r>
      <w:r w:rsidRPr="00685560">
        <w:rPr>
          <w:i/>
          <w:color w:val="000000" w:themeColor="text1"/>
          <w:lang w:val="en-US"/>
        </w:rPr>
        <w:t xml:space="preserve">Diagnostic and Statistical Manual of Mental </w:t>
      </w:r>
    </w:p>
    <w:p w14:paraId="4320943C" w14:textId="379746A5" w:rsidR="00BB3F12" w:rsidRPr="00685560" w:rsidRDefault="00165BB5" w:rsidP="00685560">
      <w:pPr>
        <w:spacing w:line="480" w:lineRule="auto"/>
        <w:ind w:firstLine="720"/>
        <w:rPr>
          <w:color w:val="000000" w:themeColor="text1"/>
          <w:lang w:val="en-US"/>
        </w:rPr>
      </w:pPr>
      <w:r w:rsidRPr="00685560">
        <w:rPr>
          <w:i/>
          <w:color w:val="000000" w:themeColor="text1"/>
          <w:lang w:val="en-US"/>
        </w:rPr>
        <w:t>Disorders</w:t>
      </w:r>
      <w:r w:rsidRPr="00685560">
        <w:rPr>
          <w:color w:val="000000" w:themeColor="text1"/>
          <w:lang w:val="en-US"/>
        </w:rPr>
        <w:t xml:space="preserve"> (3rd ed.).</w:t>
      </w:r>
      <w:r w:rsidR="00BB3F12" w:rsidRPr="00685560">
        <w:rPr>
          <w:color w:val="000000" w:themeColor="text1"/>
          <w:lang w:val="en-US"/>
        </w:rPr>
        <w:t xml:space="preserve"> </w:t>
      </w:r>
    </w:p>
    <w:p w14:paraId="00000071" w14:textId="77777777" w:rsidR="00042C0F" w:rsidRPr="00685560" w:rsidRDefault="00165BB5" w:rsidP="00685560">
      <w:pPr>
        <w:spacing w:line="480" w:lineRule="auto"/>
        <w:rPr>
          <w:i/>
          <w:color w:val="000000" w:themeColor="text1"/>
          <w:lang w:val="en-US"/>
        </w:rPr>
      </w:pPr>
      <w:r w:rsidRPr="00685560">
        <w:rPr>
          <w:color w:val="000000" w:themeColor="text1"/>
          <w:lang w:val="en-US"/>
        </w:rPr>
        <w:t>American Psychiatric Association. (2013). ​</w:t>
      </w:r>
      <w:r w:rsidRPr="00685560">
        <w:rPr>
          <w:i/>
          <w:color w:val="000000" w:themeColor="text1"/>
          <w:lang w:val="en-US"/>
        </w:rPr>
        <w:t>Diagnostic and Statistical Manual of Mental</w:t>
      </w:r>
    </w:p>
    <w:p w14:paraId="00000072" w14:textId="77777777" w:rsidR="00042C0F" w:rsidRPr="00685560" w:rsidRDefault="00165BB5" w:rsidP="00685560">
      <w:pPr>
        <w:spacing w:line="480" w:lineRule="auto"/>
        <w:ind w:firstLine="700"/>
        <w:rPr>
          <w:color w:val="000000" w:themeColor="text1"/>
          <w:lang w:val="en-US"/>
        </w:rPr>
      </w:pPr>
      <w:r w:rsidRPr="00685560">
        <w:rPr>
          <w:i/>
          <w:color w:val="000000" w:themeColor="text1"/>
          <w:lang w:val="en-US"/>
        </w:rPr>
        <w:t>Disorders</w:t>
      </w:r>
      <w:r w:rsidRPr="00685560">
        <w:rPr>
          <w:color w:val="000000" w:themeColor="text1"/>
          <w:lang w:val="en-US"/>
        </w:rPr>
        <w:t xml:space="preserve"> (5th ed.). https://doi.org/10.1176/appi.books.9780890425596</w:t>
      </w:r>
    </w:p>
    <w:p w14:paraId="1005A8BD" w14:textId="77777777" w:rsidR="00784863" w:rsidRPr="00685560" w:rsidRDefault="00165BB5" w:rsidP="00685560">
      <w:pPr>
        <w:spacing w:line="480" w:lineRule="auto"/>
        <w:rPr>
          <w:color w:val="000000" w:themeColor="text1"/>
          <w:lang w:val="en-US"/>
        </w:rPr>
      </w:pPr>
      <w:r w:rsidRPr="00685560">
        <w:rPr>
          <w:color w:val="000000" w:themeColor="text1"/>
          <w:lang w:val="en-US"/>
        </w:rPr>
        <w:t xml:space="preserve">Beard, C., Hsu, K. J., Rifkin, L. S., Busch, A. B., &amp; </w:t>
      </w:r>
      <w:proofErr w:type="spellStart"/>
      <w:r w:rsidRPr="00685560">
        <w:rPr>
          <w:color w:val="000000" w:themeColor="text1"/>
          <w:lang w:val="en-US"/>
        </w:rPr>
        <w:t>Björgvinsson</w:t>
      </w:r>
      <w:proofErr w:type="spellEnd"/>
      <w:r w:rsidRPr="00685560">
        <w:rPr>
          <w:color w:val="000000" w:themeColor="text1"/>
          <w:lang w:val="en-US"/>
        </w:rPr>
        <w:t xml:space="preserve">, T. (2016). Validation of </w:t>
      </w:r>
    </w:p>
    <w:p w14:paraId="00000074" w14:textId="7E0159DD" w:rsidR="00042C0F" w:rsidRPr="00685560" w:rsidRDefault="00165BB5" w:rsidP="00685560">
      <w:pPr>
        <w:spacing w:line="480" w:lineRule="auto"/>
        <w:ind w:firstLine="720"/>
        <w:rPr>
          <w:color w:val="000000" w:themeColor="text1"/>
          <w:lang w:val="en-US"/>
        </w:rPr>
      </w:pPr>
      <w:r w:rsidRPr="00685560">
        <w:rPr>
          <w:color w:val="000000" w:themeColor="text1"/>
          <w:lang w:val="en-US"/>
        </w:rPr>
        <w:t xml:space="preserve">the PHQ-9 in a psychiatric sample. </w:t>
      </w:r>
      <w:r w:rsidRPr="00685560">
        <w:rPr>
          <w:i/>
          <w:iCs/>
          <w:color w:val="000000" w:themeColor="text1"/>
          <w:lang w:val="en-US"/>
        </w:rPr>
        <w:t>Journal of Affective Disorders</w:t>
      </w:r>
      <w:r w:rsidRPr="00685560">
        <w:rPr>
          <w:color w:val="000000" w:themeColor="text1"/>
          <w:lang w:val="en-US"/>
        </w:rPr>
        <w:t>, 193, 267-273.</w:t>
      </w:r>
    </w:p>
    <w:p w14:paraId="14E17417" w14:textId="4CA40947" w:rsidR="0009559C" w:rsidRPr="00685560" w:rsidRDefault="0009559C" w:rsidP="00685560">
      <w:pPr>
        <w:pStyle w:val="NoSpacing"/>
        <w:spacing w:line="480" w:lineRule="auto"/>
        <w:ind w:firstLine="720"/>
        <w:rPr>
          <w:rFonts w:ascii="Times New Roman" w:hAnsi="Times New Roman" w:cs="Times New Roman"/>
          <w:color w:val="000000" w:themeColor="text1"/>
          <w:sz w:val="24"/>
          <w:szCs w:val="24"/>
          <w:lang w:val="en-US"/>
        </w:rPr>
      </w:pPr>
      <w:r w:rsidRPr="00685560">
        <w:rPr>
          <w:rFonts w:ascii="Times New Roman" w:hAnsi="Times New Roman" w:cs="Times New Roman"/>
          <w:color w:val="000000" w:themeColor="text1"/>
          <w:sz w:val="24"/>
          <w:szCs w:val="24"/>
          <w:lang w:val="en-US"/>
        </w:rPr>
        <w:t>https://doi.org/10.1016/j.jad.2015.12.075</w:t>
      </w:r>
    </w:p>
    <w:p w14:paraId="00000075" w14:textId="77777777" w:rsidR="00042C0F" w:rsidRPr="00685560" w:rsidRDefault="00165BB5" w:rsidP="00685560">
      <w:pPr>
        <w:spacing w:line="480" w:lineRule="auto"/>
        <w:rPr>
          <w:color w:val="000000" w:themeColor="text1"/>
        </w:rPr>
      </w:pPr>
      <w:r w:rsidRPr="00685560">
        <w:rPr>
          <w:color w:val="000000" w:themeColor="text1"/>
        </w:rPr>
        <w:t xml:space="preserve">Boelen, P. A., </w:t>
      </w:r>
      <w:proofErr w:type="spellStart"/>
      <w:r w:rsidRPr="00685560">
        <w:rPr>
          <w:color w:val="000000" w:themeColor="text1"/>
        </w:rPr>
        <w:t>Djelantik</w:t>
      </w:r>
      <w:proofErr w:type="spellEnd"/>
      <w:r w:rsidRPr="00685560">
        <w:rPr>
          <w:color w:val="000000" w:themeColor="text1"/>
        </w:rPr>
        <w:t xml:space="preserve">, A. M. J., de Keijser, J., </w:t>
      </w:r>
      <w:proofErr w:type="spellStart"/>
      <w:r w:rsidRPr="00685560">
        <w:rPr>
          <w:color w:val="000000" w:themeColor="text1"/>
        </w:rPr>
        <w:t>Lenferink</w:t>
      </w:r>
      <w:proofErr w:type="spellEnd"/>
      <w:r w:rsidRPr="00685560">
        <w:rPr>
          <w:color w:val="000000" w:themeColor="text1"/>
        </w:rPr>
        <w:t>, L. I. M., &amp; Smid, G. E. (2019a).</w:t>
      </w:r>
    </w:p>
    <w:p w14:paraId="00000076" w14:textId="77777777" w:rsidR="00042C0F" w:rsidRPr="00685560" w:rsidRDefault="00165BB5" w:rsidP="00685560">
      <w:pPr>
        <w:spacing w:line="480" w:lineRule="auto"/>
        <w:ind w:left="720"/>
        <w:rPr>
          <w:color w:val="000000" w:themeColor="text1"/>
          <w:lang w:val="en-US"/>
        </w:rPr>
      </w:pPr>
      <w:r w:rsidRPr="00685560">
        <w:rPr>
          <w:color w:val="000000" w:themeColor="text1"/>
          <w:lang w:val="en-US"/>
        </w:rPr>
        <w:t>Further validation of the Traumatic Grief Inventory-Self Report (TGI-SR): A measure of persistent complex bereavement disorder and prolonged grief disorder. Death studies, 43(6), 351-364. https://doi.org/10.1080/07481187.2018.1480546</w:t>
      </w:r>
    </w:p>
    <w:p w14:paraId="00000077" w14:textId="77777777" w:rsidR="00042C0F" w:rsidRPr="00685560" w:rsidRDefault="00165BB5" w:rsidP="00685560">
      <w:pPr>
        <w:spacing w:line="480" w:lineRule="auto"/>
        <w:rPr>
          <w:color w:val="000000" w:themeColor="text1"/>
          <w:lang w:val="en-US"/>
        </w:rPr>
      </w:pPr>
      <w:r w:rsidRPr="00685560">
        <w:rPr>
          <w:color w:val="000000" w:themeColor="text1"/>
          <w:lang w:val="en-US"/>
        </w:rPr>
        <w:t xml:space="preserve">Boelen, P. A., &amp; </w:t>
      </w:r>
      <w:proofErr w:type="spellStart"/>
      <w:r w:rsidRPr="00685560">
        <w:rPr>
          <w:color w:val="000000" w:themeColor="text1"/>
          <w:lang w:val="en-US"/>
        </w:rPr>
        <w:t>Lenferink</w:t>
      </w:r>
      <w:proofErr w:type="spellEnd"/>
      <w:r w:rsidRPr="00685560">
        <w:rPr>
          <w:color w:val="000000" w:themeColor="text1"/>
          <w:lang w:val="en-US"/>
        </w:rPr>
        <w:t xml:space="preserve">, L. I. (2019). Symptoms of prolonged grief, posttraumatic stress, </w:t>
      </w:r>
    </w:p>
    <w:p w14:paraId="00000078" w14:textId="38C699B7" w:rsidR="00042C0F" w:rsidRPr="00685560" w:rsidRDefault="00165BB5" w:rsidP="00685560">
      <w:pPr>
        <w:spacing w:line="480" w:lineRule="auto"/>
        <w:ind w:left="720"/>
        <w:rPr>
          <w:color w:val="000000" w:themeColor="text1"/>
          <w:lang w:val="en-US"/>
        </w:rPr>
      </w:pPr>
      <w:r w:rsidRPr="00685560">
        <w:rPr>
          <w:color w:val="000000" w:themeColor="text1"/>
          <w:lang w:val="en-US"/>
        </w:rPr>
        <w:t xml:space="preserve">and depression in recently bereaved people: symptom profiles, predictive value, and cognitive </w:t>
      </w:r>
      <w:proofErr w:type="spellStart"/>
      <w:r w:rsidRPr="00685560">
        <w:rPr>
          <w:color w:val="000000" w:themeColor="text1"/>
          <w:lang w:val="en-US"/>
        </w:rPr>
        <w:t>behavioural</w:t>
      </w:r>
      <w:proofErr w:type="spellEnd"/>
      <w:r w:rsidRPr="00685560">
        <w:rPr>
          <w:color w:val="000000" w:themeColor="text1"/>
          <w:lang w:val="en-US"/>
        </w:rPr>
        <w:t xml:space="preserve"> correlates. </w:t>
      </w:r>
      <w:r w:rsidRPr="00685560">
        <w:rPr>
          <w:i/>
          <w:color w:val="000000" w:themeColor="text1"/>
          <w:lang w:val="en-US"/>
        </w:rPr>
        <w:t>Social Psychiatry and Psychiatric Epidemiology</w:t>
      </w:r>
      <w:r w:rsidRPr="00685560">
        <w:rPr>
          <w:color w:val="000000" w:themeColor="text1"/>
          <w:lang w:val="en-US"/>
        </w:rPr>
        <w:t xml:space="preserve">, </w:t>
      </w:r>
      <w:r w:rsidRPr="00685560">
        <w:rPr>
          <w:i/>
          <w:color w:val="000000" w:themeColor="text1"/>
          <w:lang w:val="en-US"/>
        </w:rPr>
        <w:t>55</w:t>
      </w:r>
      <w:r w:rsidRPr="00685560">
        <w:rPr>
          <w:color w:val="000000" w:themeColor="text1"/>
          <w:lang w:val="en-US"/>
        </w:rPr>
        <w:t xml:space="preserve">, 765-777. </w:t>
      </w:r>
      <w:r w:rsidR="0009559C" w:rsidRPr="00685560">
        <w:rPr>
          <w:color w:val="000000" w:themeColor="text1"/>
          <w:lang w:val="en-US"/>
        </w:rPr>
        <w:t>https://doi.org/10.1007/s00127-019-01776-w</w:t>
      </w:r>
    </w:p>
    <w:p w14:paraId="00000079" w14:textId="77777777" w:rsidR="00042C0F" w:rsidRPr="00685560" w:rsidRDefault="00165BB5" w:rsidP="00685560">
      <w:pPr>
        <w:spacing w:line="480" w:lineRule="auto"/>
        <w:rPr>
          <w:color w:val="000000" w:themeColor="text1"/>
          <w:lang w:val="en-US"/>
        </w:rPr>
      </w:pPr>
      <w:r w:rsidRPr="00685560">
        <w:rPr>
          <w:color w:val="000000" w:themeColor="text1"/>
          <w:lang w:val="en-US"/>
        </w:rPr>
        <w:t xml:space="preserve">Boelen, P. A., </w:t>
      </w:r>
      <w:proofErr w:type="spellStart"/>
      <w:r w:rsidRPr="00685560">
        <w:rPr>
          <w:color w:val="000000" w:themeColor="text1"/>
          <w:lang w:val="en-US"/>
        </w:rPr>
        <w:t>Lenferink</w:t>
      </w:r>
      <w:proofErr w:type="spellEnd"/>
      <w:r w:rsidRPr="00685560">
        <w:rPr>
          <w:color w:val="000000" w:themeColor="text1"/>
          <w:lang w:val="en-US"/>
        </w:rPr>
        <w:t xml:space="preserve">, L. I. M., Nickerson, A., &amp; </w:t>
      </w:r>
      <w:proofErr w:type="spellStart"/>
      <w:r w:rsidRPr="00685560">
        <w:rPr>
          <w:color w:val="000000" w:themeColor="text1"/>
          <w:lang w:val="en-US"/>
        </w:rPr>
        <w:t>Smid</w:t>
      </w:r>
      <w:proofErr w:type="spellEnd"/>
      <w:r w:rsidRPr="00685560">
        <w:rPr>
          <w:color w:val="000000" w:themeColor="text1"/>
          <w:lang w:val="en-US"/>
        </w:rPr>
        <w:t>, G. E. (2018). Evaluation of the</w:t>
      </w:r>
    </w:p>
    <w:p w14:paraId="0000007A" w14:textId="77777777" w:rsidR="00042C0F" w:rsidRPr="00685560" w:rsidRDefault="00165BB5" w:rsidP="00685560">
      <w:pPr>
        <w:spacing w:line="480" w:lineRule="auto"/>
        <w:ind w:left="720"/>
        <w:rPr>
          <w:color w:val="000000" w:themeColor="text1"/>
          <w:lang w:val="en-US"/>
        </w:rPr>
      </w:pPr>
      <w:r w:rsidRPr="00685560">
        <w:rPr>
          <w:color w:val="000000" w:themeColor="text1"/>
          <w:lang w:val="en-US"/>
        </w:rPr>
        <w:t xml:space="preserve">factor structure, prevalence, and validity of disturbed grief in DSM-5 and ICD-11. </w:t>
      </w:r>
      <w:r w:rsidRPr="00685560">
        <w:rPr>
          <w:i/>
          <w:iCs/>
          <w:color w:val="000000" w:themeColor="text1"/>
          <w:lang w:val="en-US"/>
        </w:rPr>
        <w:t>Journal of Affective Disorders</w:t>
      </w:r>
      <w:r w:rsidRPr="00685560">
        <w:rPr>
          <w:color w:val="000000" w:themeColor="text1"/>
          <w:lang w:val="en-US"/>
        </w:rPr>
        <w:t>, 240, 79-87. https://doi.org/10.1016/j.jad.2018.07.041</w:t>
      </w:r>
    </w:p>
    <w:p w14:paraId="3DC8EF81" w14:textId="77777777" w:rsidR="00BD4CDF" w:rsidRPr="00685560" w:rsidRDefault="00BD4CDF" w:rsidP="00685560">
      <w:pPr>
        <w:pStyle w:val="NoSpacing"/>
        <w:spacing w:line="480" w:lineRule="auto"/>
        <w:rPr>
          <w:rFonts w:ascii="Times New Roman" w:hAnsi="Times New Roman" w:cs="Times New Roman"/>
          <w:color w:val="000000" w:themeColor="text1"/>
          <w:sz w:val="24"/>
          <w:szCs w:val="24"/>
          <w:shd w:val="clear" w:color="auto" w:fill="FFFFFF"/>
          <w:lang w:val="en-US"/>
        </w:rPr>
      </w:pPr>
      <w:r w:rsidRPr="00685560">
        <w:rPr>
          <w:rFonts w:ascii="Times New Roman" w:hAnsi="Times New Roman" w:cs="Times New Roman"/>
          <w:color w:val="000000" w:themeColor="text1"/>
          <w:sz w:val="24"/>
          <w:szCs w:val="24"/>
          <w:shd w:val="clear" w:color="auto" w:fill="FFFFFF"/>
          <w:lang w:val="en-US"/>
        </w:rPr>
        <w:t xml:space="preserve">Boelen, P. A., </w:t>
      </w:r>
      <w:proofErr w:type="spellStart"/>
      <w:r w:rsidRPr="00685560">
        <w:rPr>
          <w:rFonts w:ascii="Times New Roman" w:hAnsi="Times New Roman" w:cs="Times New Roman"/>
          <w:color w:val="000000" w:themeColor="text1"/>
          <w:sz w:val="24"/>
          <w:szCs w:val="24"/>
          <w:shd w:val="clear" w:color="auto" w:fill="FFFFFF"/>
          <w:lang w:val="en-US"/>
        </w:rPr>
        <w:t>Reijntjes</w:t>
      </w:r>
      <w:proofErr w:type="spellEnd"/>
      <w:r w:rsidRPr="00685560">
        <w:rPr>
          <w:rFonts w:ascii="Times New Roman" w:hAnsi="Times New Roman" w:cs="Times New Roman"/>
          <w:color w:val="000000" w:themeColor="text1"/>
          <w:sz w:val="24"/>
          <w:szCs w:val="24"/>
          <w:shd w:val="clear" w:color="auto" w:fill="FFFFFF"/>
          <w:lang w:val="en-US"/>
        </w:rPr>
        <w:t xml:space="preserve">, A., &amp; </w:t>
      </w:r>
      <w:proofErr w:type="spellStart"/>
      <w:r w:rsidRPr="00685560">
        <w:rPr>
          <w:rFonts w:ascii="Times New Roman" w:hAnsi="Times New Roman" w:cs="Times New Roman"/>
          <w:color w:val="000000" w:themeColor="text1"/>
          <w:sz w:val="24"/>
          <w:szCs w:val="24"/>
          <w:shd w:val="clear" w:color="auto" w:fill="FFFFFF"/>
          <w:lang w:val="en-US"/>
        </w:rPr>
        <w:t>Smid</w:t>
      </w:r>
      <w:proofErr w:type="spellEnd"/>
      <w:r w:rsidRPr="00685560">
        <w:rPr>
          <w:rFonts w:ascii="Times New Roman" w:hAnsi="Times New Roman" w:cs="Times New Roman"/>
          <w:color w:val="000000" w:themeColor="text1"/>
          <w:sz w:val="24"/>
          <w:szCs w:val="24"/>
          <w:shd w:val="clear" w:color="auto" w:fill="FFFFFF"/>
          <w:lang w:val="en-US"/>
        </w:rPr>
        <w:t xml:space="preserve">, G. E. (2016). Concurrent and prospective associations </w:t>
      </w:r>
    </w:p>
    <w:p w14:paraId="19466CCF" w14:textId="66685375" w:rsidR="00BD4CDF" w:rsidRPr="00685560" w:rsidRDefault="00BD4CDF" w:rsidP="00685560">
      <w:pPr>
        <w:pStyle w:val="NoSpacing"/>
        <w:spacing w:line="480" w:lineRule="auto"/>
        <w:ind w:left="720"/>
        <w:rPr>
          <w:rFonts w:ascii="Times New Roman" w:hAnsi="Times New Roman" w:cs="Times New Roman"/>
          <w:color w:val="000000" w:themeColor="text1"/>
          <w:sz w:val="24"/>
          <w:szCs w:val="24"/>
          <w:shd w:val="clear" w:color="auto" w:fill="FFFFFF"/>
          <w:lang w:val="en-US"/>
        </w:rPr>
      </w:pPr>
      <w:r w:rsidRPr="00685560">
        <w:rPr>
          <w:rFonts w:ascii="Times New Roman" w:hAnsi="Times New Roman" w:cs="Times New Roman"/>
          <w:color w:val="000000" w:themeColor="text1"/>
          <w:sz w:val="24"/>
          <w:szCs w:val="24"/>
          <w:shd w:val="clear" w:color="auto" w:fill="FFFFFF"/>
          <w:lang w:val="en-US"/>
        </w:rPr>
        <w:t>of intolerance of uncertainty with symptoms of prolonged grief, posttraumatic stress, and depression after bereavement. </w:t>
      </w:r>
      <w:r w:rsidRPr="00685560">
        <w:rPr>
          <w:rFonts w:ascii="Times New Roman" w:hAnsi="Times New Roman" w:cs="Times New Roman"/>
          <w:i/>
          <w:iCs/>
          <w:color w:val="000000" w:themeColor="text1"/>
          <w:sz w:val="24"/>
          <w:szCs w:val="24"/>
          <w:lang w:val="en-US"/>
        </w:rPr>
        <w:t>Journal of anxiety disorders</w:t>
      </w:r>
      <w:r w:rsidRPr="00685560">
        <w:rPr>
          <w:rFonts w:ascii="Times New Roman" w:hAnsi="Times New Roman" w:cs="Times New Roman"/>
          <w:color w:val="000000" w:themeColor="text1"/>
          <w:sz w:val="24"/>
          <w:szCs w:val="24"/>
          <w:shd w:val="clear" w:color="auto" w:fill="FFFFFF"/>
          <w:lang w:val="en-US"/>
        </w:rPr>
        <w:t>, </w:t>
      </w:r>
      <w:r w:rsidRPr="00685560">
        <w:rPr>
          <w:rFonts w:ascii="Times New Roman" w:hAnsi="Times New Roman" w:cs="Times New Roman"/>
          <w:i/>
          <w:iCs/>
          <w:color w:val="000000" w:themeColor="text1"/>
          <w:sz w:val="24"/>
          <w:szCs w:val="24"/>
          <w:lang w:val="en-US"/>
        </w:rPr>
        <w:t>41</w:t>
      </w:r>
      <w:r w:rsidRPr="00685560">
        <w:rPr>
          <w:rFonts w:ascii="Times New Roman" w:hAnsi="Times New Roman" w:cs="Times New Roman"/>
          <w:color w:val="000000" w:themeColor="text1"/>
          <w:sz w:val="24"/>
          <w:szCs w:val="24"/>
          <w:shd w:val="clear" w:color="auto" w:fill="FFFFFF"/>
          <w:lang w:val="en-US"/>
        </w:rPr>
        <w:t xml:space="preserve">, 65-72. </w:t>
      </w:r>
      <w:r w:rsidRPr="00685560">
        <w:rPr>
          <w:rFonts w:ascii="Times New Roman" w:hAnsi="Times New Roman" w:cs="Times New Roman"/>
          <w:color w:val="000000" w:themeColor="text1"/>
          <w:sz w:val="24"/>
          <w:szCs w:val="24"/>
          <w:lang w:val="en-US"/>
        </w:rPr>
        <w:t xml:space="preserve">http://dx.doi.org/10.1016/j.janxdis.2016.03.004 </w:t>
      </w:r>
    </w:p>
    <w:p w14:paraId="0000007B" w14:textId="3F9D86BA" w:rsidR="00042C0F" w:rsidRPr="00685560" w:rsidRDefault="00165BB5" w:rsidP="00685560">
      <w:pPr>
        <w:spacing w:line="480" w:lineRule="auto"/>
        <w:rPr>
          <w:color w:val="000000" w:themeColor="text1"/>
          <w:lang w:val="en-US"/>
        </w:rPr>
      </w:pPr>
      <w:r w:rsidRPr="00685560">
        <w:rPr>
          <w:color w:val="000000" w:themeColor="text1"/>
        </w:rPr>
        <w:t xml:space="preserve">Boelen, P. A., &amp; Smid, G. E. (2017a). </w:t>
      </w:r>
      <w:r w:rsidRPr="00685560">
        <w:rPr>
          <w:color w:val="000000" w:themeColor="text1"/>
          <w:lang w:val="en-US"/>
        </w:rPr>
        <w:t xml:space="preserve">Disturbed grief: prolonged grief disorder and persistent </w:t>
      </w:r>
    </w:p>
    <w:p w14:paraId="0000007C" w14:textId="77777777" w:rsidR="00042C0F" w:rsidRPr="00685560" w:rsidRDefault="00165BB5" w:rsidP="00685560">
      <w:pPr>
        <w:spacing w:line="480" w:lineRule="auto"/>
        <w:ind w:firstLine="720"/>
        <w:rPr>
          <w:color w:val="000000" w:themeColor="text1"/>
          <w:lang w:val="en-US"/>
        </w:rPr>
      </w:pPr>
      <w:r w:rsidRPr="00685560">
        <w:rPr>
          <w:color w:val="000000" w:themeColor="text1"/>
          <w:lang w:val="en-US"/>
        </w:rPr>
        <w:lastRenderedPageBreak/>
        <w:t xml:space="preserve">complex bereavement disorder. </w:t>
      </w:r>
      <w:r w:rsidRPr="00685560">
        <w:rPr>
          <w:i/>
          <w:color w:val="000000" w:themeColor="text1"/>
          <w:lang w:val="en-US"/>
        </w:rPr>
        <w:t>BMJ</w:t>
      </w:r>
      <w:r w:rsidRPr="00685560">
        <w:rPr>
          <w:color w:val="000000" w:themeColor="text1"/>
          <w:lang w:val="en-US"/>
        </w:rPr>
        <w:t>. https://doi.org/10.1136/bmj.j2016</w:t>
      </w:r>
    </w:p>
    <w:p w14:paraId="0000007D" w14:textId="77777777" w:rsidR="00042C0F" w:rsidRPr="00685560" w:rsidRDefault="00165BB5" w:rsidP="00685560">
      <w:pPr>
        <w:spacing w:line="480" w:lineRule="auto"/>
        <w:rPr>
          <w:color w:val="000000" w:themeColor="text1"/>
          <w:lang w:val="en-US"/>
        </w:rPr>
      </w:pPr>
      <w:r w:rsidRPr="00685560">
        <w:rPr>
          <w:color w:val="000000" w:themeColor="text1"/>
        </w:rPr>
        <w:t xml:space="preserve">Boelen, P. A., &amp; Smid, G. E. (2017b). </w:t>
      </w:r>
      <w:r w:rsidRPr="00685560">
        <w:rPr>
          <w:color w:val="000000" w:themeColor="text1"/>
          <w:lang w:val="en-US"/>
        </w:rPr>
        <w:t>The traumatic grief inventory self-report version (TGI-</w:t>
      </w:r>
    </w:p>
    <w:p w14:paraId="0000007E" w14:textId="77777777" w:rsidR="00042C0F" w:rsidRPr="00685560" w:rsidRDefault="00165BB5" w:rsidP="00685560">
      <w:pPr>
        <w:spacing w:line="480" w:lineRule="auto"/>
        <w:ind w:left="720"/>
        <w:rPr>
          <w:color w:val="000000" w:themeColor="text1"/>
          <w:lang w:val="en-US"/>
        </w:rPr>
      </w:pPr>
      <w:r w:rsidRPr="00685560">
        <w:rPr>
          <w:color w:val="000000" w:themeColor="text1"/>
          <w:lang w:val="en-US"/>
        </w:rPr>
        <w:t xml:space="preserve">SR): Introduction and preliminary psychometric evaluation. </w:t>
      </w:r>
      <w:r w:rsidRPr="00685560">
        <w:rPr>
          <w:i/>
          <w:iCs/>
          <w:color w:val="000000" w:themeColor="text1"/>
          <w:lang w:val="en-US"/>
        </w:rPr>
        <w:t>Journal of Loss and Trauma</w:t>
      </w:r>
      <w:r w:rsidRPr="00685560">
        <w:rPr>
          <w:color w:val="000000" w:themeColor="text1"/>
          <w:lang w:val="en-US"/>
        </w:rPr>
        <w:t xml:space="preserve">, </w:t>
      </w:r>
      <w:r w:rsidRPr="00685560">
        <w:rPr>
          <w:i/>
          <w:iCs/>
          <w:color w:val="000000" w:themeColor="text1"/>
          <w:lang w:val="en-US"/>
        </w:rPr>
        <w:t>22</w:t>
      </w:r>
      <w:r w:rsidRPr="00685560">
        <w:rPr>
          <w:color w:val="000000" w:themeColor="text1"/>
          <w:lang w:val="en-US"/>
        </w:rPr>
        <w:t>(3), 196-212. https://doi.org/10.1080/15325024.2017.1284488</w:t>
      </w:r>
    </w:p>
    <w:p w14:paraId="0000007F" w14:textId="77777777" w:rsidR="00042C0F" w:rsidRPr="00685560" w:rsidRDefault="00165BB5" w:rsidP="00685560">
      <w:pPr>
        <w:spacing w:line="480" w:lineRule="auto"/>
        <w:rPr>
          <w:color w:val="000000" w:themeColor="text1"/>
        </w:rPr>
      </w:pPr>
      <w:r w:rsidRPr="00685560">
        <w:rPr>
          <w:color w:val="000000" w:themeColor="text1"/>
        </w:rPr>
        <w:t xml:space="preserve">Boelen, P. A., Smid, G. E., Mitima-Verloop, H. B., de Keijser, J., &amp; </w:t>
      </w:r>
      <w:proofErr w:type="spellStart"/>
      <w:r w:rsidRPr="00685560">
        <w:rPr>
          <w:color w:val="000000" w:themeColor="text1"/>
        </w:rPr>
        <w:t>Lenferink</w:t>
      </w:r>
      <w:proofErr w:type="spellEnd"/>
      <w:r w:rsidRPr="00685560">
        <w:rPr>
          <w:color w:val="000000" w:themeColor="text1"/>
        </w:rPr>
        <w:t xml:space="preserve">, L. I. (2019b). </w:t>
      </w:r>
    </w:p>
    <w:p w14:paraId="00000080" w14:textId="77777777" w:rsidR="00042C0F" w:rsidRPr="00685560" w:rsidRDefault="00165BB5" w:rsidP="00685560">
      <w:pPr>
        <w:spacing w:line="480" w:lineRule="auto"/>
        <w:ind w:left="720"/>
        <w:rPr>
          <w:color w:val="000000" w:themeColor="text1"/>
          <w:lang w:val="en-US"/>
        </w:rPr>
      </w:pPr>
      <w:r w:rsidRPr="00685560">
        <w:rPr>
          <w:color w:val="000000" w:themeColor="text1"/>
          <w:lang w:val="en-US"/>
        </w:rPr>
        <w:t xml:space="preserve">Patterns, Predictors, and Prognostic Validity of Persistent Complex Bereavement Disorder Symptoms in Recently Bereaved Adults: A Latent Class Analysis. </w:t>
      </w:r>
      <w:r w:rsidRPr="00685560">
        <w:rPr>
          <w:i/>
          <w:color w:val="000000" w:themeColor="text1"/>
          <w:lang w:val="en-US"/>
        </w:rPr>
        <w:t>The Journal of Nervous and Mental Disease, 207</w:t>
      </w:r>
      <w:r w:rsidRPr="00685560">
        <w:rPr>
          <w:color w:val="000000" w:themeColor="text1"/>
          <w:lang w:val="en-US"/>
        </w:rPr>
        <w:t>(11), 913-920.</w:t>
      </w:r>
    </w:p>
    <w:p w14:paraId="00000081" w14:textId="77777777" w:rsidR="00042C0F" w:rsidRPr="00685560" w:rsidRDefault="00165BB5" w:rsidP="00685560">
      <w:pPr>
        <w:spacing w:line="480" w:lineRule="auto"/>
        <w:ind w:left="720"/>
        <w:rPr>
          <w:color w:val="000000" w:themeColor="text1"/>
          <w:lang w:val="en-US"/>
        </w:rPr>
      </w:pPr>
      <w:r w:rsidRPr="00685560">
        <w:rPr>
          <w:color w:val="000000" w:themeColor="text1"/>
          <w:lang w:val="en-US"/>
        </w:rPr>
        <w:t>https://doi.org/10.1097/NMD.0000000000001053</w:t>
      </w:r>
    </w:p>
    <w:p w14:paraId="00000082" w14:textId="77777777" w:rsidR="00042C0F" w:rsidRPr="00685560" w:rsidRDefault="00165BB5" w:rsidP="00685560">
      <w:pPr>
        <w:spacing w:line="480" w:lineRule="auto"/>
        <w:rPr>
          <w:color w:val="000000" w:themeColor="text1"/>
          <w:lang w:val="en-US"/>
        </w:rPr>
      </w:pPr>
      <w:r w:rsidRPr="00685560">
        <w:rPr>
          <w:color w:val="000000" w:themeColor="text1"/>
        </w:rPr>
        <w:t xml:space="preserve">Boelen, P. A., &amp; van den Bout, J. (2005). </w:t>
      </w:r>
      <w:r w:rsidRPr="00685560">
        <w:rPr>
          <w:color w:val="000000" w:themeColor="text1"/>
          <w:lang w:val="en-US"/>
        </w:rPr>
        <w:t xml:space="preserve">Complicated Grief, Depression, and Anxiety as </w:t>
      </w:r>
    </w:p>
    <w:p w14:paraId="00000083" w14:textId="77777777" w:rsidR="00042C0F" w:rsidRPr="00685560" w:rsidRDefault="00165BB5" w:rsidP="00685560">
      <w:pPr>
        <w:spacing w:line="480" w:lineRule="auto"/>
        <w:ind w:left="720"/>
        <w:rPr>
          <w:color w:val="000000" w:themeColor="text1"/>
        </w:rPr>
      </w:pPr>
      <w:r w:rsidRPr="00685560">
        <w:rPr>
          <w:color w:val="000000" w:themeColor="text1"/>
          <w:lang w:val="en-US"/>
        </w:rPr>
        <w:t xml:space="preserve">Distinct </w:t>
      </w:r>
      <w:proofErr w:type="spellStart"/>
      <w:r w:rsidRPr="00685560">
        <w:rPr>
          <w:color w:val="000000" w:themeColor="text1"/>
          <w:lang w:val="en-US"/>
        </w:rPr>
        <w:t>Postloss</w:t>
      </w:r>
      <w:proofErr w:type="spellEnd"/>
      <w:r w:rsidRPr="00685560">
        <w:rPr>
          <w:color w:val="000000" w:themeColor="text1"/>
          <w:lang w:val="en-US"/>
        </w:rPr>
        <w:t xml:space="preserve"> Syndromes: A Confirmatory Factor Analysis Study. </w:t>
      </w:r>
      <w:r w:rsidRPr="00685560">
        <w:rPr>
          <w:i/>
          <w:color w:val="000000" w:themeColor="text1"/>
        </w:rPr>
        <w:t xml:space="preserve">American Journal of </w:t>
      </w:r>
      <w:proofErr w:type="spellStart"/>
      <w:r w:rsidRPr="00685560">
        <w:rPr>
          <w:i/>
          <w:color w:val="000000" w:themeColor="text1"/>
        </w:rPr>
        <w:t>Psychiatry</w:t>
      </w:r>
      <w:proofErr w:type="spellEnd"/>
      <w:r w:rsidRPr="00685560">
        <w:rPr>
          <w:i/>
          <w:color w:val="000000" w:themeColor="text1"/>
        </w:rPr>
        <w:t>, 162</w:t>
      </w:r>
      <w:r w:rsidRPr="00685560">
        <w:rPr>
          <w:color w:val="000000" w:themeColor="text1"/>
        </w:rPr>
        <w:t xml:space="preserve">(11), 2175-2177. </w:t>
      </w:r>
      <w:hyperlink r:id="rId11">
        <w:r w:rsidRPr="00685560">
          <w:rPr>
            <w:color w:val="000000" w:themeColor="text1"/>
          </w:rPr>
          <w:t>https://doi.org/10.1176/appi.ajp.162.11.2175</w:t>
        </w:r>
      </w:hyperlink>
    </w:p>
    <w:p w14:paraId="00000084" w14:textId="77777777" w:rsidR="00042C0F" w:rsidRPr="00685560" w:rsidRDefault="00165BB5" w:rsidP="00685560">
      <w:pPr>
        <w:spacing w:line="480" w:lineRule="auto"/>
        <w:rPr>
          <w:color w:val="000000" w:themeColor="text1"/>
        </w:rPr>
      </w:pPr>
      <w:r w:rsidRPr="00685560">
        <w:rPr>
          <w:color w:val="000000" w:themeColor="text1"/>
        </w:rPr>
        <w:t xml:space="preserve">Boelen, P. A., van de Schoot, R., van den Hout, M. A., de Keijser, J., &amp; van den Bout, J. </w:t>
      </w:r>
    </w:p>
    <w:p w14:paraId="00000085" w14:textId="77777777" w:rsidR="00042C0F" w:rsidRPr="00685560" w:rsidRDefault="00165BB5" w:rsidP="00685560">
      <w:pPr>
        <w:spacing w:line="480" w:lineRule="auto"/>
        <w:ind w:left="720"/>
        <w:rPr>
          <w:color w:val="000000" w:themeColor="text1"/>
          <w:lang w:val="en-US"/>
        </w:rPr>
      </w:pPr>
      <w:r w:rsidRPr="00685560">
        <w:rPr>
          <w:color w:val="000000" w:themeColor="text1"/>
          <w:lang w:val="en-US"/>
        </w:rPr>
        <w:t xml:space="preserve">(2010). Prolonged Grief Disorder, depression, and posttraumatic stress disorder are distinguishable syndromes. </w:t>
      </w:r>
      <w:r w:rsidRPr="00685560">
        <w:rPr>
          <w:i/>
          <w:color w:val="000000" w:themeColor="text1"/>
          <w:lang w:val="en-US"/>
        </w:rPr>
        <w:t>Journal of Affective Disorders, 125</w:t>
      </w:r>
      <w:r w:rsidRPr="00685560">
        <w:rPr>
          <w:color w:val="000000" w:themeColor="text1"/>
          <w:lang w:val="en-US"/>
        </w:rPr>
        <w:t>(1-3), 374-378.</w:t>
      </w:r>
    </w:p>
    <w:p w14:paraId="00000086" w14:textId="77777777" w:rsidR="00042C0F" w:rsidRPr="00685560" w:rsidRDefault="005C0AFE" w:rsidP="00685560">
      <w:pPr>
        <w:spacing w:line="480" w:lineRule="auto"/>
        <w:ind w:firstLine="720"/>
        <w:rPr>
          <w:color w:val="000000" w:themeColor="text1"/>
          <w:lang w:val="en-US"/>
        </w:rPr>
      </w:pPr>
      <w:hyperlink r:id="rId12">
        <w:r w:rsidR="00165BB5" w:rsidRPr="00685560">
          <w:rPr>
            <w:color w:val="000000" w:themeColor="text1"/>
            <w:lang w:val="en-US"/>
          </w:rPr>
          <w:t>https://doi.org/10.1016/j.jad.2010.01.076</w:t>
        </w:r>
      </w:hyperlink>
    </w:p>
    <w:p w14:paraId="6AF2616A" w14:textId="77777777" w:rsidR="00784863" w:rsidRPr="00685560" w:rsidRDefault="00165BB5" w:rsidP="00685560">
      <w:pPr>
        <w:spacing w:line="480" w:lineRule="auto"/>
        <w:rPr>
          <w:color w:val="000000" w:themeColor="text1"/>
          <w:lang w:val="en-US"/>
        </w:rPr>
      </w:pPr>
      <w:proofErr w:type="spellStart"/>
      <w:r w:rsidRPr="00685560">
        <w:rPr>
          <w:color w:val="000000" w:themeColor="text1"/>
          <w:lang w:val="en-US"/>
        </w:rPr>
        <w:t>Bonanno</w:t>
      </w:r>
      <w:proofErr w:type="spellEnd"/>
      <w:r w:rsidRPr="00685560">
        <w:rPr>
          <w:color w:val="000000" w:themeColor="text1"/>
          <w:lang w:val="en-US"/>
        </w:rPr>
        <w:t xml:space="preserve">, G. A., </w:t>
      </w:r>
      <w:proofErr w:type="spellStart"/>
      <w:r w:rsidRPr="00685560">
        <w:rPr>
          <w:color w:val="000000" w:themeColor="text1"/>
          <w:lang w:val="en-US"/>
        </w:rPr>
        <w:t>Neria</w:t>
      </w:r>
      <w:proofErr w:type="spellEnd"/>
      <w:r w:rsidRPr="00685560">
        <w:rPr>
          <w:color w:val="000000" w:themeColor="text1"/>
          <w:lang w:val="en-US"/>
        </w:rPr>
        <w:t xml:space="preserve">, Y., Mancini, A., </w:t>
      </w:r>
      <w:proofErr w:type="spellStart"/>
      <w:r w:rsidRPr="00685560">
        <w:rPr>
          <w:color w:val="000000" w:themeColor="text1"/>
          <w:lang w:val="en-US"/>
        </w:rPr>
        <w:t>Coifman</w:t>
      </w:r>
      <w:proofErr w:type="spellEnd"/>
      <w:r w:rsidRPr="00685560">
        <w:rPr>
          <w:color w:val="000000" w:themeColor="text1"/>
          <w:lang w:val="en-US"/>
        </w:rPr>
        <w:t xml:space="preserve">, K. G., </w:t>
      </w:r>
      <w:proofErr w:type="spellStart"/>
      <w:r w:rsidRPr="00685560">
        <w:rPr>
          <w:color w:val="000000" w:themeColor="text1"/>
          <w:lang w:val="en-US"/>
        </w:rPr>
        <w:t>Litz</w:t>
      </w:r>
      <w:proofErr w:type="spellEnd"/>
      <w:r w:rsidRPr="00685560">
        <w:rPr>
          <w:color w:val="000000" w:themeColor="text1"/>
          <w:lang w:val="en-US"/>
        </w:rPr>
        <w:t xml:space="preserve">, B., &amp; </w:t>
      </w:r>
      <w:proofErr w:type="spellStart"/>
      <w:r w:rsidRPr="00685560">
        <w:rPr>
          <w:color w:val="000000" w:themeColor="text1"/>
          <w:lang w:val="en-US"/>
        </w:rPr>
        <w:t>Insel</w:t>
      </w:r>
      <w:proofErr w:type="spellEnd"/>
      <w:r w:rsidRPr="00685560">
        <w:rPr>
          <w:color w:val="000000" w:themeColor="text1"/>
          <w:lang w:val="en-US"/>
        </w:rPr>
        <w:t xml:space="preserve">, B. (2007). Is </w:t>
      </w:r>
    </w:p>
    <w:p w14:paraId="00000088" w14:textId="29BDA1BC" w:rsidR="00042C0F" w:rsidRPr="00685560" w:rsidRDefault="00165BB5" w:rsidP="00685560">
      <w:pPr>
        <w:spacing w:line="480" w:lineRule="auto"/>
        <w:ind w:left="720"/>
        <w:rPr>
          <w:color w:val="000000" w:themeColor="text1"/>
          <w:lang w:val="en-US"/>
        </w:rPr>
      </w:pPr>
      <w:r w:rsidRPr="00685560">
        <w:rPr>
          <w:color w:val="000000" w:themeColor="text1"/>
          <w:lang w:val="en-US"/>
        </w:rPr>
        <w:t xml:space="preserve">There More to Complicated Grief Than Depression and Posttraumatic Stress Disorder? A Test of Incremental Validity. </w:t>
      </w:r>
      <w:r w:rsidRPr="00685560">
        <w:rPr>
          <w:i/>
          <w:color w:val="000000" w:themeColor="text1"/>
          <w:lang w:val="en-US"/>
        </w:rPr>
        <w:t>Journal of Abnormal Psychology, 116</w:t>
      </w:r>
      <w:r w:rsidRPr="00685560">
        <w:rPr>
          <w:color w:val="000000" w:themeColor="text1"/>
          <w:lang w:val="en-US"/>
        </w:rPr>
        <w:t>(2), 342–351. https://doi.org/10.1037/0021-843X.116.2.342</w:t>
      </w:r>
    </w:p>
    <w:p w14:paraId="00000089" w14:textId="77777777" w:rsidR="00042C0F" w:rsidRPr="00685560" w:rsidRDefault="00165BB5" w:rsidP="00685560">
      <w:pPr>
        <w:spacing w:line="480" w:lineRule="auto"/>
        <w:rPr>
          <w:color w:val="000000" w:themeColor="text1"/>
          <w:lang w:val="en-US"/>
        </w:rPr>
      </w:pPr>
      <w:r w:rsidRPr="00685560">
        <w:rPr>
          <w:color w:val="000000" w:themeColor="text1"/>
          <w:lang w:val="en-US"/>
        </w:rPr>
        <w:t xml:space="preserve">Bryant, R. A. (2013). Is pathological grief lasting more than 12 months grief or depression? </w:t>
      </w:r>
    </w:p>
    <w:p w14:paraId="0000008A" w14:textId="77777777" w:rsidR="00042C0F" w:rsidRPr="00685560" w:rsidRDefault="00165BB5" w:rsidP="00685560">
      <w:pPr>
        <w:spacing w:line="480" w:lineRule="auto"/>
        <w:ind w:left="720"/>
        <w:rPr>
          <w:color w:val="000000" w:themeColor="text1"/>
          <w:lang w:val="en-US"/>
        </w:rPr>
      </w:pPr>
      <w:r w:rsidRPr="00685560">
        <w:rPr>
          <w:i/>
          <w:color w:val="000000" w:themeColor="text1"/>
          <w:lang w:val="en-US"/>
        </w:rPr>
        <w:t>Current Opinion in Psychiatry, 26</w:t>
      </w:r>
      <w:r w:rsidRPr="00685560">
        <w:rPr>
          <w:color w:val="000000" w:themeColor="text1"/>
          <w:lang w:val="en-US"/>
        </w:rPr>
        <w:t>(1), 41-46. https://doi.org/10.1097/YCO.0b013e32835b2ca2</w:t>
      </w:r>
    </w:p>
    <w:p w14:paraId="0000008B" w14:textId="77777777" w:rsidR="00042C0F" w:rsidRPr="00685560" w:rsidRDefault="00165BB5" w:rsidP="00685560">
      <w:pPr>
        <w:spacing w:line="480" w:lineRule="auto"/>
        <w:rPr>
          <w:color w:val="000000" w:themeColor="text1"/>
          <w:lang w:val="en-US"/>
        </w:rPr>
      </w:pPr>
      <w:r w:rsidRPr="00685560">
        <w:rPr>
          <w:color w:val="000000" w:themeColor="text1"/>
          <w:lang w:val="en-US"/>
        </w:rPr>
        <w:t xml:space="preserve">Burke, L. A., &amp; </w:t>
      </w:r>
      <w:proofErr w:type="spellStart"/>
      <w:r w:rsidRPr="00685560">
        <w:rPr>
          <w:color w:val="000000" w:themeColor="text1"/>
          <w:lang w:val="en-US"/>
        </w:rPr>
        <w:t>Neimeyer</w:t>
      </w:r>
      <w:proofErr w:type="spellEnd"/>
      <w:r w:rsidRPr="00685560">
        <w:rPr>
          <w:color w:val="000000" w:themeColor="text1"/>
          <w:lang w:val="en-US"/>
        </w:rPr>
        <w:t xml:space="preserve">, R. A. (2013). Prospective Risk Factors for Complicated Grief. In </w:t>
      </w:r>
    </w:p>
    <w:p w14:paraId="0000008C" w14:textId="77777777" w:rsidR="00042C0F" w:rsidRPr="00685560" w:rsidRDefault="00165BB5" w:rsidP="00685560">
      <w:pPr>
        <w:spacing w:line="480" w:lineRule="auto"/>
        <w:ind w:left="720"/>
        <w:rPr>
          <w:color w:val="000000" w:themeColor="text1"/>
          <w:lang w:val="en-US"/>
        </w:rPr>
      </w:pPr>
      <w:r w:rsidRPr="00685560">
        <w:rPr>
          <w:color w:val="000000" w:themeColor="text1"/>
          <w:lang w:val="en-US"/>
        </w:rPr>
        <w:lastRenderedPageBreak/>
        <w:t xml:space="preserve">Stroebe, Schut &amp; van den Bout (Red.), </w:t>
      </w:r>
      <w:r w:rsidRPr="00685560">
        <w:rPr>
          <w:i/>
          <w:color w:val="000000" w:themeColor="text1"/>
          <w:lang w:val="en-US"/>
        </w:rPr>
        <w:t>Complicated Grief: Scientific Foundations for Health Care Professionals</w:t>
      </w:r>
      <w:r w:rsidRPr="00685560">
        <w:rPr>
          <w:color w:val="000000" w:themeColor="text1"/>
          <w:lang w:val="en-US"/>
        </w:rPr>
        <w:t xml:space="preserve"> (pp. 145-161). Routledge.</w:t>
      </w:r>
    </w:p>
    <w:p w14:paraId="0000008D" w14:textId="77777777" w:rsidR="00042C0F" w:rsidRPr="00685560" w:rsidRDefault="00165BB5" w:rsidP="00685560">
      <w:pPr>
        <w:spacing w:line="480" w:lineRule="auto"/>
        <w:rPr>
          <w:color w:val="000000" w:themeColor="text1"/>
          <w:lang w:val="en-US"/>
        </w:rPr>
      </w:pPr>
      <w:proofErr w:type="spellStart"/>
      <w:r w:rsidRPr="00685560">
        <w:rPr>
          <w:color w:val="000000" w:themeColor="text1"/>
          <w:lang w:val="en-US"/>
        </w:rPr>
        <w:t>Djelantik</w:t>
      </w:r>
      <w:proofErr w:type="spellEnd"/>
      <w:r w:rsidRPr="00685560">
        <w:rPr>
          <w:color w:val="000000" w:themeColor="text1"/>
          <w:lang w:val="en-US"/>
        </w:rPr>
        <w:t xml:space="preserve">, A. M. J., </w:t>
      </w:r>
      <w:proofErr w:type="spellStart"/>
      <w:r w:rsidRPr="00685560">
        <w:rPr>
          <w:color w:val="000000" w:themeColor="text1"/>
          <w:lang w:val="en-US"/>
        </w:rPr>
        <w:t>Smid</w:t>
      </w:r>
      <w:proofErr w:type="spellEnd"/>
      <w:r w:rsidRPr="00685560">
        <w:rPr>
          <w:color w:val="000000" w:themeColor="text1"/>
          <w:lang w:val="en-US"/>
        </w:rPr>
        <w:t xml:space="preserve">, G. E., </w:t>
      </w:r>
      <w:proofErr w:type="spellStart"/>
      <w:r w:rsidRPr="00685560">
        <w:rPr>
          <w:color w:val="000000" w:themeColor="text1"/>
          <w:lang w:val="en-US"/>
        </w:rPr>
        <w:t>Mroz</w:t>
      </w:r>
      <w:proofErr w:type="spellEnd"/>
      <w:r w:rsidRPr="00685560">
        <w:rPr>
          <w:color w:val="000000" w:themeColor="text1"/>
          <w:lang w:val="en-US"/>
        </w:rPr>
        <w:t>, A., Kleber, R. J., &amp; Boelen, P. A. (2020). The</w:t>
      </w:r>
    </w:p>
    <w:p w14:paraId="0000008E" w14:textId="77777777" w:rsidR="00042C0F" w:rsidRPr="00685560" w:rsidRDefault="00165BB5" w:rsidP="00685560">
      <w:pPr>
        <w:spacing w:line="480" w:lineRule="auto"/>
        <w:ind w:left="700"/>
        <w:rPr>
          <w:color w:val="000000" w:themeColor="text1"/>
        </w:rPr>
      </w:pPr>
      <w:r w:rsidRPr="00685560">
        <w:rPr>
          <w:color w:val="000000" w:themeColor="text1"/>
          <w:lang w:val="en-US"/>
        </w:rPr>
        <w:t xml:space="preserve">prevalence of prolonged grief disorder in bereaved individuals following unnatural losses: Systematic review and meta regression analysis. </w:t>
      </w:r>
      <w:r w:rsidRPr="00685560">
        <w:rPr>
          <w:i/>
          <w:color w:val="000000" w:themeColor="text1"/>
        </w:rPr>
        <w:t xml:space="preserve">Journal of </w:t>
      </w:r>
      <w:proofErr w:type="spellStart"/>
      <w:r w:rsidRPr="00685560">
        <w:rPr>
          <w:i/>
          <w:color w:val="000000" w:themeColor="text1"/>
        </w:rPr>
        <w:t>Affective</w:t>
      </w:r>
      <w:proofErr w:type="spellEnd"/>
      <w:r w:rsidRPr="00685560">
        <w:rPr>
          <w:i/>
          <w:color w:val="000000" w:themeColor="text1"/>
        </w:rPr>
        <w:t xml:space="preserve"> Disorders</w:t>
      </w:r>
      <w:r w:rsidRPr="00685560">
        <w:rPr>
          <w:color w:val="000000" w:themeColor="text1"/>
        </w:rPr>
        <w:t xml:space="preserve">, </w:t>
      </w:r>
      <w:r w:rsidRPr="00685560">
        <w:rPr>
          <w:i/>
          <w:color w:val="000000" w:themeColor="text1"/>
        </w:rPr>
        <w:t>265</w:t>
      </w:r>
      <w:r w:rsidRPr="00685560">
        <w:rPr>
          <w:color w:val="000000" w:themeColor="text1"/>
        </w:rPr>
        <w:t>, 146-156. https://doi.org/10.1016/j.jad.2020.01.034</w:t>
      </w:r>
    </w:p>
    <w:p w14:paraId="3E0835B8" w14:textId="77777777" w:rsidR="00BD4CDF" w:rsidRPr="00685560" w:rsidRDefault="00BD4CDF" w:rsidP="00685560">
      <w:pPr>
        <w:pStyle w:val="NoSpacing"/>
        <w:spacing w:line="480" w:lineRule="auto"/>
        <w:rPr>
          <w:rFonts w:ascii="Times New Roman" w:hAnsi="Times New Roman" w:cs="Times New Roman"/>
          <w:color w:val="000000" w:themeColor="text1"/>
          <w:sz w:val="24"/>
          <w:szCs w:val="24"/>
          <w:shd w:val="clear" w:color="auto" w:fill="FFFFFF"/>
        </w:rPr>
      </w:pPr>
      <w:r w:rsidRPr="00685560">
        <w:rPr>
          <w:rFonts w:ascii="Times New Roman" w:hAnsi="Times New Roman" w:cs="Times New Roman"/>
          <w:color w:val="000000" w:themeColor="text1"/>
          <w:sz w:val="24"/>
          <w:szCs w:val="24"/>
          <w:shd w:val="clear" w:color="auto" w:fill="FFFFFF"/>
        </w:rPr>
        <w:t xml:space="preserve">Eisma, M. C., Stroebe, M. S., Schut, H. A., Stroebe, W., Boelen, P. A., &amp; van den Bout, J. </w:t>
      </w:r>
    </w:p>
    <w:p w14:paraId="5269C06F" w14:textId="6579F940" w:rsidR="00BD4CDF" w:rsidRPr="00685560" w:rsidRDefault="00BD4CDF" w:rsidP="00685560">
      <w:pPr>
        <w:pStyle w:val="NoSpacing"/>
        <w:spacing w:line="480" w:lineRule="auto"/>
        <w:ind w:left="720"/>
        <w:rPr>
          <w:rFonts w:ascii="Times New Roman" w:hAnsi="Times New Roman" w:cs="Times New Roman"/>
          <w:color w:val="000000" w:themeColor="text1"/>
          <w:sz w:val="24"/>
          <w:szCs w:val="24"/>
          <w:lang w:val="en-US"/>
        </w:rPr>
      </w:pPr>
      <w:r w:rsidRPr="00685560">
        <w:rPr>
          <w:rFonts w:ascii="Times New Roman" w:hAnsi="Times New Roman" w:cs="Times New Roman"/>
          <w:color w:val="000000" w:themeColor="text1"/>
          <w:sz w:val="24"/>
          <w:szCs w:val="24"/>
          <w:shd w:val="clear" w:color="auto" w:fill="FFFFFF"/>
          <w:lang w:val="en-US"/>
        </w:rPr>
        <w:t>(2013). Avoidance processes mediate the relationship between rumination and symptoms of complicated grief and depression following loss. </w:t>
      </w:r>
      <w:r w:rsidRPr="00685560">
        <w:rPr>
          <w:rFonts w:ascii="Times New Roman" w:hAnsi="Times New Roman" w:cs="Times New Roman"/>
          <w:i/>
          <w:iCs/>
          <w:color w:val="000000" w:themeColor="text1"/>
          <w:sz w:val="24"/>
          <w:szCs w:val="24"/>
          <w:lang w:val="en-US"/>
        </w:rPr>
        <w:t>Journal of Abnormal Psychology</w:t>
      </w:r>
      <w:r w:rsidRPr="00685560">
        <w:rPr>
          <w:rFonts w:ascii="Times New Roman" w:hAnsi="Times New Roman" w:cs="Times New Roman"/>
          <w:color w:val="000000" w:themeColor="text1"/>
          <w:sz w:val="24"/>
          <w:szCs w:val="24"/>
          <w:shd w:val="clear" w:color="auto" w:fill="FFFFFF"/>
          <w:lang w:val="en-US"/>
        </w:rPr>
        <w:t>, </w:t>
      </w:r>
      <w:r w:rsidRPr="00685560">
        <w:rPr>
          <w:rFonts w:ascii="Times New Roman" w:hAnsi="Times New Roman" w:cs="Times New Roman"/>
          <w:i/>
          <w:iCs/>
          <w:color w:val="000000" w:themeColor="text1"/>
          <w:sz w:val="24"/>
          <w:szCs w:val="24"/>
          <w:lang w:val="en-US"/>
        </w:rPr>
        <w:t>122</w:t>
      </w:r>
      <w:r w:rsidRPr="00685560">
        <w:rPr>
          <w:rFonts w:ascii="Times New Roman" w:hAnsi="Times New Roman" w:cs="Times New Roman"/>
          <w:color w:val="000000" w:themeColor="text1"/>
          <w:sz w:val="24"/>
          <w:szCs w:val="24"/>
          <w:shd w:val="clear" w:color="auto" w:fill="FFFFFF"/>
          <w:lang w:val="en-US"/>
        </w:rPr>
        <w:t xml:space="preserve">(4), 961. </w:t>
      </w:r>
      <w:r w:rsidRPr="00685560">
        <w:rPr>
          <w:rFonts w:ascii="Times New Roman" w:hAnsi="Times New Roman" w:cs="Times New Roman"/>
          <w:color w:val="000000" w:themeColor="text1"/>
          <w:sz w:val="24"/>
          <w:szCs w:val="24"/>
          <w:lang w:val="en-US"/>
        </w:rPr>
        <w:t xml:space="preserve">https://doi.org./10.1037/a0034051 </w:t>
      </w:r>
    </w:p>
    <w:p w14:paraId="6307E533" w14:textId="4B568CF0" w:rsidR="000C7541" w:rsidRPr="00685560" w:rsidRDefault="00FF0AB4" w:rsidP="00685560">
      <w:pPr>
        <w:spacing w:line="480" w:lineRule="auto"/>
        <w:rPr>
          <w:color w:val="000000" w:themeColor="text1"/>
          <w:lang w:val="en-US"/>
        </w:rPr>
      </w:pPr>
      <w:r w:rsidRPr="00685560">
        <w:rPr>
          <w:color w:val="000000" w:themeColor="text1"/>
          <w:lang w:val="en-US"/>
        </w:rPr>
        <w:t xml:space="preserve">Field, A. (2013). </w:t>
      </w:r>
      <w:r w:rsidRPr="00685560">
        <w:rPr>
          <w:i/>
          <w:iCs/>
          <w:color w:val="000000" w:themeColor="text1"/>
          <w:lang w:val="en-US"/>
        </w:rPr>
        <w:t>Discovering Statistics Using IBM SPSS Statistics</w:t>
      </w:r>
      <w:r w:rsidRPr="00685560">
        <w:rPr>
          <w:color w:val="000000" w:themeColor="text1"/>
          <w:lang w:val="en-US"/>
        </w:rPr>
        <w:t xml:space="preserve"> (4</w:t>
      </w:r>
      <w:r w:rsidRPr="00685560">
        <w:rPr>
          <w:color w:val="000000" w:themeColor="text1"/>
          <w:vertAlign w:val="superscript"/>
          <w:lang w:val="en-US"/>
        </w:rPr>
        <w:t>th</w:t>
      </w:r>
      <w:r w:rsidRPr="00685560">
        <w:rPr>
          <w:color w:val="000000" w:themeColor="text1"/>
          <w:lang w:val="en-US"/>
        </w:rPr>
        <w:t xml:space="preserve"> ed.). </w:t>
      </w:r>
      <w:r w:rsidR="000C7541" w:rsidRPr="00685560">
        <w:rPr>
          <w:color w:val="000000" w:themeColor="text1"/>
          <w:lang w:val="en-US"/>
        </w:rPr>
        <w:t>SAGE</w:t>
      </w:r>
      <w:r w:rsidRPr="00685560">
        <w:rPr>
          <w:color w:val="000000" w:themeColor="text1"/>
          <w:lang w:val="en-US"/>
        </w:rPr>
        <w:t xml:space="preserve"> </w:t>
      </w:r>
    </w:p>
    <w:p w14:paraId="2861084F" w14:textId="61B47561" w:rsidR="00FF0AB4" w:rsidRPr="00685560" w:rsidRDefault="00FF0AB4" w:rsidP="00685560">
      <w:pPr>
        <w:spacing w:line="480" w:lineRule="auto"/>
        <w:ind w:firstLine="720"/>
        <w:rPr>
          <w:color w:val="000000" w:themeColor="text1"/>
          <w:lang w:val="en-US"/>
        </w:rPr>
      </w:pPr>
      <w:r w:rsidRPr="00685560">
        <w:rPr>
          <w:color w:val="000000" w:themeColor="text1"/>
          <w:lang w:val="en-US"/>
        </w:rPr>
        <w:t>Publications Ltd.</w:t>
      </w:r>
    </w:p>
    <w:p w14:paraId="0000008F" w14:textId="40F23ED3" w:rsidR="00042C0F" w:rsidRPr="00685560" w:rsidRDefault="00165BB5" w:rsidP="00685560">
      <w:pPr>
        <w:spacing w:line="480" w:lineRule="auto"/>
        <w:rPr>
          <w:color w:val="000000" w:themeColor="text1"/>
          <w:lang w:val="en-US"/>
        </w:rPr>
      </w:pPr>
      <w:r w:rsidRPr="00685560">
        <w:rPr>
          <w:color w:val="000000" w:themeColor="text1"/>
          <w:lang w:val="en-US"/>
        </w:rPr>
        <w:t xml:space="preserve">Harper, M., O’Connor, R. C., &amp; O’Carroll, R. E. (2014). Factors associated with grief and </w:t>
      </w:r>
    </w:p>
    <w:p w14:paraId="00000090" w14:textId="77777777" w:rsidR="00042C0F" w:rsidRPr="00685560" w:rsidRDefault="00165BB5" w:rsidP="00685560">
      <w:pPr>
        <w:spacing w:line="480" w:lineRule="auto"/>
        <w:ind w:left="720"/>
        <w:rPr>
          <w:color w:val="000000" w:themeColor="text1"/>
          <w:lang w:val="en-US"/>
        </w:rPr>
      </w:pPr>
      <w:r w:rsidRPr="00685560">
        <w:rPr>
          <w:color w:val="000000" w:themeColor="text1"/>
          <w:lang w:val="en-US"/>
        </w:rPr>
        <w:t xml:space="preserve">depression following the loss of a child: A multivariate analysis. </w:t>
      </w:r>
      <w:r w:rsidRPr="00685560">
        <w:rPr>
          <w:i/>
          <w:color w:val="000000" w:themeColor="text1"/>
          <w:lang w:val="en-US"/>
        </w:rPr>
        <w:t>Psychology, Health &amp; Medicine, 19</w:t>
      </w:r>
      <w:r w:rsidRPr="00685560">
        <w:rPr>
          <w:color w:val="000000" w:themeColor="text1"/>
          <w:lang w:val="en-US"/>
        </w:rPr>
        <w:t xml:space="preserve">(3), 247-252. </w:t>
      </w:r>
      <w:hyperlink r:id="rId13">
        <w:r w:rsidRPr="00685560">
          <w:rPr>
            <w:color w:val="000000" w:themeColor="text1"/>
            <w:lang w:val="en-US"/>
          </w:rPr>
          <w:t>https://doi.org/10.1080/13548506.2013.811274</w:t>
        </w:r>
      </w:hyperlink>
    </w:p>
    <w:p w14:paraId="00000091" w14:textId="77777777" w:rsidR="00042C0F" w:rsidRPr="00685560" w:rsidRDefault="00165BB5" w:rsidP="00685560">
      <w:pPr>
        <w:spacing w:line="480" w:lineRule="auto"/>
        <w:rPr>
          <w:color w:val="000000" w:themeColor="text1"/>
          <w:lang w:val="en-US"/>
        </w:rPr>
      </w:pPr>
      <w:r w:rsidRPr="00685560">
        <w:rPr>
          <w:color w:val="000000" w:themeColor="text1"/>
          <w:lang w:val="en-US"/>
        </w:rPr>
        <w:t xml:space="preserve">IBM Corp. (2019). IBM SPSS Statistics for Apple, Version 26.0. Armonk, NY: </w:t>
      </w:r>
    </w:p>
    <w:p w14:paraId="00000092" w14:textId="77777777" w:rsidR="00042C0F" w:rsidRPr="00685560" w:rsidRDefault="00165BB5" w:rsidP="00685560">
      <w:pPr>
        <w:spacing w:line="480" w:lineRule="auto"/>
        <w:ind w:firstLine="720"/>
        <w:rPr>
          <w:color w:val="000000" w:themeColor="text1"/>
          <w:lang w:val="en-US"/>
        </w:rPr>
      </w:pPr>
      <w:r w:rsidRPr="00685560">
        <w:rPr>
          <w:color w:val="000000" w:themeColor="text1"/>
          <w:lang w:val="en-US"/>
        </w:rPr>
        <w:t>IBM Corp</w:t>
      </w:r>
    </w:p>
    <w:p w14:paraId="00000093" w14:textId="77777777" w:rsidR="00042C0F" w:rsidRPr="00685560" w:rsidRDefault="00165BB5" w:rsidP="00685560">
      <w:pPr>
        <w:spacing w:line="480" w:lineRule="auto"/>
        <w:rPr>
          <w:color w:val="000000" w:themeColor="text1"/>
          <w:lang w:val="en-US"/>
        </w:rPr>
      </w:pPr>
      <w:proofErr w:type="spellStart"/>
      <w:r w:rsidRPr="00685560">
        <w:rPr>
          <w:color w:val="000000" w:themeColor="text1"/>
          <w:lang w:val="en-US"/>
        </w:rPr>
        <w:t>Kossigan</w:t>
      </w:r>
      <w:proofErr w:type="spellEnd"/>
      <w:r w:rsidRPr="00685560">
        <w:rPr>
          <w:color w:val="000000" w:themeColor="text1"/>
          <w:lang w:val="en-US"/>
        </w:rPr>
        <w:t xml:space="preserve"> </w:t>
      </w:r>
      <w:proofErr w:type="spellStart"/>
      <w:r w:rsidRPr="00685560">
        <w:rPr>
          <w:color w:val="000000" w:themeColor="text1"/>
          <w:lang w:val="en-US"/>
        </w:rPr>
        <w:t>Kokou-Kpolou</w:t>
      </w:r>
      <w:proofErr w:type="spellEnd"/>
      <w:r w:rsidRPr="00685560">
        <w:rPr>
          <w:color w:val="000000" w:themeColor="text1"/>
          <w:lang w:val="en-US"/>
        </w:rPr>
        <w:t xml:space="preserve">, C., Park, S., </w:t>
      </w:r>
      <w:proofErr w:type="spellStart"/>
      <w:r w:rsidRPr="00685560">
        <w:rPr>
          <w:color w:val="000000" w:themeColor="text1"/>
          <w:lang w:val="en-US"/>
        </w:rPr>
        <w:t>Lenferink</w:t>
      </w:r>
      <w:proofErr w:type="spellEnd"/>
      <w:r w:rsidRPr="00685560">
        <w:rPr>
          <w:color w:val="000000" w:themeColor="text1"/>
          <w:lang w:val="en-US"/>
        </w:rPr>
        <w:t xml:space="preserve">, L.I., </w:t>
      </w:r>
      <w:proofErr w:type="spellStart"/>
      <w:r w:rsidRPr="00685560">
        <w:rPr>
          <w:color w:val="000000" w:themeColor="text1"/>
          <w:lang w:val="en-US"/>
        </w:rPr>
        <w:t>Iorfa</w:t>
      </w:r>
      <w:proofErr w:type="spellEnd"/>
      <w:r w:rsidRPr="00685560">
        <w:rPr>
          <w:color w:val="000000" w:themeColor="text1"/>
          <w:lang w:val="en-US"/>
        </w:rPr>
        <w:t xml:space="preserve">, S.K., Fernandez-Alcantara, M., </w:t>
      </w:r>
    </w:p>
    <w:p w14:paraId="00000094" w14:textId="48CE16D9" w:rsidR="00042C0F" w:rsidRPr="00685560" w:rsidRDefault="00165BB5" w:rsidP="00685560">
      <w:pPr>
        <w:spacing w:line="480" w:lineRule="auto"/>
        <w:ind w:left="720"/>
        <w:rPr>
          <w:color w:val="000000" w:themeColor="text1"/>
          <w:lang w:val="en-US"/>
        </w:rPr>
      </w:pPr>
      <w:proofErr w:type="spellStart"/>
      <w:r w:rsidRPr="00685560">
        <w:rPr>
          <w:color w:val="000000" w:themeColor="text1"/>
          <w:lang w:val="en-US"/>
        </w:rPr>
        <w:t>Derivois</w:t>
      </w:r>
      <w:proofErr w:type="spellEnd"/>
      <w:r w:rsidRPr="00685560">
        <w:rPr>
          <w:color w:val="000000" w:themeColor="text1"/>
          <w:lang w:val="en-US"/>
        </w:rPr>
        <w:t xml:space="preserve">, D., &amp; </w:t>
      </w:r>
      <w:proofErr w:type="spellStart"/>
      <w:r w:rsidRPr="00685560">
        <w:rPr>
          <w:color w:val="000000" w:themeColor="text1"/>
          <w:lang w:val="en-US"/>
        </w:rPr>
        <w:t>C</w:t>
      </w:r>
      <w:r w:rsidR="00863C8B" w:rsidRPr="00685560">
        <w:rPr>
          <w:color w:val="000000" w:themeColor="text1"/>
          <w:lang w:val="en-US"/>
        </w:rPr>
        <w:t>é</w:t>
      </w:r>
      <w:r w:rsidRPr="00685560">
        <w:rPr>
          <w:color w:val="000000" w:themeColor="text1"/>
          <w:lang w:val="en-US"/>
        </w:rPr>
        <w:t>nat</w:t>
      </w:r>
      <w:proofErr w:type="spellEnd"/>
      <w:r w:rsidRPr="00685560">
        <w:rPr>
          <w:color w:val="000000" w:themeColor="text1"/>
          <w:lang w:val="en-US"/>
        </w:rPr>
        <w:t>,</w:t>
      </w:r>
      <w:r w:rsidR="00863C8B" w:rsidRPr="00685560">
        <w:rPr>
          <w:color w:val="000000" w:themeColor="text1"/>
          <w:lang w:val="en-US"/>
        </w:rPr>
        <w:t xml:space="preserve"> </w:t>
      </w:r>
      <w:r w:rsidRPr="00685560">
        <w:rPr>
          <w:color w:val="000000" w:themeColor="text1"/>
          <w:lang w:val="en-US"/>
        </w:rPr>
        <w:t xml:space="preserve">J.M. (2021). Prolonged grief and depression: A latent class analysis. </w:t>
      </w:r>
      <w:r w:rsidRPr="00685560">
        <w:rPr>
          <w:i/>
          <w:color w:val="000000" w:themeColor="text1"/>
          <w:lang w:val="en-US"/>
        </w:rPr>
        <w:t>Psychiatry Research, 299</w:t>
      </w:r>
      <w:r w:rsidRPr="00685560">
        <w:rPr>
          <w:color w:val="000000" w:themeColor="text1"/>
          <w:lang w:val="en-US"/>
        </w:rPr>
        <w:t>. https://doi.org/10.1016/j.psychres.2021.113864</w:t>
      </w:r>
    </w:p>
    <w:p w14:paraId="00000095" w14:textId="77777777" w:rsidR="00042C0F" w:rsidRPr="00685560" w:rsidRDefault="00165BB5" w:rsidP="00685560">
      <w:pPr>
        <w:spacing w:line="480" w:lineRule="auto"/>
        <w:rPr>
          <w:color w:val="000000" w:themeColor="text1"/>
          <w:lang w:val="en-US"/>
        </w:rPr>
      </w:pPr>
      <w:r w:rsidRPr="00685560">
        <w:rPr>
          <w:color w:val="000000" w:themeColor="text1"/>
          <w:lang w:val="en-US"/>
        </w:rPr>
        <w:t xml:space="preserve">Kristensen, P., </w:t>
      </w:r>
      <w:proofErr w:type="spellStart"/>
      <w:r w:rsidRPr="00685560">
        <w:rPr>
          <w:color w:val="000000" w:themeColor="text1"/>
          <w:lang w:val="en-US"/>
        </w:rPr>
        <w:t>Dyregrov</w:t>
      </w:r>
      <w:proofErr w:type="spellEnd"/>
      <w:r w:rsidRPr="00685560">
        <w:rPr>
          <w:color w:val="000000" w:themeColor="text1"/>
          <w:lang w:val="en-US"/>
        </w:rPr>
        <w:t xml:space="preserve">, K., &amp; </w:t>
      </w:r>
      <w:proofErr w:type="spellStart"/>
      <w:r w:rsidRPr="00685560">
        <w:rPr>
          <w:color w:val="000000" w:themeColor="text1"/>
          <w:lang w:val="en-US"/>
        </w:rPr>
        <w:t>Dyregrov</w:t>
      </w:r>
      <w:proofErr w:type="spellEnd"/>
      <w:r w:rsidRPr="00685560">
        <w:rPr>
          <w:color w:val="000000" w:themeColor="text1"/>
          <w:lang w:val="en-US"/>
        </w:rPr>
        <w:t xml:space="preserve">, A. (2017). What distinguishes prolonged grief </w:t>
      </w:r>
    </w:p>
    <w:p w14:paraId="2D65ABAB" w14:textId="77777777" w:rsidR="004A672D" w:rsidRPr="00685560" w:rsidRDefault="00165BB5" w:rsidP="00685560">
      <w:pPr>
        <w:spacing w:line="480" w:lineRule="auto"/>
        <w:ind w:firstLine="720"/>
        <w:rPr>
          <w:color w:val="000000" w:themeColor="text1"/>
        </w:rPr>
      </w:pPr>
      <w:r w:rsidRPr="00685560">
        <w:rPr>
          <w:color w:val="000000" w:themeColor="text1"/>
          <w:lang w:val="en-US"/>
        </w:rPr>
        <w:t xml:space="preserve">disorder from depression? </w:t>
      </w:r>
      <w:proofErr w:type="spellStart"/>
      <w:r w:rsidRPr="00685560">
        <w:rPr>
          <w:i/>
          <w:color w:val="000000" w:themeColor="text1"/>
        </w:rPr>
        <w:t>Tidsskrift</w:t>
      </w:r>
      <w:proofErr w:type="spellEnd"/>
      <w:r w:rsidRPr="00685560">
        <w:rPr>
          <w:i/>
          <w:color w:val="000000" w:themeColor="text1"/>
        </w:rPr>
        <w:t xml:space="preserve"> for den </w:t>
      </w:r>
      <w:proofErr w:type="spellStart"/>
      <w:r w:rsidRPr="00685560">
        <w:rPr>
          <w:i/>
          <w:color w:val="000000" w:themeColor="text1"/>
        </w:rPr>
        <w:t>Norske</w:t>
      </w:r>
      <w:proofErr w:type="spellEnd"/>
      <w:r w:rsidRPr="00685560">
        <w:rPr>
          <w:i/>
          <w:color w:val="000000" w:themeColor="text1"/>
        </w:rPr>
        <w:t xml:space="preserve"> </w:t>
      </w:r>
      <w:proofErr w:type="spellStart"/>
      <w:r w:rsidRPr="00685560">
        <w:rPr>
          <w:i/>
          <w:color w:val="000000" w:themeColor="text1"/>
        </w:rPr>
        <w:t>legeforening</w:t>
      </w:r>
      <w:proofErr w:type="spellEnd"/>
      <w:r w:rsidRPr="00685560">
        <w:rPr>
          <w:color w:val="000000" w:themeColor="text1"/>
        </w:rPr>
        <w:t xml:space="preserve">, </w:t>
      </w:r>
      <w:r w:rsidR="004A672D" w:rsidRPr="00685560">
        <w:rPr>
          <w:color w:val="000000" w:themeColor="text1"/>
        </w:rPr>
        <w:t>(</w:t>
      </w:r>
      <w:r w:rsidRPr="00685560">
        <w:rPr>
          <w:iCs/>
          <w:color w:val="000000" w:themeColor="text1"/>
        </w:rPr>
        <w:t>7</w:t>
      </w:r>
      <w:r w:rsidR="004A672D" w:rsidRPr="00685560">
        <w:rPr>
          <w:i/>
          <w:color w:val="000000" w:themeColor="text1"/>
        </w:rPr>
        <w:t>)</w:t>
      </w:r>
      <w:r w:rsidRPr="00685560">
        <w:rPr>
          <w:i/>
          <w:color w:val="000000" w:themeColor="text1"/>
        </w:rPr>
        <w:t>,</w:t>
      </w:r>
      <w:r w:rsidRPr="00685560">
        <w:rPr>
          <w:color w:val="000000" w:themeColor="text1"/>
        </w:rPr>
        <w:t xml:space="preserve"> 538-540. </w:t>
      </w:r>
    </w:p>
    <w:p w14:paraId="5FB95FA8" w14:textId="704BF938" w:rsidR="004A672D" w:rsidRPr="00685560" w:rsidRDefault="004A672D" w:rsidP="00685560">
      <w:pPr>
        <w:spacing w:line="480" w:lineRule="auto"/>
        <w:ind w:firstLine="720"/>
        <w:rPr>
          <w:color w:val="000000" w:themeColor="text1"/>
        </w:rPr>
      </w:pPr>
      <w:proofErr w:type="spellStart"/>
      <w:r w:rsidRPr="00685560">
        <w:rPr>
          <w:color w:val="000000" w:themeColor="text1"/>
        </w:rPr>
        <w:t>doi</w:t>
      </w:r>
      <w:proofErr w:type="spellEnd"/>
      <w:r w:rsidRPr="00685560">
        <w:rPr>
          <w:color w:val="000000" w:themeColor="text1"/>
        </w:rPr>
        <w:t>: 10.4045/tidsskr.16.0629</w:t>
      </w:r>
    </w:p>
    <w:p w14:paraId="2E903960" w14:textId="77777777" w:rsidR="00CB0F94" w:rsidRPr="00685560" w:rsidRDefault="00CB0F94" w:rsidP="00685560">
      <w:pPr>
        <w:pStyle w:val="NoSpacing"/>
        <w:spacing w:line="480" w:lineRule="auto"/>
        <w:rPr>
          <w:rFonts w:ascii="Times New Roman" w:hAnsi="Times New Roman" w:cs="Times New Roman"/>
          <w:color w:val="000000" w:themeColor="text1"/>
          <w:sz w:val="24"/>
          <w:szCs w:val="24"/>
          <w:shd w:val="clear" w:color="auto" w:fill="FFFFFF"/>
          <w:lang w:val="en-US"/>
        </w:rPr>
      </w:pPr>
      <w:r w:rsidRPr="00685560">
        <w:rPr>
          <w:rFonts w:ascii="Times New Roman" w:hAnsi="Times New Roman" w:cs="Times New Roman"/>
          <w:color w:val="000000" w:themeColor="text1"/>
          <w:sz w:val="24"/>
          <w:szCs w:val="24"/>
          <w:shd w:val="clear" w:color="auto" w:fill="FFFFFF"/>
        </w:rPr>
        <w:t xml:space="preserve">Kristensen, P., Weisæth, L., &amp; Heir, T. (2012). </w:t>
      </w:r>
      <w:r w:rsidRPr="00685560">
        <w:rPr>
          <w:rFonts w:ascii="Times New Roman" w:hAnsi="Times New Roman" w:cs="Times New Roman"/>
          <w:color w:val="000000" w:themeColor="text1"/>
          <w:sz w:val="24"/>
          <w:szCs w:val="24"/>
          <w:shd w:val="clear" w:color="auto" w:fill="FFFFFF"/>
          <w:lang w:val="en-US"/>
        </w:rPr>
        <w:t xml:space="preserve">Bereavement and mental health after sudden </w:t>
      </w:r>
    </w:p>
    <w:p w14:paraId="2B5B9699" w14:textId="558A1D3B" w:rsidR="00CB0F94" w:rsidRPr="00685560" w:rsidRDefault="00CB0F94" w:rsidP="00685560">
      <w:pPr>
        <w:pStyle w:val="NoSpacing"/>
        <w:spacing w:line="480" w:lineRule="auto"/>
        <w:ind w:left="720"/>
        <w:rPr>
          <w:rFonts w:ascii="Times New Roman" w:hAnsi="Times New Roman" w:cs="Times New Roman"/>
          <w:color w:val="000000" w:themeColor="text1"/>
          <w:sz w:val="24"/>
          <w:szCs w:val="24"/>
          <w:lang w:val="en-US"/>
        </w:rPr>
      </w:pPr>
      <w:r w:rsidRPr="00685560">
        <w:rPr>
          <w:rFonts w:ascii="Times New Roman" w:hAnsi="Times New Roman" w:cs="Times New Roman"/>
          <w:color w:val="000000" w:themeColor="text1"/>
          <w:sz w:val="24"/>
          <w:szCs w:val="24"/>
          <w:shd w:val="clear" w:color="auto" w:fill="FFFFFF"/>
          <w:lang w:val="en-US"/>
        </w:rPr>
        <w:lastRenderedPageBreak/>
        <w:t>and violent losses: A review. </w:t>
      </w:r>
      <w:r w:rsidRPr="00685560">
        <w:rPr>
          <w:rFonts w:ascii="Times New Roman" w:hAnsi="Times New Roman" w:cs="Times New Roman"/>
          <w:i/>
          <w:iCs/>
          <w:color w:val="000000" w:themeColor="text1"/>
          <w:sz w:val="24"/>
          <w:szCs w:val="24"/>
          <w:lang w:val="en-US"/>
        </w:rPr>
        <w:t>Psychiatry: Interpersonal &amp; Biological Processes</w:t>
      </w:r>
      <w:r w:rsidRPr="00685560">
        <w:rPr>
          <w:rFonts w:ascii="Times New Roman" w:hAnsi="Times New Roman" w:cs="Times New Roman"/>
          <w:color w:val="000000" w:themeColor="text1"/>
          <w:sz w:val="24"/>
          <w:szCs w:val="24"/>
          <w:shd w:val="clear" w:color="auto" w:fill="FFFFFF"/>
          <w:lang w:val="en-US"/>
        </w:rPr>
        <w:t>, </w:t>
      </w:r>
      <w:r w:rsidRPr="00685560">
        <w:rPr>
          <w:rFonts w:ascii="Times New Roman" w:hAnsi="Times New Roman" w:cs="Times New Roman"/>
          <w:i/>
          <w:iCs/>
          <w:color w:val="000000" w:themeColor="text1"/>
          <w:sz w:val="24"/>
          <w:szCs w:val="24"/>
          <w:lang w:val="en-US"/>
        </w:rPr>
        <w:t>75</w:t>
      </w:r>
      <w:r w:rsidRPr="00685560">
        <w:rPr>
          <w:rFonts w:ascii="Times New Roman" w:hAnsi="Times New Roman" w:cs="Times New Roman"/>
          <w:color w:val="000000" w:themeColor="text1"/>
          <w:sz w:val="24"/>
          <w:szCs w:val="24"/>
          <w:shd w:val="clear" w:color="auto" w:fill="FFFFFF"/>
          <w:lang w:val="en-US"/>
        </w:rPr>
        <w:t>(1), 76-97.</w:t>
      </w:r>
    </w:p>
    <w:p w14:paraId="00000097" w14:textId="55C96CB1" w:rsidR="00042C0F" w:rsidRPr="00685560" w:rsidRDefault="00165BB5" w:rsidP="00685560">
      <w:pPr>
        <w:spacing w:line="480" w:lineRule="auto"/>
        <w:rPr>
          <w:color w:val="000000" w:themeColor="text1"/>
          <w:lang w:val="en-US"/>
        </w:rPr>
      </w:pPr>
      <w:r w:rsidRPr="00685560">
        <w:rPr>
          <w:color w:val="000000" w:themeColor="text1"/>
          <w:lang w:val="en-US"/>
        </w:rPr>
        <w:t xml:space="preserve">Kroenke, K., Spitzer, R. L., &amp; Williams, J. B. (2001). The PHQ‐9: </w:t>
      </w:r>
      <w:r w:rsidR="005E5271" w:rsidRPr="00685560">
        <w:rPr>
          <w:color w:val="000000" w:themeColor="text1"/>
          <w:lang w:val="en-US"/>
        </w:rPr>
        <w:t>V</w:t>
      </w:r>
      <w:r w:rsidRPr="00685560">
        <w:rPr>
          <w:color w:val="000000" w:themeColor="text1"/>
          <w:lang w:val="en-US"/>
        </w:rPr>
        <w:t xml:space="preserve">alidity of a </w:t>
      </w:r>
      <w:r w:rsidR="005E5271" w:rsidRPr="00685560">
        <w:rPr>
          <w:color w:val="000000" w:themeColor="text1"/>
          <w:lang w:val="en-US"/>
        </w:rPr>
        <w:t>B</w:t>
      </w:r>
      <w:r w:rsidRPr="00685560">
        <w:rPr>
          <w:color w:val="000000" w:themeColor="text1"/>
          <w:lang w:val="en-US"/>
        </w:rPr>
        <w:t xml:space="preserve">rief </w:t>
      </w:r>
    </w:p>
    <w:p w14:paraId="00000098" w14:textId="6022C73E" w:rsidR="00042C0F" w:rsidRPr="00685560" w:rsidRDefault="005E5271" w:rsidP="00685560">
      <w:pPr>
        <w:spacing w:line="480" w:lineRule="auto"/>
        <w:ind w:firstLine="720"/>
        <w:rPr>
          <w:color w:val="000000" w:themeColor="text1"/>
          <w:lang w:val="en-US"/>
        </w:rPr>
      </w:pPr>
      <w:r w:rsidRPr="00685560">
        <w:rPr>
          <w:color w:val="000000" w:themeColor="text1"/>
          <w:lang w:val="en-US"/>
        </w:rPr>
        <w:t>D</w:t>
      </w:r>
      <w:r w:rsidR="00165BB5" w:rsidRPr="00685560">
        <w:rPr>
          <w:color w:val="000000" w:themeColor="text1"/>
          <w:lang w:val="en-US"/>
        </w:rPr>
        <w:t xml:space="preserve">epression </w:t>
      </w:r>
      <w:r w:rsidRPr="00685560">
        <w:rPr>
          <w:color w:val="000000" w:themeColor="text1"/>
          <w:lang w:val="en-US"/>
        </w:rPr>
        <w:t>S</w:t>
      </w:r>
      <w:r w:rsidR="00165BB5" w:rsidRPr="00685560">
        <w:rPr>
          <w:color w:val="000000" w:themeColor="text1"/>
          <w:lang w:val="en-US"/>
        </w:rPr>
        <w:t xml:space="preserve">everity </w:t>
      </w:r>
      <w:r w:rsidRPr="00685560">
        <w:rPr>
          <w:color w:val="000000" w:themeColor="text1"/>
          <w:lang w:val="en-US"/>
        </w:rPr>
        <w:t>M</w:t>
      </w:r>
      <w:r w:rsidR="00165BB5" w:rsidRPr="00685560">
        <w:rPr>
          <w:color w:val="000000" w:themeColor="text1"/>
          <w:lang w:val="en-US"/>
        </w:rPr>
        <w:t xml:space="preserve">easure. </w:t>
      </w:r>
      <w:r w:rsidR="00165BB5" w:rsidRPr="00685560">
        <w:rPr>
          <w:i/>
          <w:iCs/>
          <w:color w:val="000000" w:themeColor="text1"/>
          <w:lang w:val="en-US"/>
        </w:rPr>
        <w:t xml:space="preserve">Journal of </w:t>
      </w:r>
      <w:r w:rsidR="000B76C3" w:rsidRPr="00685560">
        <w:rPr>
          <w:i/>
          <w:iCs/>
          <w:color w:val="000000" w:themeColor="text1"/>
          <w:lang w:val="en-US"/>
        </w:rPr>
        <w:t>G</w:t>
      </w:r>
      <w:r w:rsidR="00165BB5" w:rsidRPr="00685560">
        <w:rPr>
          <w:i/>
          <w:iCs/>
          <w:color w:val="000000" w:themeColor="text1"/>
          <w:lang w:val="en-US"/>
        </w:rPr>
        <w:t xml:space="preserve">eneral </w:t>
      </w:r>
      <w:r w:rsidR="000B76C3" w:rsidRPr="00685560">
        <w:rPr>
          <w:i/>
          <w:iCs/>
          <w:color w:val="000000" w:themeColor="text1"/>
          <w:lang w:val="en-US"/>
        </w:rPr>
        <w:t>I</w:t>
      </w:r>
      <w:r w:rsidR="00165BB5" w:rsidRPr="00685560">
        <w:rPr>
          <w:i/>
          <w:iCs/>
          <w:color w:val="000000" w:themeColor="text1"/>
          <w:lang w:val="en-US"/>
        </w:rPr>
        <w:t xml:space="preserve">nternal </w:t>
      </w:r>
      <w:r w:rsidR="000B76C3" w:rsidRPr="00685560">
        <w:rPr>
          <w:i/>
          <w:iCs/>
          <w:color w:val="000000" w:themeColor="text1"/>
          <w:lang w:val="en-US"/>
        </w:rPr>
        <w:t>M</w:t>
      </w:r>
      <w:r w:rsidR="00165BB5" w:rsidRPr="00685560">
        <w:rPr>
          <w:i/>
          <w:iCs/>
          <w:color w:val="000000" w:themeColor="text1"/>
          <w:lang w:val="en-US"/>
        </w:rPr>
        <w:t>edicine</w:t>
      </w:r>
      <w:r w:rsidR="00165BB5" w:rsidRPr="00685560">
        <w:rPr>
          <w:color w:val="000000" w:themeColor="text1"/>
          <w:lang w:val="en-US"/>
        </w:rPr>
        <w:t>, 16(9), 606-613.</w:t>
      </w:r>
    </w:p>
    <w:p w14:paraId="602E7D0F" w14:textId="77777777" w:rsidR="006F1FFA" w:rsidRPr="00685560" w:rsidRDefault="006F1FFA" w:rsidP="00685560">
      <w:pPr>
        <w:spacing w:line="480" w:lineRule="auto"/>
        <w:rPr>
          <w:color w:val="000000" w:themeColor="text1"/>
          <w:shd w:val="clear" w:color="auto" w:fill="FFFFFF"/>
          <w:lang w:val="en-US"/>
        </w:rPr>
      </w:pPr>
      <w:proofErr w:type="spellStart"/>
      <w:r w:rsidRPr="00685560">
        <w:rPr>
          <w:color w:val="000000" w:themeColor="text1"/>
          <w:shd w:val="clear" w:color="auto" w:fill="FFFFFF"/>
        </w:rPr>
        <w:t>Lenferink</w:t>
      </w:r>
      <w:proofErr w:type="spellEnd"/>
      <w:r w:rsidRPr="00685560">
        <w:rPr>
          <w:color w:val="000000" w:themeColor="text1"/>
          <w:shd w:val="clear" w:color="auto" w:fill="FFFFFF"/>
        </w:rPr>
        <w:t xml:space="preserve">, L. I., Boelen, P. A., Smid, G. E., &amp; Paap, M. C. (2019). </w:t>
      </w:r>
      <w:r w:rsidRPr="00685560">
        <w:rPr>
          <w:color w:val="000000" w:themeColor="text1"/>
          <w:shd w:val="clear" w:color="auto" w:fill="FFFFFF"/>
          <w:lang w:val="en-US"/>
        </w:rPr>
        <w:t xml:space="preserve">The importance of </w:t>
      </w:r>
    </w:p>
    <w:p w14:paraId="74A6FDE5" w14:textId="07E203E1" w:rsidR="00966B0C" w:rsidRPr="00685560" w:rsidRDefault="006F1FFA" w:rsidP="00685560">
      <w:pPr>
        <w:spacing w:line="480" w:lineRule="auto"/>
        <w:ind w:left="720"/>
        <w:rPr>
          <w:color w:val="000000" w:themeColor="text1"/>
          <w:shd w:val="clear" w:color="auto" w:fill="FFFFFF"/>
          <w:lang w:val="en-US"/>
        </w:rPr>
      </w:pPr>
      <w:proofErr w:type="spellStart"/>
      <w:r w:rsidRPr="00685560">
        <w:rPr>
          <w:color w:val="000000" w:themeColor="text1"/>
          <w:shd w:val="clear" w:color="auto" w:fill="FFFFFF"/>
          <w:lang w:val="en-US"/>
        </w:rPr>
        <w:t>harmonising</w:t>
      </w:r>
      <w:proofErr w:type="spellEnd"/>
      <w:r w:rsidRPr="00685560">
        <w:rPr>
          <w:color w:val="000000" w:themeColor="text1"/>
          <w:shd w:val="clear" w:color="auto" w:fill="FFFFFF"/>
          <w:lang w:val="en-US"/>
        </w:rPr>
        <w:t xml:space="preserve"> diagnostic criteria sets for pathological grief. </w:t>
      </w:r>
      <w:r w:rsidRPr="00685560">
        <w:rPr>
          <w:i/>
          <w:iCs/>
          <w:color w:val="000000" w:themeColor="text1"/>
          <w:lang w:val="en-US"/>
        </w:rPr>
        <w:t>The British Journal of Psychiatry</w:t>
      </w:r>
      <w:r w:rsidRPr="00685560">
        <w:rPr>
          <w:color w:val="000000" w:themeColor="text1"/>
          <w:shd w:val="clear" w:color="auto" w:fill="FFFFFF"/>
          <w:lang w:val="en-US"/>
        </w:rPr>
        <w:t>, 1-4.</w:t>
      </w:r>
      <w:r w:rsidR="00966B0C" w:rsidRPr="00685560">
        <w:rPr>
          <w:color w:val="000000" w:themeColor="text1"/>
          <w:shd w:val="clear" w:color="auto" w:fill="FFFFFF"/>
          <w:lang w:val="en-US"/>
        </w:rPr>
        <w:t xml:space="preserve"> </w:t>
      </w:r>
      <w:proofErr w:type="spellStart"/>
      <w:r w:rsidR="00966B0C" w:rsidRPr="00685560">
        <w:rPr>
          <w:color w:val="000000" w:themeColor="text1"/>
          <w:shd w:val="clear" w:color="auto" w:fill="FFFFFF"/>
          <w:lang w:val="en-US"/>
        </w:rPr>
        <w:t>doi</w:t>
      </w:r>
      <w:proofErr w:type="spellEnd"/>
      <w:r w:rsidR="00966B0C" w:rsidRPr="00685560">
        <w:rPr>
          <w:color w:val="000000" w:themeColor="text1"/>
          <w:shd w:val="clear" w:color="auto" w:fill="FFFFFF"/>
          <w:lang w:val="en-US"/>
        </w:rPr>
        <w:t xml:space="preserve">: </w:t>
      </w:r>
      <w:r w:rsidR="00966B0C" w:rsidRPr="00685560">
        <w:rPr>
          <w:color w:val="000000" w:themeColor="text1"/>
          <w:lang w:val="en-US"/>
        </w:rPr>
        <w:t xml:space="preserve">10.1192/bjp.2019.240 </w:t>
      </w:r>
    </w:p>
    <w:p w14:paraId="00000099" w14:textId="77777777" w:rsidR="00042C0F" w:rsidRPr="00685560" w:rsidRDefault="00165BB5" w:rsidP="00685560">
      <w:pPr>
        <w:spacing w:line="480" w:lineRule="auto"/>
        <w:rPr>
          <w:color w:val="000000" w:themeColor="text1"/>
          <w:lang w:val="en-US"/>
        </w:rPr>
      </w:pPr>
      <w:proofErr w:type="spellStart"/>
      <w:r w:rsidRPr="00685560">
        <w:rPr>
          <w:color w:val="000000" w:themeColor="text1"/>
        </w:rPr>
        <w:t>Lenferink</w:t>
      </w:r>
      <w:proofErr w:type="spellEnd"/>
      <w:r w:rsidRPr="00685560">
        <w:rPr>
          <w:color w:val="000000" w:themeColor="text1"/>
        </w:rPr>
        <w:t xml:space="preserve">, L.I., de Keijser, J., Smid, G.E., </w:t>
      </w:r>
      <w:proofErr w:type="spellStart"/>
      <w:r w:rsidRPr="00685560">
        <w:rPr>
          <w:color w:val="000000" w:themeColor="text1"/>
        </w:rPr>
        <w:t>Djelantik</w:t>
      </w:r>
      <w:proofErr w:type="spellEnd"/>
      <w:r w:rsidRPr="00685560">
        <w:rPr>
          <w:color w:val="000000" w:themeColor="text1"/>
        </w:rPr>
        <w:t xml:space="preserve">, A.A., &amp; Boelen, P.A. (2017). </w:t>
      </w:r>
      <w:r w:rsidRPr="00685560">
        <w:rPr>
          <w:color w:val="000000" w:themeColor="text1"/>
          <w:lang w:val="en-US"/>
        </w:rPr>
        <w:t xml:space="preserve">Prolonged </w:t>
      </w:r>
    </w:p>
    <w:p w14:paraId="0000009A" w14:textId="77777777" w:rsidR="00042C0F" w:rsidRPr="00685560" w:rsidRDefault="00165BB5" w:rsidP="00685560">
      <w:pPr>
        <w:spacing w:line="480" w:lineRule="auto"/>
        <w:ind w:left="720"/>
        <w:rPr>
          <w:color w:val="000000" w:themeColor="text1"/>
          <w:lang w:val="en-US"/>
        </w:rPr>
      </w:pPr>
      <w:r w:rsidRPr="00685560">
        <w:rPr>
          <w:color w:val="000000" w:themeColor="text1"/>
          <w:lang w:val="en-US"/>
        </w:rPr>
        <w:t xml:space="preserve">grief, depression, and posttraumatic stress in disaster-bereaved individuals: latent class analysis. </w:t>
      </w:r>
      <w:r w:rsidRPr="00685560">
        <w:rPr>
          <w:i/>
          <w:color w:val="000000" w:themeColor="text1"/>
          <w:lang w:val="en-US"/>
        </w:rPr>
        <w:t xml:space="preserve">European Journal of </w:t>
      </w:r>
      <w:proofErr w:type="spellStart"/>
      <w:r w:rsidRPr="00685560">
        <w:rPr>
          <w:i/>
          <w:color w:val="000000" w:themeColor="text1"/>
          <w:lang w:val="en-US"/>
        </w:rPr>
        <w:t>Psychotraumatology</w:t>
      </w:r>
      <w:proofErr w:type="spellEnd"/>
      <w:r w:rsidRPr="00685560">
        <w:rPr>
          <w:i/>
          <w:color w:val="000000" w:themeColor="text1"/>
          <w:lang w:val="en-US"/>
        </w:rPr>
        <w:t>, 8</w:t>
      </w:r>
      <w:r w:rsidRPr="00685560">
        <w:rPr>
          <w:color w:val="000000" w:themeColor="text1"/>
          <w:lang w:val="en-US"/>
        </w:rPr>
        <w:t>(1). https://doi.org/10.1080/20008198.2017.1298311</w:t>
      </w:r>
    </w:p>
    <w:p w14:paraId="0000009B" w14:textId="77777777" w:rsidR="00042C0F" w:rsidRPr="00685560" w:rsidRDefault="00165BB5" w:rsidP="00685560">
      <w:pPr>
        <w:spacing w:line="480" w:lineRule="auto"/>
        <w:rPr>
          <w:color w:val="000000" w:themeColor="text1"/>
          <w:lang w:val="en-US"/>
        </w:rPr>
      </w:pPr>
      <w:r w:rsidRPr="00685560">
        <w:rPr>
          <w:color w:val="000000" w:themeColor="text1"/>
          <w:lang w:val="en-US"/>
        </w:rPr>
        <w:t xml:space="preserve">Lobb, E. A., </w:t>
      </w:r>
      <w:proofErr w:type="spellStart"/>
      <w:r w:rsidRPr="00685560">
        <w:rPr>
          <w:color w:val="000000" w:themeColor="text1"/>
          <w:lang w:val="en-US"/>
        </w:rPr>
        <w:t>Kristjanson</w:t>
      </w:r>
      <w:proofErr w:type="spellEnd"/>
      <w:r w:rsidRPr="00685560">
        <w:rPr>
          <w:color w:val="000000" w:themeColor="text1"/>
          <w:lang w:val="en-US"/>
        </w:rPr>
        <w:t xml:space="preserve">, L. J., Aoun, S. M., </w:t>
      </w:r>
      <w:proofErr w:type="spellStart"/>
      <w:r w:rsidRPr="00685560">
        <w:rPr>
          <w:color w:val="000000" w:themeColor="text1"/>
          <w:lang w:val="en-US"/>
        </w:rPr>
        <w:t>Monterosso</w:t>
      </w:r>
      <w:proofErr w:type="spellEnd"/>
      <w:r w:rsidRPr="00685560">
        <w:rPr>
          <w:color w:val="000000" w:themeColor="text1"/>
          <w:lang w:val="en-US"/>
        </w:rPr>
        <w:t xml:space="preserve">, L., </w:t>
      </w:r>
      <w:proofErr w:type="spellStart"/>
      <w:r w:rsidRPr="00685560">
        <w:rPr>
          <w:color w:val="000000" w:themeColor="text1"/>
          <w:lang w:val="en-US"/>
        </w:rPr>
        <w:t>Halkett</w:t>
      </w:r>
      <w:proofErr w:type="spellEnd"/>
      <w:r w:rsidRPr="00685560">
        <w:rPr>
          <w:color w:val="000000" w:themeColor="text1"/>
          <w:lang w:val="en-US"/>
        </w:rPr>
        <w:t xml:space="preserve">, G. K., &amp; Davies, A. </w:t>
      </w:r>
    </w:p>
    <w:p w14:paraId="0000009C" w14:textId="77777777" w:rsidR="00042C0F" w:rsidRPr="00685560" w:rsidRDefault="00165BB5" w:rsidP="00685560">
      <w:pPr>
        <w:spacing w:line="480" w:lineRule="auto"/>
        <w:ind w:left="720"/>
        <w:rPr>
          <w:color w:val="000000" w:themeColor="text1"/>
          <w:lang w:val="en-US"/>
        </w:rPr>
      </w:pPr>
      <w:r w:rsidRPr="00685560">
        <w:rPr>
          <w:color w:val="000000" w:themeColor="text1"/>
          <w:lang w:val="en-US"/>
        </w:rPr>
        <w:t xml:space="preserve">(2010). Predictors of Complicated Grief: A Systematic Review of Empirical Studies. </w:t>
      </w:r>
      <w:r w:rsidRPr="00685560">
        <w:rPr>
          <w:i/>
          <w:color w:val="000000" w:themeColor="text1"/>
          <w:lang w:val="en-US"/>
        </w:rPr>
        <w:t>Death studies, 34</w:t>
      </w:r>
      <w:r w:rsidRPr="00685560">
        <w:rPr>
          <w:color w:val="000000" w:themeColor="text1"/>
          <w:lang w:val="en-US"/>
        </w:rPr>
        <w:t>(8), 673-698. https://doi.org/</w:t>
      </w:r>
      <w:hyperlink r:id="rId14">
        <w:r w:rsidRPr="00685560">
          <w:rPr>
            <w:color w:val="000000" w:themeColor="text1"/>
            <w:lang w:val="en-US"/>
          </w:rPr>
          <w:t>10.1080/07481187.2010.496686</w:t>
        </w:r>
      </w:hyperlink>
    </w:p>
    <w:p w14:paraId="0000009D" w14:textId="77777777" w:rsidR="00042C0F" w:rsidRPr="00685560" w:rsidRDefault="00165BB5" w:rsidP="00685560">
      <w:pPr>
        <w:spacing w:line="480" w:lineRule="auto"/>
        <w:rPr>
          <w:color w:val="000000" w:themeColor="text1"/>
          <w:lang w:val="en-US"/>
        </w:rPr>
      </w:pPr>
      <w:proofErr w:type="spellStart"/>
      <w:r w:rsidRPr="00685560">
        <w:rPr>
          <w:color w:val="000000" w:themeColor="text1"/>
          <w:lang w:val="en-US"/>
        </w:rPr>
        <w:t>Lundorff</w:t>
      </w:r>
      <w:proofErr w:type="spellEnd"/>
      <w:r w:rsidRPr="00685560">
        <w:rPr>
          <w:color w:val="000000" w:themeColor="text1"/>
          <w:lang w:val="en-US"/>
        </w:rPr>
        <w:t xml:space="preserve">, M., Holmgren, H., </w:t>
      </w:r>
      <w:proofErr w:type="spellStart"/>
      <w:r w:rsidRPr="00685560">
        <w:rPr>
          <w:color w:val="000000" w:themeColor="text1"/>
          <w:lang w:val="en-US"/>
        </w:rPr>
        <w:t>Zachariae</w:t>
      </w:r>
      <w:proofErr w:type="spellEnd"/>
      <w:r w:rsidRPr="00685560">
        <w:rPr>
          <w:color w:val="000000" w:themeColor="text1"/>
          <w:lang w:val="en-US"/>
        </w:rPr>
        <w:t xml:space="preserve">, R., </w:t>
      </w:r>
      <w:proofErr w:type="spellStart"/>
      <w:r w:rsidRPr="00685560">
        <w:rPr>
          <w:color w:val="000000" w:themeColor="text1"/>
          <w:lang w:val="en-US"/>
        </w:rPr>
        <w:t>Farver</w:t>
      </w:r>
      <w:proofErr w:type="spellEnd"/>
      <w:r w:rsidRPr="00685560">
        <w:rPr>
          <w:color w:val="000000" w:themeColor="text1"/>
          <w:lang w:val="en-US"/>
        </w:rPr>
        <w:t xml:space="preserve">-Vestergaard, I., &amp; O’Connor, M. (2017). </w:t>
      </w:r>
    </w:p>
    <w:p w14:paraId="0000009E" w14:textId="77777777" w:rsidR="00042C0F" w:rsidRPr="00685560" w:rsidRDefault="00165BB5" w:rsidP="00685560">
      <w:pPr>
        <w:spacing w:line="480" w:lineRule="auto"/>
        <w:ind w:left="700"/>
        <w:rPr>
          <w:color w:val="000000" w:themeColor="text1"/>
          <w:lang w:val="en-US"/>
        </w:rPr>
      </w:pPr>
      <w:r w:rsidRPr="00685560">
        <w:rPr>
          <w:color w:val="000000" w:themeColor="text1"/>
          <w:lang w:val="en-US"/>
        </w:rPr>
        <w:t xml:space="preserve">Prevalence of prolonged grief disorder in adult bereavement: A systematic review and meta-analysis. </w:t>
      </w:r>
      <w:r w:rsidRPr="00685560">
        <w:rPr>
          <w:i/>
          <w:color w:val="000000" w:themeColor="text1"/>
          <w:lang w:val="en-US"/>
        </w:rPr>
        <w:t>Journal of Affective Disorders</w:t>
      </w:r>
      <w:r w:rsidRPr="00685560">
        <w:rPr>
          <w:color w:val="000000" w:themeColor="text1"/>
          <w:lang w:val="en-US"/>
        </w:rPr>
        <w:t xml:space="preserve">, </w:t>
      </w:r>
      <w:r w:rsidRPr="00685560">
        <w:rPr>
          <w:i/>
          <w:color w:val="000000" w:themeColor="text1"/>
          <w:lang w:val="en-US"/>
        </w:rPr>
        <w:t>212</w:t>
      </w:r>
      <w:r w:rsidRPr="00685560">
        <w:rPr>
          <w:color w:val="000000" w:themeColor="text1"/>
          <w:lang w:val="en-US"/>
        </w:rPr>
        <w:t>, 138-149.</w:t>
      </w:r>
    </w:p>
    <w:p w14:paraId="0000009F" w14:textId="6B491153" w:rsidR="00042C0F" w:rsidRPr="00685560" w:rsidRDefault="000115FC" w:rsidP="00685560">
      <w:pPr>
        <w:spacing w:line="480" w:lineRule="auto"/>
        <w:ind w:left="700"/>
        <w:rPr>
          <w:color w:val="000000" w:themeColor="text1"/>
          <w:lang w:val="en-US"/>
        </w:rPr>
      </w:pPr>
      <w:r w:rsidRPr="00685560">
        <w:rPr>
          <w:color w:val="000000" w:themeColor="text1"/>
          <w:lang w:val="en-US"/>
        </w:rPr>
        <w:t>https://doi.org/10.1016/j.jad.2017.01.030</w:t>
      </w:r>
    </w:p>
    <w:p w14:paraId="59863A01" w14:textId="77777777" w:rsidR="000115FC" w:rsidRPr="00685560" w:rsidRDefault="000115FC" w:rsidP="00685560">
      <w:pPr>
        <w:pStyle w:val="NoSpacing"/>
        <w:spacing w:line="480" w:lineRule="auto"/>
        <w:rPr>
          <w:rFonts w:ascii="Times New Roman" w:hAnsi="Times New Roman" w:cs="Times New Roman"/>
          <w:color w:val="000000" w:themeColor="text1"/>
          <w:sz w:val="24"/>
          <w:szCs w:val="24"/>
          <w:lang w:val="en-US"/>
        </w:rPr>
      </w:pPr>
      <w:proofErr w:type="spellStart"/>
      <w:r w:rsidRPr="00685560">
        <w:rPr>
          <w:rFonts w:ascii="Times New Roman" w:hAnsi="Times New Roman" w:cs="Times New Roman"/>
          <w:color w:val="000000" w:themeColor="text1"/>
          <w:sz w:val="24"/>
          <w:szCs w:val="24"/>
          <w:lang w:val="en-US"/>
        </w:rPr>
        <w:t>Manea</w:t>
      </w:r>
      <w:proofErr w:type="spellEnd"/>
      <w:r w:rsidRPr="00685560">
        <w:rPr>
          <w:rFonts w:ascii="Times New Roman" w:hAnsi="Times New Roman" w:cs="Times New Roman"/>
          <w:color w:val="000000" w:themeColor="text1"/>
          <w:sz w:val="24"/>
          <w:szCs w:val="24"/>
          <w:lang w:val="en-US"/>
        </w:rPr>
        <w:t xml:space="preserve">, L., </w:t>
      </w:r>
      <w:proofErr w:type="spellStart"/>
      <w:r w:rsidRPr="00685560">
        <w:rPr>
          <w:rFonts w:ascii="Times New Roman" w:hAnsi="Times New Roman" w:cs="Times New Roman"/>
          <w:color w:val="000000" w:themeColor="text1"/>
          <w:sz w:val="24"/>
          <w:szCs w:val="24"/>
          <w:lang w:val="en-US"/>
        </w:rPr>
        <w:t>Gilbody</w:t>
      </w:r>
      <w:proofErr w:type="spellEnd"/>
      <w:r w:rsidRPr="00685560">
        <w:rPr>
          <w:rFonts w:ascii="Times New Roman" w:hAnsi="Times New Roman" w:cs="Times New Roman"/>
          <w:color w:val="000000" w:themeColor="text1"/>
          <w:sz w:val="24"/>
          <w:szCs w:val="24"/>
          <w:lang w:val="en-US"/>
        </w:rPr>
        <w:t xml:space="preserve">, S., &amp; McMillan, D. (2012). Optimal cut-off score for diagnosing </w:t>
      </w:r>
    </w:p>
    <w:p w14:paraId="0D4E0920" w14:textId="40988F1F" w:rsidR="00300AB5" w:rsidRPr="00685560" w:rsidRDefault="000115FC" w:rsidP="00685560">
      <w:pPr>
        <w:pStyle w:val="NoSpacing"/>
        <w:spacing w:line="480" w:lineRule="auto"/>
        <w:ind w:left="720"/>
        <w:rPr>
          <w:rFonts w:ascii="Times New Roman" w:hAnsi="Times New Roman" w:cs="Times New Roman"/>
          <w:color w:val="000000" w:themeColor="text1"/>
          <w:sz w:val="24"/>
          <w:szCs w:val="24"/>
          <w:lang w:val="en-US"/>
        </w:rPr>
      </w:pPr>
      <w:r w:rsidRPr="00685560">
        <w:rPr>
          <w:rFonts w:ascii="Times New Roman" w:hAnsi="Times New Roman" w:cs="Times New Roman"/>
          <w:color w:val="000000" w:themeColor="text1"/>
          <w:sz w:val="24"/>
          <w:szCs w:val="24"/>
          <w:lang w:val="en-US"/>
        </w:rPr>
        <w:t xml:space="preserve">depression with the Patient Health Questionnaire (PHQ-9): a meta-analysis. </w:t>
      </w:r>
      <w:proofErr w:type="spellStart"/>
      <w:r w:rsidRPr="00685560">
        <w:rPr>
          <w:rFonts w:ascii="Times New Roman" w:hAnsi="Times New Roman" w:cs="Times New Roman"/>
          <w:color w:val="000000" w:themeColor="text1"/>
          <w:sz w:val="24"/>
          <w:szCs w:val="24"/>
          <w:lang w:val="en-US"/>
        </w:rPr>
        <w:t>Cmaj</w:t>
      </w:r>
      <w:proofErr w:type="spellEnd"/>
      <w:r w:rsidRPr="00685560">
        <w:rPr>
          <w:rFonts w:ascii="Times New Roman" w:hAnsi="Times New Roman" w:cs="Times New Roman"/>
          <w:color w:val="000000" w:themeColor="text1"/>
          <w:sz w:val="24"/>
          <w:szCs w:val="24"/>
          <w:lang w:val="en-US"/>
        </w:rPr>
        <w:t>, 184(3), E191-E196.</w:t>
      </w:r>
      <w:r w:rsidR="00300AB5" w:rsidRPr="00685560">
        <w:rPr>
          <w:rFonts w:ascii="Times New Roman" w:hAnsi="Times New Roman" w:cs="Times New Roman"/>
          <w:color w:val="000000" w:themeColor="text1"/>
          <w:sz w:val="24"/>
          <w:szCs w:val="24"/>
          <w:lang w:val="en-US"/>
        </w:rPr>
        <w:t xml:space="preserve"> </w:t>
      </w:r>
      <w:r w:rsidR="00300AB5" w:rsidRPr="00685560">
        <w:rPr>
          <w:rFonts w:ascii="Times New Roman" w:hAnsi="Times New Roman" w:cs="Times New Roman"/>
          <w:color w:val="000000" w:themeColor="text1"/>
          <w:sz w:val="24"/>
          <w:szCs w:val="24"/>
          <w:shd w:val="clear" w:color="auto" w:fill="FFFFFF"/>
          <w:lang w:val="en-US"/>
        </w:rPr>
        <w:t>https://doi.org/10.1503/cmaj.110829</w:t>
      </w:r>
    </w:p>
    <w:p w14:paraId="78A18AC5" w14:textId="77777777" w:rsidR="000115FC" w:rsidRPr="00685560" w:rsidRDefault="000115FC" w:rsidP="00685560">
      <w:pPr>
        <w:pStyle w:val="NoSpacing"/>
        <w:spacing w:line="480" w:lineRule="auto"/>
        <w:rPr>
          <w:rFonts w:ascii="Times New Roman" w:hAnsi="Times New Roman" w:cs="Times New Roman"/>
          <w:color w:val="000000" w:themeColor="text1"/>
          <w:sz w:val="24"/>
          <w:szCs w:val="24"/>
          <w:lang w:val="en-US"/>
        </w:rPr>
      </w:pPr>
      <w:proofErr w:type="spellStart"/>
      <w:r w:rsidRPr="00685560">
        <w:rPr>
          <w:rFonts w:ascii="Times New Roman" w:hAnsi="Times New Roman" w:cs="Times New Roman"/>
          <w:color w:val="000000" w:themeColor="text1"/>
          <w:sz w:val="24"/>
          <w:szCs w:val="24"/>
          <w:lang w:val="en-US"/>
        </w:rPr>
        <w:t>Manea</w:t>
      </w:r>
      <w:proofErr w:type="spellEnd"/>
      <w:r w:rsidRPr="00685560">
        <w:rPr>
          <w:rFonts w:ascii="Times New Roman" w:hAnsi="Times New Roman" w:cs="Times New Roman"/>
          <w:color w:val="000000" w:themeColor="text1"/>
          <w:sz w:val="24"/>
          <w:szCs w:val="24"/>
          <w:lang w:val="en-US"/>
        </w:rPr>
        <w:t xml:space="preserve">, L., </w:t>
      </w:r>
      <w:proofErr w:type="spellStart"/>
      <w:r w:rsidRPr="00685560">
        <w:rPr>
          <w:rFonts w:ascii="Times New Roman" w:hAnsi="Times New Roman" w:cs="Times New Roman"/>
          <w:color w:val="000000" w:themeColor="text1"/>
          <w:sz w:val="24"/>
          <w:szCs w:val="24"/>
          <w:lang w:val="en-US"/>
        </w:rPr>
        <w:t>Gilbody</w:t>
      </w:r>
      <w:proofErr w:type="spellEnd"/>
      <w:r w:rsidRPr="00685560">
        <w:rPr>
          <w:rFonts w:ascii="Times New Roman" w:hAnsi="Times New Roman" w:cs="Times New Roman"/>
          <w:color w:val="000000" w:themeColor="text1"/>
          <w:sz w:val="24"/>
          <w:szCs w:val="24"/>
          <w:lang w:val="en-US"/>
        </w:rPr>
        <w:t>, S., &amp; McMillan, D. (2015). A diagnostic meta-analysis of the Patient </w:t>
      </w:r>
    </w:p>
    <w:p w14:paraId="2FC5C3F4" w14:textId="4621CC48" w:rsidR="001554A7" w:rsidRPr="00685560" w:rsidRDefault="000115FC" w:rsidP="00685560">
      <w:pPr>
        <w:pStyle w:val="NoSpacing"/>
        <w:spacing w:line="480" w:lineRule="auto"/>
        <w:ind w:left="720"/>
        <w:rPr>
          <w:rFonts w:ascii="Times New Roman" w:hAnsi="Times New Roman" w:cs="Times New Roman"/>
          <w:color w:val="000000" w:themeColor="text1"/>
          <w:sz w:val="24"/>
          <w:szCs w:val="24"/>
          <w:lang w:val="en-US"/>
        </w:rPr>
      </w:pPr>
      <w:r w:rsidRPr="00685560">
        <w:rPr>
          <w:rFonts w:ascii="Times New Roman" w:hAnsi="Times New Roman" w:cs="Times New Roman"/>
          <w:color w:val="000000" w:themeColor="text1"/>
          <w:sz w:val="24"/>
          <w:szCs w:val="24"/>
          <w:lang w:val="en-US"/>
        </w:rPr>
        <w:t>Health Questionnaire-9 (PHQ-9) algorithm scoring method as a screen for depression. General hospital psychiatry, 37(1), 67-75.</w:t>
      </w:r>
      <w:r w:rsidR="001554A7" w:rsidRPr="00685560">
        <w:rPr>
          <w:rFonts w:ascii="Times New Roman" w:hAnsi="Times New Roman" w:cs="Times New Roman"/>
          <w:color w:val="000000" w:themeColor="text1"/>
          <w:sz w:val="24"/>
          <w:szCs w:val="24"/>
          <w:lang w:val="en-US"/>
        </w:rPr>
        <w:t xml:space="preserve"> https://doi.org/10.1016/j.genhosppsych.2014.09.009</w:t>
      </w:r>
    </w:p>
    <w:p w14:paraId="000000A0" w14:textId="77777777" w:rsidR="00042C0F" w:rsidRPr="00685560" w:rsidRDefault="00165BB5" w:rsidP="00685560">
      <w:pPr>
        <w:spacing w:line="480" w:lineRule="auto"/>
        <w:rPr>
          <w:color w:val="000000" w:themeColor="text1"/>
          <w:lang w:val="en-US"/>
        </w:rPr>
      </w:pPr>
      <w:r w:rsidRPr="00685560">
        <w:rPr>
          <w:color w:val="000000" w:themeColor="text1"/>
          <w:lang w:val="en-US"/>
        </w:rPr>
        <w:lastRenderedPageBreak/>
        <w:t xml:space="preserve">Mason, T.M., </w:t>
      </w:r>
      <w:proofErr w:type="spellStart"/>
      <w:r w:rsidRPr="00685560">
        <w:rPr>
          <w:color w:val="000000" w:themeColor="text1"/>
          <w:lang w:val="en-US"/>
        </w:rPr>
        <w:t>Tofthagen</w:t>
      </w:r>
      <w:proofErr w:type="spellEnd"/>
      <w:r w:rsidRPr="00685560">
        <w:rPr>
          <w:color w:val="000000" w:themeColor="text1"/>
          <w:lang w:val="en-US"/>
        </w:rPr>
        <w:t xml:space="preserve">, C.S., &amp; Buck, H.G. (2020). Complicated Grief: Risk Factors, </w:t>
      </w:r>
    </w:p>
    <w:p w14:paraId="000000A1" w14:textId="77777777" w:rsidR="00042C0F" w:rsidRPr="00685560" w:rsidRDefault="00165BB5" w:rsidP="00685560">
      <w:pPr>
        <w:spacing w:line="480" w:lineRule="auto"/>
        <w:ind w:left="720"/>
        <w:rPr>
          <w:color w:val="000000" w:themeColor="text1"/>
          <w:lang w:val="en-US"/>
        </w:rPr>
      </w:pPr>
      <w:r w:rsidRPr="00685560">
        <w:rPr>
          <w:color w:val="000000" w:themeColor="text1"/>
          <w:lang w:val="en-US"/>
        </w:rPr>
        <w:t xml:space="preserve">Protective Factors, and Interventions. </w:t>
      </w:r>
      <w:r w:rsidRPr="00685560">
        <w:rPr>
          <w:i/>
          <w:color w:val="000000" w:themeColor="text1"/>
          <w:lang w:val="en-US"/>
        </w:rPr>
        <w:t>Journal of Social Work in End-of-Life &amp; Palliative Care, 16</w:t>
      </w:r>
      <w:r w:rsidRPr="00685560">
        <w:rPr>
          <w:color w:val="000000" w:themeColor="text1"/>
          <w:lang w:val="en-US"/>
        </w:rPr>
        <w:t>(2), 151-174. https://doi-org.proxy.library.uu.nl/10.1080/15524256.2020.1745726</w:t>
      </w:r>
    </w:p>
    <w:p w14:paraId="000000A2" w14:textId="77777777" w:rsidR="00042C0F" w:rsidRPr="00685560" w:rsidRDefault="00165BB5" w:rsidP="00685560">
      <w:pPr>
        <w:spacing w:line="480" w:lineRule="auto"/>
        <w:rPr>
          <w:color w:val="000000" w:themeColor="text1"/>
          <w:lang w:val="en-US"/>
        </w:rPr>
      </w:pPr>
      <w:r w:rsidRPr="00685560">
        <w:rPr>
          <w:color w:val="000000" w:themeColor="text1"/>
          <w:lang w:val="en-US"/>
        </w:rPr>
        <w:t xml:space="preserve">McCarthy, M. C., Clarke, N. E., Ting, C. L., Conroy, R., Anderson, V. A., &amp; Heath, J. A. </w:t>
      </w:r>
    </w:p>
    <w:p w14:paraId="000000A3" w14:textId="77777777" w:rsidR="00042C0F" w:rsidRPr="00685560" w:rsidRDefault="00165BB5" w:rsidP="00685560">
      <w:pPr>
        <w:spacing w:line="480" w:lineRule="auto"/>
        <w:ind w:left="720"/>
        <w:rPr>
          <w:color w:val="000000" w:themeColor="text1"/>
          <w:lang w:val="en-US"/>
        </w:rPr>
      </w:pPr>
      <w:r w:rsidRPr="00685560">
        <w:rPr>
          <w:color w:val="000000" w:themeColor="text1"/>
          <w:lang w:val="en-US"/>
        </w:rPr>
        <w:t xml:space="preserve">(2010). Prevalence and Predictors of Parental Grief and Depression After the Death of a Child from Cancer. </w:t>
      </w:r>
      <w:r w:rsidRPr="00685560">
        <w:rPr>
          <w:i/>
          <w:color w:val="000000" w:themeColor="text1"/>
          <w:lang w:val="en-US"/>
        </w:rPr>
        <w:t>Journal of Palliative Medicine</w:t>
      </w:r>
      <w:r w:rsidRPr="00685560">
        <w:rPr>
          <w:color w:val="000000" w:themeColor="text1"/>
          <w:lang w:val="en-US"/>
        </w:rPr>
        <w:t xml:space="preserve">, </w:t>
      </w:r>
      <w:r w:rsidRPr="00685560">
        <w:rPr>
          <w:i/>
          <w:color w:val="000000" w:themeColor="text1"/>
          <w:lang w:val="en-US"/>
        </w:rPr>
        <w:t>13</w:t>
      </w:r>
      <w:r w:rsidRPr="00685560">
        <w:rPr>
          <w:color w:val="000000" w:themeColor="text1"/>
          <w:lang w:val="en-US"/>
        </w:rPr>
        <w:t>(11), 1321-1326.</w:t>
      </w:r>
    </w:p>
    <w:p w14:paraId="000000A4" w14:textId="77777777" w:rsidR="00042C0F" w:rsidRPr="00685560" w:rsidRDefault="00165BB5" w:rsidP="00685560">
      <w:pPr>
        <w:spacing w:line="480" w:lineRule="auto"/>
        <w:ind w:firstLine="720"/>
        <w:rPr>
          <w:color w:val="000000" w:themeColor="text1"/>
          <w:lang w:val="en-US"/>
        </w:rPr>
      </w:pPr>
      <w:r w:rsidRPr="00685560">
        <w:rPr>
          <w:color w:val="000000" w:themeColor="text1"/>
          <w:lang w:val="en-US"/>
        </w:rPr>
        <w:t>https://doi.org/10.1089/jpm.2010.0037</w:t>
      </w:r>
    </w:p>
    <w:p w14:paraId="55600541" w14:textId="77777777" w:rsidR="00CB44F6" w:rsidRPr="00685560" w:rsidRDefault="00CB44F6" w:rsidP="00685560">
      <w:pPr>
        <w:pStyle w:val="NoSpacing"/>
        <w:spacing w:line="480" w:lineRule="auto"/>
        <w:rPr>
          <w:rFonts w:ascii="Times New Roman" w:hAnsi="Times New Roman" w:cs="Times New Roman"/>
          <w:color w:val="000000" w:themeColor="text1"/>
          <w:sz w:val="24"/>
          <w:szCs w:val="24"/>
          <w:shd w:val="clear" w:color="auto" w:fill="FFFFFF"/>
          <w:lang w:val="en-US"/>
        </w:rPr>
      </w:pPr>
      <w:proofErr w:type="spellStart"/>
      <w:r w:rsidRPr="00685560">
        <w:rPr>
          <w:rFonts w:ascii="Times New Roman" w:hAnsi="Times New Roman" w:cs="Times New Roman"/>
          <w:color w:val="000000" w:themeColor="text1"/>
          <w:sz w:val="24"/>
          <w:szCs w:val="24"/>
          <w:shd w:val="clear" w:color="auto" w:fill="FFFFFF"/>
          <w:lang w:val="en-US"/>
        </w:rPr>
        <w:t>McHorney</w:t>
      </w:r>
      <w:proofErr w:type="spellEnd"/>
      <w:r w:rsidRPr="00685560">
        <w:rPr>
          <w:rFonts w:ascii="Times New Roman" w:hAnsi="Times New Roman" w:cs="Times New Roman"/>
          <w:color w:val="000000" w:themeColor="text1"/>
          <w:sz w:val="24"/>
          <w:szCs w:val="24"/>
          <w:shd w:val="clear" w:color="auto" w:fill="FFFFFF"/>
          <w:lang w:val="en-US"/>
        </w:rPr>
        <w:t xml:space="preserve">, C. A., &amp; </w:t>
      </w:r>
      <w:proofErr w:type="spellStart"/>
      <w:r w:rsidRPr="00685560">
        <w:rPr>
          <w:rFonts w:ascii="Times New Roman" w:hAnsi="Times New Roman" w:cs="Times New Roman"/>
          <w:color w:val="000000" w:themeColor="text1"/>
          <w:sz w:val="24"/>
          <w:szCs w:val="24"/>
          <w:shd w:val="clear" w:color="auto" w:fill="FFFFFF"/>
          <w:lang w:val="en-US"/>
        </w:rPr>
        <w:t>Mor</w:t>
      </w:r>
      <w:proofErr w:type="spellEnd"/>
      <w:r w:rsidRPr="00685560">
        <w:rPr>
          <w:rFonts w:ascii="Times New Roman" w:hAnsi="Times New Roman" w:cs="Times New Roman"/>
          <w:color w:val="000000" w:themeColor="text1"/>
          <w:sz w:val="24"/>
          <w:szCs w:val="24"/>
          <w:shd w:val="clear" w:color="auto" w:fill="FFFFFF"/>
          <w:lang w:val="en-US"/>
        </w:rPr>
        <w:t xml:space="preserve">, V. (1988). Predictors of Bereavement Depression and Its </w:t>
      </w:r>
    </w:p>
    <w:p w14:paraId="1B603864" w14:textId="00E0741B" w:rsidR="00CB44F6" w:rsidRPr="00685560" w:rsidRDefault="00CB44F6" w:rsidP="00685560">
      <w:pPr>
        <w:pStyle w:val="NoSpacing"/>
        <w:spacing w:line="480" w:lineRule="auto"/>
        <w:ind w:firstLine="720"/>
        <w:rPr>
          <w:rFonts w:ascii="Times New Roman" w:hAnsi="Times New Roman" w:cs="Times New Roman"/>
          <w:color w:val="000000" w:themeColor="text1"/>
          <w:sz w:val="24"/>
          <w:szCs w:val="24"/>
          <w:lang w:val="en-US"/>
        </w:rPr>
      </w:pPr>
      <w:r w:rsidRPr="00685560">
        <w:rPr>
          <w:rFonts w:ascii="Times New Roman" w:hAnsi="Times New Roman" w:cs="Times New Roman"/>
          <w:color w:val="000000" w:themeColor="text1"/>
          <w:sz w:val="24"/>
          <w:szCs w:val="24"/>
          <w:shd w:val="clear" w:color="auto" w:fill="FFFFFF"/>
          <w:lang w:val="en-US"/>
        </w:rPr>
        <w:t xml:space="preserve">Health Services Consequences. </w:t>
      </w:r>
      <w:r w:rsidRPr="00685560">
        <w:rPr>
          <w:rFonts w:ascii="Times New Roman" w:hAnsi="Times New Roman" w:cs="Times New Roman"/>
          <w:i/>
          <w:iCs/>
          <w:color w:val="000000" w:themeColor="text1"/>
          <w:sz w:val="24"/>
          <w:szCs w:val="24"/>
          <w:lang w:val="en-US"/>
        </w:rPr>
        <w:t>Medical Care</w:t>
      </w:r>
      <w:r w:rsidRPr="00685560">
        <w:rPr>
          <w:rFonts w:ascii="Times New Roman" w:hAnsi="Times New Roman" w:cs="Times New Roman"/>
          <w:color w:val="000000" w:themeColor="text1"/>
          <w:sz w:val="24"/>
          <w:szCs w:val="24"/>
          <w:shd w:val="clear" w:color="auto" w:fill="FFFFFF"/>
          <w:lang w:val="en-US"/>
        </w:rPr>
        <w:t xml:space="preserve">, </w:t>
      </w:r>
      <w:r w:rsidRPr="00685560">
        <w:rPr>
          <w:rFonts w:ascii="Times New Roman" w:hAnsi="Times New Roman" w:cs="Times New Roman"/>
          <w:i/>
          <w:iCs/>
          <w:color w:val="000000" w:themeColor="text1"/>
          <w:sz w:val="24"/>
          <w:szCs w:val="24"/>
          <w:shd w:val="clear" w:color="auto" w:fill="FFFFFF"/>
          <w:lang w:val="en-US"/>
        </w:rPr>
        <w:t>26</w:t>
      </w:r>
      <w:r w:rsidRPr="00685560">
        <w:rPr>
          <w:rFonts w:ascii="Times New Roman" w:hAnsi="Times New Roman" w:cs="Times New Roman"/>
          <w:color w:val="000000" w:themeColor="text1"/>
          <w:sz w:val="24"/>
          <w:szCs w:val="24"/>
          <w:shd w:val="clear" w:color="auto" w:fill="FFFFFF"/>
          <w:lang w:val="en-US"/>
        </w:rPr>
        <w:t>(9). 882-893.</w:t>
      </w:r>
    </w:p>
    <w:p w14:paraId="3A5A1D47" w14:textId="77777777" w:rsidR="00CB44F6" w:rsidRPr="00685560" w:rsidRDefault="00CB44F6" w:rsidP="00685560">
      <w:pPr>
        <w:pStyle w:val="NoSpacing"/>
        <w:spacing w:line="480" w:lineRule="auto"/>
        <w:rPr>
          <w:rFonts w:ascii="Times New Roman" w:hAnsi="Times New Roman" w:cs="Times New Roman"/>
          <w:color w:val="000000" w:themeColor="text1"/>
          <w:sz w:val="24"/>
          <w:szCs w:val="24"/>
          <w:shd w:val="clear" w:color="auto" w:fill="FFFFFF"/>
          <w:lang w:val="en-US"/>
        </w:rPr>
      </w:pPr>
      <w:proofErr w:type="spellStart"/>
      <w:r w:rsidRPr="00685560">
        <w:rPr>
          <w:rFonts w:ascii="Times New Roman" w:hAnsi="Times New Roman" w:cs="Times New Roman"/>
          <w:color w:val="000000" w:themeColor="text1"/>
          <w:sz w:val="24"/>
          <w:szCs w:val="24"/>
          <w:shd w:val="clear" w:color="auto" w:fill="FFFFFF"/>
          <w:lang w:val="en-US"/>
        </w:rPr>
        <w:t>Onrust</w:t>
      </w:r>
      <w:proofErr w:type="spellEnd"/>
      <w:r w:rsidRPr="00685560">
        <w:rPr>
          <w:rFonts w:ascii="Times New Roman" w:hAnsi="Times New Roman" w:cs="Times New Roman"/>
          <w:color w:val="000000" w:themeColor="text1"/>
          <w:sz w:val="24"/>
          <w:szCs w:val="24"/>
          <w:shd w:val="clear" w:color="auto" w:fill="FFFFFF"/>
          <w:lang w:val="en-US"/>
        </w:rPr>
        <w:t xml:space="preserve">, S., </w:t>
      </w:r>
      <w:proofErr w:type="spellStart"/>
      <w:r w:rsidRPr="00685560">
        <w:rPr>
          <w:rFonts w:ascii="Times New Roman" w:hAnsi="Times New Roman" w:cs="Times New Roman"/>
          <w:color w:val="000000" w:themeColor="text1"/>
          <w:sz w:val="24"/>
          <w:szCs w:val="24"/>
          <w:shd w:val="clear" w:color="auto" w:fill="FFFFFF"/>
          <w:lang w:val="en-US"/>
        </w:rPr>
        <w:t>Cuijpers</w:t>
      </w:r>
      <w:proofErr w:type="spellEnd"/>
      <w:r w:rsidRPr="00685560">
        <w:rPr>
          <w:rFonts w:ascii="Times New Roman" w:hAnsi="Times New Roman" w:cs="Times New Roman"/>
          <w:color w:val="000000" w:themeColor="text1"/>
          <w:sz w:val="24"/>
          <w:szCs w:val="24"/>
          <w:shd w:val="clear" w:color="auto" w:fill="FFFFFF"/>
          <w:lang w:val="en-US"/>
        </w:rPr>
        <w:t xml:space="preserve">, P., Smit, F., &amp; </w:t>
      </w:r>
      <w:proofErr w:type="spellStart"/>
      <w:r w:rsidRPr="00685560">
        <w:rPr>
          <w:rFonts w:ascii="Times New Roman" w:hAnsi="Times New Roman" w:cs="Times New Roman"/>
          <w:color w:val="000000" w:themeColor="text1"/>
          <w:sz w:val="24"/>
          <w:szCs w:val="24"/>
          <w:shd w:val="clear" w:color="auto" w:fill="FFFFFF"/>
          <w:lang w:val="en-US"/>
        </w:rPr>
        <w:t>Bohlmeijer</w:t>
      </w:r>
      <w:proofErr w:type="spellEnd"/>
      <w:r w:rsidRPr="00685560">
        <w:rPr>
          <w:rFonts w:ascii="Times New Roman" w:hAnsi="Times New Roman" w:cs="Times New Roman"/>
          <w:color w:val="000000" w:themeColor="text1"/>
          <w:sz w:val="24"/>
          <w:szCs w:val="24"/>
          <w:shd w:val="clear" w:color="auto" w:fill="FFFFFF"/>
          <w:lang w:val="en-US"/>
        </w:rPr>
        <w:t xml:space="preserve">, E. (2007). Predictors of psychological </w:t>
      </w:r>
    </w:p>
    <w:p w14:paraId="272E680A" w14:textId="57D234D1" w:rsidR="00CB44F6" w:rsidRPr="00685560" w:rsidRDefault="00CB44F6" w:rsidP="00685560">
      <w:pPr>
        <w:pStyle w:val="NoSpacing"/>
        <w:spacing w:line="480" w:lineRule="auto"/>
        <w:ind w:left="720"/>
        <w:rPr>
          <w:rFonts w:ascii="Times New Roman" w:hAnsi="Times New Roman" w:cs="Times New Roman"/>
          <w:color w:val="000000" w:themeColor="text1"/>
          <w:sz w:val="24"/>
          <w:szCs w:val="24"/>
          <w:shd w:val="clear" w:color="auto" w:fill="FFFFFF"/>
          <w:lang w:val="en-US"/>
        </w:rPr>
      </w:pPr>
      <w:r w:rsidRPr="00685560">
        <w:rPr>
          <w:rFonts w:ascii="Times New Roman" w:hAnsi="Times New Roman" w:cs="Times New Roman"/>
          <w:color w:val="000000" w:themeColor="text1"/>
          <w:sz w:val="24"/>
          <w:szCs w:val="24"/>
          <w:shd w:val="clear" w:color="auto" w:fill="FFFFFF"/>
          <w:lang w:val="en-US"/>
        </w:rPr>
        <w:t>adjustment after bereavement. </w:t>
      </w:r>
      <w:r w:rsidRPr="00685560">
        <w:rPr>
          <w:rFonts w:ascii="Times New Roman" w:hAnsi="Times New Roman" w:cs="Times New Roman"/>
          <w:i/>
          <w:iCs/>
          <w:color w:val="000000" w:themeColor="text1"/>
          <w:sz w:val="24"/>
          <w:szCs w:val="24"/>
          <w:lang w:val="en-US"/>
        </w:rPr>
        <w:t>International psychogeriatrics</w:t>
      </w:r>
      <w:r w:rsidRPr="00685560">
        <w:rPr>
          <w:rFonts w:ascii="Times New Roman" w:hAnsi="Times New Roman" w:cs="Times New Roman"/>
          <w:color w:val="000000" w:themeColor="text1"/>
          <w:sz w:val="24"/>
          <w:szCs w:val="24"/>
          <w:shd w:val="clear" w:color="auto" w:fill="FFFFFF"/>
          <w:lang w:val="en-US"/>
        </w:rPr>
        <w:t>, </w:t>
      </w:r>
      <w:r w:rsidRPr="00685560">
        <w:rPr>
          <w:rFonts w:ascii="Times New Roman" w:hAnsi="Times New Roman" w:cs="Times New Roman"/>
          <w:i/>
          <w:iCs/>
          <w:color w:val="000000" w:themeColor="text1"/>
          <w:sz w:val="24"/>
          <w:szCs w:val="24"/>
          <w:lang w:val="en-US"/>
        </w:rPr>
        <w:t>19</w:t>
      </w:r>
      <w:r w:rsidRPr="00685560">
        <w:rPr>
          <w:rFonts w:ascii="Times New Roman" w:hAnsi="Times New Roman" w:cs="Times New Roman"/>
          <w:color w:val="000000" w:themeColor="text1"/>
          <w:sz w:val="24"/>
          <w:szCs w:val="24"/>
          <w:shd w:val="clear" w:color="auto" w:fill="FFFFFF"/>
          <w:lang w:val="en-US"/>
        </w:rPr>
        <w:t>(5), 921. https://doi.org/10.1017/S1041610206004248</w:t>
      </w:r>
    </w:p>
    <w:p w14:paraId="000000A5" w14:textId="5F60FF48" w:rsidR="00042C0F" w:rsidRPr="00685560" w:rsidRDefault="00165BB5" w:rsidP="00685560">
      <w:pPr>
        <w:spacing w:line="480" w:lineRule="auto"/>
        <w:rPr>
          <w:color w:val="000000" w:themeColor="text1"/>
          <w:lang w:val="en-US"/>
        </w:rPr>
      </w:pPr>
      <w:r w:rsidRPr="00685560">
        <w:rPr>
          <w:color w:val="000000" w:themeColor="text1"/>
          <w:lang w:val="en-US"/>
        </w:rPr>
        <w:t xml:space="preserve">Parker, G., McCraw, S., &amp; Paterson, A. (2015). Clinical features distinguishing grief from </w:t>
      </w:r>
    </w:p>
    <w:p w14:paraId="000000A6" w14:textId="77777777" w:rsidR="00042C0F" w:rsidRPr="00685560" w:rsidRDefault="00165BB5" w:rsidP="00685560">
      <w:pPr>
        <w:spacing w:line="480" w:lineRule="auto"/>
        <w:ind w:left="720"/>
        <w:rPr>
          <w:color w:val="000000" w:themeColor="text1"/>
          <w:lang w:val="en-US"/>
        </w:rPr>
      </w:pPr>
      <w:r w:rsidRPr="00685560">
        <w:rPr>
          <w:color w:val="000000" w:themeColor="text1"/>
          <w:lang w:val="en-US"/>
        </w:rPr>
        <w:t xml:space="preserve">depressive episodes: A qualitative analysis. </w:t>
      </w:r>
      <w:r w:rsidRPr="00685560">
        <w:rPr>
          <w:i/>
          <w:color w:val="000000" w:themeColor="text1"/>
          <w:lang w:val="en-US"/>
        </w:rPr>
        <w:t xml:space="preserve">Journal of Affective Disorders, </w:t>
      </w:r>
      <w:r w:rsidRPr="00685560">
        <w:rPr>
          <w:iCs/>
          <w:color w:val="000000" w:themeColor="text1"/>
          <w:lang w:val="en-US"/>
        </w:rPr>
        <w:t>176</w:t>
      </w:r>
      <w:r w:rsidRPr="00685560">
        <w:rPr>
          <w:color w:val="000000" w:themeColor="text1"/>
          <w:lang w:val="en-US"/>
        </w:rPr>
        <w:t xml:space="preserve">, 43-47. </w:t>
      </w:r>
      <w:hyperlink r:id="rId15">
        <w:r w:rsidRPr="00685560">
          <w:rPr>
            <w:color w:val="000000" w:themeColor="text1"/>
            <w:lang w:val="en-US"/>
          </w:rPr>
          <w:t>https://doi.org/10.1016/j.jad.2015.01.063</w:t>
        </w:r>
      </w:hyperlink>
    </w:p>
    <w:p w14:paraId="000000A7" w14:textId="0E48FFCB" w:rsidR="00042C0F" w:rsidRPr="00685560" w:rsidRDefault="00165BB5" w:rsidP="00685560">
      <w:pPr>
        <w:spacing w:line="480" w:lineRule="auto"/>
        <w:rPr>
          <w:color w:val="000000" w:themeColor="text1"/>
          <w:lang w:val="en-US"/>
        </w:rPr>
      </w:pPr>
      <w:r w:rsidRPr="00685560">
        <w:rPr>
          <w:color w:val="000000" w:themeColor="text1"/>
          <w:lang w:val="en-US"/>
        </w:rPr>
        <w:t xml:space="preserve">Pies, R. (2014). The Bereavement Exclusion and DSM-5: An Update and Commentary. </w:t>
      </w:r>
    </w:p>
    <w:p w14:paraId="5B443D46" w14:textId="075CCD9F" w:rsidR="00CB44F6" w:rsidRPr="00685560" w:rsidRDefault="00165BB5" w:rsidP="00685560">
      <w:pPr>
        <w:spacing w:line="480" w:lineRule="auto"/>
        <w:ind w:firstLine="720"/>
        <w:rPr>
          <w:color w:val="000000" w:themeColor="text1"/>
          <w:lang w:val="en-US"/>
        </w:rPr>
      </w:pPr>
      <w:r w:rsidRPr="00685560">
        <w:rPr>
          <w:i/>
          <w:color w:val="000000" w:themeColor="text1"/>
          <w:lang w:val="en-US"/>
        </w:rPr>
        <w:t>Innovations in Clinical Neuroscience, 11</w:t>
      </w:r>
      <w:r w:rsidRPr="00685560">
        <w:rPr>
          <w:color w:val="000000" w:themeColor="text1"/>
          <w:lang w:val="en-US"/>
        </w:rPr>
        <w:t>(7-8), 19.</w:t>
      </w:r>
    </w:p>
    <w:p w14:paraId="000000A9" w14:textId="77777777" w:rsidR="00042C0F" w:rsidRPr="00685560" w:rsidRDefault="00165BB5" w:rsidP="00685560">
      <w:pPr>
        <w:spacing w:line="480" w:lineRule="auto"/>
        <w:rPr>
          <w:color w:val="000000" w:themeColor="text1"/>
          <w:lang w:val="en-US"/>
        </w:rPr>
      </w:pPr>
      <w:proofErr w:type="spellStart"/>
      <w:r w:rsidRPr="00685560">
        <w:rPr>
          <w:color w:val="000000" w:themeColor="text1"/>
          <w:lang w:val="en-US"/>
        </w:rPr>
        <w:t>Prigerson</w:t>
      </w:r>
      <w:proofErr w:type="spellEnd"/>
      <w:r w:rsidRPr="00685560">
        <w:rPr>
          <w:color w:val="000000" w:themeColor="text1"/>
          <w:lang w:val="en-US"/>
        </w:rPr>
        <w:t xml:space="preserve">, H. G., Horowitz, M. J., Jacobs, S. C., Parkes, C. M., Aslan, M., </w:t>
      </w:r>
      <w:proofErr w:type="spellStart"/>
      <w:r w:rsidRPr="00685560">
        <w:rPr>
          <w:color w:val="000000" w:themeColor="text1"/>
          <w:lang w:val="en-US"/>
        </w:rPr>
        <w:t>Goodkin</w:t>
      </w:r>
      <w:proofErr w:type="spellEnd"/>
      <w:r w:rsidRPr="00685560">
        <w:rPr>
          <w:color w:val="000000" w:themeColor="text1"/>
          <w:lang w:val="en-US"/>
        </w:rPr>
        <w:t xml:space="preserve">, K., </w:t>
      </w:r>
    </w:p>
    <w:p w14:paraId="000000AA" w14:textId="77777777" w:rsidR="00042C0F" w:rsidRPr="00685560" w:rsidRDefault="00165BB5" w:rsidP="00685560">
      <w:pPr>
        <w:spacing w:line="480" w:lineRule="auto"/>
        <w:ind w:left="720"/>
        <w:rPr>
          <w:color w:val="000000" w:themeColor="text1"/>
          <w:lang w:val="en-US"/>
        </w:rPr>
      </w:pPr>
      <w:r w:rsidRPr="00685560">
        <w:rPr>
          <w:color w:val="000000" w:themeColor="text1"/>
          <w:lang w:val="en-US"/>
        </w:rPr>
        <w:t xml:space="preserve">Raphael, B., </w:t>
      </w:r>
      <w:proofErr w:type="spellStart"/>
      <w:r w:rsidRPr="00685560">
        <w:rPr>
          <w:color w:val="000000" w:themeColor="text1"/>
          <w:lang w:val="en-US"/>
        </w:rPr>
        <w:t>Marwit</w:t>
      </w:r>
      <w:proofErr w:type="spellEnd"/>
      <w:r w:rsidRPr="00685560">
        <w:rPr>
          <w:color w:val="000000" w:themeColor="text1"/>
          <w:lang w:val="en-US"/>
        </w:rPr>
        <w:t xml:space="preserve">, S.J., Wortman, C., </w:t>
      </w:r>
      <w:proofErr w:type="spellStart"/>
      <w:r w:rsidRPr="00685560">
        <w:rPr>
          <w:color w:val="000000" w:themeColor="text1"/>
          <w:lang w:val="en-US"/>
        </w:rPr>
        <w:t>Neimeyer</w:t>
      </w:r>
      <w:proofErr w:type="spellEnd"/>
      <w:r w:rsidRPr="00685560">
        <w:rPr>
          <w:color w:val="000000" w:themeColor="text1"/>
          <w:lang w:val="en-US"/>
        </w:rPr>
        <w:t xml:space="preserve">, R., </w:t>
      </w:r>
      <w:proofErr w:type="spellStart"/>
      <w:r w:rsidRPr="00685560">
        <w:rPr>
          <w:color w:val="000000" w:themeColor="text1"/>
          <w:lang w:val="en-US"/>
        </w:rPr>
        <w:t>Bonanno</w:t>
      </w:r>
      <w:proofErr w:type="spellEnd"/>
      <w:r w:rsidRPr="00685560">
        <w:rPr>
          <w:color w:val="000000" w:themeColor="text1"/>
          <w:lang w:val="en-US"/>
        </w:rPr>
        <w:t xml:space="preserve">, G., Block, S.D., Kissane, D., Boelen, P., </w:t>
      </w:r>
      <w:proofErr w:type="spellStart"/>
      <w:r w:rsidRPr="00685560">
        <w:rPr>
          <w:color w:val="000000" w:themeColor="text1"/>
          <w:lang w:val="en-US"/>
        </w:rPr>
        <w:t>Maercker</w:t>
      </w:r>
      <w:proofErr w:type="spellEnd"/>
      <w:r w:rsidRPr="00685560">
        <w:rPr>
          <w:color w:val="000000" w:themeColor="text1"/>
          <w:lang w:val="en-US"/>
        </w:rPr>
        <w:t xml:space="preserve">, A., </w:t>
      </w:r>
      <w:proofErr w:type="spellStart"/>
      <w:r w:rsidRPr="00685560">
        <w:rPr>
          <w:color w:val="000000" w:themeColor="text1"/>
          <w:lang w:val="en-US"/>
        </w:rPr>
        <w:t>Litz</w:t>
      </w:r>
      <w:proofErr w:type="spellEnd"/>
      <w:r w:rsidRPr="00685560">
        <w:rPr>
          <w:color w:val="000000" w:themeColor="text1"/>
          <w:lang w:val="en-US"/>
        </w:rPr>
        <w:t xml:space="preserve">, B.T., Johnson, J.G., First, M.B., &amp; </w:t>
      </w:r>
      <w:proofErr w:type="spellStart"/>
      <w:r w:rsidRPr="00685560">
        <w:rPr>
          <w:color w:val="000000" w:themeColor="text1"/>
          <w:lang w:val="en-US"/>
        </w:rPr>
        <w:t>Maciejewski</w:t>
      </w:r>
      <w:proofErr w:type="spellEnd"/>
      <w:r w:rsidRPr="00685560">
        <w:rPr>
          <w:color w:val="000000" w:themeColor="text1"/>
          <w:lang w:val="en-US"/>
        </w:rPr>
        <w:t xml:space="preserve">, P. K. (2009). Prolonged Grief Disorder: Psychometric Validation of Criteria Proposed for DSM-V and ICD-11. </w:t>
      </w:r>
      <w:r w:rsidRPr="00685560">
        <w:rPr>
          <w:i/>
          <w:color w:val="000000" w:themeColor="text1"/>
          <w:lang w:val="en-US"/>
        </w:rPr>
        <w:t>PLOS Medicine 6</w:t>
      </w:r>
      <w:r w:rsidRPr="00685560">
        <w:rPr>
          <w:color w:val="000000" w:themeColor="text1"/>
          <w:lang w:val="en-US"/>
        </w:rPr>
        <w:t>(8). https://doi.org/10.1371/journal.pmed.1000121</w:t>
      </w:r>
    </w:p>
    <w:p w14:paraId="000000AB" w14:textId="77777777" w:rsidR="00042C0F" w:rsidRPr="00685560" w:rsidRDefault="00165BB5" w:rsidP="00685560">
      <w:pPr>
        <w:spacing w:line="480" w:lineRule="auto"/>
        <w:rPr>
          <w:color w:val="000000" w:themeColor="text1"/>
          <w:lang w:val="en-US"/>
        </w:rPr>
      </w:pPr>
      <w:r w:rsidRPr="00685560">
        <w:rPr>
          <w:color w:val="000000" w:themeColor="text1"/>
          <w:lang w:val="en-US"/>
        </w:rPr>
        <w:t xml:space="preserve">Shear, M. K. (2012). Grief and mourning gone awry: pathway and course of complicated </w:t>
      </w:r>
    </w:p>
    <w:p w14:paraId="000000AC" w14:textId="77777777" w:rsidR="00042C0F" w:rsidRPr="00685560" w:rsidRDefault="00165BB5" w:rsidP="00685560">
      <w:pPr>
        <w:spacing w:line="480" w:lineRule="auto"/>
        <w:ind w:left="720"/>
        <w:rPr>
          <w:color w:val="000000" w:themeColor="text1"/>
          <w:lang w:val="en-US"/>
        </w:rPr>
      </w:pPr>
      <w:r w:rsidRPr="00685560">
        <w:rPr>
          <w:color w:val="000000" w:themeColor="text1"/>
          <w:lang w:val="en-US"/>
        </w:rPr>
        <w:lastRenderedPageBreak/>
        <w:t xml:space="preserve">grief. </w:t>
      </w:r>
      <w:r w:rsidRPr="00685560">
        <w:rPr>
          <w:i/>
          <w:color w:val="000000" w:themeColor="text1"/>
          <w:lang w:val="en-US"/>
        </w:rPr>
        <w:t>Dialogues in Clinical Neuroscience, 14</w:t>
      </w:r>
      <w:r w:rsidRPr="00685560">
        <w:rPr>
          <w:color w:val="000000" w:themeColor="text1"/>
          <w:lang w:val="en-US"/>
        </w:rPr>
        <w:t>(2), 119-128. 10.31887/DCNS.2012.14.2/</w:t>
      </w:r>
      <w:proofErr w:type="spellStart"/>
      <w:r w:rsidRPr="00685560">
        <w:rPr>
          <w:color w:val="000000" w:themeColor="text1"/>
          <w:lang w:val="en-US"/>
        </w:rPr>
        <w:t>mshear</w:t>
      </w:r>
      <w:proofErr w:type="spellEnd"/>
    </w:p>
    <w:p w14:paraId="18A0F130" w14:textId="77777777" w:rsidR="0011354E" w:rsidRPr="00685560" w:rsidRDefault="0011354E" w:rsidP="00685560">
      <w:pPr>
        <w:pStyle w:val="NoSpacing"/>
        <w:spacing w:line="480" w:lineRule="auto"/>
        <w:rPr>
          <w:rFonts w:ascii="Times New Roman" w:hAnsi="Times New Roman" w:cs="Times New Roman"/>
          <w:color w:val="000000" w:themeColor="text1"/>
          <w:sz w:val="24"/>
          <w:szCs w:val="24"/>
          <w:shd w:val="clear" w:color="auto" w:fill="FFFFFF"/>
          <w:lang w:val="en-US"/>
        </w:rPr>
      </w:pPr>
      <w:r w:rsidRPr="00685560">
        <w:rPr>
          <w:rFonts w:ascii="Times New Roman" w:hAnsi="Times New Roman" w:cs="Times New Roman"/>
          <w:color w:val="000000" w:themeColor="text1"/>
          <w:sz w:val="24"/>
          <w:szCs w:val="24"/>
          <w:shd w:val="clear" w:color="auto" w:fill="FFFFFF"/>
          <w:lang w:val="en-US"/>
        </w:rPr>
        <w:t xml:space="preserve">Shear, K., Frank, E., Houck, P. R., &amp; Reynolds, C. F. (2005). Treatment of complicated grief: </w:t>
      </w:r>
    </w:p>
    <w:p w14:paraId="56E88EF0" w14:textId="77777777" w:rsidR="0011354E" w:rsidRPr="00685560" w:rsidRDefault="0011354E" w:rsidP="00685560">
      <w:pPr>
        <w:pStyle w:val="NoSpacing"/>
        <w:spacing w:line="480" w:lineRule="auto"/>
        <w:ind w:firstLine="708"/>
        <w:rPr>
          <w:rFonts w:ascii="Times New Roman" w:hAnsi="Times New Roman" w:cs="Times New Roman"/>
          <w:color w:val="000000" w:themeColor="text1"/>
          <w:sz w:val="24"/>
          <w:szCs w:val="24"/>
          <w:shd w:val="clear" w:color="auto" w:fill="FFFFFF"/>
          <w:lang w:val="en-US"/>
        </w:rPr>
      </w:pPr>
      <w:r w:rsidRPr="00685560">
        <w:rPr>
          <w:rFonts w:ascii="Times New Roman" w:hAnsi="Times New Roman" w:cs="Times New Roman"/>
          <w:color w:val="000000" w:themeColor="text1"/>
          <w:sz w:val="24"/>
          <w:szCs w:val="24"/>
          <w:shd w:val="clear" w:color="auto" w:fill="FFFFFF"/>
          <w:lang w:val="en-US"/>
        </w:rPr>
        <w:t xml:space="preserve">a randomized controlled trial. </w:t>
      </w:r>
      <w:r w:rsidRPr="00685560">
        <w:rPr>
          <w:rFonts w:ascii="Times New Roman" w:hAnsi="Times New Roman" w:cs="Times New Roman"/>
          <w:i/>
          <w:iCs/>
          <w:color w:val="000000" w:themeColor="text1"/>
          <w:sz w:val="24"/>
          <w:szCs w:val="24"/>
          <w:lang w:val="en-US"/>
        </w:rPr>
        <w:t>Jama</w:t>
      </w:r>
      <w:r w:rsidRPr="00685560">
        <w:rPr>
          <w:rFonts w:ascii="Times New Roman" w:hAnsi="Times New Roman" w:cs="Times New Roman"/>
          <w:color w:val="000000" w:themeColor="text1"/>
          <w:sz w:val="24"/>
          <w:szCs w:val="24"/>
          <w:shd w:val="clear" w:color="auto" w:fill="FFFFFF"/>
          <w:lang w:val="en-US"/>
        </w:rPr>
        <w:t xml:space="preserve">, </w:t>
      </w:r>
      <w:r w:rsidRPr="00685560">
        <w:rPr>
          <w:rFonts w:ascii="Times New Roman" w:hAnsi="Times New Roman" w:cs="Times New Roman"/>
          <w:i/>
          <w:iCs/>
          <w:color w:val="000000" w:themeColor="text1"/>
          <w:sz w:val="24"/>
          <w:szCs w:val="24"/>
          <w:lang w:val="en-US"/>
        </w:rPr>
        <w:t>293</w:t>
      </w:r>
      <w:r w:rsidRPr="00685560">
        <w:rPr>
          <w:rFonts w:ascii="Times New Roman" w:hAnsi="Times New Roman" w:cs="Times New Roman"/>
          <w:color w:val="000000" w:themeColor="text1"/>
          <w:sz w:val="24"/>
          <w:szCs w:val="24"/>
          <w:shd w:val="clear" w:color="auto" w:fill="FFFFFF"/>
          <w:lang w:val="en-US"/>
        </w:rPr>
        <w:t xml:space="preserve">(21). </w:t>
      </w:r>
    </w:p>
    <w:p w14:paraId="1ADAF002" w14:textId="7DD45C5E" w:rsidR="0011354E" w:rsidRPr="00685560" w:rsidRDefault="0011354E" w:rsidP="00685560">
      <w:pPr>
        <w:pStyle w:val="NoSpacing"/>
        <w:spacing w:line="480" w:lineRule="auto"/>
        <w:ind w:firstLine="720"/>
        <w:rPr>
          <w:rFonts w:ascii="Times New Roman" w:hAnsi="Times New Roman" w:cs="Times New Roman"/>
          <w:color w:val="000000" w:themeColor="text1"/>
          <w:sz w:val="24"/>
          <w:szCs w:val="24"/>
          <w:shd w:val="clear" w:color="auto" w:fill="FFFFFF"/>
          <w:lang w:val="en-US"/>
        </w:rPr>
      </w:pPr>
      <w:r w:rsidRPr="00685560">
        <w:rPr>
          <w:rFonts w:ascii="Times New Roman" w:hAnsi="Times New Roman" w:cs="Times New Roman"/>
          <w:color w:val="000000" w:themeColor="text1"/>
          <w:sz w:val="24"/>
          <w:szCs w:val="24"/>
          <w:lang w:val="en-US"/>
        </w:rPr>
        <w:t>https://doi.org/10.1001/jama.293.21.2601</w:t>
      </w:r>
    </w:p>
    <w:p w14:paraId="000000AD" w14:textId="2BDB65BE" w:rsidR="00042C0F" w:rsidRPr="00685560" w:rsidRDefault="00165BB5" w:rsidP="00685560">
      <w:pPr>
        <w:spacing w:line="480" w:lineRule="auto"/>
        <w:rPr>
          <w:color w:val="000000" w:themeColor="text1"/>
          <w:lang w:val="en-US"/>
        </w:rPr>
      </w:pPr>
      <w:r w:rsidRPr="00685560">
        <w:rPr>
          <w:color w:val="000000" w:themeColor="text1"/>
          <w:lang w:val="en-US"/>
        </w:rPr>
        <w:t xml:space="preserve">Shear, M. K., </w:t>
      </w:r>
      <w:proofErr w:type="spellStart"/>
      <w:r w:rsidRPr="00685560">
        <w:rPr>
          <w:color w:val="000000" w:themeColor="text1"/>
          <w:lang w:val="en-US"/>
        </w:rPr>
        <w:t>Ghesquiere</w:t>
      </w:r>
      <w:proofErr w:type="spellEnd"/>
      <w:r w:rsidRPr="00685560">
        <w:rPr>
          <w:color w:val="000000" w:themeColor="text1"/>
          <w:lang w:val="en-US"/>
        </w:rPr>
        <w:t xml:space="preserve">, A., &amp; Glickman, K. (2013). Bereavement and Complicated Grief. </w:t>
      </w:r>
    </w:p>
    <w:p w14:paraId="000000AE" w14:textId="77777777" w:rsidR="00042C0F" w:rsidRPr="00685560" w:rsidRDefault="00165BB5" w:rsidP="00685560">
      <w:pPr>
        <w:spacing w:line="480" w:lineRule="auto"/>
        <w:ind w:firstLine="720"/>
        <w:rPr>
          <w:color w:val="000000" w:themeColor="text1"/>
          <w:lang w:val="en-US"/>
        </w:rPr>
      </w:pPr>
      <w:r w:rsidRPr="00685560">
        <w:rPr>
          <w:i/>
          <w:color w:val="000000" w:themeColor="text1"/>
          <w:lang w:val="en-US"/>
        </w:rPr>
        <w:t>Current Psychiatry Reports, 15</w:t>
      </w:r>
      <w:r w:rsidRPr="00685560">
        <w:rPr>
          <w:color w:val="000000" w:themeColor="text1"/>
          <w:lang w:val="en-US"/>
        </w:rPr>
        <w:t>(11), 406. https://doi.org/10.1007/s11920-013-0406-z.</w:t>
      </w:r>
    </w:p>
    <w:p w14:paraId="000000AF" w14:textId="77777777" w:rsidR="00042C0F" w:rsidRPr="00685560" w:rsidRDefault="00165BB5" w:rsidP="00685560">
      <w:pPr>
        <w:spacing w:line="480" w:lineRule="auto"/>
        <w:rPr>
          <w:color w:val="000000" w:themeColor="text1"/>
          <w:lang w:val="en-US"/>
        </w:rPr>
      </w:pPr>
      <w:r w:rsidRPr="00685560">
        <w:rPr>
          <w:color w:val="000000" w:themeColor="text1"/>
          <w:lang w:val="en-US"/>
        </w:rPr>
        <w:t xml:space="preserve">Shear, M. K., Simon, N., Wall, M., </w:t>
      </w:r>
      <w:proofErr w:type="spellStart"/>
      <w:r w:rsidRPr="00685560">
        <w:rPr>
          <w:color w:val="000000" w:themeColor="text1"/>
          <w:lang w:val="en-US"/>
        </w:rPr>
        <w:t>Zisook</w:t>
      </w:r>
      <w:proofErr w:type="spellEnd"/>
      <w:r w:rsidRPr="00685560">
        <w:rPr>
          <w:color w:val="000000" w:themeColor="text1"/>
          <w:lang w:val="en-US"/>
        </w:rPr>
        <w:t xml:space="preserve">, S., </w:t>
      </w:r>
      <w:proofErr w:type="spellStart"/>
      <w:r w:rsidRPr="00685560">
        <w:rPr>
          <w:color w:val="000000" w:themeColor="text1"/>
          <w:lang w:val="en-US"/>
        </w:rPr>
        <w:t>Neimeyer</w:t>
      </w:r>
      <w:proofErr w:type="spellEnd"/>
      <w:r w:rsidRPr="00685560">
        <w:rPr>
          <w:color w:val="000000" w:themeColor="text1"/>
          <w:lang w:val="en-US"/>
        </w:rPr>
        <w:t xml:space="preserve">, R., Duan, N., Reynolds, C., </w:t>
      </w:r>
    </w:p>
    <w:p w14:paraId="000000B0" w14:textId="514893E1" w:rsidR="00042C0F" w:rsidRPr="00685560" w:rsidRDefault="00165BB5" w:rsidP="00685560">
      <w:pPr>
        <w:spacing w:line="480" w:lineRule="auto"/>
        <w:ind w:left="720"/>
        <w:rPr>
          <w:color w:val="000000" w:themeColor="text1"/>
          <w:lang w:val="en-US"/>
        </w:rPr>
      </w:pPr>
      <w:proofErr w:type="spellStart"/>
      <w:r w:rsidRPr="00685560">
        <w:rPr>
          <w:color w:val="000000" w:themeColor="text1"/>
          <w:lang w:val="en-US"/>
        </w:rPr>
        <w:t>Lebowitz</w:t>
      </w:r>
      <w:proofErr w:type="spellEnd"/>
      <w:r w:rsidRPr="00685560">
        <w:rPr>
          <w:color w:val="000000" w:themeColor="text1"/>
          <w:lang w:val="en-US"/>
        </w:rPr>
        <w:t xml:space="preserve">, B., Sung, S., </w:t>
      </w:r>
      <w:proofErr w:type="spellStart"/>
      <w:r w:rsidRPr="00685560">
        <w:rPr>
          <w:color w:val="000000" w:themeColor="text1"/>
          <w:lang w:val="en-US"/>
        </w:rPr>
        <w:t>Ghesquiere</w:t>
      </w:r>
      <w:proofErr w:type="spellEnd"/>
      <w:r w:rsidRPr="00685560">
        <w:rPr>
          <w:color w:val="000000" w:themeColor="text1"/>
          <w:lang w:val="en-US"/>
        </w:rPr>
        <w:t xml:space="preserve">, M.S., </w:t>
      </w:r>
      <w:proofErr w:type="spellStart"/>
      <w:r w:rsidRPr="00685560">
        <w:rPr>
          <w:color w:val="000000" w:themeColor="text1"/>
          <w:lang w:val="en-US"/>
        </w:rPr>
        <w:t>Gorscak</w:t>
      </w:r>
      <w:proofErr w:type="spellEnd"/>
      <w:r w:rsidRPr="00685560">
        <w:rPr>
          <w:color w:val="000000" w:themeColor="text1"/>
          <w:lang w:val="en-US"/>
        </w:rPr>
        <w:t xml:space="preserve">, B., Clayton, P., Ito, M., Nakajima, S., </w:t>
      </w:r>
      <w:proofErr w:type="spellStart"/>
      <w:r w:rsidRPr="00685560">
        <w:rPr>
          <w:color w:val="000000" w:themeColor="text1"/>
          <w:lang w:val="en-US"/>
        </w:rPr>
        <w:t>Konishi</w:t>
      </w:r>
      <w:proofErr w:type="spellEnd"/>
      <w:r w:rsidRPr="00685560">
        <w:rPr>
          <w:color w:val="000000" w:themeColor="text1"/>
          <w:lang w:val="en-US"/>
        </w:rPr>
        <w:t xml:space="preserve">, T., </w:t>
      </w:r>
      <w:proofErr w:type="spellStart"/>
      <w:r w:rsidRPr="00685560">
        <w:rPr>
          <w:color w:val="000000" w:themeColor="text1"/>
          <w:lang w:val="en-US"/>
        </w:rPr>
        <w:t>Melhem</w:t>
      </w:r>
      <w:proofErr w:type="spellEnd"/>
      <w:r w:rsidRPr="00685560">
        <w:rPr>
          <w:color w:val="000000" w:themeColor="text1"/>
          <w:lang w:val="en-US"/>
        </w:rPr>
        <w:t xml:space="preserve">, N., </w:t>
      </w:r>
      <w:proofErr w:type="spellStart"/>
      <w:r w:rsidRPr="00685560">
        <w:rPr>
          <w:color w:val="000000" w:themeColor="text1"/>
          <w:lang w:val="en-US"/>
        </w:rPr>
        <w:t>Meert</w:t>
      </w:r>
      <w:proofErr w:type="spellEnd"/>
      <w:r w:rsidRPr="00685560">
        <w:rPr>
          <w:color w:val="000000" w:themeColor="text1"/>
          <w:lang w:val="en-US"/>
        </w:rPr>
        <w:t xml:space="preserve">, K., Schiff, M., O’Connor . . . &amp; </w:t>
      </w:r>
      <w:proofErr w:type="spellStart"/>
      <w:r w:rsidRPr="00685560">
        <w:rPr>
          <w:color w:val="000000" w:themeColor="text1"/>
          <w:lang w:val="en-US"/>
        </w:rPr>
        <w:t>Keshaviah</w:t>
      </w:r>
      <w:proofErr w:type="spellEnd"/>
      <w:r w:rsidRPr="00685560">
        <w:rPr>
          <w:color w:val="000000" w:themeColor="text1"/>
          <w:lang w:val="en-US"/>
        </w:rPr>
        <w:t xml:space="preserve">, A. (2011). Complicated Grief and Related Bereavement Issues for DSM‐5. </w:t>
      </w:r>
      <w:r w:rsidRPr="00685560">
        <w:rPr>
          <w:i/>
          <w:color w:val="000000" w:themeColor="text1"/>
          <w:lang w:val="en-US"/>
        </w:rPr>
        <w:t xml:space="preserve">Depression and </w:t>
      </w:r>
      <w:r w:rsidR="007B4394" w:rsidRPr="00685560">
        <w:rPr>
          <w:i/>
          <w:color w:val="000000" w:themeColor="text1"/>
          <w:lang w:val="en-US"/>
        </w:rPr>
        <w:t>A</w:t>
      </w:r>
      <w:r w:rsidRPr="00685560">
        <w:rPr>
          <w:i/>
          <w:color w:val="000000" w:themeColor="text1"/>
          <w:lang w:val="en-US"/>
        </w:rPr>
        <w:t>nxiety, 28</w:t>
      </w:r>
      <w:r w:rsidRPr="00685560">
        <w:rPr>
          <w:color w:val="000000" w:themeColor="text1"/>
          <w:lang w:val="en-US"/>
        </w:rPr>
        <w:t>(2), 103-117. https://doi.org/10.1002/da.20780</w:t>
      </w:r>
    </w:p>
    <w:p w14:paraId="000000B1" w14:textId="77777777" w:rsidR="00042C0F" w:rsidRPr="00685560" w:rsidRDefault="00165BB5" w:rsidP="00685560">
      <w:pPr>
        <w:spacing w:line="480" w:lineRule="auto"/>
        <w:rPr>
          <w:color w:val="000000" w:themeColor="text1"/>
          <w:lang w:val="en-US"/>
        </w:rPr>
      </w:pPr>
      <w:proofErr w:type="spellStart"/>
      <w:r w:rsidRPr="00685560">
        <w:rPr>
          <w:color w:val="000000" w:themeColor="text1"/>
          <w:lang w:val="en-US"/>
        </w:rPr>
        <w:t>Titov</w:t>
      </w:r>
      <w:proofErr w:type="spellEnd"/>
      <w:r w:rsidRPr="00685560">
        <w:rPr>
          <w:color w:val="000000" w:themeColor="text1"/>
          <w:lang w:val="en-US"/>
        </w:rPr>
        <w:t xml:space="preserve">, N., Dear, B. F., McMillan, D., Anderson, T., Zou, J., &amp; Sunderland, M. (2011). </w:t>
      </w:r>
    </w:p>
    <w:p w14:paraId="000000B2" w14:textId="121D0A96" w:rsidR="00042C0F" w:rsidRPr="00685560" w:rsidRDefault="00165BB5" w:rsidP="00685560">
      <w:pPr>
        <w:spacing w:line="480" w:lineRule="auto"/>
        <w:ind w:left="720"/>
        <w:rPr>
          <w:color w:val="000000" w:themeColor="text1"/>
        </w:rPr>
      </w:pPr>
      <w:r w:rsidRPr="00685560">
        <w:rPr>
          <w:color w:val="000000" w:themeColor="text1"/>
          <w:lang w:val="en-US"/>
        </w:rPr>
        <w:t xml:space="preserve">Psychometric </w:t>
      </w:r>
      <w:r w:rsidR="003F71A4" w:rsidRPr="00685560">
        <w:rPr>
          <w:color w:val="000000" w:themeColor="text1"/>
          <w:lang w:val="en-US"/>
        </w:rPr>
        <w:t>C</w:t>
      </w:r>
      <w:r w:rsidRPr="00685560">
        <w:rPr>
          <w:color w:val="000000" w:themeColor="text1"/>
          <w:lang w:val="en-US"/>
        </w:rPr>
        <w:t xml:space="preserve">omparison of the PHQ-9 and BDI-II for </w:t>
      </w:r>
      <w:r w:rsidR="003F71A4" w:rsidRPr="00685560">
        <w:rPr>
          <w:color w:val="000000" w:themeColor="text1"/>
          <w:lang w:val="en-US"/>
        </w:rPr>
        <w:t>M</w:t>
      </w:r>
      <w:r w:rsidRPr="00685560">
        <w:rPr>
          <w:color w:val="000000" w:themeColor="text1"/>
          <w:lang w:val="en-US"/>
        </w:rPr>
        <w:t xml:space="preserve">easuring </w:t>
      </w:r>
      <w:r w:rsidR="003F71A4" w:rsidRPr="00685560">
        <w:rPr>
          <w:color w:val="000000" w:themeColor="text1"/>
          <w:lang w:val="en-US"/>
        </w:rPr>
        <w:t>R</w:t>
      </w:r>
      <w:r w:rsidRPr="00685560">
        <w:rPr>
          <w:color w:val="000000" w:themeColor="text1"/>
          <w:lang w:val="en-US"/>
        </w:rPr>
        <w:t xml:space="preserve">esponse </w:t>
      </w:r>
      <w:r w:rsidR="003F71A4" w:rsidRPr="00685560">
        <w:rPr>
          <w:color w:val="000000" w:themeColor="text1"/>
          <w:lang w:val="en-US"/>
        </w:rPr>
        <w:t>D</w:t>
      </w:r>
      <w:r w:rsidRPr="00685560">
        <w:rPr>
          <w:color w:val="000000" w:themeColor="text1"/>
          <w:lang w:val="en-US"/>
        </w:rPr>
        <w:t xml:space="preserve">uring </w:t>
      </w:r>
      <w:r w:rsidR="003F71A4" w:rsidRPr="00685560">
        <w:rPr>
          <w:color w:val="000000" w:themeColor="text1"/>
          <w:lang w:val="en-US"/>
        </w:rPr>
        <w:t>Tr</w:t>
      </w:r>
      <w:r w:rsidRPr="00685560">
        <w:rPr>
          <w:color w:val="000000" w:themeColor="text1"/>
          <w:lang w:val="en-US"/>
        </w:rPr>
        <w:t xml:space="preserve">eatment of </w:t>
      </w:r>
      <w:r w:rsidR="003F71A4" w:rsidRPr="00685560">
        <w:rPr>
          <w:color w:val="000000" w:themeColor="text1"/>
          <w:lang w:val="en-US"/>
        </w:rPr>
        <w:t>D</w:t>
      </w:r>
      <w:r w:rsidRPr="00685560">
        <w:rPr>
          <w:color w:val="000000" w:themeColor="text1"/>
          <w:lang w:val="en-US"/>
        </w:rPr>
        <w:t xml:space="preserve">epression. </w:t>
      </w:r>
      <w:r w:rsidRPr="00685560">
        <w:rPr>
          <w:i/>
          <w:iCs/>
          <w:color w:val="000000" w:themeColor="text1"/>
        </w:rPr>
        <w:t>Cognitive Behaviour Therapy</w:t>
      </w:r>
      <w:r w:rsidRPr="00685560">
        <w:rPr>
          <w:color w:val="000000" w:themeColor="text1"/>
        </w:rPr>
        <w:t xml:space="preserve">, </w:t>
      </w:r>
      <w:r w:rsidRPr="00685560">
        <w:rPr>
          <w:i/>
          <w:iCs/>
          <w:color w:val="000000" w:themeColor="text1"/>
        </w:rPr>
        <w:t>40</w:t>
      </w:r>
      <w:r w:rsidRPr="00685560">
        <w:rPr>
          <w:color w:val="000000" w:themeColor="text1"/>
        </w:rPr>
        <w:t>(2), 126-136.</w:t>
      </w:r>
    </w:p>
    <w:p w14:paraId="7F2BE9BD" w14:textId="035746ED" w:rsidR="003F71A4" w:rsidRPr="00685560" w:rsidRDefault="003F71A4" w:rsidP="00685560">
      <w:pPr>
        <w:pStyle w:val="NoSpacing"/>
        <w:spacing w:line="480" w:lineRule="auto"/>
        <w:ind w:firstLine="720"/>
        <w:rPr>
          <w:rFonts w:ascii="Times New Roman" w:hAnsi="Times New Roman" w:cs="Times New Roman"/>
          <w:color w:val="000000" w:themeColor="text1"/>
          <w:sz w:val="24"/>
          <w:szCs w:val="24"/>
        </w:rPr>
      </w:pPr>
      <w:r w:rsidRPr="00685560">
        <w:rPr>
          <w:rFonts w:ascii="Times New Roman" w:hAnsi="Times New Roman" w:cs="Times New Roman"/>
          <w:color w:val="000000" w:themeColor="text1"/>
          <w:sz w:val="24"/>
          <w:szCs w:val="24"/>
        </w:rPr>
        <w:t xml:space="preserve">https://doi.org/10.1080/16506073.2010.550059 </w:t>
      </w:r>
    </w:p>
    <w:p w14:paraId="000000B3" w14:textId="77777777" w:rsidR="00042C0F" w:rsidRPr="00685560" w:rsidRDefault="00165BB5" w:rsidP="00685560">
      <w:pPr>
        <w:spacing w:line="480" w:lineRule="auto"/>
        <w:rPr>
          <w:color w:val="000000" w:themeColor="text1"/>
        </w:rPr>
      </w:pPr>
      <w:r w:rsidRPr="00685560">
        <w:rPr>
          <w:color w:val="000000" w:themeColor="text1"/>
        </w:rPr>
        <w:t xml:space="preserve">Wijngaards-de Meij, L., </w:t>
      </w:r>
      <w:proofErr w:type="spellStart"/>
      <w:r w:rsidRPr="00685560">
        <w:rPr>
          <w:color w:val="000000" w:themeColor="text1"/>
        </w:rPr>
        <w:t>Stroebe</w:t>
      </w:r>
      <w:proofErr w:type="spellEnd"/>
      <w:r w:rsidRPr="00685560">
        <w:rPr>
          <w:color w:val="000000" w:themeColor="text1"/>
        </w:rPr>
        <w:t xml:space="preserve">, M., Schut, H., </w:t>
      </w:r>
      <w:proofErr w:type="spellStart"/>
      <w:r w:rsidRPr="00685560">
        <w:rPr>
          <w:color w:val="000000" w:themeColor="text1"/>
        </w:rPr>
        <w:t>Stroebe</w:t>
      </w:r>
      <w:proofErr w:type="spellEnd"/>
      <w:r w:rsidRPr="00685560">
        <w:rPr>
          <w:color w:val="000000" w:themeColor="text1"/>
        </w:rPr>
        <w:t xml:space="preserve">, W., van den Bout, J., van der </w:t>
      </w:r>
    </w:p>
    <w:p w14:paraId="000000B4" w14:textId="2893C522" w:rsidR="00042C0F" w:rsidRPr="00685560" w:rsidRDefault="00165BB5" w:rsidP="00685560">
      <w:pPr>
        <w:spacing w:line="480" w:lineRule="auto"/>
        <w:ind w:left="720"/>
        <w:rPr>
          <w:color w:val="000000" w:themeColor="text1"/>
          <w:lang w:val="en-US"/>
        </w:rPr>
      </w:pPr>
      <w:r w:rsidRPr="00685560">
        <w:rPr>
          <w:color w:val="000000" w:themeColor="text1"/>
          <w:lang w:val="en-US"/>
        </w:rPr>
        <w:t xml:space="preserve">Heijden, P., &amp; Dijkstra, I. (2005). Couples at Risk Following the Death of Their Child: Predictors of Grief Versus Depression. </w:t>
      </w:r>
      <w:r w:rsidRPr="00685560">
        <w:rPr>
          <w:i/>
          <w:color w:val="000000" w:themeColor="text1"/>
          <w:lang w:val="en-US"/>
        </w:rPr>
        <w:t>Journal of Consulting and Clinical Psychology, 73</w:t>
      </w:r>
      <w:r w:rsidRPr="00685560">
        <w:rPr>
          <w:color w:val="000000" w:themeColor="text1"/>
          <w:lang w:val="en-US"/>
        </w:rPr>
        <w:t xml:space="preserve">(4), 617. </w:t>
      </w:r>
      <w:r w:rsidR="00E402AC" w:rsidRPr="00685560">
        <w:rPr>
          <w:color w:val="000000" w:themeColor="text1"/>
          <w:lang w:val="en-US"/>
        </w:rPr>
        <w:t>https://doi.org/10.1037/0022-006X.73.4.617</w:t>
      </w:r>
    </w:p>
    <w:p w14:paraId="13561808" w14:textId="77777777" w:rsidR="00E402AC" w:rsidRPr="00685560" w:rsidRDefault="00E402AC" w:rsidP="00685560">
      <w:pPr>
        <w:pStyle w:val="NoSpacing"/>
        <w:spacing w:line="480" w:lineRule="auto"/>
        <w:rPr>
          <w:rFonts w:ascii="Times New Roman" w:hAnsi="Times New Roman" w:cs="Times New Roman"/>
          <w:color w:val="000000" w:themeColor="text1"/>
          <w:sz w:val="24"/>
          <w:szCs w:val="24"/>
          <w:shd w:val="clear" w:color="auto" w:fill="FFFFFF"/>
          <w:lang w:val="en-US"/>
        </w:rPr>
      </w:pPr>
      <w:r w:rsidRPr="00685560">
        <w:rPr>
          <w:rFonts w:ascii="Times New Roman" w:hAnsi="Times New Roman" w:cs="Times New Roman"/>
          <w:color w:val="000000" w:themeColor="text1"/>
          <w:sz w:val="24"/>
          <w:szCs w:val="24"/>
          <w:shd w:val="clear" w:color="auto" w:fill="FFFFFF"/>
          <w:lang w:val="en-US"/>
        </w:rPr>
        <w:t xml:space="preserve">Williams, M. N., </w:t>
      </w:r>
      <w:proofErr w:type="spellStart"/>
      <w:r w:rsidRPr="00685560">
        <w:rPr>
          <w:rFonts w:ascii="Times New Roman" w:hAnsi="Times New Roman" w:cs="Times New Roman"/>
          <w:color w:val="000000" w:themeColor="text1"/>
          <w:sz w:val="24"/>
          <w:szCs w:val="24"/>
          <w:shd w:val="clear" w:color="auto" w:fill="FFFFFF"/>
          <w:lang w:val="en-US"/>
        </w:rPr>
        <w:t>Grajales</w:t>
      </w:r>
      <w:proofErr w:type="spellEnd"/>
      <w:r w:rsidRPr="00685560">
        <w:rPr>
          <w:rFonts w:ascii="Times New Roman" w:hAnsi="Times New Roman" w:cs="Times New Roman"/>
          <w:color w:val="000000" w:themeColor="text1"/>
          <w:sz w:val="24"/>
          <w:szCs w:val="24"/>
          <w:shd w:val="clear" w:color="auto" w:fill="FFFFFF"/>
          <w:lang w:val="en-US"/>
        </w:rPr>
        <w:t xml:space="preserve">, C. A. G., &amp; </w:t>
      </w:r>
      <w:proofErr w:type="spellStart"/>
      <w:r w:rsidRPr="00685560">
        <w:rPr>
          <w:rFonts w:ascii="Times New Roman" w:hAnsi="Times New Roman" w:cs="Times New Roman"/>
          <w:color w:val="000000" w:themeColor="text1"/>
          <w:sz w:val="24"/>
          <w:szCs w:val="24"/>
          <w:shd w:val="clear" w:color="auto" w:fill="FFFFFF"/>
          <w:lang w:val="en-US"/>
        </w:rPr>
        <w:t>Kurkiewicz</w:t>
      </w:r>
      <w:proofErr w:type="spellEnd"/>
      <w:r w:rsidRPr="00685560">
        <w:rPr>
          <w:rFonts w:ascii="Times New Roman" w:hAnsi="Times New Roman" w:cs="Times New Roman"/>
          <w:color w:val="000000" w:themeColor="text1"/>
          <w:sz w:val="24"/>
          <w:szCs w:val="24"/>
          <w:shd w:val="clear" w:color="auto" w:fill="FFFFFF"/>
          <w:lang w:val="en-US"/>
        </w:rPr>
        <w:t xml:space="preserve">, D. (2013). Assumptions of Multiple </w:t>
      </w:r>
    </w:p>
    <w:p w14:paraId="626B1FE2" w14:textId="4D140023" w:rsidR="00E402AC" w:rsidRPr="00685560" w:rsidRDefault="00E402AC" w:rsidP="00685560">
      <w:pPr>
        <w:pStyle w:val="NoSpacing"/>
        <w:spacing w:line="480" w:lineRule="auto"/>
        <w:ind w:left="720"/>
        <w:rPr>
          <w:rFonts w:ascii="Times New Roman" w:hAnsi="Times New Roman" w:cs="Times New Roman"/>
          <w:color w:val="000000" w:themeColor="text1"/>
          <w:sz w:val="24"/>
          <w:szCs w:val="24"/>
          <w:lang w:val="en-US"/>
        </w:rPr>
      </w:pPr>
      <w:r w:rsidRPr="00685560">
        <w:rPr>
          <w:rFonts w:ascii="Times New Roman" w:hAnsi="Times New Roman" w:cs="Times New Roman"/>
          <w:color w:val="000000" w:themeColor="text1"/>
          <w:sz w:val="24"/>
          <w:szCs w:val="24"/>
          <w:shd w:val="clear" w:color="auto" w:fill="FFFFFF"/>
          <w:lang w:val="en-US"/>
        </w:rPr>
        <w:t>Regression: Correcting Two Misconceptions. </w:t>
      </w:r>
      <w:r w:rsidRPr="00685560">
        <w:rPr>
          <w:rFonts w:ascii="Times New Roman" w:hAnsi="Times New Roman" w:cs="Times New Roman"/>
          <w:i/>
          <w:iCs/>
          <w:color w:val="000000" w:themeColor="text1"/>
          <w:sz w:val="24"/>
          <w:szCs w:val="24"/>
          <w:lang w:val="en-US"/>
        </w:rPr>
        <w:t>Practical Assessment, Research, and Evaluation</w:t>
      </w:r>
      <w:r w:rsidRPr="00685560">
        <w:rPr>
          <w:rFonts w:ascii="Times New Roman" w:hAnsi="Times New Roman" w:cs="Times New Roman"/>
          <w:color w:val="000000" w:themeColor="text1"/>
          <w:sz w:val="24"/>
          <w:szCs w:val="24"/>
          <w:shd w:val="clear" w:color="auto" w:fill="FFFFFF"/>
          <w:lang w:val="en-US"/>
        </w:rPr>
        <w:t>, </w:t>
      </w:r>
      <w:r w:rsidRPr="00685560">
        <w:rPr>
          <w:rFonts w:ascii="Times New Roman" w:hAnsi="Times New Roman" w:cs="Times New Roman"/>
          <w:i/>
          <w:iCs/>
          <w:color w:val="000000" w:themeColor="text1"/>
          <w:sz w:val="24"/>
          <w:szCs w:val="24"/>
          <w:lang w:val="en-US"/>
        </w:rPr>
        <w:t>18</w:t>
      </w:r>
      <w:r w:rsidRPr="00685560">
        <w:rPr>
          <w:rFonts w:ascii="Times New Roman" w:hAnsi="Times New Roman" w:cs="Times New Roman"/>
          <w:color w:val="000000" w:themeColor="text1"/>
          <w:sz w:val="24"/>
          <w:szCs w:val="24"/>
          <w:shd w:val="clear" w:color="auto" w:fill="FFFFFF"/>
          <w:lang w:val="en-US"/>
        </w:rPr>
        <w:t xml:space="preserve">(1). </w:t>
      </w:r>
      <w:r w:rsidRPr="00685560">
        <w:rPr>
          <w:rFonts w:ascii="Times New Roman" w:hAnsi="Times New Roman" w:cs="Times New Roman"/>
          <w:color w:val="000000" w:themeColor="text1"/>
          <w:sz w:val="24"/>
          <w:szCs w:val="24"/>
          <w:lang w:val="en-US"/>
        </w:rPr>
        <w:t>https://doi.org/10.7275/55hn-wk47</w:t>
      </w:r>
    </w:p>
    <w:p w14:paraId="000000B5" w14:textId="106F57D3" w:rsidR="00042C0F" w:rsidRPr="00685560" w:rsidRDefault="00165BB5" w:rsidP="00685560">
      <w:pPr>
        <w:spacing w:line="480" w:lineRule="auto"/>
        <w:rPr>
          <w:i/>
          <w:color w:val="000000" w:themeColor="text1"/>
          <w:lang w:val="en-US"/>
        </w:rPr>
      </w:pPr>
      <w:r w:rsidRPr="00685560">
        <w:rPr>
          <w:color w:val="000000" w:themeColor="text1"/>
          <w:lang w:val="en-US"/>
        </w:rPr>
        <w:t>World Health Organi</w:t>
      </w:r>
      <w:r w:rsidR="007D3684" w:rsidRPr="00685560">
        <w:rPr>
          <w:color w:val="000000" w:themeColor="text1"/>
          <w:lang w:val="en-US"/>
        </w:rPr>
        <w:t>z</w:t>
      </w:r>
      <w:r w:rsidRPr="00685560">
        <w:rPr>
          <w:color w:val="000000" w:themeColor="text1"/>
          <w:lang w:val="en-US"/>
        </w:rPr>
        <w:t>ation</w:t>
      </w:r>
      <w:r w:rsidR="007D3684" w:rsidRPr="00685560">
        <w:rPr>
          <w:color w:val="000000" w:themeColor="text1"/>
          <w:lang w:val="en-US"/>
        </w:rPr>
        <w:t>.</w:t>
      </w:r>
      <w:r w:rsidRPr="00685560">
        <w:rPr>
          <w:color w:val="000000" w:themeColor="text1"/>
          <w:lang w:val="en-US"/>
        </w:rPr>
        <w:t xml:space="preserve"> (2019). </w:t>
      </w:r>
      <w:r w:rsidRPr="00685560">
        <w:rPr>
          <w:i/>
          <w:color w:val="000000" w:themeColor="text1"/>
          <w:lang w:val="en-US"/>
        </w:rPr>
        <w:t xml:space="preserve">International Statistical Classification of Diseases and </w:t>
      </w:r>
    </w:p>
    <w:p w14:paraId="000000B6" w14:textId="23E85EB5" w:rsidR="00042C0F" w:rsidRPr="00685560" w:rsidRDefault="00165BB5" w:rsidP="00685560">
      <w:pPr>
        <w:spacing w:line="480" w:lineRule="auto"/>
        <w:ind w:firstLine="720"/>
        <w:rPr>
          <w:color w:val="000000" w:themeColor="text1"/>
          <w:lang w:val="en-US"/>
        </w:rPr>
      </w:pPr>
      <w:r w:rsidRPr="00685560">
        <w:rPr>
          <w:i/>
          <w:color w:val="000000" w:themeColor="text1"/>
          <w:lang w:val="en-US"/>
        </w:rPr>
        <w:t>Related Health Problems</w:t>
      </w:r>
      <w:r w:rsidRPr="00685560">
        <w:rPr>
          <w:color w:val="000000" w:themeColor="text1"/>
          <w:lang w:val="en-US"/>
        </w:rPr>
        <w:t xml:space="preserve"> (11th ed.). </w:t>
      </w:r>
    </w:p>
    <w:p w14:paraId="21C3AA45" w14:textId="77777777" w:rsidR="00A14F1E" w:rsidRPr="00685560" w:rsidRDefault="00C245B2" w:rsidP="00685560">
      <w:pPr>
        <w:spacing w:line="480" w:lineRule="auto"/>
        <w:rPr>
          <w:i/>
          <w:iCs/>
          <w:color w:val="000000" w:themeColor="text1"/>
          <w:highlight w:val="white"/>
          <w:lang w:val="en-US"/>
        </w:rPr>
      </w:pPr>
      <w:r w:rsidRPr="00685560">
        <w:rPr>
          <w:color w:val="000000" w:themeColor="text1"/>
          <w:highlight w:val="white"/>
          <w:lang w:val="en-US"/>
        </w:rPr>
        <w:lastRenderedPageBreak/>
        <w:t>World Health Organization. (2020</w:t>
      </w:r>
      <w:r w:rsidR="00D5313B" w:rsidRPr="00685560">
        <w:rPr>
          <w:color w:val="000000" w:themeColor="text1"/>
          <w:highlight w:val="white"/>
          <w:lang w:val="en-US"/>
        </w:rPr>
        <w:t>, 18 March</w:t>
      </w:r>
      <w:r w:rsidRPr="00685560">
        <w:rPr>
          <w:color w:val="000000" w:themeColor="text1"/>
          <w:highlight w:val="white"/>
          <w:lang w:val="en-US"/>
        </w:rPr>
        <w:t xml:space="preserve">). </w:t>
      </w:r>
      <w:r w:rsidRPr="00685560">
        <w:rPr>
          <w:i/>
          <w:iCs/>
          <w:color w:val="000000" w:themeColor="text1"/>
          <w:highlight w:val="white"/>
          <w:lang w:val="en-US"/>
        </w:rPr>
        <w:t xml:space="preserve">Mental health and psychosocial </w:t>
      </w:r>
    </w:p>
    <w:p w14:paraId="2485F94E" w14:textId="0CEAAB8B" w:rsidR="00C245B2" w:rsidRPr="00685560" w:rsidRDefault="00C245B2" w:rsidP="00685560">
      <w:pPr>
        <w:spacing w:line="480" w:lineRule="auto"/>
        <w:ind w:left="720"/>
        <w:rPr>
          <w:i/>
          <w:iCs/>
          <w:color w:val="000000" w:themeColor="text1"/>
          <w:highlight w:val="white"/>
          <w:lang w:val="en-US"/>
        </w:rPr>
      </w:pPr>
      <w:r w:rsidRPr="00685560">
        <w:rPr>
          <w:i/>
          <w:iCs/>
          <w:color w:val="000000" w:themeColor="text1"/>
          <w:highlight w:val="white"/>
          <w:lang w:val="en-US"/>
        </w:rPr>
        <w:t>considerations during the COVID-19 outbreak</w:t>
      </w:r>
      <w:r w:rsidR="00A14F1E" w:rsidRPr="00685560">
        <w:rPr>
          <w:color w:val="000000" w:themeColor="text1"/>
          <w:highlight w:val="white"/>
          <w:lang w:val="en-US"/>
        </w:rPr>
        <w:t xml:space="preserve">. </w:t>
      </w:r>
      <w:r w:rsidR="00A14F1E" w:rsidRPr="00685560">
        <w:rPr>
          <w:color w:val="000000" w:themeColor="text1"/>
          <w:lang w:val="en-US"/>
        </w:rPr>
        <w:t>https://apps.who.int/iris/bitstream/handle/10665/331490/WHO-2019-nCoV-MentalHealth-2020.1-eng.pdf</w:t>
      </w:r>
    </w:p>
    <w:p w14:paraId="000000B7" w14:textId="77777777" w:rsidR="00042C0F" w:rsidRPr="00685560" w:rsidRDefault="00165BB5" w:rsidP="00685560">
      <w:pPr>
        <w:spacing w:line="480" w:lineRule="auto"/>
        <w:rPr>
          <w:color w:val="000000" w:themeColor="text1"/>
          <w:lang w:val="en-US"/>
        </w:rPr>
      </w:pPr>
      <w:proofErr w:type="spellStart"/>
      <w:r w:rsidRPr="00685560">
        <w:rPr>
          <w:color w:val="000000" w:themeColor="text1"/>
          <w:lang w:val="en-US"/>
        </w:rPr>
        <w:t>Zisook</w:t>
      </w:r>
      <w:proofErr w:type="spellEnd"/>
      <w:r w:rsidRPr="00685560">
        <w:rPr>
          <w:color w:val="000000" w:themeColor="text1"/>
          <w:lang w:val="en-US"/>
        </w:rPr>
        <w:t>, S., &amp; Shear, K. (2009). Grief and bereavement: what psychiatrists need to know.</w:t>
      </w:r>
    </w:p>
    <w:p w14:paraId="3EE1982E" w14:textId="44445228" w:rsidR="00E25380" w:rsidRPr="00685560" w:rsidRDefault="00165BB5" w:rsidP="00685560">
      <w:pPr>
        <w:spacing w:line="480" w:lineRule="auto"/>
        <w:ind w:firstLine="720"/>
        <w:rPr>
          <w:color w:val="000000" w:themeColor="text1"/>
          <w:lang w:val="en-US"/>
        </w:rPr>
      </w:pPr>
      <w:r w:rsidRPr="00685560">
        <w:rPr>
          <w:i/>
          <w:color w:val="000000" w:themeColor="text1"/>
          <w:lang w:val="en-US"/>
        </w:rPr>
        <w:t>World psychiatry, 8</w:t>
      </w:r>
      <w:r w:rsidRPr="00685560">
        <w:rPr>
          <w:color w:val="000000" w:themeColor="text1"/>
          <w:lang w:val="en-US"/>
        </w:rPr>
        <w:t xml:space="preserve">(2), 67-74. </w:t>
      </w:r>
      <w:r w:rsidR="00E25380" w:rsidRPr="00685560">
        <w:rPr>
          <w:color w:val="000000" w:themeColor="text1"/>
          <w:lang w:val="en-US"/>
        </w:rPr>
        <w:t>https://doi.org/10.1002/j.2051-5545.2009.tb00217.x</w:t>
      </w:r>
    </w:p>
    <w:sectPr w:rsidR="00E25380" w:rsidRPr="00685560">
      <w:headerReference w:type="default" r:id="rId16"/>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ijk, I. van (Iris)" w:date="2021-06-30T15:13:00Z" w:initials="DIv(">
    <w:p w14:paraId="5EC570A4" w14:textId="05432E6D" w:rsidR="00E42F60" w:rsidRDefault="00E42F60">
      <w:pPr>
        <w:pStyle w:val="CommentText"/>
      </w:pPr>
      <w:r>
        <w:rPr>
          <w:rStyle w:val="CommentReference"/>
        </w:rPr>
        <w:annotationRef/>
      </w:r>
      <w:r>
        <w:t>Afkorting niet geintroduceerd</w:t>
      </w:r>
    </w:p>
  </w:comment>
  <w:comment w:id="1" w:author="Dijk, I. van (Iris)" w:date="2021-06-30T15:24:00Z" w:initials="DIv(">
    <w:p w14:paraId="7FC463E4" w14:textId="65249205" w:rsidR="00E42F60" w:rsidRDefault="00E42F60">
      <w:pPr>
        <w:pStyle w:val="CommentText"/>
      </w:pPr>
      <w:r>
        <w:rPr>
          <w:rStyle w:val="CommentReference"/>
        </w:rPr>
        <w:annotationRef/>
      </w:r>
      <w:r>
        <w:t xml:space="preserve">Hier </w:t>
      </w:r>
      <w:r>
        <w:t xml:space="preserve">wat meer uitleg over, is nog vaag 1) wat is LCA precies, meer uitleg nodig over de studies, 2) meer uitleg nodig over welke predictoren voor welke subgroepen van belang zijn </w:t>
      </w:r>
      <w:r>
        <w:sym w:font="Wingdings" w:char="F0E0"/>
      </w:r>
      <w:r>
        <w:t xml:space="preserve"> onderbouwing van hypotheses. En geef aan waarom deze studies niet al voldoende zijn voor het beantwoorden van de onderzoeksvraag </w:t>
      </w:r>
      <w:r>
        <w:sym w:font="Wingdings" w:char="F0E0"/>
      </w:r>
      <w:r>
        <w:t xml:space="preserve"> wat maakt jouw studie anders. Door het missen van de beschrijving van die LCA studies is dat lastig. Hieronder staat dat het gaat om studies na loss of a child </w:t>
      </w:r>
      <w:r>
        <w:sym w:font="Wingdings" w:char="F0E0"/>
      </w:r>
      <w:r>
        <w:t xml:space="preserve"> geldt dat ook voor de LCA studies</w:t>
      </w:r>
    </w:p>
  </w:comment>
  <w:comment w:id="2" w:author="Dijk, I. van (Iris)" w:date="2021-06-30T15:31:00Z" w:initials="DIv(">
    <w:p w14:paraId="4702BE1B" w14:textId="44C6BC6E" w:rsidR="00E42F60" w:rsidRDefault="00E42F60">
      <w:pPr>
        <w:pStyle w:val="CommentText"/>
      </w:pPr>
      <w:r>
        <w:rPr>
          <w:rStyle w:val="CommentReference"/>
        </w:rPr>
        <w:annotationRef/>
      </w:r>
      <w:r>
        <w:t xml:space="preserve">Nog </w:t>
      </w:r>
      <w:r>
        <w:t>niet uitgelegd</w:t>
      </w:r>
    </w:p>
  </w:comment>
  <w:comment w:id="3" w:author="Dijk, I. van (Iris)" w:date="2021-06-30T15:33:00Z" w:initials="DIv(">
    <w:p w14:paraId="3A274577" w14:textId="600C3B7E" w:rsidR="00E42F60" w:rsidRDefault="00E42F60">
      <w:pPr>
        <w:pStyle w:val="CommentText"/>
      </w:pPr>
      <w:r>
        <w:rPr>
          <w:rStyle w:val="CommentReference"/>
        </w:rPr>
        <w:annotationRef/>
      </w:r>
      <w:r>
        <w:t xml:space="preserve">Prima </w:t>
      </w:r>
      <w:r>
        <w:t>structuur, goede selectie van literatuur. LCA studies hadden wat beter uitgelegd kunnen worden, gezien het belang voor de hypotheses. De koppeling naar de onderzoeksvraag (what is the gap in literature) had wat sterker gekund. Het is nu vooral een opsomming van literatuur</w:t>
      </w:r>
    </w:p>
  </w:comment>
  <w:comment w:id="4" w:author="Dijk, I. van (Iris)" w:date="2021-06-30T15:38:00Z" w:initials="DIv(">
    <w:p w14:paraId="42CFB55F" w14:textId="7AD98B11" w:rsidR="00E42F60" w:rsidRDefault="00E42F60">
      <w:pPr>
        <w:pStyle w:val="CommentText"/>
      </w:pPr>
      <w:r>
        <w:rPr>
          <w:rStyle w:val="CommentReference"/>
        </w:rPr>
        <w:annotationRef/>
      </w:r>
      <w:r>
        <w:t xml:space="preserve">Geen </w:t>
      </w:r>
      <w:r>
        <w:t>uitleg over wat de studie verder inhoudt (doel etc)</w:t>
      </w:r>
    </w:p>
  </w:comment>
  <w:comment w:id="5" w:author="Dijk, I. van (Iris)" w:date="2021-06-30T15:49:00Z" w:initials="DIv(">
    <w:p w14:paraId="710E4740" w14:textId="7A85B545" w:rsidR="00E42F60" w:rsidRDefault="00E42F60">
      <w:pPr>
        <w:pStyle w:val="CommentText"/>
      </w:pPr>
      <w:r>
        <w:rPr>
          <w:rStyle w:val="CommentReference"/>
        </w:rPr>
        <w:annotationRef/>
      </w:r>
      <w:r>
        <w:t xml:space="preserve">Overall </w:t>
      </w:r>
      <w:r>
        <w:t>clear. However, when do you accept the hypothesis?</w:t>
      </w:r>
    </w:p>
  </w:comment>
  <w:comment w:id="6" w:author="Dijk, I. van (Iris)" w:date="2021-06-30T15:49:00Z" w:initials="DIv(">
    <w:p w14:paraId="429F2367" w14:textId="1DFB2B02" w:rsidR="00E42F60" w:rsidRDefault="00E42F60">
      <w:pPr>
        <w:pStyle w:val="CommentText"/>
      </w:pPr>
      <w:r>
        <w:rPr>
          <w:rStyle w:val="CommentReference"/>
        </w:rPr>
        <w:annotationRef/>
      </w:r>
      <w:r>
        <w:t xml:space="preserve">Waarom </w:t>
      </w:r>
      <w:r>
        <w:t>in note?</w:t>
      </w:r>
    </w:p>
  </w:comment>
  <w:comment w:id="7" w:author="Dijk, I. van (Iris)" w:date="2021-06-30T15:51:00Z" w:initials="DIv(">
    <w:p w14:paraId="47ADA126" w14:textId="29DA02DE" w:rsidR="00E42F60" w:rsidRDefault="00E42F60">
      <w:pPr>
        <w:pStyle w:val="CommentText"/>
      </w:pPr>
      <w:r>
        <w:rPr>
          <w:rStyle w:val="CommentReference"/>
        </w:rPr>
        <w:annotationRef/>
      </w:r>
      <w:r>
        <w:t xml:space="preserve">OK. </w:t>
      </w:r>
      <w:r>
        <w:t>Kon meer ingaan op effect sizes en verschil in effect sizes tussen depression en pathological grief</w:t>
      </w:r>
    </w:p>
  </w:comment>
  <w:comment w:id="8" w:author="Dijk, I. van (Iris)" w:date="2021-06-30T15:54:00Z" w:initials="DIv(">
    <w:p w14:paraId="2BACCE68" w14:textId="5F037F52" w:rsidR="00E42F60" w:rsidRDefault="00E42F60">
      <w:pPr>
        <w:pStyle w:val="CommentText"/>
      </w:pPr>
      <w:r>
        <w:rPr>
          <w:rStyle w:val="CommentReference"/>
        </w:rPr>
        <w:annotationRef/>
      </w:r>
      <w:r>
        <w:t xml:space="preserve">Hoe </w:t>
      </w:r>
      <w:r>
        <w:t>is dit een verklaring?</w:t>
      </w:r>
    </w:p>
  </w:comment>
  <w:comment w:id="9" w:author="Dijk, I. van (Iris)" w:date="2021-06-30T15:57:00Z" w:initials="DIv(">
    <w:p w14:paraId="1EC3F8D0" w14:textId="0D637CB3" w:rsidR="00E42F60" w:rsidRDefault="00E42F60">
      <w:pPr>
        <w:pStyle w:val="CommentText"/>
      </w:pPr>
      <w:r>
        <w:rPr>
          <w:rStyle w:val="CommentReference"/>
        </w:rPr>
        <w:annotationRef/>
      </w:r>
      <w:r>
        <w:t xml:space="preserve">? </w:t>
      </w:r>
      <w:r>
        <w:t>Andere hypothese</w:t>
      </w:r>
    </w:p>
  </w:comment>
  <w:comment w:id="10" w:author="Dijk, I. van (Iris)" w:date="2021-06-30T15:59:00Z" w:initials="DIv(">
    <w:p w14:paraId="5C5964C3" w14:textId="6DCF374A" w:rsidR="00E42F60" w:rsidRDefault="00E42F60">
      <w:pPr>
        <w:pStyle w:val="CommentText"/>
      </w:pPr>
      <w:r>
        <w:rPr>
          <w:rStyle w:val="CommentReference"/>
        </w:rPr>
        <w:annotationRef/>
      </w:r>
      <w:r>
        <w:t xml:space="preserve">Logisch </w:t>
      </w:r>
      <w:r>
        <w:t>gezien de inclusiecriteria van 6 maanden wat niet geldt voor de DSM conceptualisatie die ook in deze studie is gebruikt?</w:t>
      </w:r>
    </w:p>
  </w:comment>
  <w:comment w:id="11" w:author="Dijk, I. van (Iris)" w:date="2021-06-30T16:01:00Z" w:initials="DIv(">
    <w:p w14:paraId="714BC563" w14:textId="1F421CA8" w:rsidR="00E42F60" w:rsidRDefault="00E42F60">
      <w:pPr>
        <w:pStyle w:val="CommentText"/>
      </w:pPr>
      <w:r>
        <w:rPr>
          <w:rStyle w:val="CommentReference"/>
        </w:rPr>
        <w:annotationRef/>
      </w:r>
      <w:r>
        <w:t xml:space="preserve">For </w:t>
      </w:r>
      <w:r>
        <w:t>classification purposes</w:t>
      </w:r>
    </w:p>
  </w:comment>
  <w:comment w:id="12" w:author="Dijk, I. van (Iris)" w:date="2021-06-30T16:02:00Z" w:initials="DIv(">
    <w:p w14:paraId="4652205D" w14:textId="255DF5F9" w:rsidR="00E42F60" w:rsidRDefault="00E42F60">
      <w:pPr>
        <w:pStyle w:val="CommentText"/>
      </w:pPr>
      <w:r>
        <w:rPr>
          <w:rStyle w:val="CommentReference"/>
        </w:rPr>
        <w:annotationRef/>
      </w:r>
      <w:r>
        <w:t>?</w:t>
      </w:r>
    </w:p>
  </w:comment>
  <w:comment w:id="13" w:author="Dijk, I. van (Iris)" w:date="2021-06-30T16:04:00Z" w:initials="DIv(">
    <w:p w14:paraId="45595EB8" w14:textId="77777777" w:rsidR="00E42F60" w:rsidRDefault="00E42F60">
      <w:pPr>
        <w:pStyle w:val="CommentText"/>
      </w:pPr>
      <w:r>
        <w:rPr>
          <w:rStyle w:val="CommentReference"/>
        </w:rPr>
        <w:annotationRef/>
      </w:r>
      <w:r>
        <w:t>?</w:t>
      </w:r>
    </w:p>
    <w:p w14:paraId="0602312F" w14:textId="77777777" w:rsidR="00E42F60" w:rsidRDefault="00E42F60">
      <w:pPr>
        <w:pStyle w:val="CommentText"/>
      </w:pPr>
    </w:p>
    <w:p w14:paraId="4188F28A" w14:textId="62D7040F" w:rsidR="00E42F60" w:rsidRDefault="00E42F60">
      <w:pPr>
        <w:pStyle w:val="CommentText"/>
      </w:pPr>
      <w:r>
        <w:t>Dit roept de vraag op waarom er is gekozen voor beide classificaties niet één classificatie</w:t>
      </w:r>
    </w:p>
  </w:comment>
  <w:comment w:id="14" w:author="Dijk, I. van (Iris)" w:date="2021-06-30T16:09:00Z" w:initials="DIv(">
    <w:p w14:paraId="349CEE14" w14:textId="77777777" w:rsidR="00E42F60" w:rsidRDefault="00E42F60">
      <w:pPr>
        <w:pStyle w:val="CommentText"/>
      </w:pPr>
      <w:r>
        <w:rPr>
          <w:rStyle w:val="CommentReference"/>
        </w:rPr>
        <w:annotationRef/>
      </w:r>
      <w:r>
        <w:t xml:space="preserve">Interpretation </w:t>
      </w:r>
      <w:r>
        <w:t>of results is limited. This could be more in-depth. The argumentation is sometimes unlogical or unclear. Limitations mentioned are OK. Strengths are limited. Structure is fine.</w:t>
      </w:r>
    </w:p>
    <w:p w14:paraId="0620DA0E" w14:textId="77777777" w:rsidR="00E42F60" w:rsidRDefault="00E42F60">
      <w:pPr>
        <w:pStyle w:val="CommentText"/>
      </w:pPr>
    </w:p>
    <w:p w14:paraId="4C2A2EB4" w14:textId="1ED5EF07" w:rsidR="00E42F60" w:rsidRDefault="00E42F60">
      <w:pPr>
        <w:pStyle w:val="CommentText"/>
      </w:pPr>
      <w:r>
        <w:t xml:space="preserve">Total grade: 7 (gewoon average want in inleiding is de noodzaak tot onderzoek beperkt uitgelegd – verder had er meer in-depth analyse kunnen zijn en interpretatie van de resultaten, argumentatie is soms niet OK).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C570A4" w15:done="0"/>
  <w15:commentEx w15:paraId="7FC463E4" w15:done="0"/>
  <w15:commentEx w15:paraId="4702BE1B" w15:done="0"/>
  <w15:commentEx w15:paraId="3A274577" w15:done="0"/>
  <w15:commentEx w15:paraId="42CFB55F" w15:done="0"/>
  <w15:commentEx w15:paraId="710E4740" w15:done="0"/>
  <w15:commentEx w15:paraId="429F2367" w15:done="0"/>
  <w15:commentEx w15:paraId="47ADA126" w15:done="0"/>
  <w15:commentEx w15:paraId="2BACCE68" w15:done="0"/>
  <w15:commentEx w15:paraId="1EC3F8D0" w15:done="0"/>
  <w15:commentEx w15:paraId="5C5964C3" w15:done="0"/>
  <w15:commentEx w15:paraId="714BC563" w15:done="0"/>
  <w15:commentEx w15:paraId="4652205D" w15:done="0"/>
  <w15:commentEx w15:paraId="4188F28A" w15:done="0"/>
  <w15:commentEx w15:paraId="4C2A2E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708A5" w16cex:dateUtc="2021-06-30T13:13:00Z"/>
  <w16cex:commentExtensible w16cex:durableId="24870B3F" w16cex:dateUtc="2021-06-30T13:24:00Z"/>
  <w16cex:commentExtensible w16cex:durableId="24870CC3" w16cex:dateUtc="2021-06-30T13:31:00Z"/>
  <w16cex:commentExtensible w16cex:durableId="24870D2D" w16cex:dateUtc="2021-06-30T13:33:00Z"/>
  <w16cex:commentExtensible w16cex:durableId="24870E8B" w16cex:dateUtc="2021-06-30T13:38:00Z"/>
  <w16cex:commentExtensible w16cex:durableId="248710F1" w16cex:dateUtc="2021-06-30T13:49:00Z"/>
  <w16cex:commentExtensible w16cex:durableId="24871122" w16cex:dateUtc="2021-06-30T13:49:00Z"/>
  <w16cex:commentExtensible w16cex:durableId="24871190" w16cex:dateUtc="2021-06-30T13:51:00Z"/>
  <w16cex:commentExtensible w16cex:durableId="24871252" w16cex:dateUtc="2021-06-30T13:54:00Z"/>
  <w16cex:commentExtensible w16cex:durableId="248712DD" w16cex:dateUtc="2021-06-30T13:57:00Z"/>
  <w16cex:commentExtensible w16cex:durableId="24871375" w16cex:dateUtc="2021-06-30T13:59:00Z"/>
  <w16cex:commentExtensible w16cex:durableId="248713DB" w16cex:dateUtc="2021-06-30T14:01:00Z"/>
  <w16cex:commentExtensible w16cex:durableId="248713FA" w16cex:dateUtc="2021-06-30T14:02:00Z"/>
  <w16cex:commentExtensible w16cex:durableId="248714A2" w16cex:dateUtc="2021-06-30T14:04:00Z"/>
  <w16cex:commentExtensible w16cex:durableId="248715B3" w16cex:dateUtc="2021-06-30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C570A4" w16cid:durableId="248708A5"/>
  <w16cid:commentId w16cid:paraId="7FC463E4" w16cid:durableId="24870B3F"/>
  <w16cid:commentId w16cid:paraId="4702BE1B" w16cid:durableId="24870CC3"/>
  <w16cid:commentId w16cid:paraId="3A274577" w16cid:durableId="24870D2D"/>
  <w16cid:commentId w16cid:paraId="42CFB55F" w16cid:durableId="24870E8B"/>
  <w16cid:commentId w16cid:paraId="710E4740" w16cid:durableId="248710F1"/>
  <w16cid:commentId w16cid:paraId="429F2367" w16cid:durableId="24871122"/>
  <w16cid:commentId w16cid:paraId="47ADA126" w16cid:durableId="24871190"/>
  <w16cid:commentId w16cid:paraId="2BACCE68" w16cid:durableId="24871252"/>
  <w16cid:commentId w16cid:paraId="1EC3F8D0" w16cid:durableId="248712DD"/>
  <w16cid:commentId w16cid:paraId="5C5964C3" w16cid:durableId="24871375"/>
  <w16cid:commentId w16cid:paraId="714BC563" w16cid:durableId="248713DB"/>
  <w16cid:commentId w16cid:paraId="4652205D" w16cid:durableId="248713FA"/>
  <w16cid:commentId w16cid:paraId="4188F28A" w16cid:durableId="248714A2"/>
  <w16cid:commentId w16cid:paraId="4C2A2EB4" w16cid:durableId="248715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6E79D" w14:textId="77777777" w:rsidR="0000509F" w:rsidRDefault="0000509F">
      <w:r>
        <w:separator/>
      </w:r>
    </w:p>
  </w:endnote>
  <w:endnote w:type="continuationSeparator" w:id="0">
    <w:p w14:paraId="29E23B57" w14:textId="77777777" w:rsidR="0000509F" w:rsidRDefault="0000509F">
      <w:r>
        <w:continuationSeparator/>
      </w:r>
    </w:p>
  </w:endnote>
  <w:endnote w:type="continuationNotice" w:id="1">
    <w:p w14:paraId="35F6ED27" w14:textId="77777777" w:rsidR="0000509F" w:rsidRDefault="00005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77A52" w14:textId="77777777" w:rsidR="0000509F" w:rsidRDefault="0000509F">
      <w:r>
        <w:separator/>
      </w:r>
    </w:p>
  </w:footnote>
  <w:footnote w:type="continuationSeparator" w:id="0">
    <w:p w14:paraId="02A968C3" w14:textId="77777777" w:rsidR="0000509F" w:rsidRDefault="0000509F">
      <w:r>
        <w:continuationSeparator/>
      </w:r>
    </w:p>
  </w:footnote>
  <w:footnote w:type="continuationNotice" w:id="1">
    <w:p w14:paraId="72BC0961" w14:textId="77777777" w:rsidR="0000509F" w:rsidRDefault="000050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2" w14:textId="364F6C40" w:rsidR="00042C0F" w:rsidRDefault="00784863">
    <w:pPr>
      <w:jc w:val="right"/>
    </w:pPr>
    <w:r>
      <w:rPr>
        <w:noProof/>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7F29"/>
    <w:multiLevelType w:val="multilevel"/>
    <w:tmpl w:val="16D8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F5BEA"/>
    <w:multiLevelType w:val="multilevel"/>
    <w:tmpl w:val="BA4EE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1F0581"/>
    <w:multiLevelType w:val="multilevel"/>
    <w:tmpl w:val="D10E9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C37F17"/>
    <w:multiLevelType w:val="multilevel"/>
    <w:tmpl w:val="E4E85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2F08F5"/>
    <w:multiLevelType w:val="multilevel"/>
    <w:tmpl w:val="94D0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55757"/>
    <w:multiLevelType w:val="multilevel"/>
    <w:tmpl w:val="CCEAD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B72F64"/>
    <w:multiLevelType w:val="hybridMultilevel"/>
    <w:tmpl w:val="747E9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3E5BFF"/>
    <w:multiLevelType w:val="multilevel"/>
    <w:tmpl w:val="37DAF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A252E77"/>
    <w:multiLevelType w:val="multilevel"/>
    <w:tmpl w:val="79203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5"/>
  </w:num>
  <w:num w:numId="4">
    <w:abstractNumId w:val="7"/>
  </w:num>
  <w:num w:numId="5">
    <w:abstractNumId w:val="3"/>
  </w:num>
  <w:num w:numId="6">
    <w:abstractNumId w:val="2"/>
  </w:num>
  <w:num w:numId="7">
    <w:abstractNumId w:val="4"/>
  </w:num>
  <w:num w:numId="8">
    <w:abstractNumId w:val="6"/>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jk, I. van (Iris)">
    <w15:presenceInfo w15:providerId="None" w15:userId="Dijk, I. van (I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jI2NbY0MTYzsjBR0lEKTi0uzszPAykwrAUAEghu3iwAAAA="/>
  </w:docVars>
  <w:rsids>
    <w:rsidRoot w:val="00042C0F"/>
    <w:rsid w:val="000013E7"/>
    <w:rsid w:val="000019BE"/>
    <w:rsid w:val="0000509F"/>
    <w:rsid w:val="00010BD7"/>
    <w:rsid w:val="000115FC"/>
    <w:rsid w:val="0001357A"/>
    <w:rsid w:val="000139AB"/>
    <w:rsid w:val="00015530"/>
    <w:rsid w:val="000201E9"/>
    <w:rsid w:val="00021797"/>
    <w:rsid w:val="000232FC"/>
    <w:rsid w:val="0002575F"/>
    <w:rsid w:val="000261B5"/>
    <w:rsid w:val="00027E0F"/>
    <w:rsid w:val="00033445"/>
    <w:rsid w:val="00033D23"/>
    <w:rsid w:val="0003796D"/>
    <w:rsid w:val="0004054B"/>
    <w:rsid w:val="00042C0F"/>
    <w:rsid w:val="00042FE0"/>
    <w:rsid w:val="000439C9"/>
    <w:rsid w:val="00044455"/>
    <w:rsid w:val="0004704C"/>
    <w:rsid w:val="0004791C"/>
    <w:rsid w:val="00051CF1"/>
    <w:rsid w:val="00055A61"/>
    <w:rsid w:val="00060E13"/>
    <w:rsid w:val="00061BE4"/>
    <w:rsid w:val="000622AF"/>
    <w:rsid w:val="00062950"/>
    <w:rsid w:val="00062D01"/>
    <w:rsid w:val="0007229C"/>
    <w:rsid w:val="00073EAA"/>
    <w:rsid w:val="00080E5C"/>
    <w:rsid w:val="00082AE9"/>
    <w:rsid w:val="00083521"/>
    <w:rsid w:val="00084390"/>
    <w:rsid w:val="00085B6E"/>
    <w:rsid w:val="00086D8D"/>
    <w:rsid w:val="0009097E"/>
    <w:rsid w:val="00091EFA"/>
    <w:rsid w:val="00091F64"/>
    <w:rsid w:val="0009559C"/>
    <w:rsid w:val="00095C1C"/>
    <w:rsid w:val="00096F65"/>
    <w:rsid w:val="00097BBC"/>
    <w:rsid w:val="000A28D2"/>
    <w:rsid w:val="000A2C85"/>
    <w:rsid w:val="000A302A"/>
    <w:rsid w:val="000A5DD8"/>
    <w:rsid w:val="000B162A"/>
    <w:rsid w:val="000B1ECA"/>
    <w:rsid w:val="000B4500"/>
    <w:rsid w:val="000B60B4"/>
    <w:rsid w:val="000B65FB"/>
    <w:rsid w:val="000B76C3"/>
    <w:rsid w:val="000C170F"/>
    <w:rsid w:val="000C2887"/>
    <w:rsid w:val="000C2CAE"/>
    <w:rsid w:val="000C5B92"/>
    <w:rsid w:val="000C74ED"/>
    <w:rsid w:val="000C7541"/>
    <w:rsid w:val="000C768E"/>
    <w:rsid w:val="000D6D65"/>
    <w:rsid w:val="000E1567"/>
    <w:rsid w:val="000E2C4D"/>
    <w:rsid w:val="000E36EC"/>
    <w:rsid w:val="000E5298"/>
    <w:rsid w:val="000F05EA"/>
    <w:rsid w:val="000F2532"/>
    <w:rsid w:val="0010110E"/>
    <w:rsid w:val="00102477"/>
    <w:rsid w:val="001026B9"/>
    <w:rsid w:val="0010352B"/>
    <w:rsid w:val="00105407"/>
    <w:rsid w:val="00105A65"/>
    <w:rsid w:val="00110563"/>
    <w:rsid w:val="001109AF"/>
    <w:rsid w:val="001119B0"/>
    <w:rsid w:val="0011354E"/>
    <w:rsid w:val="001155F8"/>
    <w:rsid w:val="00116FED"/>
    <w:rsid w:val="00120E76"/>
    <w:rsid w:val="00125305"/>
    <w:rsid w:val="00126834"/>
    <w:rsid w:val="001269AB"/>
    <w:rsid w:val="0012739B"/>
    <w:rsid w:val="001279CE"/>
    <w:rsid w:val="00127B30"/>
    <w:rsid w:val="00130D06"/>
    <w:rsid w:val="001334D3"/>
    <w:rsid w:val="001376A8"/>
    <w:rsid w:val="00141DF4"/>
    <w:rsid w:val="001430F1"/>
    <w:rsid w:val="00143FB6"/>
    <w:rsid w:val="00144198"/>
    <w:rsid w:val="0014633E"/>
    <w:rsid w:val="001554A7"/>
    <w:rsid w:val="001555CD"/>
    <w:rsid w:val="0015709C"/>
    <w:rsid w:val="00165BB5"/>
    <w:rsid w:val="00167A1D"/>
    <w:rsid w:val="001703AE"/>
    <w:rsid w:val="00171AA2"/>
    <w:rsid w:val="001725FF"/>
    <w:rsid w:val="00174D14"/>
    <w:rsid w:val="00176C76"/>
    <w:rsid w:val="001807DC"/>
    <w:rsid w:val="00183036"/>
    <w:rsid w:val="00186561"/>
    <w:rsid w:val="00187E29"/>
    <w:rsid w:val="001A5A4F"/>
    <w:rsid w:val="001B059E"/>
    <w:rsid w:val="001B3F33"/>
    <w:rsid w:val="001B416C"/>
    <w:rsid w:val="001B5733"/>
    <w:rsid w:val="001B7034"/>
    <w:rsid w:val="001C3B63"/>
    <w:rsid w:val="001C68C5"/>
    <w:rsid w:val="001D2E7B"/>
    <w:rsid w:val="001D527C"/>
    <w:rsid w:val="001D6F0B"/>
    <w:rsid w:val="001E1744"/>
    <w:rsid w:val="001E3CAD"/>
    <w:rsid w:val="001E6B66"/>
    <w:rsid w:val="001E75D9"/>
    <w:rsid w:val="001F0866"/>
    <w:rsid w:val="001F2155"/>
    <w:rsid w:val="001F6066"/>
    <w:rsid w:val="0020064D"/>
    <w:rsid w:val="0020291A"/>
    <w:rsid w:val="00211592"/>
    <w:rsid w:val="00211B53"/>
    <w:rsid w:val="00222837"/>
    <w:rsid w:val="002238E6"/>
    <w:rsid w:val="0022425B"/>
    <w:rsid w:val="002306B4"/>
    <w:rsid w:val="00232FA8"/>
    <w:rsid w:val="00236CB1"/>
    <w:rsid w:val="002409F2"/>
    <w:rsid w:val="00240DDA"/>
    <w:rsid w:val="00242236"/>
    <w:rsid w:val="002448FB"/>
    <w:rsid w:val="0024616D"/>
    <w:rsid w:val="002466D4"/>
    <w:rsid w:val="002534A2"/>
    <w:rsid w:val="002574B8"/>
    <w:rsid w:val="002619C4"/>
    <w:rsid w:val="00272577"/>
    <w:rsid w:val="00275067"/>
    <w:rsid w:val="00277E88"/>
    <w:rsid w:val="002849D7"/>
    <w:rsid w:val="0029183B"/>
    <w:rsid w:val="00293A38"/>
    <w:rsid w:val="002B022B"/>
    <w:rsid w:val="002B088A"/>
    <w:rsid w:val="002B5F00"/>
    <w:rsid w:val="002B71B2"/>
    <w:rsid w:val="002B7AA0"/>
    <w:rsid w:val="002C3B82"/>
    <w:rsid w:val="002C42BE"/>
    <w:rsid w:val="002C7584"/>
    <w:rsid w:val="002D3461"/>
    <w:rsid w:val="002D78EE"/>
    <w:rsid w:val="002E18F4"/>
    <w:rsid w:val="002E4810"/>
    <w:rsid w:val="002E4869"/>
    <w:rsid w:val="002E52C0"/>
    <w:rsid w:val="002E76FC"/>
    <w:rsid w:val="002F0B5E"/>
    <w:rsid w:val="002F0DCC"/>
    <w:rsid w:val="002F1B20"/>
    <w:rsid w:val="002F316D"/>
    <w:rsid w:val="002F5157"/>
    <w:rsid w:val="002F743E"/>
    <w:rsid w:val="002F7BF3"/>
    <w:rsid w:val="00300AB5"/>
    <w:rsid w:val="00300D08"/>
    <w:rsid w:val="0030213F"/>
    <w:rsid w:val="003037DE"/>
    <w:rsid w:val="003055F5"/>
    <w:rsid w:val="003061D2"/>
    <w:rsid w:val="00311919"/>
    <w:rsid w:val="00311F79"/>
    <w:rsid w:val="0031363A"/>
    <w:rsid w:val="00314729"/>
    <w:rsid w:val="003155EB"/>
    <w:rsid w:val="00320AB2"/>
    <w:rsid w:val="003238B4"/>
    <w:rsid w:val="00324D63"/>
    <w:rsid w:val="003251BE"/>
    <w:rsid w:val="0033201E"/>
    <w:rsid w:val="00337752"/>
    <w:rsid w:val="00343CD5"/>
    <w:rsid w:val="00343D42"/>
    <w:rsid w:val="0034429B"/>
    <w:rsid w:val="00346BF5"/>
    <w:rsid w:val="00347F9C"/>
    <w:rsid w:val="0035171D"/>
    <w:rsid w:val="0035241A"/>
    <w:rsid w:val="00353C89"/>
    <w:rsid w:val="00357C19"/>
    <w:rsid w:val="003612EB"/>
    <w:rsid w:val="0036602F"/>
    <w:rsid w:val="00366393"/>
    <w:rsid w:val="00373B01"/>
    <w:rsid w:val="003756F4"/>
    <w:rsid w:val="00381722"/>
    <w:rsid w:val="003818DB"/>
    <w:rsid w:val="00383C4A"/>
    <w:rsid w:val="00384385"/>
    <w:rsid w:val="00384A56"/>
    <w:rsid w:val="0038777A"/>
    <w:rsid w:val="003913B3"/>
    <w:rsid w:val="00397F8D"/>
    <w:rsid w:val="003A08AE"/>
    <w:rsid w:val="003B00C3"/>
    <w:rsid w:val="003B2D7C"/>
    <w:rsid w:val="003B2E47"/>
    <w:rsid w:val="003B3AA2"/>
    <w:rsid w:val="003B491F"/>
    <w:rsid w:val="003C2499"/>
    <w:rsid w:val="003C34BC"/>
    <w:rsid w:val="003C7C61"/>
    <w:rsid w:val="003D1D2D"/>
    <w:rsid w:val="003D21D8"/>
    <w:rsid w:val="003D3F1C"/>
    <w:rsid w:val="003D79F3"/>
    <w:rsid w:val="003E11A3"/>
    <w:rsid w:val="003E4288"/>
    <w:rsid w:val="003E585A"/>
    <w:rsid w:val="003E5941"/>
    <w:rsid w:val="003F08B7"/>
    <w:rsid w:val="003F0C3E"/>
    <w:rsid w:val="003F1266"/>
    <w:rsid w:val="003F2351"/>
    <w:rsid w:val="003F2CD8"/>
    <w:rsid w:val="003F71A4"/>
    <w:rsid w:val="0040071E"/>
    <w:rsid w:val="00403ADA"/>
    <w:rsid w:val="00403BDA"/>
    <w:rsid w:val="00404F78"/>
    <w:rsid w:val="00405477"/>
    <w:rsid w:val="00410921"/>
    <w:rsid w:val="00411CBF"/>
    <w:rsid w:val="004126F4"/>
    <w:rsid w:val="00414401"/>
    <w:rsid w:val="00414822"/>
    <w:rsid w:val="00416AA9"/>
    <w:rsid w:val="00427142"/>
    <w:rsid w:val="00430C33"/>
    <w:rsid w:val="0043346E"/>
    <w:rsid w:val="00435479"/>
    <w:rsid w:val="00436077"/>
    <w:rsid w:val="0044269C"/>
    <w:rsid w:val="004437E8"/>
    <w:rsid w:val="00452F36"/>
    <w:rsid w:val="004532E8"/>
    <w:rsid w:val="00461BFC"/>
    <w:rsid w:val="00463296"/>
    <w:rsid w:val="00464577"/>
    <w:rsid w:val="00464839"/>
    <w:rsid w:val="00464897"/>
    <w:rsid w:val="00470A51"/>
    <w:rsid w:val="0047121E"/>
    <w:rsid w:val="004714F2"/>
    <w:rsid w:val="00471C12"/>
    <w:rsid w:val="004739B0"/>
    <w:rsid w:val="00474560"/>
    <w:rsid w:val="00492DB0"/>
    <w:rsid w:val="004949EA"/>
    <w:rsid w:val="00494A7A"/>
    <w:rsid w:val="00495C2A"/>
    <w:rsid w:val="004971BD"/>
    <w:rsid w:val="0049746A"/>
    <w:rsid w:val="004A192C"/>
    <w:rsid w:val="004A478F"/>
    <w:rsid w:val="004A4D87"/>
    <w:rsid w:val="004A672D"/>
    <w:rsid w:val="004B0107"/>
    <w:rsid w:val="004B069B"/>
    <w:rsid w:val="004B2926"/>
    <w:rsid w:val="004B4BC2"/>
    <w:rsid w:val="004C09C9"/>
    <w:rsid w:val="004C2867"/>
    <w:rsid w:val="004C4EDB"/>
    <w:rsid w:val="004C7844"/>
    <w:rsid w:val="004D104B"/>
    <w:rsid w:val="004D2F67"/>
    <w:rsid w:val="004D3224"/>
    <w:rsid w:val="004D329A"/>
    <w:rsid w:val="004D679F"/>
    <w:rsid w:val="004D6B7B"/>
    <w:rsid w:val="004E19C1"/>
    <w:rsid w:val="004E3118"/>
    <w:rsid w:val="004E4FE3"/>
    <w:rsid w:val="004E5506"/>
    <w:rsid w:val="004E608B"/>
    <w:rsid w:val="004F2381"/>
    <w:rsid w:val="004F4C84"/>
    <w:rsid w:val="00502A6C"/>
    <w:rsid w:val="00504565"/>
    <w:rsid w:val="00512E21"/>
    <w:rsid w:val="0051678E"/>
    <w:rsid w:val="005177E1"/>
    <w:rsid w:val="00517851"/>
    <w:rsid w:val="005217CF"/>
    <w:rsid w:val="005260E4"/>
    <w:rsid w:val="00526131"/>
    <w:rsid w:val="0052761B"/>
    <w:rsid w:val="0053304A"/>
    <w:rsid w:val="00535F23"/>
    <w:rsid w:val="00537B05"/>
    <w:rsid w:val="00540137"/>
    <w:rsid w:val="0054564A"/>
    <w:rsid w:val="00556D0B"/>
    <w:rsid w:val="00560997"/>
    <w:rsid w:val="00560F6C"/>
    <w:rsid w:val="00561D45"/>
    <w:rsid w:val="005700C6"/>
    <w:rsid w:val="00571558"/>
    <w:rsid w:val="0057238C"/>
    <w:rsid w:val="00576634"/>
    <w:rsid w:val="0058094E"/>
    <w:rsid w:val="00583586"/>
    <w:rsid w:val="00590505"/>
    <w:rsid w:val="005960B4"/>
    <w:rsid w:val="005A0375"/>
    <w:rsid w:val="005A0509"/>
    <w:rsid w:val="005A4B81"/>
    <w:rsid w:val="005A534C"/>
    <w:rsid w:val="005A5B7A"/>
    <w:rsid w:val="005A767F"/>
    <w:rsid w:val="005B082F"/>
    <w:rsid w:val="005C0AFE"/>
    <w:rsid w:val="005C4D28"/>
    <w:rsid w:val="005C549D"/>
    <w:rsid w:val="005C67D0"/>
    <w:rsid w:val="005C78F4"/>
    <w:rsid w:val="005D085C"/>
    <w:rsid w:val="005D2BDE"/>
    <w:rsid w:val="005D763F"/>
    <w:rsid w:val="005E2EFE"/>
    <w:rsid w:val="005E518D"/>
    <w:rsid w:val="005E5271"/>
    <w:rsid w:val="005E58E1"/>
    <w:rsid w:val="005E7A7A"/>
    <w:rsid w:val="005F2477"/>
    <w:rsid w:val="005F6D08"/>
    <w:rsid w:val="00600984"/>
    <w:rsid w:val="00607FB0"/>
    <w:rsid w:val="0061193E"/>
    <w:rsid w:val="006124A5"/>
    <w:rsid w:val="0061470A"/>
    <w:rsid w:val="00616A11"/>
    <w:rsid w:val="00620052"/>
    <w:rsid w:val="00621C35"/>
    <w:rsid w:val="006245FE"/>
    <w:rsid w:val="006257A4"/>
    <w:rsid w:val="00627500"/>
    <w:rsid w:val="0063096A"/>
    <w:rsid w:val="00630CF8"/>
    <w:rsid w:val="00635911"/>
    <w:rsid w:val="0066275D"/>
    <w:rsid w:val="00662E31"/>
    <w:rsid w:val="006675A1"/>
    <w:rsid w:val="006705C3"/>
    <w:rsid w:val="00677155"/>
    <w:rsid w:val="00680A6C"/>
    <w:rsid w:val="00681187"/>
    <w:rsid w:val="006814A1"/>
    <w:rsid w:val="00682277"/>
    <w:rsid w:val="0068233E"/>
    <w:rsid w:val="0068352D"/>
    <w:rsid w:val="00685498"/>
    <w:rsid w:val="00685560"/>
    <w:rsid w:val="00692A56"/>
    <w:rsid w:val="00692FFE"/>
    <w:rsid w:val="00695EF3"/>
    <w:rsid w:val="0069785A"/>
    <w:rsid w:val="006A31F6"/>
    <w:rsid w:val="006A3BBF"/>
    <w:rsid w:val="006A4040"/>
    <w:rsid w:val="006A6987"/>
    <w:rsid w:val="006B10E9"/>
    <w:rsid w:val="006B299C"/>
    <w:rsid w:val="006B583E"/>
    <w:rsid w:val="006C0837"/>
    <w:rsid w:val="006C1DFA"/>
    <w:rsid w:val="006C37C8"/>
    <w:rsid w:val="006C488E"/>
    <w:rsid w:val="006D0531"/>
    <w:rsid w:val="006D19C8"/>
    <w:rsid w:val="006D3FBE"/>
    <w:rsid w:val="006D750C"/>
    <w:rsid w:val="006E0923"/>
    <w:rsid w:val="006E143D"/>
    <w:rsid w:val="006E3307"/>
    <w:rsid w:val="006E4529"/>
    <w:rsid w:val="006E5CFB"/>
    <w:rsid w:val="006E5E5A"/>
    <w:rsid w:val="006E6F43"/>
    <w:rsid w:val="006E6FA8"/>
    <w:rsid w:val="006F0DC9"/>
    <w:rsid w:val="006F1C60"/>
    <w:rsid w:val="006F1FFA"/>
    <w:rsid w:val="006F3B54"/>
    <w:rsid w:val="006F5469"/>
    <w:rsid w:val="006F64C8"/>
    <w:rsid w:val="006F7A08"/>
    <w:rsid w:val="007113AA"/>
    <w:rsid w:val="00712B47"/>
    <w:rsid w:val="007135CE"/>
    <w:rsid w:val="007147E5"/>
    <w:rsid w:val="00715531"/>
    <w:rsid w:val="00716B2E"/>
    <w:rsid w:val="00716DD4"/>
    <w:rsid w:val="007208CA"/>
    <w:rsid w:val="00721A8C"/>
    <w:rsid w:val="007236C6"/>
    <w:rsid w:val="0073229C"/>
    <w:rsid w:val="00733555"/>
    <w:rsid w:val="00735B7F"/>
    <w:rsid w:val="00740BAF"/>
    <w:rsid w:val="00741C5D"/>
    <w:rsid w:val="007424A1"/>
    <w:rsid w:val="00754067"/>
    <w:rsid w:val="00755006"/>
    <w:rsid w:val="0076050A"/>
    <w:rsid w:val="007666FB"/>
    <w:rsid w:val="00770787"/>
    <w:rsid w:val="00774AEA"/>
    <w:rsid w:val="00776FC6"/>
    <w:rsid w:val="00780C5B"/>
    <w:rsid w:val="007816B9"/>
    <w:rsid w:val="00784863"/>
    <w:rsid w:val="0079104D"/>
    <w:rsid w:val="007910A0"/>
    <w:rsid w:val="0079685B"/>
    <w:rsid w:val="00797EC1"/>
    <w:rsid w:val="007A0449"/>
    <w:rsid w:val="007A29BF"/>
    <w:rsid w:val="007A3769"/>
    <w:rsid w:val="007A57CD"/>
    <w:rsid w:val="007A6236"/>
    <w:rsid w:val="007A77BD"/>
    <w:rsid w:val="007B0A4A"/>
    <w:rsid w:val="007B2A41"/>
    <w:rsid w:val="007B4394"/>
    <w:rsid w:val="007B4422"/>
    <w:rsid w:val="007B4C1B"/>
    <w:rsid w:val="007D2CAD"/>
    <w:rsid w:val="007D3684"/>
    <w:rsid w:val="007D4C20"/>
    <w:rsid w:val="007D5424"/>
    <w:rsid w:val="007E24BA"/>
    <w:rsid w:val="007E2B6B"/>
    <w:rsid w:val="007E2C77"/>
    <w:rsid w:val="007E4960"/>
    <w:rsid w:val="007E603B"/>
    <w:rsid w:val="007E7AB4"/>
    <w:rsid w:val="007F074C"/>
    <w:rsid w:val="007F6060"/>
    <w:rsid w:val="00802B2A"/>
    <w:rsid w:val="0081209C"/>
    <w:rsid w:val="00820FED"/>
    <w:rsid w:val="00822447"/>
    <w:rsid w:val="00822F4A"/>
    <w:rsid w:val="00822F50"/>
    <w:rsid w:val="00823E18"/>
    <w:rsid w:val="008311B0"/>
    <w:rsid w:val="00832B29"/>
    <w:rsid w:val="008338A4"/>
    <w:rsid w:val="00834027"/>
    <w:rsid w:val="008364CE"/>
    <w:rsid w:val="00836622"/>
    <w:rsid w:val="008379BE"/>
    <w:rsid w:val="0084779F"/>
    <w:rsid w:val="008544BE"/>
    <w:rsid w:val="00863C8B"/>
    <w:rsid w:val="00871254"/>
    <w:rsid w:val="00871F57"/>
    <w:rsid w:val="00874D27"/>
    <w:rsid w:val="00876766"/>
    <w:rsid w:val="0088020A"/>
    <w:rsid w:val="00880B37"/>
    <w:rsid w:val="008821A2"/>
    <w:rsid w:val="00885B0A"/>
    <w:rsid w:val="00890D03"/>
    <w:rsid w:val="008935D0"/>
    <w:rsid w:val="00893AC7"/>
    <w:rsid w:val="0089610D"/>
    <w:rsid w:val="00896627"/>
    <w:rsid w:val="008A2A6E"/>
    <w:rsid w:val="008A6B5C"/>
    <w:rsid w:val="008A7B40"/>
    <w:rsid w:val="008B09D5"/>
    <w:rsid w:val="008B2C8C"/>
    <w:rsid w:val="008B366B"/>
    <w:rsid w:val="008C1EAF"/>
    <w:rsid w:val="008C43F4"/>
    <w:rsid w:val="008C57EC"/>
    <w:rsid w:val="008C645E"/>
    <w:rsid w:val="008D26DE"/>
    <w:rsid w:val="008D26FF"/>
    <w:rsid w:val="008D2B77"/>
    <w:rsid w:val="008D654F"/>
    <w:rsid w:val="008D791B"/>
    <w:rsid w:val="008D7BBB"/>
    <w:rsid w:val="008E01C9"/>
    <w:rsid w:val="008E6307"/>
    <w:rsid w:val="008E6401"/>
    <w:rsid w:val="008F0F37"/>
    <w:rsid w:val="008F21A0"/>
    <w:rsid w:val="008F3C28"/>
    <w:rsid w:val="008F3F81"/>
    <w:rsid w:val="008F5C88"/>
    <w:rsid w:val="009029D2"/>
    <w:rsid w:val="00907D01"/>
    <w:rsid w:val="00911B4C"/>
    <w:rsid w:val="00912675"/>
    <w:rsid w:val="009133AF"/>
    <w:rsid w:val="00913460"/>
    <w:rsid w:val="00920129"/>
    <w:rsid w:val="00922952"/>
    <w:rsid w:val="009237B0"/>
    <w:rsid w:val="00933C47"/>
    <w:rsid w:val="00934056"/>
    <w:rsid w:val="0093788A"/>
    <w:rsid w:val="00937AB7"/>
    <w:rsid w:val="009408C5"/>
    <w:rsid w:val="00942FA8"/>
    <w:rsid w:val="00944964"/>
    <w:rsid w:val="009451BA"/>
    <w:rsid w:val="00945C52"/>
    <w:rsid w:val="00946E55"/>
    <w:rsid w:val="00946F44"/>
    <w:rsid w:val="00947FE8"/>
    <w:rsid w:val="00950C8B"/>
    <w:rsid w:val="0095289D"/>
    <w:rsid w:val="00954033"/>
    <w:rsid w:val="00954D9E"/>
    <w:rsid w:val="00954E12"/>
    <w:rsid w:val="00956117"/>
    <w:rsid w:val="0095777B"/>
    <w:rsid w:val="00963E28"/>
    <w:rsid w:val="00964EC5"/>
    <w:rsid w:val="00964EE7"/>
    <w:rsid w:val="00966B0C"/>
    <w:rsid w:val="00966E64"/>
    <w:rsid w:val="00970240"/>
    <w:rsid w:val="00972547"/>
    <w:rsid w:val="00974BA7"/>
    <w:rsid w:val="00976EBB"/>
    <w:rsid w:val="00980A60"/>
    <w:rsid w:val="009822E0"/>
    <w:rsid w:val="00982679"/>
    <w:rsid w:val="00984EB1"/>
    <w:rsid w:val="0098645D"/>
    <w:rsid w:val="00990894"/>
    <w:rsid w:val="00990DD4"/>
    <w:rsid w:val="00992811"/>
    <w:rsid w:val="00994BD7"/>
    <w:rsid w:val="00995B7F"/>
    <w:rsid w:val="00996A20"/>
    <w:rsid w:val="009A2998"/>
    <w:rsid w:val="009A4290"/>
    <w:rsid w:val="009A4AD9"/>
    <w:rsid w:val="009B173F"/>
    <w:rsid w:val="009B2AB1"/>
    <w:rsid w:val="009B5A2C"/>
    <w:rsid w:val="009B5A60"/>
    <w:rsid w:val="009B7B88"/>
    <w:rsid w:val="009C065D"/>
    <w:rsid w:val="009C49F0"/>
    <w:rsid w:val="009D14B5"/>
    <w:rsid w:val="009D17BA"/>
    <w:rsid w:val="009D5F5A"/>
    <w:rsid w:val="009E19C0"/>
    <w:rsid w:val="009E689E"/>
    <w:rsid w:val="009F3922"/>
    <w:rsid w:val="009F7EBC"/>
    <w:rsid w:val="00A0240C"/>
    <w:rsid w:val="00A03ADF"/>
    <w:rsid w:val="00A06A34"/>
    <w:rsid w:val="00A117A9"/>
    <w:rsid w:val="00A14F1E"/>
    <w:rsid w:val="00A15D61"/>
    <w:rsid w:val="00A16669"/>
    <w:rsid w:val="00A21848"/>
    <w:rsid w:val="00A21A0C"/>
    <w:rsid w:val="00A21CE0"/>
    <w:rsid w:val="00A242AD"/>
    <w:rsid w:val="00A243F4"/>
    <w:rsid w:val="00A26134"/>
    <w:rsid w:val="00A3134D"/>
    <w:rsid w:val="00A31472"/>
    <w:rsid w:val="00A36A47"/>
    <w:rsid w:val="00A36B71"/>
    <w:rsid w:val="00A42001"/>
    <w:rsid w:val="00A438BD"/>
    <w:rsid w:val="00A45185"/>
    <w:rsid w:val="00A45750"/>
    <w:rsid w:val="00A45BF1"/>
    <w:rsid w:val="00A45FFB"/>
    <w:rsid w:val="00A46215"/>
    <w:rsid w:val="00A46F98"/>
    <w:rsid w:val="00A51363"/>
    <w:rsid w:val="00A55F6E"/>
    <w:rsid w:val="00A56758"/>
    <w:rsid w:val="00A62852"/>
    <w:rsid w:val="00A6365E"/>
    <w:rsid w:val="00A65A7D"/>
    <w:rsid w:val="00A661F0"/>
    <w:rsid w:val="00A70168"/>
    <w:rsid w:val="00A71933"/>
    <w:rsid w:val="00A71947"/>
    <w:rsid w:val="00A720F4"/>
    <w:rsid w:val="00A72B0E"/>
    <w:rsid w:val="00A73B5D"/>
    <w:rsid w:val="00A76C06"/>
    <w:rsid w:val="00A800C4"/>
    <w:rsid w:val="00A807C8"/>
    <w:rsid w:val="00A82051"/>
    <w:rsid w:val="00A827C1"/>
    <w:rsid w:val="00A83171"/>
    <w:rsid w:val="00A8329F"/>
    <w:rsid w:val="00A86065"/>
    <w:rsid w:val="00A86ACB"/>
    <w:rsid w:val="00A90204"/>
    <w:rsid w:val="00A905A0"/>
    <w:rsid w:val="00A92943"/>
    <w:rsid w:val="00A93AAF"/>
    <w:rsid w:val="00A97CD7"/>
    <w:rsid w:val="00AA1051"/>
    <w:rsid w:val="00AA11A7"/>
    <w:rsid w:val="00AA28EF"/>
    <w:rsid w:val="00AA28FA"/>
    <w:rsid w:val="00AA4688"/>
    <w:rsid w:val="00AA6308"/>
    <w:rsid w:val="00AA7EC3"/>
    <w:rsid w:val="00AB6569"/>
    <w:rsid w:val="00AB7D9D"/>
    <w:rsid w:val="00AC7015"/>
    <w:rsid w:val="00AC7246"/>
    <w:rsid w:val="00AD35C9"/>
    <w:rsid w:val="00AE2486"/>
    <w:rsid w:val="00AE33E8"/>
    <w:rsid w:val="00AE50A5"/>
    <w:rsid w:val="00AE5CB3"/>
    <w:rsid w:val="00AE780D"/>
    <w:rsid w:val="00AF1D30"/>
    <w:rsid w:val="00AF291E"/>
    <w:rsid w:val="00AF375B"/>
    <w:rsid w:val="00AF507D"/>
    <w:rsid w:val="00AF5733"/>
    <w:rsid w:val="00B058D5"/>
    <w:rsid w:val="00B06F8D"/>
    <w:rsid w:val="00B111A9"/>
    <w:rsid w:val="00B14B35"/>
    <w:rsid w:val="00B15524"/>
    <w:rsid w:val="00B16A3F"/>
    <w:rsid w:val="00B17D40"/>
    <w:rsid w:val="00B22B81"/>
    <w:rsid w:val="00B2410C"/>
    <w:rsid w:val="00B24AA3"/>
    <w:rsid w:val="00B27BBD"/>
    <w:rsid w:val="00B31BC0"/>
    <w:rsid w:val="00B31EDB"/>
    <w:rsid w:val="00B32522"/>
    <w:rsid w:val="00B34B8B"/>
    <w:rsid w:val="00B36B28"/>
    <w:rsid w:val="00B41C77"/>
    <w:rsid w:val="00B424B8"/>
    <w:rsid w:val="00B43592"/>
    <w:rsid w:val="00B46971"/>
    <w:rsid w:val="00B62310"/>
    <w:rsid w:val="00B63E6C"/>
    <w:rsid w:val="00B671C0"/>
    <w:rsid w:val="00B676D3"/>
    <w:rsid w:val="00B677CA"/>
    <w:rsid w:val="00B74202"/>
    <w:rsid w:val="00B7542A"/>
    <w:rsid w:val="00B80226"/>
    <w:rsid w:val="00B81D60"/>
    <w:rsid w:val="00B81F8D"/>
    <w:rsid w:val="00B84147"/>
    <w:rsid w:val="00B8514C"/>
    <w:rsid w:val="00B864B7"/>
    <w:rsid w:val="00B87B5F"/>
    <w:rsid w:val="00B87E07"/>
    <w:rsid w:val="00B9459F"/>
    <w:rsid w:val="00B97659"/>
    <w:rsid w:val="00B97F35"/>
    <w:rsid w:val="00BA1B61"/>
    <w:rsid w:val="00BA4A63"/>
    <w:rsid w:val="00BA5CFB"/>
    <w:rsid w:val="00BA79F0"/>
    <w:rsid w:val="00BB3F12"/>
    <w:rsid w:val="00BB3FD3"/>
    <w:rsid w:val="00BB7BFF"/>
    <w:rsid w:val="00BB7E1E"/>
    <w:rsid w:val="00BC10A6"/>
    <w:rsid w:val="00BC11AC"/>
    <w:rsid w:val="00BC2809"/>
    <w:rsid w:val="00BC3937"/>
    <w:rsid w:val="00BC4CC3"/>
    <w:rsid w:val="00BC5BA5"/>
    <w:rsid w:val="00BC712D"/>
    <w:rsid w:val="00BD3AD6"/>
    <w:rsid w:val="00BD42E6"/>
    <w:rsid w:val="00BD4CDF"/>
    <w:rsid w:val="00BD735E"/>
    <w:rsid w:val="00BF19BE"/>
    <w:rsid w:val="00BF4FDE"/>
    <w:rsid w:val="00C022B1"/>
    <w:rsid w:val="00C04AC8"/>
    <w:rsid w:val="00C06984"/>
    <w:rsid w:val="00C07EF1"/>
    <w:rsid w:val="00C14A88"/>
    <w:rsid w:val="00C21199"/>
    <w:rsid w:val="00C23055"/>
    <w:rsid w:val="00C245B2"/>
    <w:rsid w:val="00C2532F"/>
    <w:rsid w:val="00C253A1"/>
    <w:rsid w:val="00C27D11"/>
    <w:rsid w:val="00C3201B"/>
    <w:rsid w:val="00C330D2"/>
    <w:rsid w:val="00C34194"/>
    <w:rsid w:val="00C3685B"/>
    <w:rsid w:val="00C36AF5"/>
    <w:rsid w:val="00C4094B"/>
    <w:rsid w:val="00C40E52"/>
    <w:rsid w:val="00C43A4E"/>
    <w:rsid w:val="00C44299"/>
    <w:rsid w:val="00C54E03"/>
    <w:rsid w:val="00C60B6D"/>
    <w:rsid w:val="00C614D8"/>
    <w:rsid w:val="00C614F9"/>
    <w:rsid w:val="00C61B67"/>
    <w:rsid w:val="00C6445E"/>
    <w:rsid w:val="00C66F65"/>
    <w:rsid w:val="00C674AD"/>
    <w:rsid w:val="00C73214"/>
    <w:rsid w:val="00C743EE"/>
    <w:rsid w:val="00C76B29"/>
    <w:rsid w:val="00C7758C"/>
    <w:rsid w:val="00C80075"/>
    <w:rsid w:val="00C81B1B"/>
    <w:rsid w:val="00C82E4D"/>
    <w:rsid w:val="00C9080A"/>
    <w:rsid w:val="00C938BA"/>
    <w:rsid w:val="00C94B13"/>
    <w:rsid w:val="00CA1ED4"/>
    <w:rsid w:val="00CA2AF4"/>
    <w:rsid w:val="00CA47B0"/>
    <w:rsid w:val="00CA533D"/>
    <w:rsid w:val="00CA5DF5"/>
    <w:rsid w:val="00CB0E96"/>
    <w:rsid w:val="00CB0F94"/>
    <w:rsid w:val="00CB1D5E"/>
    <w:rsid w:val="00CB22A7"/>
    <w:rsid w:val="00CB44F6"/>
    <w:rsid w:val="00CC3100"/>
    <w:rsid w:val="00CD3A88"/>
    <w:rsid w:val="00CD5023"/>
    <w:rsid w:val="00CE0B52"/>
    <w:rsid w:val="00CE1892"/>
    <w:rsid w:val="00CE34CC"/>
    <w:rsid w:val="00CE4435"/>
    <w:rsid w:val="00CE6BB0"/>
    <w:rsid w:val="00CE6D29"/>
    <w:rsid w:val="00CF31BB"/>
    <w:rsid w:val="00CF3C93"/>
    <w:rsid w:val="00CF3CEB"/>
    <w:rsid w:val="00CF4B67"/>
    <w:rsid w:val="00CF6553"/>
    <w:rsid w:val="00D00570"/>
    <w:rsid w:val="00D018EE"/>
    <w:rsid w:val="00D0279F"/>
    <w:rsid w:val="00D064C2"/>
    <w:rsid w:val="00D06698"/>
    <w:rsid w:val="00D14E6F"/>
    <w:rsid w:val="00D169F1"/>
    <w:rsid w:val="00D172D8"/>
    <w:rsid w:val="00D246A5"/>
    <w:rsid w:val="00D337E2"/>
    <w:rsid w:val="00D46BAA"/>
    <w:rsid w:val="00D47BD3"/>
    <w:rsid w:val="00D52158"/>
    <w:rsid w:val="00D52653"/>
    <w:rsid w:val="00D5313B"/>
    <w:rsid w:val="00D60F79"/>
    <w:rsid w:val="00D621F9"/>
    <w:rsid w:val="00D6458C"/>
    <w:rsid w:val="00D65D2E"/>
    <w:rsid w:val="00D77483"/>
    <w:rsid w:val="00D80F0F"/>
    <w:rsid w:val="00D81520"/>
    <w:rsid w:val="00D84F75"/>
    <w:rsid w:val="00D90292"/>
    <w:rsid w:val="00D915EB"/>
    <w:rsid w:val="00D91766"/>
    <w:rsid w:val="00D91ED6"/>
    <w:rsid w:val="00D92715"/>
    <w:rsid w:val="00D93F4C"/>
    <w:rsid w:val="00D9404A"/>
    <w:rsid w:val="00D97A16"/>
    <w:rsid w:val="00DA39A9"/>
    <w:rsid w:val="00DA70A0"/>
    <w:rsid w:val="00DB0607"/>
    <w:rsid w:val="00DB131A"/>
    <w:rsid w:val="00DB3266"/>
    <w:rsid w:val="00DB7CDA"/>
    <w:rsid w:val="00DC1DA5"/>
    <w:rsid w:val="00DC2838"/>
    <w:rsid w:val="00DC4D88"/>
    <w:rsid w:val="00DE139E"/>
    <w:rsid w:val="00DF026E"/>
    <w:rsid w:val="00DF3AF6"/>
    <w:rsid w:val="00DF3E35"/>
    <w:rsid w:val="00E01F35"/>
    <w:rsid w:val="00E05EEF"/>
    <w:rsid w:val="00E06195"/>
    <w:rsid w:val="00E0745E"/>
    <w:rsid w:val="00E10F1D"/>
    <w:rsid w:val="00E1325C"/>
    <w:rsid w:val="00E20D83"/>
    <w:rsid w:val="00E25380"/>
    <w:rsid w:val="00E27FC8"/>
    <w:rsid w:val="00E30C4E"/>
    <w:rsid w:val="00E33555"/>
    <w:rsid w:val="00E35BDC"/>
    <w:rsid w:val="00E367D1"/>
    <w:rsid w:val="00E402AC"/>
    <w:rsid w:val="00E42B4D"/>
    <w:rsid w:val="00E42F60"/>
    <w:rsid w:val="00E45C11"/>
    <w:rsid w:val="00E509A1"/>
    <w:rsid w:val="00E50AF8"/>
    <w:rsid w:val="00E56CF6"/>
    <w:rsid w:val="00E56D57"/>
    <w:rsid w:val="00E56EEA"/>
    <w:rsid w:val="00E60C48"/>
    <w:rsid w:val="00E70B5B"/>
    <w:rsid w:val="00E7357A"/>
    <w:rsid w:val="00E73E10"/>
    <w:rsid w:val="00E818A9"/>
    <w:rsid w:val="00E81D50"/>
    <w:rsid w:val="00E83F7F"/>
    <w:rsid w:val="00E84A1B"/>
    <w:rsid w:val="00E8624D"/>
    <w:rsid w:val="00E8631A"/>
    <w:rsid w:val="00E879B8"/>
    <w:rsid w:val="00E87C37"/>
    <w:rsid w:val="00E87ECF"/>
    <w:rsid w:val="00E9016C"/>
    <w:rsid w:val="00E90B42"/>
    <w:rsid w:val="00E91364"/>
    <w:rsid w:val="00E932B2"/>
    <w:rsid w:val="00E936C1"/>
    <w:rsid w:val="00E93777"/>
    <w:rsid w:val="00E945F1"/>
    <w:rsid w:val="00E95A78"/>
    <w:rsid w:val="00E96196"/>
    <w:rsid w:val="00E965C2"/>
    <w:rsid w:val="00E97853"/>
    <w:rsid w:val="00E97F4B"/>
    <w:rsid w:val="00EB05DB"/>
    <w:rsid w:val="00EB12BD"/>
    <w:rsid w:val="00EB38F2"/>
    <w:rsid w:val="00EC0109"/>
    <w:rsid w:val="00EC4FCD"/>
    <w:rsid w:val="00EC6006"/>
    <w:rsid w:val="00EC675E"/>
    <w:rsid w:val="00EC7396"/>
    <w:rsid w:val="00EC793A"/>
    <w:rsid w:val="00ED1903"/>
    <w:rsid w:val="00ED400D"/>
    <w:rsid w:val="00ED4A53"/>
    <w:rsid w:val="00ED5312"/>
    <w:rsid w:val="00EE1F74"/>
    <w:rsid w:val="00EE2757"/>
    <w:rsid w:val="00EE62B8"/>
    <w:rsid w:val="00EE746D"/>
    <w:rsid w:val="00EF1C78"/>
    <w:rsid w:val="00EF722B"/>
    <w:rsid w:val="00F0302F"/>
    <w:rsid w:val="00F04296"/>
    <w:rsid w:val="00F051F5"/>
    <w:rsid w:val="00F0550E"/>
    <w:rsid w:val="00F12795"/>
    <w:rsid w:val="00F20B36"/>
    <w:rsid w:val="00F22342"/>
    <w:rsid w:val="00F260B8"/>
    <w:rsid w:val="00F2738A"/>
    <w:rsid w:val="00F276DE"/>
    <w:rsid w:val="00F3021A"/>
    <w:rsid w:val="00F4204E"/>
    <w:rsid w:val="00F44893"/>
    <w:rsid w:val="00F45798"/>
    <w:rsid w:val="00F45D80"/>
    <w:rsid w:val="00F469B8"/>
    <w:rsid w:val="00F50832"/>
    <w:rsid w:val="00F54ACF"/>
    <w:rsid w:val="00F57449"/>
    <w:rsid w:val="00F57A8A"/>
    <w:rsid w:val="00F606D7"/>
    <w:rsid w:val="00F63217"/>
    <w:rsid w:val="00F64848"/>
    <w:rsid w:val="00F65FB7"/>
    <w:rsid w:val="00F672ED"/>
    <w:rsid w:val="00F702D3"/>
    <w:rsid w:val="00F73F26"/>
    <w:rsid w:val="00F8109E"/>
    <w:rsid w:val="00F81FE2"/>
    <w:rsid w:val="00F8458B"/>
    <w:rsid w:val="00F85361"/>
    <w:rsid w:val="00F85C47"/>
    <w:rsid w:val="00F90D95"/>
    <w:rsid w:val="00F936C0"/>
    <w:rsid w:val="00F94535"/>
    <w:rsid w:val="00F94D21"/>
    <w:rsid w:val="00FA4E3C"/>
    <w:rsid w:val="00FA7A6F"/>
    <w:rsid w:val="00FB4A8F"/>
    <w:rsid w:val="00FC0215"/>
    <w:rsid w:val="00FC1A42"/>
    <w:rsid w:val="00FC4549"/>
    <w:rsid w:val="00FC6D47"/>
    <w:rsid w:val="00FD1145"/>
    <w:rsid w:val="00FD1EEA"/>
    <w:rsid w:val="00FD7B5B"/>
    <w:rsid w:val="00FE2FEB"/>
    <w:rsid w:val="00FE42FB"/>
    <w:rsid w:val="00FE76B8"/>
    <w:rsid w:val="00FE7E19"/>
    <w:rsid w:val="00FE7EBA"/>
    <w:rsid w:val="00FF0AB4"/>
    <w:rsid w:val="00FF32E8"/>
    <w:rsid w:val="00FF6F3D"/>
    <w:rsid w:val="00FF7C55"/>
    <w:rsid w:val="46C2C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6EF3"/>
  <w15:docId w15:val="{A6F111A9-7A85-7849-9F2A-C197B3DF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4A7"/>
    <w:pPr>
      <w:spacing w:line="240" w:lineRule="auto"/>
    </w:pPr>
    <w:rPr>
      <w:rFonts w:ascii="Times New Roman" w:eastAsia="Times New Roman" w:hAnsi="Times New Roman" w:cs="Times New Roman"/>
      <w:sz w:val="24"/>
      <w:szCs w:val="24"/>
      <w:lang w:val="nl-NL"/>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nl"/>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nl"/>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nl"/>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nl"/>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nl"/>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rsid w:val="00061BE4"/>
    <w:rPr>
      <w:b/>
      <w:bCs/>
    </w:rPr>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nl"/>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nl"/>
    </w:rPr>
  </w:style>
  <w:style w:type="paragraph" w:styleId="CommentText">
    <w:name w:val="annotation text"/>
    <w:basedOn w:val="Normal"/>
    <w:link w:val="CommentTextChar"/>
    <w:uiPriority w:val="99"/>
    <w:unhideWhenUsed/>
    <w:rPr>
      <w:rFonts w:ascii="Arial" w:eastAsia="Arial" w:hAnsi="Arial" w:cs="Arial"/>
      <w:sz w:val="20"/>
      <w:szCs w:val="20"/>
      <w:lang w:val="nl"/>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784863"/>
    <w:pPr>
      <w:spacing w:line="240" w:lineRule="auto"/>
    </w:pPr>
    <w:rPr>
      <w:rFonts w:asciiTheme="minorHAnsi" w:eastAsiaTheme="minorHAnsi" w:hAnsiTheme="minorHAnsi" w:cstheme="minorBidi"/>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4863"/>
    <w:pPr>
      <w:spacing w:line="240" w:lineRule="auto"/>
    </w:pPr>
  </w:style>
  <w:style w:type="paragraph" w:styleId="Header">
    <w:name w:val="header"/>
    <w:basedOn w:val="Normal"/>
    <w:link w:val="HeaderChar"/>
    <w:uiPriority w:val="99"/>
    <w:semiHidden/>
    <w:unhideWhenUsed/>
    <w:rsid w:val="003F2CD8"/>
    <w:pPr>
      <w:tabs>
        <w:tab w:val="center" w:pos="4536"/>
        <w:tab w:val="right" w:pos="9072"/>
      </w:tabs>
    </w:pPr>
    <w:rPr>
      <w:rFonts w:ascii="Arial" w:eastAsia="Arial" w:hAnsi="Arial" w:cs="Arial"/>
      <w:sz w:val="22"/>
      <w:szCs w:val="22"/>
      <w:lang w:val="nl"/>
    </w:rPr>
  </w:style>
  <w:style w:type="character" w:customStyle="1" w:styleId="HeaderChar">
    <w:name w:val="Header Char"/>
    <w:basedOn w:val="DefaultParagraphFont"/>
    <w:link w:val="Header"/>
    <w:uiPriority w:val="99"/>
    <w:semiHidden/>
    <w:rsid w:val="003F2CD8"/>
  </w:style>
  <w:style w:type="paragraph" w:styleId="Footer">
    <w:name w:val="footer"/>
    <w:basedOn w:val="Normal"/>
    <w:link w:val="FooterChar"/>
    <w:uiPriority w:val="99"/>
    <w:semiHidden/>
    <w:unhideWhenUsed/>
    <w:rsid w:val="003F2CD8"/>
    <w:pPr>
      <w:tabs>
        <w:tab w:val="center" w:pos="4536"/>
        <w:tab w:val="right" w:pos="9072"/>
      </w:tabs>
    </w:pPr>
    <w:rPr>
      <w:rFonts w:ascii="Arial" w:eastAsia="Arial" w:hAnsi="Arial" w:cs="Arial"/>
      <w:sz w:val="22"/>
      <w:szCs w:val="22"/>
      <w:lang w:val="nl"/>
    </w:rPr>
  </w:style>
  <w:style w:type="character" w:customStyle="1" w:styleId="FooterChar">
    <w:name w:val="Footer Char"/>
    <w:basedOn w:val="DefaultParagraphFont"/>
    <w:link w:val="Footer"/>
    <w:uiPriority w:val="99"/>
    <w:semiHidden/>
    <w:rsid w:val="003F2CD8"/>
  </w:style>
  <w:style w:type="table" w:customStyle="1" w:styleId="NormalTable0">
    <w:name w:val="Normal Table0"/>
    <w:rsid w:val="003F2CD8"/>
    <w:tblPr>
      <w:tblCellMar>
        <w:top w:w="0" w:type="dxa"/>
        <w:left w:w="0" w:type="dxa"/>
        <w:bottom w:w="0" w:type="dxa"/>
        <w:right w:w="0" w:type="dxa"/>
      </w:tblCellMar>
    </w:tblPr>
  </w:style>
  <w:style w:type="character" w:customStyle="1" w:styleId="CommentSubjectChar">
    <w:name w:val="Comment Subject Char"/>
    <w:basedOn w:val="CommentTextChar"/>
    <w:link w:val="CommentSubject"/>
    <w:uiPriority w:val="99"/>
    <w:semiHidden/>
    <w:rsid w:val="00061BE4"/>
    <w:rPr>
      <w:b/>
      <w:bCs/>
      <w:sz w:val="20"/>
      <w:szCs w:val="20"/>
    </w:rPr>
  </w:style>
  <w:style w:type="paragraph" w:styleId="NormalWeb">
    <w:name w:val="Normal (Web)"/>
    <w:basedOn w:val="Normal"/>
    <w:uiPriority w:val="99"/>
    <w:unhideWhenUsed/>
    <w:rsid w:val="003F71A4"/>
    <w:pPr>
      <w:spacing w:before="100" w:beforeAutospacing="1" w:after="100" w:afterAutospacing="1"/>
    </w:pPr>
  </w:style>
  <w:style w:type="character" w:styleId="Hyperlink">
    <w:name w:val="Hyperlink"/>
    <w:basedOn w:val="DefaultParagraphFont"/>
    <w:uiPriority w:val="99"/>
    <w:unhideWhenUsed/>
    <w:rsid w:val="0009559C"/>
    <w:rPr>
      <w:color w:val="0000FF"/>
      <w:u w:val="single"/>
    </w:rPr>
  </w:style>
  <w:style w:type="character" w:styleId="FollowedHyperlink">
    <w:name w:val="FollowedHyperlink"/>
    <w:basedOn w:val="DefaultParagraphFont"/>
    <w:uiPriority w:val="99"/>
    <w:semiHidden/>
    <w:unhideWhenUsed/>
    <w:rsid w:val="0009559C"/>
    <w:rPr>
      <w:color w:val="800080" w:themeColor="followedHyperlink"/>
      <w:u w:val="single"/>
    </w:rPr>
  </w:style>
  <w:style w:type="character" w:styleId="UnresolvedMention">
    <w:name w:val="Unresolved Mention"/>
    <w:basedOn w:val="DefaultParagraphFont"/>
    <w:uiPriority w:val="99"/>
    <w:semiHidden/>
    <w:unhideWhenUsed/>
    <w:rsid w:val="0009559C"/>
    <w:rPr>
      <w:color w:val="605E5C"/>
      <w:shd w:val="clear" w:color="auto" w:fill="E1DFDD"/>
    </w:rPr>
  </w:style>
  <w:style w:type="character" w:customStyle="1" w:styleId="apple-converted-space">
    <w:name w:val="apple-converted-space"/>
    <w:basedOn w:val="DefaultParagraphFont"/>
    <w:rsid w:val="008F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8593">
      <w:bodyDiv w:val="1"/>
      <w:marLeft w:val="0"/>
      <w:marRight w:val="0"/>
      <w:marTop w:val="0"/>
      <w:marBottom w:val="0"/>
      <w:divBdr>
        <w:top w:val="none" w:sz="0" w:space="0" w:color="auto"/>
        <w:left w:val="none" w:sz="0" w:space="0" w:color="auto"/>
        <w:bottom w:val="none" w:sz="0" w:space="0" w:color="auto"/>
        <w:right w:val="none" w:sz="0" w:space="0" w:color="auto"/>
      </w:divBdr>
      <w:divsChild>
        <w:div w:id="887644817">
          <w:marLeft w:val="0"/>
          <w:marRight w:val="0"/>
          <w:marTop w:val="0"/>
          <w:marBottom w:val="0"/>
          <w:divBdr>
            <w:top w:val="none" w:sz="0" w:space="0" w:color="auto"/>
            <w:left w:val="none" w:sz="0" w:space="0" w:color="auto"/>
            <w:bottom w:val="none" w:sz="0" w:space="0" w:color="auto"/>
            <w:right w:val="none" w:sz="0" w:space="0" w:color="auto"/>
          </w:divBdr>
          <w:divsChild>
            <w:div w:id="981696329">
              <w:marLeft w:val="0"/>
              <w:marRight w:val="0"/>
              <w:marTop w:val="0"/>
              <w:marBottom w:val="0"/>
              <w:divBdr>
                <w:top w:val="none" w:sz="0" w:space="0" w:color="auto"/>
                <w:left w:val="none" w:sz="0" w:space="0" w:color="auto"/>
                <w:bottom w:val="none" w:sz="0" w:space="0" w:color="auto"/>
                <w:right w:val="none" w:sz="0" w:space="0" w:color="auto"/>
              </w:divBdr>
              <w:divsChild>
                <w:div w:id="7402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6212">
      <w:bodyDiv w:val="1"/>
      <w:marLeft w:val="0"/>
      <w:marRight w:val="0"/>
      <w:marTop w:val="0"/>
      <w:marBottom w:val="0"/>
      <w:divBdr>
        <w:top w:val="none" w:sz="0" w:space="0" w:color="auto"/>
        <w:left w:val="none" w:sz="0" w:space="0" w:color="auto"/>
        <w:bottom w:val="none" w:sz="0" w:space="0" w:color="auto"/>
        <w:right w:val="none" w:sz="0" w:space="0" w:color="auto"/>
      </w:divBdr>
      <w:divsChild>
        <w:div w:id="805660749">
          <w:marLeft w:val="0"/>
          <w:marRight w:val="0"/>
          <w:marTop w:val="0"/>
          <w:marBottom w:val="0"/>
          <w:divBdr>
            <w:top w:val="none" w:sz="0" w:space="0" w:color="auto"/>
            <w:left w:val="none" w:sz="0" w:space="0" w:color="auto"/>
            <w:bottom w:val="none" w:sz="0" w:space="0" w:color="auto"/>
            <w:right w:val="none" w:sz="0" w:space="0" w:color="auto"/>
          </w:divBdr>
          <w:divsChild>
            <w:div w:id="806244038">
              <w:marLeft w:val="0"/>
              <w:marRight w:val="0"/>
              <w:marTop w:val="0"/>
              <w:marBottom w:val="0"/>
              <w:divBdr>
                <w:top w:val="none" w:sz="0" w:space="0" w:color="auto"/>
                <w:left w:val="none" w:sz="0" w:space="0" w:color="auto"/>
                <w:bottom w:val="none" w:sz="0" w:space="0" w:color="auto"/>
                <w:right w:val="none" w:sz="0" w:space="0" w:color="auto"/>
              </w:divBdr>
              <w:divsChild>
                <w:div w:id="16292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3523">
      <w:bodyDiv w:val="1"/>
      <w:marLeft w:val="0"/>
      <w:marRight w:val="0"/>
      <w:marTop w:val="0"/>
      <w:marBottom w:val="0"/>
      <w:divBdr>
        <w:top w:val="none" w:sz="0" w:space="0" w:color="auto"/>
        <w:left w:val="none" w:sz="0" w:space="0" w:color="auto"/>
        <w:bottom w:val="none" w:sz="0" w:space="0" w:color="auto"/>
        <w:right w:val="none" w:sz="0" w:space="0" w:color="auto"/>
      </w:divBdr>
    </w:div>
    <w:div w:id="286279673">
      <w:bodyDiv w:val="1"/>
      <w:marLeft w:val="0"/>
      <w:marRight w:val="0"/>
      <w:marTop w:val="0"/>
      <w:marBottom w:val="0"/>
      <w:divBdr>
        <w:top w:val="none" w:sz="0" w:space="0" w:color="auto"/>
        <w:left w:val="none" w:sz="0" w:space="0" w:color="auto"/>
        <w:bottom w:val="none" w:sz="0" w:space="0" w:color="auto"/>
        <w:right w:val="none" w:sz="0" w:space="0" w:color="auto"/>
      </w:divBdr>
    </w:div>
    <w:div w:id="309554222">
      <w:bodyDiv w:val="1"/>
      <w:marLeft w:val="0"/>
      <w:marRight w:val="0"/>
      <w:marTop w:val="0"/>
      <w:marBottom w:val="0"/>
      <w:divBdr>
        <w:top w:val="none" w:sz="0" w:space="0" w:color="auto"/>
        <w:left w:val="none" w:sz="0" w:space="0" w:color="auto"/>
        <w:bottom w:val="none" w:sz="0" w:space="0" w:color="auto"/>
        <w:right w:val="none" w:sz="0" w:space="0" w:color="auto"/>
      </w:divBdr>
    </w:div>
    <w:div w:id="327682993">
      <w:bodyDiv w:val="1"/>
      <w:marLeft w:val="0"/>
      <w:marRight w:val="0"/>
      <w:marTop w:val="0"/>
      <w:marBottom w:val="0"/>
      <w:divBdr>
        <w:top w:val="none" w:sz="0" w:space="0" w:color="auto"/>
        <w:left w:val="none" w:sz="0" w:space="0" w:color="auto"/>
        <w:bottom w:val="none" w:sz="0" w:space="0" w:color="auto"/>
        <w:right w:val="none" w:sz="0" w:space="0" w:color="auto"/>
      </w:divBdr>
      <w:divsChild>
        <w:div w:id="374429669">
          <w:marLeft w:val="0"/>
          <w:marRight w:val="0"/>
          <w:marTop w:val="0"/>
          <w:marBottom w:val="0"/>
          <w:divBdr>
            <w:top w:val="none" w:sz="0" w:space="0" w:color="auto"/>
            <w:left w:val="none" w:sz="0" w:space="0" w:color="auto"/>
            <w:bottom w:val="none" w:sz="0" w:space="0" w:color="auto"/>
            <w:right w:val="none" w:sz="0" w:space="0" w:color="auto"/>
          </w:divBdr>
          <w:divsChild>
            <w:div w:id="2127003053">
              <w:marLeft w:val="0"/>
              <w:marRight w:val="0"/>
              <w:marTop w:val="0"/>
              <w:marBottom w:val="0"/>
              <w:divBdr>
                <w:top w:val="none" w:sz="0" w:space="0" w:color="auto"/>
                <w:left w:val="none" w:sz="0" w:space="0" w:color="auto"/>
                <w:bottom w:val="none" w:sz="0" w:space="0" w:color="auto"/>
                <w:right w:val="none" w:sz="0" w:space="0" w:color="auto"/>
              </w:divBdr>
              <w:divsChild>
                <w:div w:id="1510021702">
                  <w:marLeft w:val="0"/>
                  <w:marRight w:val="0"/>
                  <w:marTop w:val="0"/>
                  <w:marBottom w:val="0"/>
                  <w:divBdr>
                    <w:top w:val="none" w:sz="0" w:space="0" w:color="auto"/>
                    <w:left w:val="none" w:sz="0" w:space="0" w:color="auto"/>
                    <w:bottom w:val="none" w:sz="0" w:space="0" w:color="auto"/>
                    <w:right w:val="none" w:sz="0" w:space="0" w:color="auto"/>
                  </w:divBdr>
                  <w:divsChild>
                    <w:div w:id="1211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8191">
      <w:bodyDiv w:val="1"/>
      <w:marLeft w:val="0"/>
      <w:marRight w:val="0"/>
      <w:marTop w:val="0"/>
      <w:marBottom w:val="0"/>
      <w:divBdr>
        <w:top w:val="none" w:sz="0" w:space="0" w:color="auto"/>
        <w:left w:val="none" w:sz="0" w:space="0" w:color="auto"/>
        <w:bottom w:val="none" w:sz="0" w:space="0" w:color="auto"/>
        <w:right w:val="none" w:sz="0" w:space="0" w:color="auto"/>
      </w:divBdr>
    </w:div>
    <w:div w:id="512768882">
      <w:bodyDiv w:val="1"/>
      <w:marLeft w:val="0"/>
      <w:marRight w:val="0"/>
      <w:marTop w:val="0"/>
      <w:marBottom w:val="0"/>
      <w:divBdr>
        <w:top w:val="none" w:sz="0" w:space="0" w:color="auto"/>
        <w:left w:val="none" w:sz="0" w:space="0" w:color="auto"/>
        <w:bottom w:val="none" w:sz="0" w:space="0" w:color="auto"/>
        <w:right w:val="none" w:sz="0" w:space="0" w:color="auto"/>
      </w:divBdr>
    </w:div>
    <w:div w:id="598373972">
      <w:bodyDiv w:val="1"/>
      <w:marLeft w:val="0"/>
      <w:marRight w:val="0"/>
      <w:marTop w:val="0"/>
      <w:marBottom w:val="0"/>
      <w:divBdr>
        <w:top w:val="none" w:sz="0" w:space="0" w:color="auto"/>
        <w:left w:val="none" w:sz="0" w:space="0" w:color="auto"/>
        <w:bottom w:val="none" w:sz="0" w:space="0" w:color="auto"/>
        <w:right w:val="none" w:sz="0" w:space="0" w:color="auto"/>
      </w:divBdr>
    </w:div>
    <w:div w:id="781147377">
      <w:bodyDiv w:val="1"/>
      <w:marLeft w:val="0"/>
      <w:marRight w:val="0"/>
      <w:marTop w:val="0"/>
      <w:marBottom w:val="0"/>
      <w:divBdr>
        <w:top w:val="none" w:sz="0" w:space="0" w:color="auto"/>
        <w:left w:val="none" w:sz="0" w:space="0" w:color="auto"/>
        <w:bottom w:val="none" w:sz="0" w:space="0" w:color="auto"/>
        <w:right w:val="none" w:sz="0" w:space="0" w:color="auto"/>
      </w:divBdr>
    </w:div>
    <w:div w:id="824130816">
      <w:bodyDiv w:val="1"/>
      <w:marLeft w:val="0"/>
      <w:marRight w:val="0"/>
      <w:marTop w:val="0"/>
      <w:marBottom w:val="0"/>
      <w:divBdr>
        <w:top w:val="none" w:sz="0" w:space="0" w:color="auto"/>
        <w:left w:val="none" w:sz="0" w:space="0" w:color="auto"/>
        <w:bottom w:val="none" w:sz="0" w:space="0" w:color="auto"/>
        <w:right w:val="none" w:sz="0" w:space="0" w:color="auto"/>
      </w:divBdr>
      <w:divsChild>
        <w:div w:id="1871800392">
          <w:marLeft w:val="0"/>
          <w:marRight w:val="0"/>
          <w:marTop w:val="0"/>
          <w:marBottom w:val="0"/>
          <w:divBdr>
            <w:top w:val="none" w:sz="0" w:space="0" w:color="auto"/>
            <w:left w:val="none" w:sz="0" w:space="0" w:color="auto"/>
            <w:bottom w:val="none" w:sz="0" w:space="0" w:color="auto"/>
            <w:right w:val="none" w:sz="0" w:space="0" w:color="auto"/>
          </w:divBdr>
          <w:divsChild>
            <w:div w:id="1748454672">
              <w:marLeft w:val="0"/>
              <w:marRight w:val="0"/>
              <w:marTop w:val="0"/>
              <w:marBottom w:val="0"/>
              <w:divBdr>
                <w:top w:val="none" w:sz="0" w:space="0" w:color="auto"/>
                <w:left w:val="none" w:sz="0" w:space="0" w:color="auto"/>
                <w:bottom w:val="none" w:sz="0" w:space="0" w:color="auto"/>
                <w:right w:val="none" w:sz="0" w:space="0" w:color="auto"/>
              </w:divBdr>
              <w:divsChild>
                <w:div w:id="751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58851">
      <w:bodyDiv w:val="1"/>
      <w:marLeft w:val="0"/>
      <w:marRight w:val="0"/>
      <w:marTop w:val="0"/>
      <w:marBottom w:val="0"/>
      <w:divBdr>
        <w:top w:val="none" w:sz="0" w:space="0" w:color="auto"/>
        <w:left w:val="none" w:sz="0" w:space="0" w:color="auto"/>
        <w:bottom w:val="none" w:sz="0" w:space="0" w:color="auto"/>
        <w:right w:val="none" w:sz="0" w:space="0" w:color="auto"/>
      </w:divBdr>
      <w:divsChild>
        <w:div w:id="6182506">
          <w:marLeft w:val="0"/>
          <w:marRight w:val="0"/>
          <w:marTop w:val="0"/>
          <w:marBottom w:val="0"/>
          <w:divBdr>
            <w:top w:val="none" w:sz="0" w:space="0" w:color="auto"/>
            <w:left w:val="none" w:sz="0" w:space="0" w:color="auto"/>
            <w:bottom w:val="none" w:sz="0" w:space="0" w:color="auto"/>
            <w:right w:val="none" w:sz="0" w:space="0" w:color="auto"/>
          </w:divBdr>
          <w:divsChild>
            <w:div w:id="1934362411">
              <w:marLeft w:val="0"/>
              <w:marRight w:val="0"/>
              <w:marTop w:val="0"/>
              <w:marBottom w:val="0"/>
              <w:divBdr>
                <w:top w:val="none" w:sz="0" w:space="0" w:color="auto"/>
                <w:left w:val="none" w:sz="0" w:space="0" w:color="auto"/>
                <w:bottom w:val="none" w:sz="0" w:space="0" w:color="auto"/>
                <w:right w:val="none" w:sz="0" w:space="0" w:color="auto"/>
              </w:divBdr>
              <w:divsChild>
                <w:div w:id="10742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33703">
      <w:bodyDiv w:val="1"/>
      <w:marLeft w:val="0"/>
      <w:marRight w:val="0"/>
      <w:marTop w:val="0"/>
      <w:marBottom w:val="0"/>
      <w:divBdr>
        <w:top w:val="none" w:sz="0" w:space="0" w:color="auto"/>
        <w:left w:val="none" w:sz="0" w:space="0" w:color="auto"/>
        <w:bottom w:val="none" w:sz="0" w:space="0" w:color="auto"/>
        <w:right w:val="none" w:sz="0" w:space="0" w:color="auto"/>
      </w:divBdr>
      <w:divsChild>
        <w:div w:id="458912332">
          <w:marLeft w:val="0"/>
          <w:marRight w:val="0"/>
          <w:marTop w:val="0"/>
          <w:marBottom w:val="0"/>
          <w:divBdr>
            <w:top w:val="none" w:sz="0" w:space="0" w:color="auto"/>
            <w:left w:val="none" w:sz="0" w:space="0" w:color="auto"/>
            <w:bottom w:val="none" w:sz="0" w:space="0" w:color="auto"/>
            <w:right w:val="none" w:sz="0" w:space="0" w:color="auto"/>
          </w:divBdr>
        </w:div>
        <w:div w:id="53361523">
          <w:marLeft w:val="0"/>
          <w:marRight w:val="0"/>
          <w:marTop w:val="0"/>
          <w:marBottom w:val="0"/>
          <w:divBdr>
            <w:top w:val="none" w:sz="0" w:space="0" w:color="auto"/>
            <w:left w:val="none" w:sz="0" w:space="0" w:color="auto"/>
            <w:bottom w:val="none" w:sz="0" w:space="0" w:color="auto"/>
            <w:right w:val="none" w:sz="0" w:space="0" w:color="auto"/>
          </w:divBdr>
          <w:divsChild>
            <w:div w:id="1893689814">
              <w:marLeft w:val="0"/>
              <w:marRight w:val="0"/>
              <w:marTop w:val="0"/>
              <w:marBottom w:val="0"/>
              <w:divBdr>
                <w:top w:val="none" w:sz="0" w:space="0" w:color="auto"/>
                <w:left w:val="none" w:sz="0" w:space="0" w:color="auto"/>
                <w:bottom w:val="none" w:sz="0" w:space="0" w:color="auto"/>
                <w:right w:val="none" w:sz="0" w:space="0" w:color="auto"/>
              </w:divBdr>
            </w:div>
            <w:div w:id="1361587931">
              <w:marLeft w:val="0"/>
              <w:marRight w:val="0"/>
              <w:marTop w:val="0"/>
              <w:marBottom w:val="0"/>
              <w:divBdr>
                <w:top w:val="none" w:sz="0" w:space="0" w:color="auto"/>
                <w:left w:val="none" w:sz="0" w:space="0" w:color="auto"/>
                <w:bottom w:val="none" w:sz="0" w:space="0" w:color="auto"/>
                <w:right w:val="none" w:sz="0" w:space="0" w:color="auto"/>
              </w:divBdr>
            </w:div>
            <w:div w:id="186913674">
              <w:marLeft w:val="0"/>
              <w:marRight w:val="0"/>
              <w:marTop w:val="0"/>
              <w:marBottom w:val="0"/>
              <w:divBdr>
                <w:top w:val="none" w:sz="0" w:space="0" w:color="auto"/>
                <w:left w:val="none" w:sz="0" w:space="0" w:color="auto"/>
                <w:bottom w:val="none" w:sz="0" w:space="0" w:color="auto"/>
                <w:right w:val="none" w:sz="0" w:space="0" w:color="auto"/>
              </w:divBdr>
            </w:div>
            <w:div w:id="4701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2645">
      <w:bodyDiv w:val="1"/>
      <w:marLeft w:val="0"/>
      <w:marRight w:val="0"/>
      <w:marTop w:val="0"/>
      <w:marBottom w:val="0"/>
      <w:divBdr>
        <w:top w:val="none" w:sz="0" w:space="0" w:color="auto"/>
        <w:left w:val="none" w:sz="0" w:space="0" w:color="auto"/>
        <w:bottom w:val="none" w:sz="0" w:space="0" w:color="auto"/>
        <w:right w:val="none" w:sz="0" w:space="0" w:color="auto"/>
      </w:divBdr>
      <w:divsChild>
        <w:div w:id="294138311">
          <w:marLeft w:val="0"/>
          <w:marRight w:val="0"/>
          <w:marTop w:val="0"/>
          <w:marBottom w:val="0"/>
          <w:divBdr>
            <w:top w:val="none" w:sz="0" w:space="0" w:color="auto"/>
            <w:left w:val="none" w:sz="0" w:space="0" w:color="auto"/>
            <w:bottom w:val="none" w:sz="0" w:space="0" w:color="auto"/>
            <w:right w:val="none" w:sz="0" w:space="0" w:color="auto"/>
          </w:divBdr>
          <w:divsChild>
            <w:div w:id="852380137">
              <w:marLeft w:val="0"/>
              <w:marRight w:val="0"/>
              <w:marTop w:val="0"/>
              <w:marBottom w:val="0"/>
              <w:divBdr>
                <w:top w:val="none" w:sz="0" w:space="0" w:color="auto"/>
                <w:left w:val="none" w:sz="0" w:space="0" w:color="auto"/>
                <w:bottom w:val="none" w:sz="0" w:space="0" w:color="auto"/>
                <w:right w:val="none" w:sz="0" w:space="0" w:color="auto"/>
              </w:divBdr>
              <w:divsChild>
                <w:div w:id="898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1894">
      <w:bodyDiv w:val="1"/>
      <w:marLeft w:val="0"/>
      <w:marRight w:val="0"/>
      <w:marTop w:val="0"/>
      <w:marBottom w:val="0"/>
      <w:divBdr>
        <w:top w:val="none" w:sz="0" w:space="0" w:color="auto"/>
        <w:left w:val="none" w:sz="0" w:space="0" w:color="auto"/>
        <w:bottom w:val="none" w:sz="0" w:space="0" w:color="auto"/>
        <w:right w:val="none" w:sz="0" w:space="0" w:color="auto"/>
      </w:divBdr>
      <w:divsChild>
        <w:div w:id="57048608">
          <w:marLeft w:val="0"/>
          <w:marRight w:val="0"/>
          <w:marTop w:val="0"/>
          <w:marBottom w:val="0"/>
          <w:divBdr>
            <w:top w:val="none" w:sz="0" w:space="0" w:color="auto"/>
            <w:left w:val="none" w:sz="0" w:space="0" w:color="auto"/>
            <w:bottom w:val="none" w:sz="0" w:space="0" w:color="auto"/>
            <w:right w:val="none" w:sz="0" w:space="0" w:color="auto"/>
          </w:divBdr>
          <w:divsChild>
            <w:div w:id="1417897871">
              <w:marLeft w:val="0"/>
              <w:marRight w:val="0"/>
              <w:marTop w:val="0"/>
              <w:marBottom w:val="0"/>
              <w:divBdr>
                <w:top w:val="none" w:sz="0" w:space="0" w:color="auto"/>
                <w:left w:val="none" w:sz="0" w:space="0" w:color="auto"/>
                <w:bottom w:val="none" w:sz="0" w:space="0" w:color="auto"/>
                <w:right w:val="none" w:sz="0" w:space="0" w:color="auto"/>
              </w:divBdr>
              <w:divsChild>
                <w:div w:id="446239634">
                  <w:marLeft w:val="0"/>
                  <w:marRight w:val="0"/>
                  <w:marTop w:val="0"/>
                  <w:marBottom w:val="0"/>
                  <w:divBdr>
                    <w:top w:val="none" w:sz="0" w:space="0" w:color="auto"/>
                    <w:left w:val="none" w:sz="0" w:space="0" w:color="auto"/>
                    <w:bottom w:val="none" w:sz="0" w:space="0" w:color="auto"/>
                    <w:right w:val="none" w:sz="0" w:space="0" w:color="auto"/>
                  </w:divBdr>
                  <w:divsChild>
                    <w:div w:id="15647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19840">
      <w:bodyDiv w:val="1"/>
      <w:marLeft w:val="0"/>
      <w:marRight w:val="0"/>
      <w:marTop w:val="0"/>
      <w:marBottom w:val="0"/>
      <w:divBdr>
        <w:top w:val="none" w:sz="0" w:space="0" w:color="auto"/>
        <w:left w:val="none" w:sz="0" w:space="0" w:color="auto"/>
        <w:bottom w:val="none" w:sz="0" w:space="0" w:color="auto"/>
        <w:right w:val="none" w:sz="0" w:space="0" w:color="auto"/>
      </w:divBdr>
    </w:div>
    <w:div w:id="1101797260">
      <w:bodyDiv w:val="1"/>
      <w:marLeft w:val="0"/>
      <w:marRight w:val="0"/>
      <w:marTop w:val="0"/>
      <w:marBottom w:val="0"/>
      <w:divBdr>
        <w:top w:val="none" w:sz="0" w:space="0" w:color="auto"/>
        <w:left w:val="none" w:sz="0" w:space="0" w:color="auto"/>
        <w:bottom w:val="none" w:sz="0" w:space="0" w:color="auto"/>
        <w:right w:val="none" w:sz="0" w:space="0" w:color="auto"/>
      </w:divBdr>
    </w:div>
    <w:div w:id="1142427756">
      <w:bodyDiv w:val="1"/>
      <w:marLeft w:val="0"/>
      <w:marRight w:val="0"/>
      <w:marTop w:val="0"/>
      <w:marBottom w:val="0"/>
      <w:divBdr>
        <w:top w:val="none" w:sz="0" w:space="0" w:color="auto"/>
        <w:left w:val="none" w:sz="0" w:space="0" w:color="auto"/>
        <w:bottom w:val="none" w:sz="0" w:space="0" w:color="auto"/>
        <w:right w:val="none" w:sz="0" w:space="0" w:color="auto"/>
      </w:divBdr>
    </w:div>
    <w:div w:id="1237134505">
      <w:bodyDiv w:val="1"/>
      <w:marLeft w:val="0"/>
      <w:marRight w:val="0"/>
      <w:marTop w:val="0"/>
      <w:marBottom w:val="0"/>
      <w:divBdr>
        <w:top w:val="none" w:sz="0" w:space="0" w:color="auto"/>
        <w:left w:val="none" w:sz="0" w:space="0" w:color="auto"/>
        <w:bottom w:val="none" w:sz="0" w:space="0" w:color="auto"/>
        <w:right w:val="none" w:sz="0" w:space="0" w:color="auto"/>
      </w:divBdr>
      <w:divsChild>
        <w:div w:id="6251599">
          <w:marLeft w:val="0"/>
          <w:marRight w:val="0"/>
          <w:marTop w:val="0"/>
          <w:marBottom w:val="0"/>
          <w:divBdr>
            <w:top w:val="none" w:sz="0" w:space="0" w:color="auto"/>
            <w:left w:val="none" w:sz="0" w:space="0" w:color="auto"/>
            <w:bottom w:val="none" w:sz="0" w:space="0" w:color="auto"/>
            <w:right w:val="none" w:sz="0" w:space="0" w:color="auto"/>
          </w:divBdr>
          <w:divsChild>
            <w:div w:id="1445883945">
              <w:marLeft w:val="0"/>
              <w:marRight w:val="0"/>
              <w:marTop w:val="0"/>
              <w:marBottom w:val="0"/>
              <w:divBdr>
                <w:top w:val="none" w:sz="0" w:space="0" w:color="auto"/>
                <w:left w:val="none" w:sz="0" w:space="0" w:color="auto"/>
                <w:bottom w:val="none" w:sz="0" w:space="0" w:color="auto"/>
                <w:right w:val="none" w:sz="0" w:space="0" w:color="auto"/>
              </w:divBdr>
              <w:divsChild>
                <w:div w:id="1340810505">
                  <w:marLeft w:val="0"/>
                  <w:marRight w:val="0"/>
                  <w:marTop w:val="0"/>
                  <w:marBottom w:val="0"/>
                  <w:divBdr>
                    <w:top w:val="none" w:sz="0" w:space="0" w:color="auto"/>
                    <w:left w:val="none" w:sz="0" w:space="0" w:color="auto"/>
                    <w:bottom w:val="none" w:sz="0" w:space="0" w:color="auto"/>
                    <w:right w:val="none" w:sz="0" w:space="0" w:color="auto"/>
                  </w:divBdr>
                  <w:divsChild>
                    <w:div w:id="86718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49572">
      <w:bodyDiv w:val="1"/>
      <w:marLeft w:val="0"/>
      <w:marRight w:val="0"/>
      <w:marTop w:val="0"/>
      <w:marBottom w:val="0"/>
      <w:divBdr>
        <w:top w:val="none" w:sz="0" w:space="0" w:color="auto"/>
        <w:left w:val="none" w:sz="0" w:space="0" w:color="auto"/>
        <w:bottom w:val="none" w:sz="0" w:space="0" w:color="auto"/>
        <w:right w:val="none" w:sz="0" w:space="0" w:color="auto"/>
      </w:divBdr>
      <w:divsChild>
        <w:div w:id="522062657">
          <w:marLeft w:val="0"/>
          <w:marRight w:val="0"/>
          <w:marTop w:val="0"/>
          <w:marBottom w:val="0"/>
          <w:divBdr>
            <w:top w:val="none" w:sz="0" w:space="0" w:color="auto"/>
            <w:left w:val="none" w:sz="0" w:space="0" w:color="auto"/>
            <w:bottom w:val="none" w:sz="0" w:space="0" w:color="auto"/>
            <w:right w:val="none" w:sz="0" w:space="0" w:color="auto"/>
          </w:divBdr>
          <w:divsChild>
            <w:div w:id="701437938">
              <w:marLeft w:val="0"/>
              <w:marRight w:val="0"/>
              <w:marTop w:val="0"/>
              <w:marBottom w:val="0"/>
              <w:divBdr>
                <w:top w:val="none" w:sz="0" w:space="0" w:color="auto"/>
                <w:left w:val="none" w:sz="0" w:space="0" w:color="auto"/>
                <w:bottom w:val="none" w:sz="0" w:space="0" w:color="auto"/>
                <w:right w:val="none" w:sz="0" w:space="0" w:color="auto"/>
              </w:divBdr>
              <w:divsChild>
                <w:div w:id="7289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9506">
      <w:bodyDiv w:val="1"/>
      <w:marLeft w:val="0"/>
      <w:marRight w:val="0"/>
      <w:marTop w:val="0"/>
      <w:marBottom w:val="0"/>
      <w:divBdr>
        <w:top w:val="none" w:sz="0" w:space="0" w:color="auto"/>
        <w:left w:val="none" w:sz="0" w:space="0" w:color="auto"/>
        <w:bottom w:val="none" w:sz="0" w:space="0" w:color="auto"/>
        <w:right w:val="none" w:sz="0" w:space="0" w:color="auto"/>
      </w:divBdr>
      <w:divsChild>
        <w:div w:id="1837068772">
          <w:marLeft w:val="0"/>
          <w:marRight w:val="0"/>
          <w:marTop w:val="0"/>
          <w:marBottom w:val="0"/>
          <w:divBdr>
            <w:top w:val="none" w:sz="0" w:space="0" w:color="auto"/>
            <w:left w:val="none" w:sz="0" w:space="0" w:color="auto"/>
            <w:bottom w:val="none" w:sz="0" w:space="0" w:color="auto"/>
            <w:right w:val="none" w:sz="0" w:space="0" w:color="auto"/>
          </w:divBdr>
          <w:divsChild>
            <w:div w:id="1158695710">
              <w:marLeft w:val="0"/>
              <w:marRight w:val="0"/>
              <w:marTop w:val="0"/>
              <w:marBottom w:val="0"/>
              <w:divBdr>
                <w:top w:val="none" w:sz="0" w:space="0" w:color="auto"/>
                <w:left w:val="none" w:sz="0" w:space="0" w:color="auto"/>
                <w:bottom w:val="none" w:sz="0" w:space="0" w:color="auto"/>
                <w:right w:val="none" w:sz="0" w:space="0" w:color="auto"/>
              </w:divBdr>
              <w:divsChild>
                <w:div w:id="1304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03697">
      <w:bodyDiv w:val="1"/>
      <w:marLeft w:val="0"/>
      <w:marRight w:val="0"/>
      <w:marTop w:val="0"/>
      <w:marBottom w:val="0"/>
      <w:divBdr>
        <w:top w:val="none" w:sz="0" w:space="0" w:color="auto"/>
        <w:left w:val="none" w:sz="0" w:space="0" w:color="auto"/>
        <w:bottom w:val="none" w:sz="0" w:space="0" w:color="auto"/>
        <w:right w:val="none" w:sz="0" w:space="0" w:color="auto"/>
      </w:divBdr>
    </w:div>
    <w:div w:id="1583489455">
      <w:bodyDiv w:val="1"/>
      <w:marLeft w:val="0"/>
      <w:marRight w:val="0"/>
      <w:marTop w:val="0"/>
      <w:marBottom w:val="0"/>
      <w:divBdr>
        <w:top w:val="none" w:sz="0" w:space="0" w:color="auto"/>
        <w:left w:val="none" w:sz="0" w:space="0" w:color="auto"/>
        <w:bottom w:val="none" w:sz="0" w:space="0" w:color="auto"/>
        <w:right w:val="none" w:sz="0" w:space="0" w:color="auto"/>
      </w:divBdr>
    </w:div>
    <w:div w:id="1611546966">
      <w:bodyDiv w:val="1"/>
      <w:marLeft w:val="0"/>
      <w:marRight w:val="0"/>
      <w:marTop w:val="0"/>
      <w:marBottom w:val="0"/>
      <w:divBdr>
        <w:top w:val="none" w:sz="0" w:space="0" w:color="auto"/>
        <w:left w:val="none" w:sz="0" w:space="0" w:color="auto"/>
        <w:bottom w:val="none" w:sz="0" w:space="0" w:color="auto"/>
        <w:right w:val="none" w:sz="0" w:space="0" w:color="auto"/>
      </w:divBdr>
    </w:div>
    <w:div w:id="1723598016">
      <w:bodyDiv w:val="1"/>
      <w:marLeft w:val="0"/>
      <w:marRight w:val="0"/>
      <w:marTop w:val="0"/>
      <w:marBottom w:val="0"/>
      <w:divBdr>
        <w:top w:val="none" w:sz="0" w:space="0" w:color="auto"/>
        <w:left w:val="none" w:sz="0" w:space="0" w:color="auto"/>
        <w:bottom w:val="none" w:sz="0" w:space="0" w:color="auto"/>
        <w:right w:val="none" w:sz="0" w:space="0" w:color="auto"/>
      </w:divBdr>
      <w:divsChild>
        <w:div w:id="230968388">
          <w:marLeft w:val="0"/>
          <w:marRight w:val="0"/>
          <w:marTop w:val="0"/>
          <w:marBottom w:val="0"/>
          <w:divBdr>
            <w:top w:val="none" w:sz="0" w:space="0" w:color="auto"/>
            <w:left w:val="none" w:sz="0" w:space="0" w:color="auto"/>
            <w:bottom w:val="none" w:sz="0" w:space="0" w:color="auto"/>
            <w:right w:val="none" w:sz="0" w:space="0" w:color="auto"/>
          </w:divBdr>
          <w:divsChild>
            <w:div w:id="1920284519">
              <w:marLeft w:val="0"/>
              <w:marRight w:val="0"/>
              <w:marTop w:val="0"/>
              <w:marBottom w:val="0"/>
              <w:divBdr>
                <w:top w:val="none" w:sz="0" w:space="0" w:color="auto"/>
                <w:left w:val="none" w:sz="0" w:space="0" w:color="auto"/>
                <w:bottom w:val="none" w:sz="0" w:space="0" w:color="auto"/>
                <w:right w:val="none" w:sz="0" w:space="0" w:color="auto"/>
              </w:divBdr>
              <w:divsChild>
                <w:div w:id="6629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29102">
      <w:bodyDiv w:val="1"/>
      <w:marLeft w:val="0"/>
      <w:marRight w:val="0"/>
      <w:marTop w:val="0"/>
      <w:marBottom w:val="0"/>
      <w:divBdr>
        <w:top w:val="none" w:sz="0" w:space="0" w:color="auto"/>
        <w:left w:val="none" w:sz="0" w:space="0" w:color="auto"/>
        <w:bottom w:val="none" w:sz="0" w:space="0" w:color="auto"/>
        <w:right w:val="none" w:sz="0" w:space="0" w:color="auto"/>
      </w:divBdr>
    </w:div>
    <w:div w:id="1971126350">
      <w:bodyDiv w:val="1"/>
      <w:marLeft w:val="0"/>
      <w:marRight w:val="0"/>
      <w:marTop w:val="0"/>
      <w:marBottom w:val="0"/>
      <w:divBdr>
        <w:top w:val="none" w:sz="0" w:space="0" w:color="auto"/>
        <w:left w:val="none" w:sz="0" w:space="0" w:color="auto"/>
        <w:bottom w:val="none" w:sz="0" w:space="0" w:color="auto"/>
        <w:right w:val="none" w:sz="0" w:space="0" w:color="auto"/>
      </w:divBdr>
    </w:div>
    <w:div w:id="2017730995">
      <w:bodyDiv w:val="1"/>
      <w:marLeft w:val="0"/>
      <w:marRight w:val="0"/>
      <w:marTop w:val="0"/>
      <w:marBottom w:val="0"/>
      <w:divBdr>
        <w:top w:val="none" w:sz="0" w:space="0" w:color="auto"/>
        <w:left w:val="none" w:sz="0" w:space="0" w:color="auto"/>
        <w:bottom w:val="none" w:sz="0" w:space="0" w:color="auto"/>
        <w:right w:val="none" w:sz="0" w:space="0" w:color="auto"/>
      </w:divBdr>
      <w:divsChild>
        <w:div w:id="519857469">
          <w:marLeft w:val="0"/>
          <w:marRight w:val="0"/>
          <w:marTop w:val="0"/>
          <w:marBottom w:val="0"/>
          <w:divBdr>
            <w:top w:val="none" w:sz="0" w:space="0" w:color="auto"/>
            <w:left w:val="none" w:sz="0" w:space="0" w:color="auto"/>
            <w:bottom w:val="none" w:sz="0" w:space="0" w:color="auto"/>
            <w:right w:val="none" w:sz="0" w:space="0" w:color="auto"/>
          </w:divBdr>
          <w:divsChild>
            <w:div w:id="17240296">
              <w:marLeft w:val="0"/>
              <w:marRight w:val="0"/>
              <w:marTop w:val="0"/>
              <w:marBottom w:val="0"/>
              <w:divBdr>
                <w:top w:val="none" w:sz="0" w:space="0" w:color="auto"/>
                <w:left w:val="none" w:sz="0" w:space="0" w:color="auto"/>
                <w:bottom w:val="none" w:sz="0" w:space="0" w:color="auto"/>
                <w:right w:val="none" w:sz="0" w:space="0" w:color="auto"/>
              </w:divBdr>
              <w:divsChild>
                <w:div w:id="1582760416">
                  <w:marLeft w:val="0"/>
                  <w:marRight w:val="0"/>
                  <w:marTop w:val="0"/>
                  <w:marBottom w:val="0"/>
                  <w:divBdr>
                    <w:top w:val="none" w:sz="0" w:space="0" w:color="auto"/>
                    <w:left w:val="none" w:sz="0" w:space="0" w:color="auto"/>
                    <w:bottom w:val="none" w:sz="0" w:space="0" w:color="auto"/>
                    <w:right w:val="none" w:sz="0" w:space="0" w:color="auto"/>
                  </w:divBdr>
                  <w:divsChild>
                    <w:div w:id="2417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49804">
      <w:bodyDiv w:val="1"/>
      <w:marLeft w:val="0"/>
      <w:marRight w:val="0"/>
      <w:marTop w:val="0"/>
      <w:marBottom w:val="0"/>
      <w:divBdr>
        <w:top w:val="none" w:sz="0" w:space="0" w:color="auto"/>
        <w:left w:val="none" w:sz="0" w:space="0" w:color="auto"/>
        <w:bottom w:val="none" w:sz="0" w:space="0" w:color="auto"/>
        <w:right w:val="none" w:sz="0" w:space="0" w:color="auto"/>
      </w:divBdr>
      <w:divsChild>
        <w:div w:id="805465719">
          <w:marLeft w:val="0"/>
          <w:marRight w:val="0"/>
          <w:marTop w:val="0"/>
          <w:marBottom w:val="0"/>
          <w:divBdr>
            <w:top w:val="none" w:sz="0" w:space="0" w:color="auto"/>
            <w:left w:val="none" w:sz="0" w:space="0" w:color="auto"/>
            <w:bottom w:val="none" w:sz="0" w:space="0" w:color="auto"/>
            <w:right w:val="none" w:sz="0" w:space="0" w:color="auto"/>
          </w:divBdr>
          <w:divsChild>
            <w:div w:id="1871456687">
              <w:marLeft w:val="0"/>
              <w:marRight w:val="0"/>
              <w:marTop w:val="0"/>
              <w:marBottom w:val="0"/>
              <w:divBdr>
                <w:top w:val="none" w:sz="0" w:space="0" w:color="auto"/>
                <w:left w:val="none" w:sz="0" w:space="0" w:color="auto"/>
                <w:bottom w:val="none" w:sz="0" w:space="0" w:color="auto"/>
                <w:right w:val="none" w:sz="0" w:space="0" w:color="auto"/>
              </w:divBdr>
              <w:divsChild>
                <w:div w:id="12797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3344">
      <w:bodyDiv w:val="1"/>
      <w:marLeft w:val="0"/>
      <w:marRight w:val="0"/>
      <w:marTop w:val="0"/>
      <w:marBottom w:val="0"/>
      <w:divBdr>
        <w:top w:val="none" w:sz="0" w:space="0" w:color="auto"/>
        <w:left w:val="none" w:sz="0" w:space="0" w:color="auto"/>
        <w:bottom w:val="none" w:sz="0" w:space="0" w:color="auto"/>
        <w:right w:val="none" w:sz="0" w:space="0" w:color="auto"/>
      </w:divBdr>
    </w:div>
    <w:div w:id="2134470522">
      <w:bodyDiv w:val="1"/>
      <w:marLeft w:val="0"/>
      <w:marRight w:val="0"/>
      <w:marTop w:val="0"/>
      <w:marBottom w:val="0"/>
      <w:divBdr>
        <w:top w:val="none" w:sz="0" w:space="0" w:color="auto"/>
        <w:left w:val="none" w:sz="0" w:space="0" w:color="auto"/>
        <w:bottom w:val="none" w:sz="0" w:space="0" w:color="auto"/>
        <w:right w:val="none" w:sz="0" w:space="0" w:color="auto"/>
      </w:divBdr>
      <w:divsChild>
        <w:div w:id="2039812421">
          <w:marLeft w:val="0"/>
          <w:marRight w:val="0"/>
          <w:marTop w:val="0"/>
          <w:marBottom w:val="0"/>
          <w:divBdr>
            <w:top w:val="none" w:sz="0" w:space="0" w:color="auto"/>
            <w:left w:val="none" w:sz="0" w:space="0" w:color="auto"/>
            <w:bottom w:val="none" w:sz="0" w:space="0" w:color="auto"/>
            <w:right w:val="none" w:sz="0" w:space="0" w:color="auto"/>
          </w:divBdr>
          <w:divsChild>
            <w:div w:id="449666725">
              <w:marLeft w:val="0"/>
              <w:marRight w:val="0"/>
              <w:marTop w:val="0"/>
              <w:marBottom w:val="0"/>
              <w:divBdr>
                <w:top w:val="none" w:sz="0" w:space="0" w:color="auto"/>
                <w:left w:val="none" w:sz="0" w:space="0" w:color="auto"/>
                <w:bottom w:val="none" w:sz="0" w:space="0" w:color="auto"/>
                <w:right w:val="none" w:sz="0" w:space="0" w:color="auto"/>
              </w:divBdr>
              <w:divsChild>
                <w:div w:id="20811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about:blank"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6654</Words>
  <Characters>36600</Characters>
  <Application>Microsoft Office Word</Application>
  <DocSecurity>4</DocSecurity>
  <Lines>305</Lines>
  <Paragraphs>86</Paragraphs>
  <ScaleCrop>false</ScaleCrop>
  <Company/>
  <LinksUpToDate>false</LinksUpToDate>
  <CharactersWithSpaces>43168</CharactersWithSpaces>
  <SharedDoc>false</SharedDoc>
  <HLinks>
    <vt:vector size="30" baseType="variant">
      <vt:variant>
        <vt:i4>6160404</vt:i4>
      </vt:variant>
      <vt:variant>
        <vt:i4>12</vt:i4>
      </vt:variant>
      <vt:variant>
        <vt:i4>0</vt:i4>
      </vt:variant>
      <vt:variant>
        <vt:i4>5</vt:i4>
      </vt:variant>
      <vt:variant>
        <vt:lpwstr>https://doi.org/10.1016/j.jad.2015.01.063</vt:lpwstr>
      </vt:variant>
      <vt:variant>
        <vt:lpwstr/>
      </vt:variant>
      <vt:variant>
        <vt:i4>393283</vt:i4>
      </vt:variant>
      <vt:variant>
        <vt:i4>9</vt:i4>
      </vt:variant>
      <vt:variant>
        <vt:i4>0</vt:i4>
      </vt:variant>
      <vt:variant>
        <vt:i4>5</vt:i4>
      </vt:variant>
      <vt:variant>
        <vt:lpwstr>https://doi.org/10.1080/07481187.2010.496686</vt:lpwstr>
      </vt:variant>
      <vt:variant>
        <vt:lpwstr/>
      </vt:variant>
      <vt:variant>
        <vt:i4>327749</vt:i4>
      </vt:variant>
      <vt:variant>
        <vt:i4>6</vt:i4>
      </vt:variant>
      <vt:variant>
        <vt:i4>0</vt:i4>
      </vt:variant>
      <vt:variant>
        <vt:i4>5</vt:i4>
      </vt:variant>
      <vt:variant>
        <vt:lpwstr>https://doi.org/10.1080/13548506.2013.811274</vt:lpwstr>
      </vt:variant>
      <vt:variant>
        <vt:lpwstr/>
      </vt:variant>
      <vt:variant>
        <vt:i4>5898260</vt:i4>
      </vt:variant>
      <vt:variant>
        <vt:i4>3</vt:i4>
      </vt:variant>
      <vt:variant>
        <vt:i4>0</vt:i4>
      </vt:variant>
      <vt:variant>
        <vt:i4>5</vt:i4>
      </vt:variant>
      <vt:variant>
        <vt:lpwstr>https://doi.org/10.1016/j.jad.2010.01.076</vt:lpwstr>
      </vt:variant>
      <vt:variant>
        <vt:lpwstr/>
      </vt:variant>
      <vt:variant>
        <vt:i4>262154</vt:i4>
      </vt:variant>
      <vt:variant>
        <vt:i4>0</vt:i4>
      </vt:variant>
      <vt:variant>
        <vt:i4>0</vt:i4>
      </vt:variant>
      <vt:variant>
        <vt:i4>5</vt:i4>
      </vt:variant>
      <vt:variant>
        <vt:lpwstr>https://doi.org/10.1176/appi.ajp.162.11.2175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Hilgeman, I. (Iris)</dc:creator>
  <cp:keywords/>
  <cp:lastModifiedBy>Willemijn</cp:lastModifiedBy>
  <cp:revision>2</cp:revision>
  <cp:lastPrinted>2021-08-09T12:21:00Z</cp:lastPrinted>
  <dcterms:created xsi:type="dcterms:W3CDTF">2021-08-09T12:24:00Z</dcterms:created>
  <dcterms:modified xsi:type="dcterms:W3CDTF">2021-08-09T12:24:00Z</dcterms:modified>
</cp:coreProperties>
</file>