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1CD07" w14:textId="3F3C3B83" w:rsidR="002E5924" w:rsidRDefault="00432A98" w:rsidP="003C5D78">
      <w:pPr>
        <w:jc w:val="center"/>
        <w:rPr>
          <w:rFonts w:asciiTheme="majorHAnsi" w:hAnsiTheme="majorHAnsi"/>
          <w:b/>
          <w:sz w:val="40"/>
          <w:szCs w:val="40"/>
          <w:lang w:val="en-GB"/>
        </w:rPr>
      </w:pPr>
      <w:r>
        <w:rPr>
          <w:rFonts w:asciiTheme="majorHAnsi" w:hAnsiTheme="majorHAnsi"/>
          <w:b/>
          <w:sz w:val="30"/>
          <w:szCs w:val="30"/>
          <w:lang w:val="en-GB"/>
        </w:rPr>
        <w:br/>
      </w:r>
      <w:r w:rsidR="004210CF">
        <w:rPr>
          <w:rFonts w:asciiTheme="majorHAnsi" w:hAnsiTheme="majorHAnsi"/>
          <w:b/>
          <w:sz w:val="30"/>
          <w:szCs w:val="30"/>
          <w:lang w:val="en-GB"/>
        </w:rPr>
        <w:t>Luca Urzì</w:t>
      </w:r>
      <w:bookmarkStart w:id="0" w:name="_GoBack"/>
      <w:bookmarkEnd w:id="0"/>
      <w:r w:rsidR="00472AFC">
        <w:rPr>
          <w:rFonts w:asciiTheme="majorHAnsi" w:hAnsiTheme="majorHAnsi"/>
          <w:b/>
          <w:sz w:val="30"/>
          <w:szCs w:val="30"/>
          <w:lang w:val="en-GB"/>
        </w:rPr>
        <w:t xml:space="preserve"> - Bachelor T</w:t>
      </w:r>
      <w:r w:rsidR="00965577">
        <w:rPr>
          <w:rFonts w:asciiTheme="majorHAnsi" w:hAnsiTheme="majorHAnsi"/>
          <w:b/>
          <w:sz w:val="30"/>
          <w:szCs w:val="30"/>
          <w:lang w:val="en-GB"/>
        </w:rPr>
        <w:t>hesis</w:t>
      </w:r>
      <w:r w:rsidR="00472AFC">
        <w:rPr>
          <w:rFonts w:asciiTheme="majorHAnsi" w:hAnsiTheme="majorHAnsi"/>
          <w:b/>
          <w:sz w:val="30"/>
          <w:szCs w:val="30"/>
          <w:lang w:val="en-GB"/>
        </w:rPr>
        <w:t xml:space="preserve"> 2021</w:t>
      </w:r>
    </w:p>
    <w:p w14:paraId="4298D6F8" w14:textId="77777777" w:rsidR="003C5D78" w:rsidRDefault="003C5D78" w:rsidP="007F61A8">
      <w:pPr>
        <w:jc w:val="center"/>
        <w:rPr>
          <w:rFonts w:asciiTheme="majorHAnsi" w:hAnsiTheme="majorHAnsi"/>
          <w:b/>
          <w:i/>
          <w:sz w:val="40"/>
          <w:szCs w:val="40"/>
          <w:lang w:val="en-GB"/>
        </w:rPr>
      </w:pPr>
    </w:p>
    <w:p w14:paraId="38335079" w14:textId="5584D339" w:rsidR="00291352" w:rsidRPr="009B0A38" w:rsidRDefault="003C5D78" w:rsidP="007F61A8">
      <w:pPr>
        <w:jc w:val="center"/>
        <w:rPr>
          <w:rFonts w:asciiTheme="majorHAnsi" w:hAnsiTheme="majorHAnsi"/>
          <w:b/>
          <w:sz w:val="50"/>
          <w:szCs w:val="50"/>
          <w:lang w:val="en-GB"/>
        </w:rPr>
      </w:pPr>
      <w:r w:rsidRPr="009B0A38">
        <w:rPr>
          <w:rFonts w:asciiTheme="majorHAnsi" w:hAnsiTheme="majorHAnsi"/>
          <w:b/>
          <w:i/>
          <w:sz w:val="50"/>
          <w:szCs w:val="50"/>
          <w:lang w:val="en-GB"/>
        </w:rPr>
        <w:t xml:space="preserve">Leaving the South behind </w:t>
      </w:r>
    </w:p>
    <w:p w14:paraId="23A2FE03" w14:textId="77777777" w:rsidR="00EB07E1" w:rsidRPr="003C5D78" w:rsidRDefault="007F61A8" w:rsidP="007F61A8">
      <w:pPr>
        <w:jc w:val="center"/>
        <w:rPr>
          <w:rFonts w:asciiTheme="majorHAnsi" w:hAnsiTheme="majorHAnsi"/>
          <w:b/>
          <w:sz w:val="36"/>
          <w:szCs w:val="36"/>
          <w:lang w:val="en-GB"/>
        </w:rPr>
      </w:pPr>
      <w:r w:rsidRPr="003C5D78">
        <w:rPr>
          <w:rFonts w:asciiTheme="majorHAnsi" w:hAnsiTheme="majorHAnsi"/>
          <w:b/>
          <w:sz w:val="36"/>
          <w:szCs w:val="36"/>
          <w:lang w:val="en-GB"/>
        </w:rPr>
        <w:t>The origins of</w:t>
      </w:r>
      <w:r w:rsidR="002E5924" w:rsidRPr="003C5D78">
        <w:rPr>
          <w:rFonts w:asciiTheme="majorHAnsi" w:hAnsiTheme="majorHAnsi"/>
          <w:b/>
          <w:sz w:val="36"/>
          <w:szCs w:val="36"/>
          <w:lang w:val="en-GB"/>
        </w:rPr>
        <w:t xml:space="preserve"> the Italian</w:t>
      </w:r>
      <w:r w:rsidRPr="003C5D78">
        <w:rPr>
          <w:rFonts w:asciiTheme="majorHAnsi" w:hAnsiTheme="majorHAnsi"/>
          <w:b/>
          <w:sz w:val="36"/>
          <w:szCs w:val="36"/>
          <w:lang w:val="en-GB"/>
        </w:rPr>
        <w:t xml:space="preserve"> South – North divergence in the mechanic industry</w:t>
      </w:r>
    </w:p>
    <w:p w14:paraId="3EF77A94" w14:textId="77777777" w:rsidR="007F61A8" w:rsidRPr="007F61A8" w:rsidRDefault="007F61A8" w:rsidP="007F61A8">
      <w:pPr>
        <w:jc w:val="center"/>
        <w:rPr>
          <w:rFonts w:asciiTheme="majorHAnsi" w:hAnsiTheme="majorHAnsi"/>
          <w:b/>
          <w:sz w:val="30"/>
          <w:szCs w:val="30"/>
          <w:lang w:val="en-GB"/>
        </w:rPr>
      </w:pPr>
      <w:r>
        <w:rPr>
          <w:rFonts w:asciiTheme="majorHAnsi" w:hAnsiTheme="majorHAnsi"/>
          <w:b/>
          <w:sz w:val="30"/>
          <w:szCs w:val="30"/>
          <w:lang w:val="en-GB"/>
        </w:rPr>
        <w:br/>
        <w:t xml:space="preserve">Pietrarsa </w:t>
      </w:r>
      <w:proofErr w:type="spellStart"/>
      <w:r>
        <w:rPr>
          <w:rFonts w:asciiTheme="majorHAnsi" w:hAnsiTheme="majorHAnsi"/>
          <w:b/>
          <w:sz w:val="30"/>
          <w:szCs w:val="30"/>
          <w:lang w:val="en-GB"/>
        </w:rPr>
        <w:t>vs</w:t>
      </w:r>
      <w:proofErr w:type="spellEnd"/>
      <w:r>
        <w:rPr>
          <w:rFonts w:asciiTheme="majorHAnsi" w:hAnsiTheme="majorHAnsi"/>
          <w:b/>
          <w:sz w:val="30"/>
          <w:szCs w:val="30"/>
          <w:lang w:val="en-GB"/>
        </w:rPr>
        <w:t xml:space="preserve"> Ansaldo: </w:t>
      </w:r>
      <w:r w:rsidR="000D11CA">
        <w:rPr>
          <w:rFonts w:asciiTheme="majorHAnsi" w:hAnsiTheme="majorHAnsi"/>
          <w:b/>
          <w:sz w:val="30"/>
          <w:szCs w:val="30"/>
          <w:lang w:val="en-GB"/>
        </w:rPr>
        <w:t>Piedmontese continuity in the political economy of</w:t>
      </w:r>
      <w:r>
        <w:rPr>
          <w:rFonts w:asciiTheme="majorHAnsi" w:hAnsiTheme="majorHAnsi"/>
          <w:b/>
          <w:sz w:val="30"/>
          <w:szCs w:val="30"/>
          <w:lang w:val="en-GB"/>
        </w:rPr>
        <w:t xml:space="preserve"> the first </w:t>
      </w:r>
      <w:r w:rsidR="000D11CA">
        <w:rPr>
          <w:rFonts w:asciiTheme="majorHAnsi" w:hAnsiTheme="majorHAnsi"/>
          <w:b/>
          <w:sz w:val="30"/>
          <w:szCs w:val="30"/>
          <w:lang w:val="en-GB"/>
        </w:rPr>
        <w:t xml:space="preserve">Italian </w:t>
      </w:r>
      <w:r>
        <w:rPr>
          <w:rFonts w:asciiTheme="majorHAnsi" w:hAnsiTheme="majorHAnsi"/>
          <w:b/>
          <w:sz w:val="30"/>
          <w:szCs w:val="30"/>
          <w:lang w:val="en-GB"/>
        </w:rPr>
        <w:t>post-unitary decades.</w:t>
      </w:r>
    </w:p>
    <w:p w14:paraId="3726502A" w14:textId="77777777" w:rsidR="00D3549A" w:rsidRDefault="00D3549A" w:rsidP="007A674A">
      <w:pPr>
        <w:rPr>
          <w:rFonts w:asciiTheme="majorHAnsi" w:hAnsiTheme="majorHAnsi"/>
          <w:b/>
          <w:sz w:val="30"/>
          <w:szCs w:val="30"/>
          <w:lang w:val="en-GB"/>
        </w:rPr>
      </w:pPr>
    </w:p>
    <w:p w14:paraId="53DE3146" w14:textId="77777777" w:rsidR="00D3549A" w:rsidRDefault="00C446AA" w:rsidP="007A674A">
      <w:pPr>
        <w:rPr>
          <w:rFonts w:asciiTheme="majorHAnsi" w:hAnsiTheme="majorHAnsi"/>
          <w:b/>
          <w:sz w:val="30"/>
          <w:szCs w:val="30"/>
          <w:lang w:val="en-GB"/>
        </w:rPr>
      </w:pPr>
      <w:r>
        <w:rPr>
          <w:noProof/>
          <w:lang w:eastAsia="it-IT"/>
        </w:rPr>
        <w:drawing>
          <wp:anchor distT="0" distB="0" distL="114300" distR="114300" simplePos="0" relativeHeight="251663360" behindDoc="1" locked="0" layoutInCell="1" allowOverlap="1" wp14:anchorId="14ED0768" wp14:editId="37C8E046">
            <wp:simplePos x="0" y="0"/>
            <wp:positionH relativeFrom="column">
              <wp:posOffset>-129540</wp:posOffset>
            </wp:positionH>
            <wp:positionV relativeFrom="paragraph">
              <wp:posOffset>113665</wp:posOffset>
            </wp:positionV>
            <wp:extent cx="2851150" cy="2333625"/>
            <wp:effectExtent l="0" t="0" r="6350" b="3175"/>
            <wp:wrapNone/>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1150" cy="2333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5408" behindDoc="1" locked="0" layoutInCell="1" allowOverlap="1" wp14:anchorId="4EDFDDF9" wp14:editId="3050B579">
            <wp:simplePos x="0" y="0"/>
            <wp:positionH relativeFrom="column">
              <wp:posOffset>3055620</wp:posOffset>
            </wp:positionH>
            <wp:positionV relativeFrom="paragraph">
              <wp:posOffset>113665</wp:posOffset>
            </wp:positionV>
            <wp:extent cx="3422650" cy="1885315"/>
            <wp:effectExtent l="0" t="0" r="6350" b="0"/>
            <wp:wrapNone/>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2650" cy="1885315"/>
                    </a:xfrm>
                    <a:prstGeom prst="rect">
                      <a:avLst/>
                    </a:prstGeom>
                    <a:noFill/>
                  </pic:spPr>
                </pic:pic>
              </a:graphicData>
            </a:graphic>
            <wp14:sizeRelH relativeFrom="page">
              <wp14:pctWidth>0</wp14:pctWidth>
            </wp14:sizeRelH>
            <wp14:sizeRelV relativeFrom="page">
              <wp14:pctHeight>0</wp14:pctHeight>
            </wp14:sizeRelV>
          </wp:anchor>
        </w:drawing>
      </w:r>
    </w:p>
    <w:p w14:paraId="0E15385A" w14:textId="77777777" w:rsidR="00D3549A" w:rsidRDefault="00D3549A" w:rsidP="007A674A">
      <w:pPr>
        <w:rPr>
          <w:rFonts w:asciiTheme="majorHAnsi" w:hAnsiTheme="majorHAnsi"/>
          <w:b/>
          <w:sz w:val="30"/>
          <w:szCs w:val="30"/>
          <w:lang w:val="en-GB"/>
        </w:rPr>
      </w:pPr>
    </w:p>
    <w:p w14:paraId="5F1F9A14" w14:textId="77777777" w:rsidR="00D3549A" w:rsidRDefault="00D3549A" w:rsidP="007A674A">
      <w:pPr>
        <w:rPr>
          <w:rFonts w:asciiTheme="majorHAnsi" w:hAnsiTheme="majorHAnsi"/>
          <w:b/>
          <w:sz w:val="30"/>
          <w:szCs w:val="30"/>
          <w:lang w:val="en-GB"/>
        </w:rPr>
      </w:pPr>
    </w:p>
    <w:p w14:paraId="5A66D2BF" w14:textId="77777777" w:rsidR="00D3549A" w:rsidRDefault="00D3549A" w:rsidP="007A674A">
      <w:pPr>
        <w:rPr>
          <w:rFonts w:asciiTheme="majorHAnsi" w:hAnsiTheme="majorHAnsi"/>
          <w:b/>
          <w:sz w:val="30"/>
          <w:szCs w:val="30"/>
          <w:lang w:val="en-GB"/>
        </w:rPr>
      </w:pPr>
    </w:p>
    <w:p w14:paraId="35AFCF4A" w14:textId="77777777" w:rsidR="00D3549A" w:rsidRDefault="00D3549A" w:rsidP="007A674A">
      <w:pPr>
        <w:rPr>
          <w:rFonts w:asciiTheme="majorHAnsi" w:hAnsiTheme="majorHAnsi"/>
          <w:b/>
          <w:sz w:val="30"/>
          <w:szCs w:val="30"/>
          <w:lang w:val="en-GB"/>
        </w:rPr>
      </w:pPr>
    </w:p>
    <w:p w14:paraId="34B024EC" w14:textId="77777777" w:rsidR="00D3549A" w:rsidRDefault="00D3549A" w:rsidP="007A674A">
      <w:pPr>
        <w:rPr>
          <w:rFonts w:asciiTheme="majorHAnsi" w:hAnsiTheme="majorHAnsi"/>
          <w:b/>
          <w:sz w:val="30"/>
          <w:szCs w:val="30"/>
          <w:lang w:val="en-GB"/>
        </w:rPr>
      </w:pPr>
    </w:p>
    <w:p w14:paraId="64853FCF" w14:textId="77777777" w:rsidR="00D3549A" w:rsidRDefault="00D3549A" w:rsidP="007A674A">
      <w:pPr>
        <w:rPr>
          <w:rFonts w:asciiTheme="majorHAnsi" w:hAnsiTheme="majorHAnsi"/>
          <w:b/>
          <w:sz w:val="30"/>
          <w:szCs w:val="30"/>
          <w:lang w:val="en-GB"/>
        </w:rPr>
      </w:pPr>
    </w:p>
    <w:p w14:paraId="66EDCC60" w14:textId="77777777" w:rsidR="000D11CA" w:rsidRPr="000D11CA" w:rsidRDefault="009D051E" w:rsidP="000D11CA">
      <w:pPr>
        <w:jc w:val="center"/>
        <w:rPr>
          <w:rFonts w:asciiTheme="majorHAnsi" w:hAnsiTheme="majorHAnsi"/>
          <w:b/>
          <w:sz w:val="30"/>
          <w:szCs w:val="30"/>
          <w:lang w:val="en-GB"/>
        </w:rPr>
      </w:pPr>
      <w:r>
        <w:rPr>
          <w:rFonts w:asciiTheme="majorHAnsi" w:hAnsiTheme="majorHAnsi"/>
          <w:b/>
          <w:sz w:val="30"/>
          <w:szCs w:val="30"/>
          <w:lang w:val="en-GB"/>
        </w:rPr>
        <w:br/>
      </w:r>
      <w:r w:rsidR="000D11CA" w:rsidRPr="000D11CA">
        <w:rPr>
          <w:rFonts w:asciiTheme="majorHAnsi" w:hAnsiTheme="majorHAnsi"/>
          <w:b/>
          <w:sz w:val="30"/>
          <w:szCs w:val="30"/>
          <w:lang w:val="en-GB"/>
        </w:rPr>
        <w:t>To what extent</w:t>
      </w:r>
      <w:r w:rsidR="000D11CA">
        <w:rPr>
          <w:rFonts w:asciiTheme="majorHAnsi" w:hAnsiTheme="majorHAnsi"/>
          <w:b/>
          <w:sz w:val="30"/>
          <w:szCs w:val="30"/>
          <w:lang w:val="en-GB"/>
        </w:rPr>
        <w:t xml:space="preserve"> were</w:t>
      </w:r>
      <w:r w:rsidR="000D11CA" w:rsidRPr="000D11CA">
        <w:rPr>
          <w:rFonts w:asciiTheme="majorHAnsi" w:hAnsiTheme="majorHAnsi"/>
          <w:b/>
          <w:sz w:val="30"/>
          <w:szCs w:val="30"/>
          <w:lang w:val="en-GB"/>
        </w:rPr>
        <w:t xml:space="preserve"> public commissions, banking credit and privatization contracts </w:t>
      </w:r>
      <w:r w:rsidR="000D11CA">
        <w:rPr>
          <w:rFonts w:asciiTheme="majorHAnsi" w:hAnsiTheme="majorHAnsi"/>
          <w:b/>
          <w:sz w:val="30"/>
          <w:szCs w:val="30"/>
          <w:lang w:val="en-GB"/>
        </w:rPr>
        <w:t>influenced</w:t>
      </w:r>
      <w:r w:rsidR="000D11CA" w:rsidRPr="000D11CA">
        <w:rPr>
          <w:rFonts w:asciiTheme="majorHAnsi" w:hAnsiTheme="majorHAnsi"/>
          <w:b/>
          <w:sz w:val="30"/>
          <w:szCs w:val="30"/>
          <w:lang w:val="en-GB"/>
        </w:rPr>
        <w:t xml:space="preserve"> by the institutional continuity between the Kingdom of Sardinia and the Kingdom of Italy?</w:t>
      </w:r>
    </w:p>
    <w:p w14:paraId="4BC67975" w14:textId="77777777" w:rsidR="00D3549A" w:rsidRDefault="00D3549A" w:rsidP="009D051E">
      <w:pPr>
        <w:jc w:val="center"/>
        <w:rPr>
          <w:rFonts w:asciiTheme="majorHAnsi" w:hAnsiTheme="majorHAnsi"/>
          <w:b/>
          <w:sz w:val="30"/>
          <w:szCs w:val="30"/>
          <w:lang w:val="en-GB"/>
        </w:rPr>
      </w:pPr>
    </w:p>
    <w:p w14:paraId="2A035063" w14:textId="77777777" w:rsidR="00DC6E10" w:rsidRDefault="000B50D9" w:rsidP="007A674A">
      <w:pPr>
        <w:rPr>
          <w:rFonts w:asciiTheme="majorHAnsi" w:hAnsiTheme="majorHAnsi"/>
          <w:b/>
          <w:sz w:val="50"/>
          <w:szCs w:val="50"/>
          <w:lang w:val="en-GB"/>
        </w:rPr>
      </w:pPr>
      <w:r>
        <w:rPr>
          <w:rFonts w:asciiTheme="majorHAnsi" w:hAnsiTheme="majorHAnsi"/>
          <w:b/>
          <w:sz w:val="30"/>
          <w:szCs w:val="30"/>
          <w:lang w:val="en-GB"/>
        </w:rPr>
        <w:br/>
      </w:r>
      <w:r w:rsidR="00DC6E10">
        <w:rPr>
          <w:rFonts w:asciiTheme="majorHAnsi" w:hAnsiTheme="majorHAnsi"/>
          <w:b/>
          <w:sz w:val="50"/>
          <w:szCs w:val="50"/>
          <w:lang w:val="en-GB"/>
        </w:rPr>
        <w:br/>
      </w:r>
    </w:p>
    <w:p w14:paraId="458BC989" w14:textId="5C2FB384" w:rsidR="00837359" w:rsidRPr="00DC6E10" w:rsidRDefault="00837359" w:rsidP="007A674A">
      <w:pPr>
        <w:rPr>
          <w:rFonts w:asciiTheme="majorHAnsi" w:hAnsiTheme="majorHAnsi"/>
          <w:b/>
          <w:sz w:val="50"/>
          <w:szCs w:val="50"/>
          <w:lang w:val="en-GB"/>
        </w:rPr>
      </w:pPr>
      <w:r w:rsidRPr="00707AF5">
        <w:rPr>
          <w:rFonts w:asciiTheme="majorHAnsi" w:hAnsiTheme="majorHAnsi"/>
          <w:b/>
          <w:sz w:val="40"/>
          <w:szCs w:val="40"/>
          <w:lang w:val="en-GB"/>
        </w:rPr>
        <w:lastRenderedPageBreak/>
        <w:t>Abstract</w:t>
      </w:r>
    </w:p>
    <w:p w14:paraId="008354F6" w14:textId="6B469D47" w:rsidR="00837359" w:rsidRDefault="00837359" w:rsidP="007A674A">
      <w:pPr>
        <w:rPr>
          <w:rFonts w:asciiTheme="majorHAnsi" w:hAnsiTheme="majorHAnsi"/>
          <w:i/>
          <w:sz w:val="26"/>
          <w:szCs w:val="26"/>
          <w:lang w:val="en-GB"/>
        </w:rPr>
      </w:pPr>
      <w:r w:rsidRPr="00707AF5">
        <w:rPr>
          <w:rFonts w:asciiTheme="majorHAnsi" w:hAnsiTheme="majorHAnsi"/>
          <w:i/>
          <w:sz w:val="26"/>
          <w:szCs w:val="26"/>
          <w:lang w:val="en-GB"/>
        </w:rPr>
        <w:t xml:space="preserve">The origins of the South – North disparity in Italy are heavily debated. Recent research </w:t>
      </w:r>
      <w:r w:rsidR="00805DCC">
        <w:rPr>
          <w:rFonts w:asciiTheme="majorHAnsi" w:hAnsiTheme="majorHAnsi"/>
          <w:i/>
          <w:sz w:val="26"/>
          <w:szCs w:val="26"/>
          <w:lang w:val="en-GB"/>
        </w:rPr>
        <w:t>has attributed the start of this</w:t>
      </w:r>
      <w:r w:rsidRPr="00707AF5">
        <w:rPr>
          <w:rFonts w:asciiTheme="majorHAnsi" w:hAnsiTheme="majorHAnsi"/>
          <w:i/>
          <w:sz w:val="26"/>
          <w:szCs w:val="26"/>
          <w:lang w:val="en-GB"/>
        </w:rPr>
        <w:t xml:space="preserve"> dualistic economy to the Italian industrial take off </w:t>
      </w:r>
      <w:r w:rsidR="00805DCC">
        <w:rPr>
          <w:rFonts w:asciiTheme="majorHAnsi" w:hAnsiTheme="majorHAnsi"/>
          <w:i/>
          <w:sz w:val="26"/>
          <w:szCs w:val="26"/>
          <w:lang w:val="en-GB"/>
        </w:rPr>
        <w:t>during the</w:t>
      </w:r>
      <w:r w:rsidRPr="00707AF5">
        <w:rPr>
          <w:rFonts w:asciiTheme="majorHAnsi" w:hAnsiTheme="majorHAnsi"/>
          <w:i/>
          <w:sz w:val="26"/>
          <w:szCs w:val="26"/>
          <w:lang w:val="en-GB"/>
        </w:rPr>
        <w:t xml:space="preserve"> 1880s, aft</w:t>
      </w:r>
      <w:r w:rsidR="00805DCC">
        <w:rPr>
          <w:rFonts w:asciiTheme="majorHAnsi" w:hAnsiTheme="majorHAnsi"/>
          <w:i/>
          <w:sz w:val="26"/>
          <w:szCs w:val="26"/>
          <w:lang w:val="en-GB"/>
        </w:rPr>
        <w:t>er unification. Accordingly, industrial concentration in the North occurred because of</w:t>
      </w:r>
      <w:r w:rsidR="003A0717">
        <w:rPr>
          <w:rFonts w:asciiTheme="majorHAnsi" w:hAnsiTheme="majorHAnsi"/>
          <w:i/>
          <w:sz w:val="26"/>
          <w:szCs w:val="26"/>
          <w:lang w:val="en-GB"/>
        </w:rPr>
        <w:t xml:space="preserve"> </w:t>
      </w:r>
      <w:r w:rsidR="00805DCC">
        <w:rPr>
          <w:rFonts w:asciiTheme="majorHAnsi" w:hAnsiTheme="majorHAnsi"/>
          <w:i/>
          <w:sz w:val="26"/>
          <w:szCs w:val="26"/>
          <w:lang w:val="en-GB"/>
        </w:rPr>
        <w:t>the attraction that natural comparative advantages exercised on mobile capitals in that period.</w:t>
      </w:r>
      <w:r w:rsidRPr="00707AF5">
        <w:rPr>
          <w:rFonts w:asciiTheme="majorHAnsi" w:hAnsiTheme="majorHAnsi"/>
          <w:i/>
          <w:sz w:val="26"/>
          <w:szCs w:val="26"/>
          <w:lang w:val="en-GB"/>
        </w:rPr>
        <w:t xml:space="preserve"> </w:t>
      </w:r>
      <w:r w:rsidR="008E5837" w:rsidRPr="00707AF5">
        <w:rPr>
          <w:rFonts w:asciiTheme="majorHAnsi" w:hAnsiTheme="majorHAnsi"/>
          <w:i/>
          <w:sz w:val="26"/>
          <w:szCs w:val="26"/>
          <w:lang w:val="en-GB"/>
        </w:rPr>
        <w:t>This thesis</w:t>
      </w:r>
      <w:r w:rsidR="003A0717">
        <w:rPr>
          <w:rFonts w:asciiTheme="majorHAnsi" w:hAnsiTheme="majorHAnsi"/>
          <w:i/>
          <w:sz w:val="26"/>
          <w:szCs w:val="26"/>
          <w:lang w:val="en-GB"/>
        </w:rPr>
        <w:t>, on the other hand,</w:t>
      </w:r>
      <w:r w:rsidR="00805DCC">
        <w:rPr>
          <w:rFonts w:asciiTheme="majorHAnsi" w:hAnsiTheme="majorHAnsi"/>
          <w:i/>
          <w:sz w:val="26"/>
          <w:szCs w:val="26"/>
          <w:lang w:val="en-GB"/>
        </w:rPr>
        <w:t xml:space="preserve"> shows that institutional continuities</w:t>
      </w:r>
      <w:r w:rsidR="008E5837" w:rsidRPr="00707AF5">
        <w:rPr>
          <w:rFonts w:asciiTheme="majorHAnsi" w:hAnsiTheme="majorHAnsi"/>
          <w:i/>
          <w:sz w:val="26"/>
          <w:szCs w:val="26"/>
          <w:lang w:val="en-GB"/>
        </w:rPr>
        <w:t xml:space="preserve"> between the Kingdom of Sardinia and the Italian state in post-unitary decades </w:t>
      </w:r>
      <w:r w:rsidR="00805DCC">
        <w:rPr>
          <w:rFonts w:asciiTheme="majorHAnsi" w:hAnsiTheme="majorHAnsi"/>
          <w:i/>
          <w:sz w:val="26"/>
          <w:szCs w:val="26"/>
          <w:lang w:val="en-GB"/>
        </w:rPr>
        <w:t>constituted a fixed resource that attracted mobile capitals</w:t>
      </w:r>
      <w:r w:rsidR="008E5837" w:rsidRPr="00707AF5">
        <w:rPr>
          <w:rFonts w:asciiTheme="majorHAnsi" w:hAnsiTheme="majorHAnsi"/>
          <w:i/>
          <w:sz w:val="26"/>
          <w:szCs w:val="26"/>
          <w:lang w:val="en-GB"/>
        </w:rPr>
        <w:t xml:space="preserve"> such as favourable state involvement, public contracts a</w:t>
      </w:r>
      <w:r w:rsidR="003A0717">
        <w:rPr>
          <w:rFonts w:asciiTheme="majorHAnsi" w:hAnsiTheme="majorHAnsi"/>
          <w:i/>
          <w:sz w:val="26"/>
          <w:szCs w:val="26"/>
          <w:lang w:val="en-GB"/>
        </w:rPr>
        <w:t>nd greater credit availability to</w:t>
      </w:r>
      <w:r w:rsidR="00805DCC">
        <w:rPr>
          <w:rFonts w:asciiTheme="majorHAnsi" w:hAnsiTheme="majorHAnsi"/>
          <w:i/>
          <w:sz w:val="26"/>
          <w:szCs w:val="26"/>
          <w:lang w:val="en-GB"/>
        </w:rPr>
        <w:t>wards</w:t>
      </w:r>
      <w:r w:rsidR="003A0717">
        <w:rPr>
          <w:rFonts w:asciiTheme="majorHAnsi" w:hAnsiTheme="majorHAnsi"/>
          <w:i/>
          <w:sz w:val="26"/>
          <w:szCs w:val="26"/>
          <w:lang w:val="en-GB"/>
        </w:rPr>
        <w:t xml:space="preserve"> Northern engineering firms.</w:t>
      </w:r>
      <w:r w:rsidR="008E5837" w:rsidRPr="00707AF5">
        <w:rPr>
          <w:rFonts w:asciiTheme="majorHAnsi" w:hAnsiTheme="majorHAnsi"/>
          <w:i/>
          <w:sz w:val="26"/>
          <w:szCs w:val="26"/>
          <w:lang w:val="en-GB"/>
        </w:rPr>
        <w:t xml:space="preserve"> </w:t>
      </w:r>
      <w:r w:rsidRPr="00707AF5">
        <w:rPr>
          <w:rFonts w:asciiTheme="majorHAnsi" w:hAnsiTheme="majorHAnsi"/>
          <w:i/>
          <w:sz w:val="26"/>
          <w:szCs w:val="26"/>
          <w:lang w:val="en-GB"/>
        </w:rPr>
        <w:t xml:space="preserve">This qualitative case study has compared privatization contracts, public contracts and credit </w:t>
      </w:r>
      <w:r w:rsidR="00C77E0E">
        <w:rPr>
          <w:rFonts w:asciiTheme="majorHAnsi" w:hAnsiTheme="majorHAnsi"/>
          <w:i/>
          <w:sz w:val="26"/>
          <w:szCs w:val="26"/>
          <w:lang w:val="en-GB"/>
        </w:rPr>
        <w:t xml:space="preserve">availability </w:t>
      </w:r>
      <w:r w:rsidRPr="00707AF5">
        <w:rPr>
          <w:rFonts w:asciiTheme="majorHAnsi" w:hAnsiTheme="majorHAnsi"/>
          <w:i/>
          <w:sz w:val="26"/>
          <w:szCs w:val="26"/>
          <w:lang w:val="en-GB"/>
        </w:rPr>
        <w:t xml:space="preserve"> of Pietrarsa</w:t>
      </w:r>
      <w:r w:rsidR="003A0717">
        <w:rPr>
          <w:rFonts w:asciiTheme="majorHAnsi" w:hAnsiTheme="majorHAnsi"/>
          <w:i/>
          <w:sz w:val="26"/>
          <w:szCs w:val="26"/>
          <w:lang w:val="en-GB"/>
        </w:rPr>
        <w:t xml:space="preserve"> (South Italy)</w:t>
      </w:r>
      <w:r w:rsidRPr="00707AF5">
        <w:rPr>
          <w:rFonts w:asciiTheme="majorHAnsi" w:hAnsiTheme="majorHAnsi"/>
          <w:i/>
          <w:sz w:val="26"/>
          <w:szCs w:val="26"/>
          <w:lang w:val="en-GB"/>
        </w:rPr>
        <w:t xml:space="preserve"> and Ansaldo</w:t>
      </w:r>
      <w:r w:rsidR="003A0717">
        <w:rPr>
          <w:rFonts w:asciiTheme="majorHAnsi" w:hAnsiTheme="majorHAnsi"/>
          <w:i/>
          <w:sz w:val="26"/>
          <w:szCs w:val="26"/>
          <w:lang w:val="en-GB"/>
        </w:rPr>
        <w:t xml:space="preserve"> (North Italy), the two biggest firms of post-unitary Italy,</w:t>
      </w:r>
      <w:r w:rsidRPr="00707AF5">
        <w:rPr>
          <w:rFonts w:asciiTheme="majorHAnsi" w:hAnsiTheme="majorHAnsi"/>
          <w:i/>
          <w:sz w:val="26"/>
          <w:szCs w:val="26"/>
          <w:lang w:val="en-GB"/>
        </w:rPr>
        <w:t xml:space="preserve"> using Mill’s method of difference in order to identity the cause that determined Pietrarsa’s failure and Ansaldo’s success. These elements have been tied to the role of three main aspects of political continuity in the Italian state-building process: the extension of Sardinian legislation, continuity of Sardinian nobility and military ranks in the cabinet of the Royal Navy, and the continuation of the pre-unitary relationship between government and the National Bank in the new state. </w:t>
      </w:r>
      <w:r w:rsidR="008E5837" w:rsidRPr="00707AF5">
        <w:rPr>
          <w:rFonts w:asciiTheme="majorHAnsi" w:hAnsiTheme="majorHAnsi"/>
          <w:i/>
          <w:sz w:val="26"/>
          <w:szCs w:val="26"/>
          <w:lang w:val="en-GB"/>
        </w:rPr>
        <w:br/>
      </w:r>
      <w:r w:rsidR="008E5837" w:rsidRPr="00707AF5">
        <w:rPr>
          <w:rFonts w:asciiTheme="majorHAnsi" w:hAnsiTheme="majorHAnsi"/>
          <w:i/>
          <w:sz w:val="26"/>
          <w:szCs w:val="26"/>
          <w:lang w:val="en-GB"/>
        </w:rPr>
        <w:tab/>
        <w:t xml:space="preserve">Ultimately, the factor in which institutional continuities played the greatest role was credit availability. </w:t>
      </w:r>
      <w:r w:rsidR="00707AF5" w:rsidRPr="00707AF5">
        <w:rPr>
          <w:rFonts w:asciiTheme="majorHAnsi" w:hAnsiTheme="majorHAnsi"/>
          <w:i/>
          <w:sz w:val="26"/>
          <w:szCs w:val="26"/>
          <w:lang w:val="en-GB"/>
        </w:rPr>
        <w:t>The institutional continuity between the Italian state and the Kingdom of Sardinia characterized a fixed capital that manifested itself into significantly greater credit availability for the Ansaldo, a factor which, according to Mill’s framework, was important enough to determine the failure of Pietrarsa and the success of Ansaldo during the first two post-unitary decades. This type of fixed capital, there</w:t>
      </w:r>
      <w:r w:rsidR="009C4C4D">
        <w:rPr>
          <w:rFonts w:asciiTheme="majorHAnsi" w:hAnsiTheme="majorHAnsi"/>
          <w:i/>
          <w:sz w:val="26"/>
          <w:szCs w:val="26"/>
          <w:lang w:val="en-GB"/>
        </w:rPr>
        <w:t>fore, is likely to have played an important</w:t>
      </w:r>
      <w:r w:rsidR="00707AF5" w:rsidRPr="00707AF5">
        <w:rPr>
          <w:rFonts w:asciiTheme="majorHAnsi" w:hAnsiTheme="majorHAnsi"/>
          <w:i/>
          <w:sz w:val="26"/>
          <w:szCs w:val="26"/>
          <w:lang w:val="en-GB"/>
        </w:rPr>
        <w:t xml:space="preserve"> role in the geographical concentration of Italian industries in the North during the first post-unitary decades</w:t>
      </w:r>
      <w:r w:rsidR="009C4C4D">
        <w:rPr>
          <w:rFonts w:asciiTheme="majorHAnsi" w:hAnsiTheme="majorHAnsi"/>
          <w:i/>
          <w:sz w:val="26"/>
          <w:szCs w:val="26"/>
          <w:lang w:val="en-GB"/>
        </w:rPr>
        <w:t xml:space="preserve"> which needs to be investigated.</w:t>
      </w:r>
    </w:p>
    <w:p w14:paraId="66F0E85B" w14:textId="77777777" w:rsidR="00805DCC" w:rsidRDefault="00805DCC" w:rsidP="007A674A">
      <w:pPr>
        <w:rPr>
          <w:rFonts w:asciiTheme="majorHAnsi" w:hAnsiTheme="majorHAnsi"/>
          <w:i/>
          <w:sz w:val="26"/>
          <w:szCs w:val="26"/>
          <w:lang w:val="en-GB"/>
        </w:rPr>
      </w:pPr>
    </w:p>
    <w:p w14:paraId="430EDFCC" w14:textId="77777777" w:rsidR="00805DCC" w:rsidRPr="00707AF5" w:rsidRDefault="00805DCC" w:rsidP="007A674A">
      <w:pPr>
        <w:rPr>
          <w:rFonts w:asciiTheme="majorHAnsi" w:hAnsiTheme="majorHAnsi"/>
          <w:i/>
          <w:sz w:val="26"/>
          <w:szCs w:val="26"/>
          <w:lang w:val="en-GB"/>
        </w:rPr>
      </w:pPr>
    </w:p>
    <w:p w14:paraId="495F1B10" w14:textId="77777777" w:rsidR="00837359" w:rsidRDefault="00837359" w:rsidP="007A674A">
      <w:pPr>
        <w:rPr>
          <w:rFonts w:asciiTheme="majorHAnsi" w:hAnsiTheme="majorHAnsi"/>
          <w:b/>
          <w:sz w:val="50"/>
          <w:szCs w:val="50"/>
          <w:lang w:val="en-GB"/>
        </w:rPr>
      </w:pPr>
    </w:p>
    <w:p w14:paraId="2CAC6ECD" w14:textId="77777777" w:rsidR="00805DCC" w:rsidRDefault="00805DCC" w:rsidP="007A674A">
      <w:pPr>
        <w:rPr>
          <w:rFonts w:asciiTheme="majorHAnsi" w:hAnsiTheme="majorHAnsi"/>
          <w:b/>
          <w:sz w:val="50"/>
          <w:szCs w:val="50"/>
          <w:lang w:val="en-GB"/>
        </w:rPr>
      </w:pPr>
    </w:p>
    <w:p w14:paraId="082A06BD" w14:textId="77777777" w:rsidR="00B137A2" w:rsidRDefault="00B137A2" w:rsidP="007A674A">
      <w:pPr>
        <w:rPr>
          <w:rFonts w:asciiTheme="majorHAnsi" w:hAnsiTheme="majorHAnsi"/>
          <w:b/>
          <w:sz w:val="50"/>
          <w:szCs w:val="50"/>
          <w:lang w:val="en-GB"/>
        </w:rPr>
      </w:pPr>
    </w:p>
    <w:p w14:paraId="35E4015A" w14:textId="79507B5B" w:rsidR="005243C7" w:rsidRPr="000D0ECC" w:rsidRDefault="00AF1FC5" w:rsidP="007A674A">
      <w:pPr>
        <w:rPr>
          <w:rFonts w:asciiTheme="majorHAnsi" w:hAnsiTheme="majorHAnsi"/>
          <w:b/>
          <w:sz w:val="50"/>
          <w:szCs w:val="50"/>
          <w:lang w:val="en-GB"/>
        </w:rPr>
      </w:pPr>
      <w:r>
        <w:rPr>
          <w:rFonts w:asciiTheme="majorHAnsi" w:hAnsiTheme="majorHAnsi"/>
          <w:b/>
          <w:sz w:val="50"/>
          <w:szCs w:val="50"/>
          <w:lang w:val="en-GB"/>
        </w:rPr>
        <w:lastRenderedPageBreak/>
        <w:br/>
      </w:r>
      <w:r w:rsidR="004C3D3B" w:rsidRPr="00696000">
        <w:rPr>
          <w:rFonts w:asciiTheme="majorHAnsi" w:hAnsiTheme="majorHAnsi"/>
          <w:b/>
          <w:sz w:val="50"/>
          <w:szCs w:val="50"/>
          <w:lang w:val="en-GB"/>
        </w:rPr>
        <w:t>Table of contents</w:t>
      </w:r>
    </w:p>
    <w:p w14:paraId="0714B08A" w14:textId="77777777" w:rsidR="004C3D3B" w:rsidRPr="005243C7" w:rsidRDefault="004C3D3B" w:rsidP="007A674A">
      <w:pPr>
        <w:pStyle w:val="ListParagraph"/>
        <w:numPr>
          <w:ilvl w:val="0"/>
          <w:numId w:val="1"/>
        </w:numPr>
        <w:rPr>
          <w:rFonts w:asciiTheme="majorHAnsi" w:hAnsiTheme="majorHAnsi"/>
          <w:b/>
          <w:sz w:val="30"/>
          <w:szCs w:val="30"/>
          <w:lang w:val="en-GB"/>
        </w:rPr>
      </w:pPr>
      <w:r w:rsidRPr="00696000">
        <w:rPr>
          <w:rFonts w:asciiTheme="majorHAnsi" w:hAnsiTheme="majorHAnsi"/>
          <w:b/>
          <w:sz w:val="40"/>
          <w:szCs w:val="40"/>
          <w:lang w:val="en-GB"/>
        </w:rPr>
        <w:t>Introduction</w:t>
      </w:r>
      <w:r>
        <w:rPr>
          <w:rFonts w:asciiTheme="majorHAnsi" w:hAnsiTheme="majorHAnsi"/>
          <w:b/>
          <w:sz w:val="30"/>
          <w:szCs w:val="30"/>
          <w:lang w:val="en-GB"/>
        </w:rPr>
        <w:br/>
      </w:r>
      <w:r w:rsidRPr="00696000">
        <w:rPr>
          <w:rFonts w:asciiTheme="majorHAnsi" w:hAnsiTheme="majorHAnsi"/>
          <w:b/>
          <w:sz w:val="26"/>
          <w:szCs w:val="26"/>
          <w:lang w:val="en-GB"/>
        </w:rPr>
        <w:t xml:space="preserve">1.1 Relevance of Southern Question and research </w:t>
      </w:r>
      <w:r w:rsidR="00CD6092" w:rsidRPr="00696000">
        <w:rPr>
          <w:rFonts w:asciiTheme="majorHAnsi" w:hAnsiTheme="majorHAnsi"/>
          <w:b/>
          <w:sz w:val="26"/>
          <w:szCs w:val="26"/>
          <w:lang w:val="en-GB"/>
        </w:rPr>
        <w:t>question</w:t>
      </w:r>
      <w:r w:rsidR="00CD6092" w:rsidRPr="00696000">
        <w:rPr>
          <w:rFonts w:asciiTheme="majorHAnsi" w:hAnsiTheme="majorHAnsi"/>
          <w:b/>
          <w:sz w:val="26"/>
          <w:szCs w:val="26"/>
          <w:lang w:val="en-GB"/>
        </w:rPr>
        <w:br/>
        <w:t>1.2</w:t>
      </w:r>
      <w:r w:rsidRPr="00696000">
        <w:rPr>
          <w:rFonts w:asciiTheme="majorHAnsi" w:hAnsiTheme="majorHAnsi"/>
          <w:b/>
          <w:sz w:val="26"/>
          <w:szCs w:val="26"/>
          <w:lang w:val="en-GB"/>
        </w:rPr>
        <w:t xml:space="preserve"> Methodology</w:t>
      </w:r>
    </w:p>
    <w:p w14:paraId="3FC5659D" w14:textId="77777777" w:rsidR="005243C7" w:rsidRPr="00CD6092" w:rsidRDefault="005243C7" w:rsidP="005243C7">
      <w:pPr>
        <w:pStyle w:val="ListParagraph"/>
        <w:rPr>
          <w:rFonts w:asciiTheme="majorHAnsi" w:hAnsiTheme="majorHAnsi"/>
          <w:b/>
          <w:sz w:val="30"/>
          <w:szCs w:val="30"/>
          <w:lang w:val="en-GB"/>
        </w:rPr>
      </w:pPr>
    </w:p>
    <w:p w14:paraId="1973C6A8" w14:textId="77D2381B" w:rsidR="00C84123" w:rsidRPr="00C84123" w:rsidRDefault="00CD6092" w:rsidP="00C84123">
      <w:pPr>
        <w:pStyle w:val="ListParagraph"/>
        <w:numPr>
          <w:ilvl w:val="0"/>
          <w:numId w:val="1"/>
        </w:numPr>
        <w:rPr>
          <w:rFonts w:asciiTheme="majorHAnsi" w:hAnsiTheme="majorHAnsi"/>
          <w:b/>
          <w:sz w:val="26"/>
          <w:szCs w:val="26"/>
          <w:lang w:val="en-GB"/>
        </w:rPr>
      </w:pPr>
      <w:r w:rsidRPr="00696000">
        <w:rPr>
          <w:rFonts w:asciiTheme="majorHAnsi" w:hAnsiTheme="majorHAnsi"/>
          <w:b/>
          <w:sz w:val="40"/>
          <w:szCs w:val="40"/>
          <w:lang w:val="en-GB"/>
        </w:rPr>
        <w:t>Chapter 1 – Framing the case study</w:t>
      </w:r>
      <w:r>
        <w:rPr>
          <w:rFonts w:asciiTheme="majorHAnsi" w:hAnsiTheme="majorHAnsi"/>
          <w:b/>
          <w:sz w:val="30"/>
          <w:szCs w:val="30"/>
          <w:lang w:val="en-GB"/>
        </w:rPr>
        <w:br/>
      </w:r>
      <w:r w:rsidRPr="00696000">
        <w:rPr>
          <w:rFonts w:asciiTheme="majorHAnsi" w:hAnsiTheme="majorHAnsi"/>
          <w:b/>
          <w:sz w:val="26"/>
          <w:szCs w:val="26"/>
          <w:lang w:val="en-GB"/>
        </w:rPr>
        <w:t xml:space="preserve">2.1 </w:t>
      </w:r>
      <w:r w:rsidR="00243CD7">
        <w:rPr>
          <w:rFonts w:asciiTheme="majorHAnsi" w:hAnsiTheme="majorHAnsi"/>
          <w:b/>
          <w:sz w:val="26"/>
          <w:szCs w:val="26"/>
          <w:lang w:val="en-GB"/>
        </w:rPr>
        <w:t>The South – North divergence at the time of Unification</w:t>
      </w:r>
      <w:r w:rsidRPr="00696000">
        <w:rPr>
          <w:rFonts w:asciiTheme="majorHAnsi" w:hAnsiTheme="majorHAnsi"/>
          <w:b/>
          <w:sz w:val="26"/>
          <w:szCs w:val="26"/>
          <w:lang w:val="en-GB"/>
        </w:rPr>
        <w:br/>
        <w:t xml:space="preserve">2.2 </w:t>
      </w:r>
      <w:r w:rsidR="00162827">
        <w:rPr>
          <w:rFonts w:asciiTheme="majorHAnsi" w:hAnsiTheme="majorHAnsi"/>
          <w:b/>
          <w:sz w:val="26"/>
          <w:szCs w:val="26"/>
          <w:lang w:val="en-GB"/>
        </w:rPr>
        <w:t>Post-Unification engineering industry: leaving the South behind</w:t>
      </w:r>
      <w:r w:rsidR="00C84123">
        <w:rPr>
          <w:rFonts w:asciiTheme="majorHAnsi" w:hAnsiTheme="majorHAnsi"/>
          <w:b/>
          <w:sz w:val="26"/>
          <w:szCs w:val="26"/>
          <w:lang w:val="en-GB"/>
        </w:rPr>
        <w:br/>
        <w:t xml:space="preserve">2.3 </w:t>
      </w:r>
      <w:r w:rsidR="00162827">
        <w:rPr>
          <w:rFonts w:asciiTheme="majorHAnsi" w:hAnsiTheme="majorHAnsi"/>
          <w:b/>
          <w:sz w:val="26"/>
          <w:szCs w:val="26"/>
          <w:lang w:val="en-GB"/>
        </w:rPr>
        <w:t>Applying Fenoaltea’s model: institutional continuities as fixed capital</w:t>
      </w:r>
    </w:p>
    <w:p w14:paraId="07D63D2B" w14:textId="77777777" w:rsidR="005243C7" w:rsidRPr="00CD6092" w:rsidRDefault="005243C7" w:rsidP="005243C7">
      <w:pPr>
        <w:pStyle w:val="ListParagraph"/>
        <w:rPr>
          <w:rFonts w:asciiTheme="majorHAnsi" w:hAnsiTheme="majorHAnsi"/>
          <w:b/>
          <w:sz w:val="30"/>
          <w:szCs w:val="30"/>
          <w:lang w:val="en-GB"/>
        </w:rPr>
      </w:pPr>
    </w:p>
    <w:p w14:paraId="40F559C9" w14:textId="77777777" w:rsidR="004C3D3B" w:rsidRPr="005243C7" w:rsidRDefault="00CD6092" w:rsidP="007A674A">
      <w:pPr>
        <w:pStyle w:val="ListParagraph"/>
        <w:numPr>
          <w:ilvl w:val="0"/>
          <w:numId w:val="1"/>
        </w:numPr>
        <w:rPr>
          <w:rFonts w:asciiTheme="majorHAnsi" w:hAnsiTheme="majorHAnsi"/>
          <w:b/>
          <w:sz w:val="30"/>
          <w:szCs w:val="30"/>
          <w:lang w:val="en-GB"/>
        </w:rPr>
      </w:pPr>
      <w:r w:rsidRPr="00696000">
        <w:rPr>
          <w:rFonts w:asciiTheme="majorHAnsi" w:hAnsiTheme="majorHAnsi"/>
          <w:b/>
          <w:sz w:val="40"/>
          <w:szCs w:val="40"/>
          <w:lang w:val="en-GB"/>
        </w:rPr>
        <w:t>Chapter 2</w:t>
      </w:r>
      <w:r w:rsidR="004C3D3B" w:rsidRPr="00696000">
        <w:rPr>
          <w:rFonts w:asciiTheme="majorHAnsi" w:hAnsiTheme="majorHAnsi"/>
          <w:b/>
          <w:sz w:val="40"/>
          <w:szCs w:val="40"/>
          <w:lang w:val="en-GB"/>
        </w:rPr>
        <w:t xml:space="preserve"> </w:t>
      </w:r>
      <w:r w:rsidR="003E2E8D" w:rsidRPr="00696000">
        <w:rPr>
          <w:rFonts w:asciiTheme="majorHAnsi" w:hAnsiTheme="majorHAnsi"/>
          <w:b/>
          <w:sz w:val="40"/>
          <w:szCs w:val="40"/>
          <w:lang w:val="en-GB"/>
        </w:rPr>
        <w:t>–</w:t>
      </w:r>
      <w:r w:rsidR="004C3D3B" w:rsidRPr="00696000">
        <w:rPr>
          <w:rFonts w:asciiTheme="majorHAnsi" w:hAnsiTheme="majorHAnsi"/>
          <w:b/>
          <w:sz w:val="40"/>
          <w:szCs w:val="40"/>
          <w:lang w:val="en-GB"/>
        </w:rPr>
        <w:t xml:space="preserve"> </w:t>
      </w:r>
      <w:r w:rsidR="0054280C" w:rsidRPr="00696000">
        <w:rPr>
          <w:rFonts w:asciiTheme="majorHAnsi" w:hAnsiTheme="majorHAnsi"/>
          <w:b/>
          <w:sz w:val="40"/>
          <w:szCs w:val="40"/>
          <w:lang w:val="en-GB"/>
        </w:rPr>
        <w:t>The privatization process</w:t>
      </w:r>
      <w:r w:rsidR="0054280C">
        <w:rPr>
          <w:rFonts w:asciiTheme="majorHAnsi" w:hAnsiTheme="majorHAnsi"/>
          <w:b/>
          <w:lang w:val="en-GB"/>
        </w:rPr>
        <w:br/>
      </w:r>
      <w:r w:rsidR="0054280C" w:rsidRPr="00696000">
        <w:rPr>
          <w:rFonts w:asciiTheme="majorHAnsi" w:hAnsiTheme="majorHAnsi"/>
          <w:b/>
          <w:sz w:val="26"/>
          <w:szCs w:val="26"/>
          <w:lang w:val="en-GB"/>
        </w:rPr>
        <w:t>3.1</w:t>
      </w:r>
      <w:r w:rsidR="00467103" w:rsidRPr="00696000">
        <w:rPr>
          <w:rFonts w:asciiTheme="majorHAnsi" w:hAnsiTheme="majorHAnsi"/>
          <w:b/>
          <w:sz w:val="26"/>
          <w:szCs w:val="26"/>
          <w:lang w:val="en-GB"/>
        </w:rPr>
        <w:t xml:space="preserve"> </w:t>
      </w:r>
      <w:r w:rsidR="003E2E8D" w:rsidRPr="00696000">
        <w:rPr>
          <w:rFonts w:asciiTheme="majorHAnsi" w:hAnsiTheme="majorHAnsi"/>
          <w:b/>
          <w:sz w:val="26"/>
          <w:szCs w:val="26"/>
          <w:lang w:val="en-GB"/>
        </w:rPr>
        <w:t>Brief history of Pietrars</w:t>
      </w:r>
      <w:r w:rsidR="0054280C" w:rsidRPr="00696000">
        <w:rPr>
          <w:rFonts w:asciiTheme="majorHAnsi" w:hAnsiTheme="majorHAnsi"/>
          <w:b/>
          <w:sz w:val="26"/>
          <w:szCs w:val="26"/>
          <w:lang w:val="en-GB"/>
        </w:rPr>
        <w:t>a</w:t>
      </w:r>
      <w:r w:rsidR="0054280C" w:rsidRPr="00696000">
        <w:rPr>
          <w:rFonts w:asciiTheme="majorHAnsi" w:hAnsiTheme="majorHAnsi"/>
          <w:b/>
          <w:sz w:val="26"/>
          <w:szCs w:val="26"/>
          <w:lang w:val="en-GB"/>
        </w:rPr>
        <w:br/>
        <w:t>3.2</w:t>
      </w:r>
      <w:r w:rsidR="003E2E8D" w:rsidRPr="00696000">
        <w:rPr>
          <w:rFonts w:asciiTheme="majorHAnsi" w:hAnsiTheme="majorHAnsi"/>
          <w:b/>
          <w:sz w:val="26"/>
          <w:szCs w:val="26"/>
          <w:lang w:val="en-GB"/>
        </w:rPr>
        <w:t xml:space="preserve"> Brief history of Ansaldo</w:t>
      </w:r>
      <w:r w:rsidR="0054280C" w:rsidRPr="00696000">
        <w:rPr>
          <w:rFonts w:asciiTheme="majorHAnsi" w:hAnsiTheme="majorHAnsi"/>
          <w:b/>
          <w:sz w:val="26"/>
          <w:szCs w:val="26"/>
          <w:lang w:val="en-GB"/>
        </w:rPr>
        <w:br/>
        <w:t>3.3</w:t>
      </w:r>
      <w:r w:rsidR="003E2E8D" w:rsidRPr="00696000">
        <w:rPr>
          <w:rFonts w:asciiTheme="majorHAnsi" w:hAnsiTheme="majorHAnsi"/>
          <w:b/>
          <w:sz w:val="26"/>
          <w:szCs w:val="26"/>
          <w:lang w:val="en-GB"/>
        </w:rPr>
        <w:t xml:space="preserve"> The privat</w:t>
      </w:r>
      <w:r w:rsidR="00467103" w:rsidRPr="00696000">
        <w:rPr>
          <w:rFonts w:asciiTheme="majorHAnsi" w:hAnsiTheme="majorHAnsi"/>
          <w:b/>
          <w:sz w:val="26"/>
          <w:szCs w:val="26"/>
          <w:lang w:val="en-GB"/>
        </w:rPr>
        <w:t>ization process of Piet</w:t>
      </w:r>
      <w:r w:rsidR="0054280C" w:rsidRPr="00696000">
        <w:rPr>
          <w:rFonts w:asciiTheme="majorHAnsi" w:hAnsiTheme="majorHAnsi"/>
          <w:b/>
          <w:sz w:val="26"/>
          <w:szCs w:val="26"/>
          <w:lang w:val="en-GB"/>
        </w:rPr>
        <w:t>rarsa</w:t>
      </w:r>
      <w:r w:rsidR="0054280C" w:rsidRPr="00696000">
        <w:rPr>
          <w:rFonts w:asciiTheme="majorHAnsi" w:hAnsiTheme="majorHAnsi"/>
          <w:b/>
          <w:sz w:val="26"/>
          <w:szCs w:val="26"/>
          <w:lang w:val="en-GB"/>
        </w:rPr>
        <w:br/>
        <w:t>3.4</w:t>
      </w:r>
      <w:r w:rsidR="003E2E8D" w:rsidRPr="00696000">
        <w:rPr>
          <w:rFonts w:asciiTheme="majorHAnsi" w:hAnsiTheme="majorHAnsi"/>
          <w:b/>
          <w:sz w:val="26"/>
          <w:szCs w:val="26"/>
          <w:lang w:val="en-GB"/>
        </w:rPr>
        <w:t xml:space="preserve"> The priv</w:t>
      </w:r>
      <w:r w:rsidR="0054280C" w:rsidRPr="00696000">
        <w:rPr>
          <w:rFonts w:asciiTheme="majorHAnsi" w:hAnsiTheme="majorHAnsi"/>
          <w:b/>
          <w:sz w:val="26"/>
          <w:szCs w:val="26"/>
          <w:lang w:val="en-GB"/>
        </w:rPr>
        <w:t>atization process of Ansaldo</w:t>
      </w:r>
      <w:r w:rsidR="0054280C" w:rsidRPr="00696000">
        <w:rPr>
          <w:rFonts w:asciiTheme="majorHAnsi" w:hAnsiTheme="majorHAnsi"/>
          <w:b/>
          <w:sz w:val="26"/>
          <w:szCs w:val="26"/>
          <w:lang w:val="en-GB"/>
        </w:rPr>
        <w:br/>
        <w:t>3.5</w:t>
      </w:r>
      <w:r w:rsidR="003E2E8D" w:rsidRPr="00696000">
        <w:rPr>
          <w:rFonts w:asciiTheme="majorHAnsi" w:hAnsiTheme="majorHAnsi"/>
          <w:b/>
          <w:sz w:val="26"/>
          <w:szCs w:val="26"/>
          <w:lang w:val="en-GB"/>
        </w:rPr>
        <w:t xml:space="preserve"> The comparison between both processes</w:t>
      </w:r>
    </w:p>
    <w:p w14:paraId="1F825295" w14:textId="77777777" w:rsidR="005243C7" w:rsidRPr="003E2E8D" w:rsidRDefault="005243C7" w:rsidP="005243C7">
      <w:pPr>
        <w:pStyle w:val="ListParagraph"/>
        <w:rPr>
          <w:rFonts w:asciiTheme="majorHAnsi" w:hAnsiTheme="majorHAnsi"/>
          <w:b/>
          <w:sz w:val="30"/>
          <w:szCs w:val="30"/>
          <w:lang w:val="en-GB"/>
        </w:rPr>
      </w:pPr>
    </w:p>
    <w:p w14:paraId="65A6DA72" w14:textId="7BD02335" w:rsidR="005243C7" w:rsidRDefault="00CD6092" w:rsidP="00025FC2">
      <w:pPr>
        <w:pStyle w:val="ListParagraph"/>
        <w:numPr>
          <w:ilvl w:val="0"/>
          <w:numId w:val="1"/>
        </w:numPr>
        <w:rPr>
          <w:rFonts w:asciiTheme="majorHAnsi" w:hAnsiTheme="majorHAnsi"/>
          <w:b/>
          <w:sz w:val="30"/>
          <w:szCs w:val="30"/>
          <w:lang w:val="en-GB"/>
        </w:rPr>
      </w:pPr>
      <w:r w:rsidRPr="00696000">
        <w:rPr>
          <w:rFonts w:asciiTheme="majorHAnsi" w:hAnsiTheme="majorHAnsi"/>
          <w:b/>
          <w:sz w:val="40"/>
          <w:szCs w:val="40"/>
          <w:lang w:val="en-GB"/>
        </w:rPr>
        <w:t>Chapter 3</w:t>
      </w:r>
      <w:r w:rsidR="003E2E8D" w:rsidRPr="00696000">
        <w:rPr>
          <w:rFonts w:asciiTheme="majorHAnsi" w:hAnsiTheme="majorHAnsi"/>
          <w:b/>
          <w:sz w:val="40"/>
          <w:szCs w:val="40"/>
          <w:lang w:val="en-GB"/>
        </w:rPr>
        <w:t xml:space="preserve"> – State commissions</w:t>
      </w:r>
      <w:r w:rsidR="003E2E8D">
        <w:rPr>
          <w:rFonts w:asciiTheme="majorHAnsi" w:hAnsiTheme="majorHAnsi"/>
          <w:b/>
          <w:sz w:val="30"/>
          <w:szCs w:val="30"/>
          <w:lang w:val="en-GB"/>
        </w:rPr>
        <w:br/>
      </w:r>
      <w:r w:rsidR="0054280C" w:rsidRPr="00696000">
        <w:rPr>
          <w:rFonts w:asciiTheme="majorHAnsi" w:hAnsiTheme="majorHAnsi"/>
          <w:b/>
          <w:sz w:val="26"/>
          <w:szCs w:val="26"/>
          <w:lang w:val="en-GB"/>
        </w:rPr>
        <w:t>4</w:t>
      </w:r>
      <w:r w:rsidR="003E2E8D" w:rsidRPr="00696000">
        <w:rPr>
          <w:rFonts w:asciiTheme="majorHAnsi" w:hAnsiTheme="majorHAnsi"/>
          <w:b/>
          <w:sz w:val="26"/>
          <w:szCs w:val="26"/>
          <w:lang w:val="en-GB"/>
        </w:rPr>
        <w:t xml:space="preserve">.1 </w:t>
      </w:r>
      <w:r w:rsidR="00AD78F9" w:rsidRPr="00696000">
        <w:rPr>
          <w:rFonts w:asciiTheme="majorHAnsi" w:hAnsiTheme="majorHAnsi"/>
          <w:b/>
          <w:sz w:val="26"/>
          <w:szCs w:val="26"/>
          <w:lang w:val="en-GB"/>
        </w:rPr>
        <w:t xml:space="preserve">The </w:t>
      </w:r>
      <w:r w:rsidR="00A0542F">
        <w:rPr>
          <w:rFonts w:asciiTheme="majorHAnsi" w:hAnsiTheme="majorHAnsi"/>
          <w:b/>
          <w:sz w:val="26"/>
          <w:szCs w:val="26"/>
          <w:lang w:val="en-GB"/>
        </w:rPr>
        <w:t>role of public contracts and the comparison of productive capacities</w:t>
      </w:r>
      <w:r w:rsidR="003E2E8D" w:rsidRPr="00696000">
        <w:rPr>
          <w:rFonts w:asciiTheme="majorHAnsi" w:hAnsiTheme="majorHAnsi"/>
          <w:b/>
          <w:sz w:val="26"/>
          <w:szCs w:val="26"/>
          <w:lang w:val="en-GB"/>
        </w:rPr>
        <w:br/>
      </w:r>
      <w:r w:rsidR="0054280C" w:rsidRPr="00696000">
        <w:rPr>
          <w:rFonts w:asciiTheme="majorHAnsi" w:hAnsiTheme="majorHAnsi"/>
          <w:b/>
          <w:sz w:val="26"/>
          <w:szCs w:val="26"/>
          <w:lang w:val="en-GB"/>
        </w:rPr>
        <w:t>4</w:t>
      </w:r>
      <w:r w:rsidR="00875A8C" w:rsidRPr="00696000">
        <w:rPr>
          <w:rFonts w:asciiTheme="majorHAnsi" w:hAnsiTheme="majorHAnsi"/>
          <w:b/>
          <w:sz w:val="26"/>
          <w:szCs w:val="26"/>
          <w:lang w:val="en-GB"/>
        </w:rPr>
        <w:t xml:space="preserve">.2 </w:t>
      </w:r>
      <w:r w:rsidR="00A0542F">
        <w:rPr>
          <w:rFonts w:asciiTheme="majorHAnsi" w:hAnsiTheme="majorHAnsi"/>
          <w:b/>
          <w:sz w:val="26"/>
          <w:szCs w:val="26"/>
          <w:lang w:val="en-GB"/>
        </w:rPr>
        <w:t>Railways construction, Royal Navy and political continuities</w:t>
      </w:r>
      <w:r w:rsidR="00A0542F">
        <w:rPr>
          <w:rFonts w:asciiTheme="majorHAnsi" w:hAnsiTheme="majorHAnsi"/>
          <w:b/>
          <w:sz w:val="26"/>
          <w:szCs w:val="26"/>
          <w:lang w:val="en-GB"/>
        </w:rPr>
        <w:br/>
      </w:r>
      <w:r w:rsidR="0054280C" w:rsidRPr="00696000">
        <w:rPr>
          <w:rFonts w:asciiTheme="majorHAnsi" w:hAnsiTheme="majorHAnsi"/>
          <w:b/>
          <w:sz w:val="26"/>
          <w:szCs w:val="26"/>
          <w:lang w:val="en-GB"/>
        </w:rPr>
        <w:t>4</w:t>
      </w:r>
      <w:r w:rsidR="00875A8C" w:rsidRPr="00696000">
        <w:rPr>
          <w:rFonts w:asciiTheme="majorHAnsi" w:hAnsiTheme="majorHAnsi"/>
          <w:b/>
          <w:sz w:val="26"/>
          <w:szCs w:val="26"/>
          <w:lang w:val="en-GB"/>
        </w:rPr>
        <w:t xml:space="preserve">.3 </w:t>
      </w:r>
      <w:r w:rsidR="00B646A9">
        <w:rPr>
          <w:rFonts w:asciiTheme="majorHAnsi" w:hAnsiTheme="majorHAnsi"/>
          <w:b/>
          <w:sz w:val="26"/>
          <w:szCs w:val="26"/>
          <w:lang w:val="en-GB"/>
        </w:rPr>
        <w:t>Public contracts and Pietrarsa’s output</w:t>
      </w:r>
      <w:r w:rsidR="0054280C" w:rsidRPr="00696000">
        <w:rPr>
          <w:rFonts w:asciiTheme="majorHAnsi" w:hAnsiTheme="majorHAnsi"/>
          <w:b/>
          <w:sz w:val="26"/>
          <w:szCs w:val="26"/>
          <w:lang w:val="en-GB"/>
        </w:rPr>
        <w:br/>
        <w:t>4</w:t>
      </w:r>
      <w:r w:rsidR="00875A8C" w:rsidRPr="00696000">
        <w:rPr>
          <w:rFonts w:asciiTheme="majorHAnsi" w:hAnsiTheme="majorHAnsi"/>
          <w:b/>
          <w:sz w:val="26"/>
          <w:szCs w:val="26"/>
          <w:lang w:val="en-GB"/>
        </w:rPr>
        <w:t xml:space="preserve">.4 </w:t>
      </w:r>
      <w:r w:rsidR="00B646A9">
        <w:rPr>
          <w:rFonts w:asciiTheme="majorHAnsi" w:hAnsiTheme="majorHAnsi"/>
          <w:b/>
          <w:sz w:val="26"/>
          <w:szCs w:val="26"/>
          <w:lang w:val="en-GB"/>
        </w:rPr>
        <w:t>Public contracts and Ansaldo’s output</w:t>
      </w:r>
      <w:r w:rsidR="00B646A9">
        <w:rPr>
          <w:rFonts w:asciiTheme="majorHAnsi" w:hAnsiTheme="majorHAnsi"/>
          <w:b/>
          <w:sz w:val="26"/>
          <w:szCs w:val="26"/>
          <w:lang w:val="en-GB"/>
        </w:rPr>
        <w:br/>
        <w:t>4.5 Final confrontation</w:t>
      </w:r>
    </w:p>
    <w:p w14:paraId="13928395" w14:textId="77777777" w:rsidR="00A0542F" w:rsidRPr="00B646A9" w:rsidRDefault="00A0542F" w:rsidP="00B646A9">
      <w:pPr>
        <w:rPr>
          <w:rFonts w:asciiTheme="majorHAnsi" w:hAnsiTheme="majorHAnsi"/>
          <w:b/>
          <w:sz w:val="30"/>
          <w:szCs w:val="30"/>
          <w:lang w:val="en-GB"/>
        </w:rPr>
      </w:pPr>
    </w:p>
    <w:p w14:paraId="13740FC0" w14:textId="77777777" w:rsidR="00605D86" w:rsidRPr="00605D86" w:rsidRDefault="00CD6092" w:rsidP="00605D86">
      <w:pPr>
        <w:pStyle w:val="ListParagraph"/>
        <w:numPr>
          <w:ilvl w:val="0"/>
          <w:numId w:val="1"/>
        </w:numPr>
        <w:rPr>
          <w:rFonts w:asciiTheme="majorHAnsi" w:hAnsiTheme="majorHAnsi"/>
          <w:b/>
          <w:sz w:val="30"/>
          <w:szCs w:val="30"/>
          <w:lang w:val="en-GB"/>
        </w:rPr>
      </w:pPr>
      <w:r w:rsidRPr="00696000">
        <w:rPr>
          <w:rFonts w:asciiTheme="majorHAnsi" w:hAnsiTheme="majorHAnsi"/>
          <w:b/>
          <w:sz w:val="40"/>
          <w:szCs w:val="40"/>
          <w:lang w:val="en-GB"/>
        </w:rPr>
        <w:t>Chapter 4</w:t>
      </w:r>
      <w:r w:rsidR="00AD78F9" w:rsidRPr="00696000">
        <w:rPr>
          <w:rFonts w:asciiTheme="majorHAnsi" w:hAnsiTheme="majorHAnsi"/>
          <w:b/>
          <w:sz w:val="40"/>
          <w:szCs w:val="40"/>
          <w:lang w:val="en-GB"/>
        </w:rPr>
        <w:t xml:space="preserve"> – Credit</w:t>
      </w:r>
      <w:r w:rsidR="00AD78F9">
        <w:rPr>
          <w:rFonts w:asciiTheme="majorHAnsi" w:hAnsiTheme="majorHAnsi"/>
          <w:b/>
          <w:sz w:val="30"/>
          <w:szCs w:val="30"/>
          <w:lang w:val="en-GB"/>
        </w:rPr>
        <w:br/>
      </w:r>
      <w:r w:rsidR="0054280C" w:rsidRPr="00696000">
        <w:rPr>
          <w:rFonts w:asciiTheme="majorHAnsi" w:hAnsiTheme="majorHAnsi"/>
          <w:b/>
          <w:sz w:val="26"/>
          <w:szCs w:val="26"/>
          <w:lang w:val="en-GB"/>
        </w:rPr>
        <w:t>5</w:t>
      </w:r>
      <w:r w:rsidR="00AD78F9" w:rsidRPr="00696000">
        <w:rPr>
          <w:rFonts w:asciiTheme="majorHAnsi" w:hAnsiTheme="majorHAnsi"/>
          <w:b/>
          <w:sz w:val="26"/>
          <w:szCs w:val="26"/>
          <w:lang w:val="en-GB"/>
        </w:rPr>
        <w:t xml:space="preserve">.1 </w:t>
      </w:r>
      <w:r w:rsidR="00467103" w:rsidRPr="00696000">
        <w:rPr>
          <w:rFonts w:asciiTheme="majorHAnsi" w:hAnsiTheme="majorHAnsi"/>
          <w:b/>
          <w:sz w:val="26"/>
          <w:szCs w:val="26"/>
          <w:lang w:val="en-GB"/>
        </w:rPr>
        <w:t>A matter of</w:t>
      </w:r>
      <w:r w:rsidR="0054280C" w:rsidRPr="00696000">
        <w:rPr>
          <w:rFonts w:asciiTheme="majorHAnsi" w:hAnsiTheme="majorHAnsi"/>
          <w:b/>
          <w:sz w:val="26"/>
          <w:szCs w:val="26"/>
          <w:lang w:val="en-GB"/>
        </w:rPr>
        <w:t xml:space="preserve"> survival - the role of credit</w:t>
      </w:r>
      <w:r w:rsidR="0054280C" w:rsidRPr="00696000">
        <w:rPr>
          <w:rFonts w:asciiTheme="majorHAnsi" w:hAnsiTheme="majorHAnsi"/>
          <w:b/>
          <w:sz w:val="26"/>
          <w:szCs w:val="26"/>
          <w:lang w:val="en-GB"/>
        </w:rPr>
        <w:br/>
        <w:t>5.2</w:t>
      </w:r>
      <w:r w:rsidR="00AD78F9" w:rsidRPr="00696000">
        <w:rPr>
          <w:rFonts w:asciiTheme="majorHAnsi" w:hAnsiTheme="majorHAnsi"/>
          <w:b/>
          <w:sz w:val="26"/>
          <w:szCs w:val="26"/>
          <w:lang w:val="en-GB"/>
        </w:rPr>
        <w:t xml:space="preserve"> </w:t>
      </w:r>
      <w:r w:rsidR="00605D86">
        <w:rPr>
          <w:rFonts w:asciiTheme="majorHAnsi" w:hAnsiTheme="majorHAnsi"/>
          <w:b/>
          <w:sz w:val="26"/>
          <w:szCs w:val="26"/>
          <w:lang w:val="en-GB"/>
        </w:rPr>
        <w:t>Political continuity and credit</w:t>
      </w:r>
    </w:p>
    <w:p w14:paraId="014D11D8" w14:textId="77777777" w:rsidR="00605D86" w:rsidRPr="00605D86" w:rsidRDefault="00605D86" w:rsidP="00605D86">
      <w:pPr>
        <w:pStyle w:val="ListParagraph"/>
        <w:rPr>
          <w:rFonts w:asciiTheme="majorHAnsi" w:hAnsiTheme="majorHAnsi"/>
          <w:b/>
          <w:sz w:val="30"/>
          <w:szCs w:val="30"/>
          <w:lang w:val="en-GB"/>
        </w:rPr>
      </w:pPr>
    </w:p>
    <w:p w14:paraId="141D704D" w14:textId="7A2DBC0D" w:rsidR="000B50D9" w:rsidRPr="00B646A9" w:rsidRDefault="00605D86" w:rsidP="007A674A">
      <w:pPr>
        <w:pStyle w:val="ListParagraph"/>
        <w:numPr>
          <w:ilvl w:val="0"/>
          <w:numId w:val="1"/>
        </w:numPr>
        <w:rPr>
          <w:rFonts w:asciiTheme="majorHAnsi" w:hAnsiTheme="majorHAnsi"/>
          <w:b/>
          <w:sz w:val="40"/>
          <w:szCs w:val="40"/>
          <w:lang w:val="en-GB"/>
        </w:rPr>
      </w:pPr>
      <w:r>
        <w:rPr>
          <w:rFonts w:asciiTheme="majorHAnsi" w:hAnsiTheme="majorHAnsi"/>
          <w:b/>
          <w:sz w:val="40"/>
          <w:szCs w:val="40"/>
          <w:lang w:val="en-GB"/>
        </w:rPr>
        <w:t xml:space="preserve"> </w:t>
      </w:r>
      <w:r w:rsidRPr="00605D86">
        <w:rPr>
          <w:rFonts w:asciiTheme="majorHAnsi" w:hAnsiTheme="majorHAnsi"/>
          <w:b/>
          <w:sz w:val="40"/>
          <w:szCs w:val="40"/>
          <w:lang w:val="en-GB"/>
        </w:rPr>
        <w:t>Conclusion</w:t>
      </w:r>
      <w:r w:rsidR="006C23E4" w:rsidRPr="00605D86">
        <w:rPr>
          <w:rFonts w:asciiTheme="majorHAnsi" w:hAnsiTheme="majorHAnsi"/>
          <w:b/>
          <w:sz w:val="26"/>
          <w:szCs w:val="26"/>
          <w:lang w:val="en-GB"/>
        </w:rPr>
        <w:br/>
      </w:r>
    </w:p>
    <w:p w14:paraId="4883029C" w14:textId="77777777" w:rsidR="007A674A" w:rsidRPr="008A38B1" w:rsidRDefault="007A674A" w:rsidP="007A674A">
      <w:pPr>
        <w:rPr>
          <w:rFonts w:asciiTheme="majorHAnsi" w:hAnsiTheme="majorHAnsi"/>
          <w:b/>
          <w:sz w:val="32"/>
          <w:szCs w:val="32"/>
          <w:lang w:val="en-GB"/>
        </w:rPr>
      </w:pPr>
      <w:r w:rsidRPr="008A38B1">
        <w:rPr>
          <w:rFonts w:asciiTheme="majorHAnsi" w:hAnsiTheme="majorHAnsi"/>
          <w:b/>
          <w:sz w:val="32"/>
          <w:szCs w:val="32"/>
          <w:lang w:val="en-GB"/>
        </w:rPr>
        <w:lastRenderedPageBreak/>
        <w:t>Introduction</w:t>
      </w:r>
    </w:p>
    <w:p w14:paraId="6507E90C" w14:textId="77777777" w:rsidR="00766B29" w:rsidRPr="008A38B1" w:rsidRDefault="00766B29">
      <w:pPr>
        <w:rPr>
          <w:rFonts w:asciiTheme="majorHAnsi" w:hAnsiTheme="majorHAnsi"/>
          <w:b/>
          <w:sz w:val="26"/>
          <w:szCs w:val="26"/>
          <w:lang w:val="en-GB"/>
        </w:rPr>
      </w:pPr>
      <w:r w:rsidRPr="008A38B1">
        <w:rPr>
          <w:rFonts w:asciiTheme="majorHAnsi" w:hAnsiTheme="majorHAnsi"/>
          <w:b/>
          <w:sz w:val="26"/>
          <w:szCs w:val="26"/>
          <w:lang w:val="en-GB"/>
        </w:rPr>
        <w:t>The Southern Question and its relevance</w:t>
      </w:r>
    </w:p>
    <w:p w14:paraId="7B844B0C" w14:textId="3BAE547F" w:rsidR="0011065F" w:rsidRPr="00B035EB" w:rsidRDefault="00B40D9A" w:rsidP="000625F0">
      <w:pPr>
        <w:rPr>
          <w:rFonts w:asciiTheme="majorHAnsi" w:hAnsiTheme="majorHAnsi"/>
          <w:sz w:val="26"/>
          <w:szCs w:val="26"/>
          <w:lang w:val="en-GB"/>
        </w:rPr>
      </w:pPr>
      <w:r w:rsidRPr="0026326C">
        <w:rPr>
          <w:rFonts w:asciiTheme="majorHAnsi" w:hAnsiTheme="majorHAnsi"/>
          <w:sz w:val="26"/>
          <w:szCs w:val="26"/>
          <w:lang w:val="en-GB"/>
        </w:rPr>
        <w:t xml:space="preserve">Today, Italy presents itself in the international scene with four major unanswered questions: a low efficiency of its institutions, a disproportionate amount of tax evasion, </w:t>
      </w:r>
      <w:r w:rsidR="00700C8A" w:rsidRPr="0026326C">
        <w:rPr>
          <w:rFonts w:asciiTheme="majorHAnsi" w:hAnsiTheme="majorHAnsi"/>
          <w:sz w:val="26"/>
          <w:szCs w:val="26"/>
          <w:lang w:val="en-GB"/>
        </w:rPr>
        <w:t>the presence of criminal organizations and the great divergence between South and North.</w:t>
      </w:r>
      <w:r w:rsidR="00700C8A" w:rsidRPr="0026326C">
        <w:rPr>
          <w:rStyle w:val="FootnoteReference"/>
          <w:rFonts w:asciiTheme="majorHAnsi" w:hAnsiTheme="majorHAnsi"/>
          <w:sz w:val="26"/>
          <w:szCs w:val="26"/>
          <w:lang w:val="en-GB"/>
        </w:rPr>
        <w:footnoteReference w:id="1"/>
      </w:r>
      <w:r w:rsidR="00700C8A" w:rsidRPr="0026326C">
        <w:rPr>
          <w:rFonts w:asciiTheme="majorHAnsi" w:hAnsiTheme="majorHAnsi"/>
          <w:sz w:val="26"/>
          <w:szCs w:val="26"/>
          <w:lang w:val="en-GB"/>
        </w:rPr>
        <w:t xml:space="preserve"> Indeed, the last words of Salvadori’s preface in </w:t>
      </w:r>
      <w:r w:rsidR="00700C8A" w:rsidRPr="0026326C">
        <w:rPr>
          <w:rFonts w:asciiTheme="majorHAnsi" w:hAnsiTheme="majorHAnsi"/>
          <w:i/>
          <w:sz w:val="26"/>
          <w:szCs w:val="26"/>
          <w:lang w:val="en-GB"/>
        </w:rPr>
        <w:t>History of Italy</w:t>
      </w:r>
      <w:r w:rsidR="00700C8A" w:rsidRPr="0026326C">
        <w:rPr>
          <w:rFonts w:asciiTheme="majorHAnsi" w:hAnsiTheme="majorHAnsi"/>
          <w:sz w:val="26"/>
          <w:szCs w:val="26"/>
          <w:lang w:val="en-GB"/>
        </w:rPr>
        <w:t xml:space="preserve">, published in 2018, show how the Southern Question is still </w:t>
      </w:r>
      <w:r w:rsidR="00DD35F6" w:rsidRPr="0026326C">
        <w:rPr>
          <w:rFonts w:asciiTheme="majorHAnsi" w:hAnsiTheme="majorHAnsi"/>
          <w:sz w:val="26"/>
          <w:szCs w:val="26"/>
          <w:lang w:val="en-GB"/>
        </w:rPr>
        <w:t>one of the most relevant issues</w:t>
      </w:r>
      <w:r w:rsidR="00700C8A" w:rsidRPr="0026326C">
        <w:rPr>
          <w:rFonts w:asciiTheme="majorHAnsi" w:hAnsiTheme="majorHAnsi"/>
          <w:sz w:val="26"/>
          <w:szCs w:val="26"/>
          <w:lang w:val="en-GB"/>
        </w:rPr>
        <w:t xml:space="preserve"> in Italian politics, </w:t>
      </w:r>
      <w:r w:rsidR="00DD35F6" w:rsidRPr="0026326C">
        <w:rPr>
          <w:rFonts w:asciiTheme="majorHAnsi" w:hAnsiTheme="majorHAnsi"/>
          <w:sz w:val="26"/>
          <w:szCs w:val="26"/>
          <w:lang w:val="en-GB"/>
        </w:rPr>
        <w:t>also relating to Italy’s</w:t>
      </w:r>
      <w:r w:rsidR="00700C8A" w:rsidRPr="0026326C">
        <w:rPr>
          <w:rFonts w:asciiTheme="majorHAnsi" w:hAnsiTheme="majorHAnsi"/>
          <w:sz w:val="26"/>
          <w:szCs w:val="26"/>
          <w:lang w:val="en-GB"/>
        </w:rPr>
        <w:t xml:space="preserve"> relationship with the European Union. </w:t>
      </w:r>
      <w:r w:rsidR="001E1FC1" w:rsidRPr="0026326C">
        <w:rPr>
          <w:rFonts w:asciiTheme="majorHAnsi" w:hAnsiTheme="majorHAnsi"/>
          <w:sz w:val="26"/>
          <w:szCs w:val="26"/>
          <w:lang w:val="en-GB"/>
        </w:rPr>
        <w:t>The diver</w:t>
      </w:r>
      <w:r w:rsidR="00756B5F" w:rsidRPr="0026326C">
        <w:rPr>
          <w:rFonts w:asciiTheme="majorHAnsi" w:hAnsiTheme="majorHAnsi"/>
          <w:sz w:val="26"/>
          <w:szCs w:val="26"/>
          <w:lang w:val="en-GB"/>
        </w:rPr>
        <w:t>gence between South and North has been</w:t>
      </w:r>
      <w:r w:rsidR="001E1FC1" w:rsidRPr="0026326C">
        <w:rPr>
          <w:rFonts w:asciiTheme="majorHAnsi" w:hAnsiTheme="majorHAnsi"/>
          <w:sz w:val="26"/>
          <w:szCs w:val="26"/>
          <w:lang w:val="en-GB"/>
        </w:rPr>
        <w:t xml:space="preserve"> traditionally characterized by the Southern inability to develop itself economically, institutionally and socially at the same pace of Northern Italy</w:t>
      </w:r>
      <w:r w:rsidR="00DD35F6" w:rsidRPr="0026326C">
        <w:rPr>
          <w:rFonts w:asciiTheme="majorHAnsi" w:hAnsiTheme="majorHAnsi"/>
          <w:sz w:val="26"/>
          <w:szCs w:val="26"/>
          <w:lang w:val="en-GB"/>
        </w:rPr>
        <w:t>.</w:t>
      </w:r>
      <w:r w:rsidR="00DD35F6" w:rsidRPr="0026326C">
        <w:rPr>
          <w:rStyle w:val="FootnoteReference"/>
          <w:rFonts w:asciiTheme="majorHAnsi" w:hAnsiTheme="majorHAnsi"/>
          <w:sz w:val="26"/>
          <w:szCs w:val="26"/>
          <w:lang w:val="en-GB"/>
        </w:rPr>
        <w:footnoteReference w:id="2"/>
      </w:r>
      <w:r w:rsidR="00DD35F6" w:rsidRPr="0026326C">
        <w:rPr>
          <w:rFonts w:asciiTheme="majorHAnsi" w:hAnsiTheme="majorHAnsi"/>
          <w:sz w:val="26"/>
          <w:szCs w:val="26"/>
          <w:lang w:val="en-GB"/>
        </w:rPr>
        <w:t xml:space="preserve"> This current state of affairs fuelled numerous polemics and conflicts within the political arena </w:t>
      </w:r>
      <w:r w:rsidR="0084159B" w:rsidRPr="0026326C">
        <w:rPr>
          <w:rFonts w:asciiTheme="majorHAnsi" w:hAnsiTheme="majorHAnsi"/>
          <w:sz w:val="26"/>
          <w:szCs w:val="26"/>
          <w:lang w:val="en-GB"/>
        </w:rPr>
        <w:t>which</w:t>
      </w:r>
      <w:r w:rsidR="00DD35F6" w:rsidRPr="0026326C">
        <w:rPr>
          <w:rFonts w:asciiTheme="majorHAnsi" w:hAnsiTheme="majorHAnsi"/>
          <w:sz w:val="26"/>
          <w:szCs w:val="26"/>
          <w:lang w:val="en-GB"/>
        </w:rPr>
        <w:t xml:space="preserve"> essentially rely on the common</w:t>
      </w:r>
      <w:r w:rsidR="00A862E9" w:rsidRPr="0026326C">
        <w:rPr>
          <w:rFonts w:asciiTheme="majorHAnsi" w:hAnsiTheme="majorHAnsi"/>
          <w:sz w:val="26"/>
          <w:szCs w:val="26"/>
          <w:lang w:val="en-GB"/>
        </w:rPr>
        <w:t xml:space="preserve"> popular</w:t>
      </w:r>
      <w:r w:rsidR="00DD35F6" w:rsidRPr="0026326C">
        <w:rPr>
          <w:rFonts w:asciiTheme="majorHAnsi" w:hAnsiTheme="majorHAnsi"/>
          <w:sz w:val="26"/>
          <w:szCs w:val="26"/>
          <w:lang w:val="en-GB"/>
        </w:rPr>
        <w:t xml:space="preserve"> narrative of </w:t>
      </w:r>
      <w:r w:rsidR="00436941" w:rsidRPr="0026326C">
        <w:rPr>
          <w:rFonts w:asciiTheme="majorHAnsi" w:hAnsiTheme="majorHAnsi"/>
          <w:sz w:val="26"/>
          <w:szCs w:val="26"/>
          <w:lang w:val="en-GB"/>
        </w:rPr>
        <w:t>a South made of poverty, economic underdevelopment, clientelism, patriarchy and the endemic presence of organized crime</w:t>
      </w:r>
      <w:r w:rsidR="00DB5802" w:rsidRPr="0026326C">
        <w:rPr>
          <w:rFonts w:asciiTheme="majorHAnsi" w:hAnsiTheme="majorHAnsi"/>
          <w:sz w:val="26"/>
          <w:szCs w:val="26"/>
          <w:lang w:val="en-GB"/>
        </w:rPr>
        <w:t>.</w:t>
      </w:r>
      <w:r w:rsidR="00DB5802" w:rsidRPr="0026326C">
        <w:rPr>
          <w:rStyle w:val="FootnoteReference"/>
          <w:rFonts w:asciiTheme="majorHAnsi" w:hAnsiTheme="majorHAnsi"/>
          <w:sz w:val="26"/>
          <w:szCs w:val="26"/>
          <w:lang w:val="en-GB"/>
        </w:rPr>
        <w:footnoteReference w:id="3"/>
      </w:r>
      <w:r w:rsidR="00DB5802" w:rsidRPr="0026326C">
        <w:rPr>
          <w:rFonts w:asciiTheme="majorHAnsi" w:hAnsiTheme="majorHAnsi"/>
          <w:sz w:val="26"/>
          <w:szCs w:val="26"/>
          <w:lang w:val="en-GB"/>
        </w:rPr>
        <w:t xml:space="preserve"> W</w:t>
      </w:r>
      <w:r w:rsidR="00927F54" w:rsidRPr="0026326C">
        <w:rPr>
          <w:rFonts w:asciiTheme="majorHAnsi" w:hAnsiTheme="majorHAnsi"/>
          <w:sz w:val="26"/>
          <w:szCs w:val="26"/>
          <w:lang w:val="en-GB"/>
        </w:rPr>
        <w:t>hile there is some degree of truth in these</w:t>
      </w:r>
      <w:r w:rsidR="00733826" w:rsidRPr="0026326C">
        <w:rPr>
          <w:rFonts w:asciiTheme="majorHAnsi" w:hAnsiTheme="majorHAnsi"/>
          <w:sz w:val="26"/>
          <w:szCs w:val="26"/>
          <w:lang w:val="en-GB"/>
        </w:rPr>
        <w:t xml:space="preserve"> allegations</w:t>
      </w:r>
      <w:r w:rsidR="00927F54" w:rsidRPr="0026326C">
        <w:rPr>
          <w:rFonts w:asciiTheme="majorHAnsi" w:hAnsiTheme="majorHAnsi"/>
          <w:sz w:val="26"/>
          <w:szCs w:val="26"/>
          <w:lang w:val="en-GB"/>
        </w:rPr>
        <w:t>, the main discourse would have them</w:t>
      </w:r>
      <w:r w:rsidR="00733826" w:rsidRPr="0026326C">
        <w:rPr>
          <w:rFonts w:asciiTheme="majorHAnsi" w:hAnsiTheme="majorHAnsi"/>
          <w:sz w:val="26"/>
          <w:szCs w:val="26"/>
          <w:lang w:val="en-GB"/>
        </w:rPr>
        <w:t xml:space="preserve"> be</w:t>
      </w:r>
      <w:r w:rsidR="00927F54" w:rsidRPr="0026326C">
        <w:rPr>
          <w:rFonts w:asciiTheme="majorHAnsi" w:hAnsiTheme="majorHAnsi"/>
          <w:sz w:val="26"/>
          <w:szCs w:val="26"/>
          <w:lang w:val="en-GB"/>
        </w:rPr>
        <w:t xml:space="preserve"> </w:t>
      </w:r>
      <w:r w:rsidR="00733826" w:rsidRPr="0026326C">
        <w:rPr>
          <w:rFonts w:asciiTheme="majorHAnsi" w:hAnsiTheme="majorHAnsi"/>
          <w:sz w:val="26"/>
          <w:szCs w:val="26"/>
          <w:lang w:val="en-GB"/>
        </w:rPr>
        <w:t xml:space="preserve">generated by </w:t>
      </w:r>
      <w:r w:rsidR="00436941" w:rsidRPr="0026326C">
        <w:rPr>
          <w:rFonts w:asciiTheme="majorHAnsi" w:hAnsiTheme="majorHAnsi"/>
          <w:sz w:val="26"/>
          <w:szCs w:val="26"/>
          <w:lang w:val="en-GB"/>
        </w:rPr>
        <w:t>in</w:t>
      </w:r>
      <w:r w:rsidR="000B58E3" w:rsidRPr="0026326C">
        <w:rPr>
          <w:rFonts w:asciiTheme="majorHAnsi" w:hAnsiTheme="majorHAnsi"/>
          <w:sz w:val="26"/>
          <w:szCs w:val="26"/>
          <w:lang w:val="en-GB"/>
        </w:rPr>
        <w:t>trinsic qualities of Southern people</w:t>
      </w:r>
      <w:r w:rsidR="00927F54" w:rsidRPr="0026326C">
        <w:rPr>
          <w:rFonts w:asciiTheme="majorHAnsi" w:hAnsiTheme="majorHAnsi"/>
          <w:sz w:val="26"/>
          <w:szCs w:val="26"/>
          <w:lang w:val="en-GB"/>
        </w:rPr>
        <w:t>,</w:t>
      </w:r>
      <w:r w:rsidR="00436941" w:rsidRPr="0026326C">
        <w:rPr>
          <w:rFonts w:asciiTheme="majorHAnsi" w:hAnsiTheme="majorHAnsi"/>
          <w:sz w:val="26"/>
          <w:szCs w:val="26"/>
          <w:lang w:val="en-GB"/>
        </w:rPr>
        <w:t xml:space="preserve"> such</w:t>
      </w:r>
      <w:r w:rsidR="00826141" w:rsidRPr="0026326C">
        <w:rPr>
          <w:rFonts w:asciiTheme="majorHAnsi" w:hAnsiTheme="majorHAnsi"/>
          <w:sz w:val="26"/>
          <w:szCs w:val="26"/>
          <w:lang w:val="en-GB"/>
        </w:rPr>
        <w:t xml:space="preserve"> as pa</w:t>
      </w:r>
      <w:r w:rsidR="00927F54" w:rsidRPr="0026326C">
        <w:rPr>
          <w:rFonts w:asciiTheme="majorHAnsi" w:hAnsiTheme="majorHAnsi"/>
          <w:sz w:val="26"/>
          <w:szCs w:val="26"/>
          <w:lang w:val="en-GB"/>
        </w:rPr>
        <w:t>ssion, pride and rebellion,</w:t>
      </w:r>
      <w:r w:rsidR="00436941" w:rsidRPr="0026326C">
        <w:rPr>
          <w:rFonts w:asciiTheme="majorHAnsi" w:hAnsiTheme="majorHAnsi"/>
          <w:sz w:val="26"/>
          <w:szCs w:val="26"/>
          <w:lang w:val="en-GB"/>
        </w:rPr>
        <w:t xml:space="preserve"> </w:t>
      </w:r>
      <w:r w:rsidR="00826141" w:rsidRPr="0026326C">
        <w:rPr>
          <w:rFonts w:asciiTheme="majorHAnsi" w:hAnsiTheme="majorHAnsi"/>
          <w:sz w:val="26"/>
          <w:szCs w:val="26"/>
          <w:lang w:val="en-GB"/>
        </w:rPr>
        <w:t xml:space="preserve">which </w:t>
      </w:r>
      <w:r w:rsidR="00436941" w:rsidRPr="0026326C">
        <w:rPr>
          <w:rFonts w:asciiTheme="majorHAnsi" w:hAnsiTheme="majorHAnsi"/>
          <w:sz w:val="26"/>
          <w:szCs w:val="26"/>
          <w:lang w:val="en-GB"/>
        </w:rPr>
        <w:t xml:space="preserve">allegedly made them </w:t>
      </w:r>
      <w:r w:rsidR="00826141" w:rsidRPr="0026326C">
        <w:rPr>
          <w:rFonts w:asciiTheme="majorHAnsi" w:hAnsiTheme="majorHAnsi"/>
          <w:sz w:val="26"/>
          <w:szCs w:val="26"/>
          <w:lang w:val="en-GB"/>
        </w:rPr>
        <w:t xml:space="preserve">historically </w:t>
      </w:r>
      <w:r w:rsidR="00436941" w:rsidRPr="0026326C">
        <w:rPr>
          <w:rFonts w:asciiTheme="majorHAnsi" w:hAnsiTheme="majorHAnsi"/>
          <w:sz w:val="26"/>
          <w:szCs w:val="26"/>
          <w:lang w:val="en-GB"/>
        </w:rPr>
        <w:t xml:space="preserve">unable </w:t>
      </w:r>
      <w:r w:rsidR="000B58E3" w:rsidRPr="0026326C">
        <w:rPr>
          <w:rFonts w:asciiTheme="majorHAnsi" w:hAnsiTheme="majorHAnsi"/>
          <w:sz w:val="26"/>
          <w:szCs w:val="26"/>
          <w:lang w:val="en-GB"/>
        </w:rPr>
        <w:t xml:space="preserve">to take collective action </w:t>
      </w:r>
      <w:r w:rsidR="00826141" w:rsidRPr="0026326C">
        <w:rPr>
          <w:rFonts w:asciiTheme="majorHAnsi" w:hAnsiTheme="majorHAnsi"/>
          <w:sz w:val="26"/>
          <w:szCs w:val="26"/>
          <w:lang w:val="en-GB"/>
        </w:rPr>
        <w:t>in order to form a liberal-</w:t>
      </w:r>
      <w:r w:rsidR="00927F54" w:rsidRPr="0026326C">
        <w:rPr>
          <w:rFonts w:asciiTheme="majorHAnsi" w:hAnsiTheme="majorHAnsi"/>
          <w:sz w:val="26"/>
          <w:szCs w:val="26"/>
          <w:lang w:val="en-GB"/>
        </w:rPr>
        <w:t xml:space="preserve">capitalist </w:t>
      </w:r>
      <w:r w:rsidR="00436941" w:rsidRPr="0026326C">
        <w:rPr>
          <w:rFonts w:asciiTheme="majorHAnsi" w:hAnsiTheme="majorHAnsi"/>
          <w:sz w:val="26"/>
          <w:szCs w:val="26"/>
          <w:lang w:val="en-GB"/>
        </w:rPr>
        <w:t>society.</w:t>
      </w:r>
      <w:r w:rsidR="001E1FC1" w:rsidRPr="0026326C">
        <w:rPr>
          <w:rStyle w:val="FootnoteReference"/>
          <w:rFonts w:asciiTheme="majorHAnsi" w:hAnsiTheme="majorHAnsi"/>
          <w:sz w:val="26"/>
          <w:szCs w:val="26"/>
          <w:lang w:val="en-GB"/>
        </w:rPr>
        <w:footnoteReference w:id="4"/>
      </w:r>
      <w:r w:rsidR="001E1FC1" w:rsidRPr="0026326C">
        <w:rPr>
          <w:rFonts w:asciiTheme="majorHAnsi" w:hAnsiTheme="majorHAnsi"/>
          <w:sz w:val="26"/>
          <w:szCs w:val="26"/>
          <w:lang w:val="en-GB"/>
        </w:rPr>
        <w:t xml:space="preserve"> </w:t>
      </w:r>
      <w:r w:rsidR="00DD3CCD" w:rsidRPr="0026326C">
        <w:rPr>
          <w:rFonts w:asciiTheme="majorHAnsi" w:hAnsiTheme="majorHAnsi"/>
          <w:sz w:val="26"/>
          <w:szCs w:val="26"/>
          <w:lang w:val="en-GB"/>
        </w:rPr>
        <w:tab/>
      </w:r>
      <w:r w:rsidR="00776764" w:rsidRPr="0026326C">
        <w:rPr>
          <w:rFonts w:asciiTheme="majorHAnsi" w:hAnsiTheme="majorHAnsi"/>
          <w:sz w:val="26"/>
          <w:szCs w:val="26"/>
          <w:lang w:val="en-GB"/>
        </w:rPr>
        <w:t>Historians have</w:t>
      </w:r>
      <w:r w:rsidR="00AD3D6B" w:rsidRPr="0026326C">
        <w:rPr>
          <w:rFonts w:asciiTheme="majorHAnsi" w:hAnsiTheme="majorHAnsi"/>
          <w:sz w:val="26"/>
          <w:szCs w:val="26"/>
          <w:lang w:val="en-GB"/>
        </w:rPr>
        <w:t xml:space="preserve"> approached the iss</w:t>
      </w:r>
      <w:r w:rsidR="00B009D5" w:rsidRPr="0026326C">
        <w:rPr>
          <w:rFonts w:asciiTheme="majorHAnsi" w:hAnsiTheme="majorHAnsi"/>
          <w:sz w:val="26"/>
          <w:szCs w:val="26"/>
          <w:lang w:val="en-GB"/>
        </w:rPr>
        <w:t>ue in a more scientific manner and different conclusions were reached on the basis of a variety of g</w:t>
      </w:r>
      <w:r w:rsidR="00DC6028" w:rsidRPr="0026326C">
        <w:rPr>
          <w:rFonts w:asciiTheme="majorHAnsi" w:hAnsiTheme="majorHAnsi"/>
          <w:sz w:val="26"/>
          <w:szCs w:val="26"/>
          <w:lang w:val="en-GB"/>
        </w:rPr>
        <w:t xml:space="preserve">rowth models. At the heart of the debate is </w:t>
      </w:r>
      <w:r w:rsidR="00F74DB2">
        <w:rPr>
          <w:rFonts w:asciiTheme="majorHAnsi" w:hAnsiTheme="majorHAnsi"/>
          <w:sz w:val="26"/>
          <w:szCs w:val="26"/>
          <w:lang w:val="en-GB"/>
        </w:rPr>
        <w:t>the role that</w:t>
      </w:r>
      <w:r w:rsidR="00DC6028" w:rsidRPr="0026326C">
        <w:rPr>
          <w:rFonts w:asciiTheme="majorHAnsi" w:hAnsiTheme="majorHAnsi"/>
          <w:sz w:val="26"/>
          <w:szCs w:val="26"/>
          <w:lang w:val="en-GB"/>
        </w:rPr>
        <w:t xml:space="preserve"> the government </w:t>
      </w:r>
      <w:r w:rsidR="00F74DB2">
        <w:rPr>
          <w:rFonts w:asciiTheme="majorHAnsi" w:hAnsiTheme="majorHAnsi"/>
          <w:sz w:val="26"/>
          <w:szCs w:val="26"/>
          <w:lang w:val="en-GB"/>
        </w:rPr>
        <w:t xml:space="preserve">might have </w:t>
      </w:r>
      <w:r w:rsidR="00DC6028" w:rsidRPr="0026326C">
        <w:rPr>
          <w:rFonts w:asciiTheme="majorHAnsi" w:hAnsiTheme="majorHAnsi"/>
          <w:sz w:val="26"/>
          <w:szCs w:val="26"/>
          <w:lang w:val="en-GB"/>
        </w:rPr>
        <w:t xml:space="preserve">played in the uneven South – North development. </w:t>
      </w:r>
      <w:r w:rsidR="00066C5D">
        <w:rPr>
          <w:rFonts w:asciiTheme="majorHAnsi" w:hAnsiTheme="majorHAnsi"/>
          <w:sz w:val="26"/>
          <w:szCs w:val="26"/>
          <w:lang w:val="en-GB"/>
        </w:rPr>
        <w:t>Because of post-unitary free trade, and the overall industrial backwardness, the few industrial concentrations Italy had depended exclusively on public contracts</w:t>
      </w:r>
      <w:r w:rsidR="00F74DB2">
        <w:rPr>
          <w:rFonts w:asciiTheme="majorHAnsi" w:hAnsiTheme="majorHAnsi"/>
          <w:sz w:val="26"/>
          <w:szCs w:val="26"/>
          <w:lang w:val="en-GB"/>
        </w:rPr>
        <w:t xml:space="preserve"> and the state</w:t>
      </w:r>
      <w:r w:rsidR="00066C5D">
        <w:rPr>
          <w:rFonts w:asciiTheme="majorHAnsi" w:hAnsiTheme="majorHAnsi"/>
          <w:sz w:val="26"/>
          <w:szCs w:val="26"/>
          <w:lang w:val="en-GB"/>
        </w:rPr>
        <w:t>.</w:t>
      </w:r>
      <w:r w:rsidR="00CF451B">
        <w:rPr>
          <w:rStyle w:val="FootnoteReference"/>
          <w:rFonts w:asciiTheme="majorHAnsi" w:hAnsiTheme="majorHAnsi"/>
          <w:sz w:val="26"/>
          <w:szCs w:val="26"/>
          <w:lang w:val="en-GB"/>
        </w:rPr>
        <w:footnoteReference w:id="5"/>
      </w:r>
      <w:r w:rsidR="00DF3674">
        <w:rPr>
          <w:rFonts w:asciiTheme="majorHAnsi" w:hAnsiTheme="majorHAnsi"/>
          <w:sz w:val="26"/>
          <w:szCs w:val="26"/>
          <w:lang w:val="en-GB"/>
        </w:rPr>
        <w:t xml:space="preserve"> Real industrialization started with the 1880s protectionist regime and state support.</w:t>
      </w:r>
      <w:r w:rsidR="00DF3674">
        <w:rPr>
          <w:rStyle w:val="FootnoteReference"/>
          <w:rFonts w:asciiTheme="majorHAnsi" w:hAnsiTheme="majorHAnsi"/>
          <w:sz w:val="26"/>
          <w:szCs w:val="26"/>
          <w:lang w:val="en-GB"/>
        </w:rPr>
        <w:footnoteReference w:id="6"/>
      </w:r>
      <w:r w:rsidR="00066C5D">
        <w:rPr>
          <w:rFonts w:asciiTheme="majorHAnsi" w:hAnsiTheme="majorHAnsi"/>
          <w:sz w:val="26"/>
          <w:szCs w:val="26"/>
          <w:lang w:val="en-GB"/>
        </w:rPr>
        <w:t xml:space="preserve"> </w:t>
      </w:r>
      <w:r w:rsidR="00DC6028" w:rsidRPr="0026326C">
        <w:rPr>
          <w:rFonts w:asciiTheme="majorHAnsi" w:hAnsiTheme="majorHAnsi"/>
          <w:sz w:val="26"/>
          <w:szCs w:val="26"/>
          <w:lang w:val="en-GB"/>
        </w:rPr>
        <w:t xml:space="preserve">Based on Rostow’s classical growth stages model, </w:t>
      </w:r>
      <w:r w:rsidR="00516A6E" w:rsidRPr="0026326C">
        <w:rPr>
          <w:rFonts w:asciiTheme="majorHAnsi" w:hAnsiTheme="majorHAnsi"/>
          <w:sz w:val="26"/>
          <w:szCs w:val="26"/>
          <w:lang w:val="en-GB"/>
        </w:rPr>
        <w:t>Rosario Romeo had claimed that Italian government favoured industrial growth overall, but its policies had different effects in different regions, sacrificing the South</w:t>
      </w:r>
      <w:r w:rsidR="00D801A1" w:rsidRPr="0026326C">
        <w:rPr>
          <w:rFonts w:asciiTheme="majorHAnsi" w:hAnsiTheme="majorHAnsi"/>
          <w:sz w:val="26"/>
          <w:szCs w:val="26"/>
          <w:lang w:val="en-GB"/>
        </w:rPr>
        <w:t xml:space="preserve">, </w:t>
      </w:r>
      <w:r w:rsidR="00AC6029" w:rsidRPr="0026326C">
        <w:rPr>
          <w:rFonts w:asciiTheme="majorHAnsi" w:hAnsiTheme="majorHAnsi"/>
          <w:sz w:val="26"/>
          <w:szCs w:val="26"/>
          <w:lang w:val="en-GB"/>
        </w:rPr>
        <w:t xml:space="preserve">unable to develop industrially under unfavourable economic policies and </w:t>
      </w:r>
      <w:r w:rsidR="00516A6E" w:rsidRPr="0026326C">
        <w:rPr>
          <w:rFonts w:asciiTheme="majorHAnsi" w:hAnsiTheme="majorHAnsi"/>
          <w:sz w:val="26"/>
          <w:szCs w:val="26"/>
          <w:lang w:val="en-GB"/>
        </w:rPr>
        <w:t>treated as a co</w:t>
      </w:r>
      <w:r w:rsidR="00342207" w:rsidRPr="0026326C">
        <w:rPr>
          <w:rFonts w:asciiTheme="majorHAnsi" w:hAnsiTheme="majorHAnsi"/>
          <w:sz w:val="26"/>
          <w:szCs w:val="26"/>
          <w:lang w:val="en-GB"/>
        </w:rPr>
        <w:t>lonial</w:t>
      </w:r>
      <w:r w:rsidR="00516A6E" w:rsidRPr="0026326C">
        <w:rPr>
          <w:rFonts w:asciiTheme="majorHAnsi" w:hAnsiTheme="majorHAnsi"/>
          <w:sz w:val="26"/>
          <w:szCs w:val="26"/>
          <w:lang w:val="en-GB"/>
        </w:rPr>
        <w:t xml:space="preserve"> market for finished goods.</w:t>
      </w:r>
      <w:r w:rsidR="00516A6E" w:rsidRPr="0026326C">
        <w:rPr>
          <w:rStyle w:val="FootnoteReference"/>
          <w:rFonts w:asciiTheme="majorHAnsi" w:hAnsiTheme="majorHAnsi"/>
          <w:sz w:val="26"/>
          <w:szCs w:val="26"/>
          <w:lang w:val="en-GB"/>
        </w:rPr>
        <w:footnoteReference w:id="7"/>
      </w:r>
      <w:r w:rsidR="00D801A1" w:rsidRPr="0026326C">
        <w:rPr>
          <w:rFonts w:asciiTheme="majorHAnsi" w:hAnsiTheme="majorHAnsi"/>
          <w:sz w:val="26"/>
          <w:szCs w:val="26"/>
          <w:lang w:val="en-GB"/>
        </w:rPr>
        <w:t xml:space="preserve"> This view was utterly rejected by Luciano Cafagna, who mentioned how </w:t>
      </w:r>
      <w:r w:rsidR="007C759A" w:rsidRPr="0026326C">
        <w:rPr>
          <w:rFonts w:asciiTheme="majorHAnsi" w:hAnsiTheme="majorHAnsi"/>
          <w:sz w:val="26"/>
          <w:szCs w:val="26"/>
          <w:lang w:val="en-GB"/>
        </w:rPr>
        <w:t xml:space="preserve">it was </w:t>
      </w:r>
      <w:r w:rsidR="00D801A1" w:rsidRPr="0026326C">
        <w:rPr>
          <w:rFonts w:asciiTheme="majorHAnsi" w:hAnsiTheme="majorHAnsi"/>
          <w:sz w:val="26"/>
          <w:szCs w:val="26"/>
          <w:lang w:val="en-GB"/>
        </w:rPr>
        <w:t xml:space="preserve">natural resources </w:t>
      </w:r>
      <w:r w:rsidR="007C759A" w:rsidRPr="0026326C">
        <w:rPr>
          <w:rFonts w:asciiTheme="majorHAnsi" w:hAnsiTheme="majorHAnsi"/>
          <w:sz w:val="26"/>
          <w:szCs w:val="26"/>
          <w:lang w:val="en-GB"/>
        </w:rPr>
        <w:t>which</w:t>
      </w:r>
      <w:r w:rsidR="00AC6029" w:rsidRPr="0026326C">
        <w:rPr>
          <w:rFonts w:asciiTheme="majorHAnsi" w:hAnsiTheme="majorHAnsi"/>
          <w:sz w:val="26"/>
          <w:szCs w:val="26"/>
          <w:lang w:val="en-GB"/>
        </w:rPr>
        <w:t xml:space="preserve"> determined industrial concentration in the North, as well as an agrarian accumulation that lasted over a century which now had matured into the industrial take off.</w:t>
      </w:r>
      <w:r w:rsidR="00AC6029" w:rsidRPr="0026326C">
        <w:rPr>
          <w:rStyle w:val="FootnoteReference"/>
          <w:rFonts w:asciiTheme="majorHAnsi" w:hAnsiTheme="majorHAnsi"/>
          <w:sz w:val="26"/>
          <w:szCs w:val="26"/>
          <w:lang w:val="en-GB"/>
        </w:rPr>
        <w:footnoteReference w:id="8"/>
      </w:r>
      <w:r w:rsidR="00AC6029" w:rsidRPr="0026326C">
        <w:rPr>
          <w:rFonts w:asciiTheme="majorHAnsi" w:hAnsiTheme="majorHAnsi"/>
          <w:sz w:val="26"/>
          <w:szCs w:val="26"/>
          <w:lang w:val="en-GB"/>
        </w:rPr>
        <w:t xml:space="preserve"> In short, the gap </w:t>
      </w:r>
      <w:r w:rsidR="00AC6029" w:rsidRPr="0026326C">
        <w:rPr>
          <w:rFonts w:asciiTheme="majorHAnsi" w:hAnsiTheme="majorHAnsi"/>
          <w:sz w:val="26"/>
          <w:szCs w:val="26"/>
          <w:lang w:val="en-GB"/>
        </w:rPr>
        <w:lastRenderedPageBreak/>
        <w:t>was already pre-determined and the two halves of the country developed in a completely separated environment.</w:t>
      </w:r>
      <w:r w:rsidR="00AC6029" w:rsidRPr="0026326C">
        <w:rPr>
          <w:rStyle w:val="FootnoteReference"/>
          <w:rFonts w:asciiTheme="majorHAnsi" w:hAnsiTheme="majorHAnsi"/>
          <w:sz w:val="26"/>
          <w:szCs w:val="26"/>
          <w:lang w:val="en-GB"/>
        </w:rPr>
        <w:footnoteReference w:id="9"/>
      </w:r>
      <w:r w:rsidR="00AC6029" w:rsidRPr="0026326C">
        <w:rPr>
          <w:rFonts w:asciiTheme="majorHAnsi" w:hAnsiTheme="majorHAnsi"/>
          <w:sz w:val="26"/>
          <w:szCs w:val="26"/>
          <w:lang w:val="en-GB"/>
        </w:rPr>
        <w:t xml:space="preserve"> </w:t>
      </w:r>
      <w:r w:rsidR="00DB418A" w:rsidRPr="0026326C">
        <w:rPr>
          <w:rFonts w:asciiTheme="majorHAnsi" w:hAnsiTheme="majorHAnsi"/>
          <w:sz w:val="26"/>
          <w:szCs w:val="26"/>
          <w:lang w:val="en-GB"/>
        </w:rPr>
        <w:t>Both of these approaches are based on the stages of growth model</w:t>
      </w:r>
      <w:r w:rsidR="006F7FDB" w:rsidRPr="0026326C">
        <w:rPr>
          <w:rFonts w:asciiTheme="majorHAnsi" w:hAnsiTheme="majorHAnsi"/>
          <w:sz w:val="26"/>
          <w:szCs w:val="26"/>
          <w:lang w:val="en-GB"/>
        </w:rPr>
        <w:t>,</w:t>
      </w:r>
      <w:r w:rsidR="00DB418A" w:rsidRPr="0026326C">
        <w:rPr>
          <w:rFonts w:asciiTheme="majorHAnsi" w:hAnsiTheme="majorHAnsi"/>
          <w:sz w:val="26"/>
          <w:szCs w:val="26"/>
          <w:lang w:val="en-GB"/>
        </w:rPr>
        <w:t xml:space="preserve"> which </w:t>
      </w:r>
      <w:r w:rsidR="006F7FDB" w:rsidRPr="0026326C">
        <w:rPr>
          <w:rFonts w:asciiTheme="majorHAnsi" w:hAnsiTheme="majorHAnsi"/>
          <w:sz w:val="26"/>
          <w:szCs w:val="26"/>
          <w:lang w:val="en-GB"/>
        </w:rPr>
        <w:t>implies a phase of accumulation before industrial take off.</w:t>
      </w:r>
      <w:r w:rsidR="00463B85" w:rsidRPr="0026326C">
        <w:rPr>
          <w:rStyle w:val="FootnoteReference"/>
          <w:rFonts w:asciiTheme="majorHAnsi" w:hAnsiTheme="majorHAnsi"/>
          <w:sz w:val="26"/>
          <w:szCs w:val="26"/>
          <w:lang w:val="en-GB"/>
        </w:rPr>
        <w:footnoteReference w:id="10"/>
      </w:r>
      <w:r w:rsidR="00463B85" w:rsidRPr="0026326C">
        <w:rPr>
          <w:rFonts w:asciiTheme="majorHAnsi" w:hAnsiTheme="majorHAnsi"/>
          <w:sz w:val="26"/>
          <w:szCs w:val="26"/>
          <w:lang w:val="en-GB"/>
        </w:rPr>
        <w:br/>
      </w:r>
      <w:r w:rsidR="00463B85" w:rsidRPr="0026326C">
        <w:rPr>
          <w:rFonts w:asciiTheme="majorHAnsi" w:hAnsiTheme="majorHAnsi"/>
          <w:sz w:val="26"/>
          <w:szCs w:val="26"/>
          <w:lang w:val="en-GB"/>
        </w:rPr>
        <w:tab/>
        <w:t xml:space="preserve">The development of the cliometric school in the 1960s determined a sudden revision of </w:t>
      </w:r>
      <w:r w:rsidR="00071F81" w:rsidRPr="0026326C">
        <w:rPr>
          <w:rFonts w:asciiTheme="majorHAnsi" w:hAnsiTheme="majorHAnsi"/>
          <w:sz w:val="26"/>
          <w:szCs w:val="26"/>
          <w:lang w:val="en-GB"/>
        </w:rPr>
        <w:t>statistical information concerning in</w:t>
      </w:r>
      <w:r w:rsidR="0094723A">
        <w:rPr>
          <w:rFonts w:asciiTheme="majorHAnsi" w:hAnsiTheme="majorHAnsi"/>
          <w:sz w:val="26"/>
          <w:szCs w:val="26"/>
          <w:lang w:val="en-GB"/>
        </w:rPr>
        <w:t>dustrial production from the 186</w:t>
      </w:r>
      <w:r w:rsidR="00071F81" w:rsidRPr="0026326C">
        <w:rPr>
          <w:rFonts w:asciiTheme="majorHAnsi" w:hAnsiTheme="majorHAnsi"/>
          <w:sz w:val="26"/>
          <w:szCs w:val="26"/>
          <w:lang w:val="en-GB"/>
        </w:rPr>
        <w:t>0s onwards, of which Stefano Fenoaltea has been the pioneer.</w:t>
      </w:r>
      <w:r w:rsidR="00071F81" w:rsidRPr="0026326C">
        <w:rPr>
          <w:rStyle w:val="FootnoteReference"/>
          <w:rFonts w:asciiTheme="majorHAnsi" w:hAnsiTheme="majorHAnsi"/>
          <w:sz w:val="26"/>
          <w:szCs w:val="26"/>
          <w:lang w:val="en-GB"/>
        </w:rPr>
        <w:footnoteReference w:id="11"/>
      </w:r>
      <w:r w:rsidR="00071F81" w:rsidRPr="0026326C">
        <w:rPr>
          <w:rFonts w:asciiTheme="majorHAnsi" w:hAnsiTheme="majorHAnsi"/>
          <w:sz w:val="26"/>
          <w:szCs w:val="26"/>
          <w:lang w:val="en-GB"/>
        </w:rPr>
        <w:t xml:space="preserve"> </w:t>
      </w:r>
      <w:r w:rsidR="00132A0F">
        <w:rPr>
          <w:rFonts w:asciiTheme="majorHAnsi" w:hAnsiTheme="majorHAnsi"/>
          <w:sz w:val="26"/>
          <w:szCs w:val="26"/>
          <w:lang w:val="en-GB"/>
        </w:rPr>
        <w:t>A</w:t>
      </w:r>
      <w:r w:rsidR="00071F81" w:rsidRPr="0026326C">
        <w:rPr>
          <w:rFonts w:asciiTheme="majorHAnsi" w:hAnsiTheme="majorHAnsi"/>
          <w:sz w:val="26"/>
          <w:szCs w:val="26"/>
          <w:lang w:val="en-GB"/>
        </w:rPr>
        <w:t xml:space="preserve"> new model </w:t>
      </w:r>
      <w:r w:rsidR="000C76B1" w:rsidRPr="0026326C">
        <w:rPr>
          <w:rFonts w:asciiTheme="majorHAnsi" w:hAnsiTheme="majorHAnsi"/>
          <w:sz w:val="26"/>
          <w:szCs w:val="26"/>
          <w:lang w:val="en-GB"/>
        </w:rPr>
        <w:t xml:space="preserve">was developed, which </w:t>
      </w:r>
      <w:r w:rsidR="00132A0F">
        <w:rPr>
          <w:rFonts w:asciiTheme="majorHAnsi" w:hAnsiTheme="majorHAnsi"/>
          <w:sz w:val="26"/>
          <w:szCs w:val="26"/>
          <w:lang w:val="en-GB"/>
        </w:rPr>
        <w:t>substitutes the stages of growth stages with business cycles</w:t>
      </w:r>
      <w:r w:rsidR="00071F81" w:rsidRPr="0026326C">
        <w:rPr>
          <w:rFonts w:asciiTheme="majorHAnsi" w:hAnsiTheme="majorHAnsi"/>
          <w:sz w:val="26"/>
          <w:szCs w:val="26"/>
          <w:lang w:val="en-GB"/>
        </w:rPr>
        <w:t>.</w:t>
      </w:r>
      <w:r w:rsidR="00071F81" w:rsidRPr="0026326C">
        <w:rPr>
          <w:rStyle w:val="FootnoteReference"/>
          <w:rFonts w:asciiTheme="majorHAnsi" w:hAnsiTheme="majorHAnsi"/>
          <w:sz w:val="26"/>
          <w:szCs w:val="26"/>
          <w:lang w:val="en-GB"/>
        </w:rPr>
        <w:footnoteReference w:id="12"/>
      </w:r>
      <w:r w:rsidR="000C76B1" w:rsidRPr="0026326C">
        <w:rPr>
          <w:rFonts w:asciiTheme="majorHAnsi" w:hAnsiTheme="majorHAnsi"/>
          <w:sz w:val="26"/>
          <w:szCs w:val="26"/>
          <w:lang w:val="en-GB"/>
        </w:rPr>
        <w:t xml:space="preserve"> </w:t>
      </w:r>
      <w:r w:rsidR="00132A0F">
        <w:rPr>
          <w:rFonts w:asciiTheme="majorHAnsi" w:hAnsiTheme="majorHAnsi"/>
          <w:sz w:val="26"/>
          <w:szCs w:val="26"/>
          <w:lang w:val="en-GB"/>
        </w:rPr>
        <w:t>For investment industries, instead of an accumulation phase, the take-off</w:t>
      </w:r>
      <w:r w:rsidR="002527EE" w:rsidRPr="0026326C">
        <w:rPr>
          <w:rFonts w:asciiTheme="majorHAnsi" w:hAnsiTheme="majorHAnsi"/>
          <w:sz w:val="26"/>
          <w:szCs w:val="26"/>
          <w:lang w:val="en-GB"/>
        </w:rPr>
        <w:t xml:space="preserve"> </w:t>
      </w:r>
      <w:r w:rsidR="00BA20FB">
        <w:rPr>
          <w:rFonts w:asciiTheme="majorHAnsi" w:hAnsiTheme="majorHAnsi"/>
          <w:sz w:val="26"/>
          <w:szCs w:val="26"/>
          <w:lang w:val="en-GB"/>
        </w:rPr>
        <w:t>was</w:t>
      </w:r>
      <w:r w:rsidR="007C759A" w:rsidRPr="0026326C">
        <w:rPr>
          <w:rFonts w:asciiTheme="majorHAnsi" w:hAnsiTheme="majorHAnsi"/>
          <w:sz w:val="26"/>
          <w:szCs w:val="26"/>
          <w:lang w:val="en-GB"/>
        </w:rPr>
        <w:t xml:space="preserve"> </w:t>
      </w:r>
      <w:r w:rsidR="00132A0F">
        <w:rPr>
          <w:rFonts w:asciiTheme="majorHAnsi" w:hAnsiTheme="majorHAnsi"/>
          <w:sz w:val="26"/>
          <w:szCs w:val="26"/>
          <w:lang w:val="en-GB"/>
        </w:rPr>
        <w:t>tied exclusively to</w:t>
      </w:r>
      <w:r w:rsidR="002527EE" w:rsidRPr="0026326C">
        <w:rPr>
          <w:rFonts w:asciiTheme="majorHAnsi" w:hAnsiTheme="majorHAnsi"/>
          <w:sz w:val="26"/>
          <w:szCs w:val="26"/>
          <w:lang w:val="en-GB"/>
        </w:rPr>
        <w:t xml:space="preserve"> c</w:t>
      </w:r>
      <w:r w:rsidR="007C759A" w:rsidRPr="0026326C">
        <w:rPr>
          <w:rFonts w:asciiTheme="majorHAnsi" w:hAnsiTheme="majorHAnsi"/>
          <w:sz w:val="26"/>
          <w:szCs w:val="26"/>
          <w:lang w:val="en-GB"/>
        </w:rPr>
        <w:t xml:space="preserve">yclical peaks </w:t>
      </w:r>
      <w:r w:rsidR="002527EE" w:rsidRPr="0026326C">
        <w:rPr>
          <w:rFonts w:asciiTheme="majorHAnsi" w:hAnsiTheme="majorHAnsi"/>
          <w:sz w:val="26"/>
          <w:szCs w:val="26"/>
          <w:lang w:val="en-GB"/>
        </w:rPr>
        <w:t>of</w:t>
      </w:r>
      <w:r w:rsidR="007C759A" w:rsidRPr="0026326C">
        <w:rPr>
          <w:rFonts w:asciiTheme="majorHAnsi" w:hAnsiTheme="majorHAnsi"/>
          <w:sz w:val="26"/>
          <w:szCs w:val="26"/>
          <w:lang w:val="en-GB"/>
        </w:rPr>
        <w:t xml:space="preserve"> </w:t>
      </w:r>
      <w:r w:rsidR="00132A0F">
        <w:rPr>
          <w:rFonts w:asciiTheme="majorHAnsi" w:hAnsiTheme="majorHAnsi"/>
          <w:sz w:val="26"/>
          <w:szCs w:val="26"/>
          <w:lang w:val="en-GB"/>
        </w:rPr>
        <w:t>its</w:t>
      </w:r>
      <w:r w:rsidR="005002F7" w:rsidRPr="0026326C">
        <w:rPr>
          <w:rFonts w:asciiTheme="majorHAnsi" w:hAnsiTheme="majorHAnsi"/>
          <w:sz w:val="26"/>
          <w:szCs w:val="26"/>
          <w:lang w:val="en-GB"/>
        </w:rPr>
        <w:t xml:space="preserve"> </w:t>
      </w:r>
      <w:r w:rsidR="007C759A" w:rsidRPr="0026326C">
        <w:rPr>
          <w:rFonts w:asciiTheme="majorHAnsi" w:hAnsiTheme="majorHAnsi"/>
          <w:sz w:val="26"/>
          <w:szCs w:val="26"/>
          <w:lang w:val="en-GB"/>
        </w:rPr>
        <w:t>demand.</w:t>
      </w:r>
      <w:r w:rsidR="00132A0F" w:rsidRPr="0026326C">
        <w:rPr>
          <w:rStyle w:val="FootnoteReference"/>
          <w:rFonts w:asciiTheme="majorHAnsi" w:hAnsiTheme="majorHAnsi"/>
          <w:sz w:val="26"/>
          <w:szCs w:val="26"/>
          <w:lang w:val="en-GB"/>
        </w:rPr>
        <w:footnoteReference w:id="13"/>
      </w:r>
      <w:r w:rsidR="005565E6" w:rsidRPr="0026326C">
        <w:rPr>
          <w:rFonts w:asciiTheme="majorHAnsi" w:hAnsiTheme="majorHAnsi"/>
          <w:sz w:val="26"/>
          <w:szCs w:val="26"/>
          <w:lang w:val="en-GB"/>
        </w:rPr>
        <w:t xml:space="preserve"> </w:t>
      </w:r>
      <w:r w:rsidR="000C76B1" w:rsidRPr="0026326C">
        <w:rPr>
          <w:rFonts w:asciiTheme="majorHAnsi" w:hAnsiTheme="majorHAnsi"/>
          <w:sz w:val="26"/>
          <w:szCs w:val="26"/>
          <w:lang w:val="en-GB"/>
        </w:rPr>
        <w:t>On this premise, Fenoaltea detached himself from Cafagna’s deterministic approach, making a distinction between fixed and mobile resources, arguing that the former (such as natural resources and technology) attracted the latter</w:t>
      </w:r>
      <w:r w:rsidR="00C808E7" w:rsidRPr="0026326C">
        <w:rPr>
          <w:rFonts w:asciiTheme="majorHAnsi" w:hAnsiTheme="majorHAnsi"/>
          <w:sz w:val="26"/>
          <w:szCs w:val="26"/>
          <w:lang w:val="en-GB"/>
        </w:rPr>
        <w:t xml:space="preserve"> (financial and social capital)</w:t>
      </w:r>
      <w:r w:rsidR="00BA20FB">
        <w:rPr>
          <w:rFonts w:asciiTheme="majorHAnsi" w:hAnsiTheme="majorHAnsi"/>
          <w:sz w:val="26"/>
          <w:szCs w:val="26"/>
          <w:lang w:val="en-GB"/>
        </w:rPr>
        <w:t xml:space="preserve"> after Unification because of </w:t>
      </w:r>
      <w:r w:rsidR="005E3E0A">
        <w:rPr>
          <w:rFonts w:asciiTheme="majorHAnsi" w:hAnsiTheme="majorHAnsi"/>
          <w:sz w:val="26"/>
          <w:szCs w:val="26"/>
          <w:lang w:val="en-GB"/>
        </w:rPr>
        <w:t>specific</w:t>
      </w:r>
      <w:r w:rsidR="00342207" w:rsidRPr="0026326C">
        <w:rPr>
          <w:rFonts w:asciiTheme="majorHAnsi" w:hAnsiTheme="majorHAnsi"/>
          <w:sz w:val="26"/>
          <w:szCs w:val="26"/>
          <w:lang w:val="en-GB"/>
        </w:rPr>
        <w:t xml:space="preserve"> technologies</w:t>
      </w:r>
      <w:r w:rsidR="000C76B1" w:rsidRPr="0026326C">
        <w:rPr>
          <w:rFonts w:asciiTheme="majorHAnsi" w:hAnsiTheme="majorHAnsi"/>
          <w:sz w:val="26"/>
          <w:szCs w:val="26"/>
          <w:lang w:val="en-GB"/>
        </w:rPr>
        <w:t xml:space="preserve"> </w:t>
      </w:r>
      <w:r w:rsidR="00BA20FB">
        <w:rPr>
          <w:rFonts w:asciiTheme="majorHAnsi" w:hAnsiTheme="majorHAnsi"/>
          <w:sz w:val="26"/>
          <w:szCs w:val="26"/>
          <w:lang w:val="en-GB"/>
        </w:rPr>
        <w:t>that drove the</w:t>
      </w:r>
      <w:r w:rsidR="002527EE" w:rsidRPr="0026326C">
        <w:rPr>
          <w:rFonts w:asciiTheme="majorHAnsi" w:hAnsiTheme="majorHAnsi"/>
          <w:sz w:val="26"/>
          <w:szCs w:val="26"/>
          <w:lang w:val="en-GB"/>
        </w:rPr>
        <w:t xml:space="preserve"> first </w:t>
      </w:r>
      <w:r w:rsidR="000C76B1" w:rsidRPr="0026326C">
        <w:rPr>
          <w:rFonts w:asciiTheme="majorHAnsi" w:hAnsiTheme="majorHAnsi"/>
          <w:sz w:val="26"/>
          <w:szCs w:val="26"/>
          <w:lang w:val="en-GB"/>
        </w:rPr>
        <w:t xml:space="preserve">Italian </w:t>
      </w:r>
      <w:r w:rsidR="005002F7" w:rsidRPr="0026326C">
        <w:rPr>
          <w:rFonts w:asciiTheme="majorHAnsi" w:hAnsiTheme="majorHAnsi"/>
          <w:sz w:val="26"/>
          <w:szCs w:val="26"/>
          <w:lang w:val="en-GB"/>
        </w:rPr>
        <w:t>industrial</w:t>
      </w:r>
      <w:r w:rsidR="005E3E0A">
        <w:rPr>
          <w:rFonts w:asciiTheme="majorHAnsi" w:hAnsiTheme="majorHAnsi"/>
          <w:sz w:val="26"/>
          <w:szCs w:val="26"/>
          <w:lang w:val="en-GB"/>
        </w:rPr>
        <w:t>ization</w:t>
      </w:r>
      <w:r w:rsidR="00BA20FB">
        <w:rPr>
          <w:rFonts w:asciiTheme="majorHAnsi" w:hAnsiTheme="majorHAnsi"/>
          <w:sz w:val="26"/>
          <w:szCs w:val="26"/>
          <w:lang w:val="en-GB"/>
        </w:rPr>
        <w:t xml:space="preserve">, </w:t>
      </w:r>
      <w:r w:rsidR="005E3E0A">
        <w:rPr>
          <w:rFonts w:asciiTheme="majorHAnsi" w:hAnsiTheme="majorHAnsi"/>
          <w:sz w:val="26"/>
          <w:szCs w:val="26"/>
          <w:lang w:val="en-GB"/>
        </w:rPr>
        <w:t>favouring</w:t>
      </w:r>
      <w:r w:rsidR="000C76B1" w:rsidRPr="0026326C">
        <w:rPr>
          <w:rFonts w:asciiTheme="majorHAnsi" w:hAnsiTheme="majorHAnsi"/>
          <w:sz w:val="26"/>
          <w:szCs w:val="26"/>
          <w:lang w:val="en-GB"/>
        </w:rPr>
        <w:t xml:space="preserve"> </w:t>
      </w:r>
      <w:r w:rsidR="005E3E0A">
        <w:rPr>
          <w:rFonts w:asciiTheme="majorHAnsi" w:hAnsiTheme="majorHAnsi"/>
          <w:sz w:val="26"/>
          <w:szCs w:val="26"/>
          <w:lang w:val="en-GB"/>
        </w:rPr>
        <w:t>concentration in the</w:t>
      </w:r>
      <w:r w:rsidR="000C76B1" w:rsidRPr="0026326C">
        <w:rPr>
          <w:rFonts w:asciiTheme="majorHAnsi" w:hAnsiTheme="majorHAnsi"/>
          <w:sz w:val="26"/>
          <w:szCs w:val="26"/>
          <w:lang w:val="en-GB"/>
        </w:rPr>
        <w:t xml:space="preserve"> North-West.</w:t>
      </w:r>
      <w:r w:rsidR="000C76B1" w:rsidRPr="0026326C">
        <w:rPr>
          <w:rStyle w:val="FootnoteReference"/>
          <w:rFonts w:asciiTheme="majorHAnsi" w:hAnsiTheme="majorHAnsi"/>
          <w:sz w:val="26"/>
          <w:szCs w:val="26"/>
          <w:lang w:val="en-GB"/>
        </w:rPr>
        <w:footnoteReference w:id="14"/>
      </w:r>
      <w:r w:rsidR="00C808E7" w:rsidRPr="0026326C">
        <w:rPr>
          <w:rFonts w:asciiTheme="majorHAnsi" w:hAnsiTheme="majorHAnsi"/>
          <w:sz w:val="26"/>
          <w:szCs w:val="26"/>
          <w:lang w:val="en-GB"/>
        </w:rPr>
        <w:t xml:space="preserve"> This </w:t>
      </w:r>
      <w:r w:rsidR="00BA20FB">
        <w:rPr>
          <w:rFonts w:asciiTheme="majorHAnsi" w:hAnsiTheme="majorHAnsi"/>
          <w:sz w:val="26"/>
          <w:szCs w:val="26"/>
          <w:lang w:val="en-GB"/>
        </w:rPr>
        <w:t xml:space="preserve">process occurred </w:t>
      </w:r>
      <w:r w:rsidR="00F74DB2">
        <w:rPr>
          <w:rFonts w:asciiTheme="majorHAnsi" w:hAnsiTheme="majorHAnsi"/>
          <w:sz w:val="26"/>
          <w:szCs w:val="26"/>
          <w:lang w:val="en-GB"/>
        </w:rPr>
        <w:t>during the</w:t>
      </w:r>
      <w:r w:rsidR="00C808E7" w:rsidRPr="0026326C">
        <w:rPr>
          <w:rFonts w:asciiTheme="majorHAnsi" w:hAnsiTheme="majorHAnsi"/>
          <w:sz w:val="26"/>
          <w:szCs w:val="26"/>
          <w:lang w:val="en-GB"/>
        </w:rPr>
        <w:t xml:space="preserve"> 1880s</w:t>
      </w:r>
      <w:r w:rsidR="00F74DB2">
        <w:rPr>
          <w:rFonts w:asciiTheme="majorHAnsi" w:hAnsiTheme="majorHAnsi"/>
          <w:sz w:val="26"/>
          <w:szCs w:val="26"/>
          <w:lang w:val="en-GB"/>
        </w:rPr>
        <w:t>, when industries</w:t>
      </w:r>
      <w:r w:rsidR="00C808E7" w:rsidRPr="0026326C">
        <w:rPr>
          <w:rFonts w:asciiTheme="majorHAnsi" w:hAnsiTheme="majorHAnsi"/>
          <w:sz w:val="26"/>
          <w:szCs w:val="26"/>
          <w:lang w:val="en-GB"/>
        </w:rPr>
        <w:t xml:space="preserve"> started to concentrate in the </w:t>
      </w:r>
      <w:r w:rsidR="005565E6" w:rsidRPr="0026326C">
        <w:rPr>
          <w:rFonts w:asciiTheme="majorHAnsi" w:hAnsiTheme="majorHAnsi"/>
          <w:sz w:val="26"/>
          <w:szCs w:val="26"/>
          <w:lang w:val="en-GB"/>
        </w:rPr>
        <w:t>so-called “</w:t>
      </w:r>
      <w:r w:rsidR="00C808E7" w:rsidRPr="0026326C">
        <w:rPr>
          <w:rFonts w:asciiTheme="majorHAnsi" w:hAnsiTheme="majorHAnsi"/>
          <w:sz w:val="26"/>
          <w:szCs w:val="26"/>
          <w:lang w:val="en-GB"/>
        </w:rPr>
        <w:t>industrial triangle</w:t>
      </w:r>
      <w:r w:rsidR="00BA20FB">
        <w:rPr>
          <w:rFonts w:asciiTheme="majorHAnsi" w:hAnsiTheme="majorHAnsi"/>
          <w:sz w:val="26"/>
          <w:szCs w:val="26"/>
          <w:lang w:val="en-GB"/>
        </w:rPr>
        <w:t xml:space="preserve">” of Turin, Genoa and Milan, </w:t>
      </w:r>
      <w:r w:rsidR="00F74DB2">
        <w:rPr>
          <w:rFonts w:asciiTheme="majorHAnsi" w:hAnsiTheme="majorHAnsi"/>
          <w:sz w:val="26"/>
          <w:szCs w:val="26"/>
          <w:lang w:val="en-GB"/>
        </w:rPr>
        <w:t>and</w:t>
      </w:r>
      <w:r w:rsidR="00BA20FB">
        <w:rPr>
          <w:rFonts w:asciiTheme="majorHAnsi" w:hAnsiTheme="majorHAnsi"/>
          <w:sz w:val="26"/>
          <w:szCs w:val="26"/>
          <w:lang w:val="en-GB"/>
        </w:rPr>
        <w:t xml:space="preserve"> South </w:t>
      </w:r>
      <w:r w:rsidR="00F74DB2">
        <w:rPr>
          <w:rFonts w:asciiTheme="majorHAnsi" w:hAnsiTheme="majorHAnsi"/>
          <w:sz w:val="26"/>
          <w:szCs w:val="26"/>
          <w:lang w:val="en-GB"/>
        </w:rPr>
        <w:t xml:space="preserve">Italy </w:t>
      </w:r>
      <w:r w:rsidR="00BA20FB">
        <w:rPr>
          <w:rFonts w:asciiTheme="majorHAnsi" w:hAnsiTheme="majorHAnsi"/>
          <w:sz w:val="26"/>
          <w:szCs w:val="26"/>
          <w:lang w:val="en-GB"/>
        </w:rPr>
        <w:t>stayed behind.</w:t>
      </w:r>
      <w:r w:rsidR="00C808E7" w:rsidRPr="0026326C">
        <w:rPr>
          <w:rStyle w:val="FootnoteReference"/>
          <w:rFonts w:asciiTheme="majorHAnsi" w:hAnsiTheme="majorHAnsi"/>
          <w:sz w:val="26"/>
          <w:szCs w:val="26"/>
          <w:lang w:val="en-GB"/>
        </w:rPr>
        <w:footnoteReference w:id="15"/>
      </w:r>
      <w:r w:rsidR="005E3E0A">
        <w:rPr>
          <w:rFonts w:asciiTheme="majorHAnsi" w:hAnsiTheme="majorHAnsi"/>
          <w:sz w:val="26"/>
          <w:szCs w:val="26"/>
          <w:lang w:val="en-GB"/>
        </w:rPr>
        <w:t xml:space="preserve"> </w:t>
      </w:r>
      <w:r w:rsidR="005E3E0A">
        <w:rPr>
          <w:rFonts w:asciiTheme="majorHAnsi" w:hAnsiTheme="majorHAnsi"/>
          <w:sz w:val="26"/>
          <w:szCs w:val="26"/>
          <w:lang w:val="en-GB"/>
        </w:rPr>
        <w:br/>
      </w:r>
      <w:r w:rsidR="00F45773" w:rsidRPr="0026326C">
        <w:rPr>
          <w:rFonts w:asciiTheme="majorHAnsi" w:hAnsiTheme="majorHAnsi"/>
          <w:sz w:val="26"/>
          <w:szCs w:val="26"/>
          <w:lang w:val="en-GB"/>
        </w:rPr>
        <w:tab/>
      </w:r>
      <w:r w:rsidR="00881A67" w:rsidRPr="0026326C">
        <w:rPr>
          <w:rFonts w:asciiTheme="majorHAnsi" w:hAnsiTheme="majorHAnsi"/>
          <w:sz w:val="26"/>
          <w:szCs w:val="26"/>
          <w:lang w:val="en-GB"/>
        </w:rPr>
        <w:t xml:space="preserve">In the research spurt of </w:t>
      </w:r>
      <w:r w:rsidR="0037071D" w:rsidRPr="0026326C">
        <w:rPr>
          <w:rFonts w:asciiTheme="majorHAnsi" w:hAnsiTheme="majorHAnsi"/>
          <w:sz w:val="26"/>
          <w:szCs w:val="26"/>
          <w:lang w:val="en-GB"/>
        </w:rPr>
        <w:t>the last decades, a</w:t>
      </w:r>
      <w:r w:rsidR="00881A67" w:rsidRPr="0026326C">
        <w:rPr>
          <w:rFonts w:asciiTheme="majorHAnsi" w:hAnsiTheme="majorHAnsi"/>
          <w:sz w:val="26"/>
          <w:szCs w:val="26"/>
          <w:lang w:val="en-GB"/>
        </w:rPr>
        <w:t>n aspect that received scarce attention up to this day</w:t>
      </w:r>
      <w:r w:rsidR="00F45773" w:rsidRPr="0026326C">
        <w:rPr>
          <w:rFonts w:asciiTheme="majorHAnsi" w:hAnsiTheme="majorHAnsi"/>
          <w:sz w:val="26"/>
          <w:szCs w:val="26"/>
          <w:lang w:val="en-GB"/>
        </w:rPr>
        <w:t xml:space="preserve"> </w:t>
      </w:r>
      <w:r w:rsidR="006A6AFE" w:rsidRPr="0026326C">
        <w:rPr>
          <w:rFonts w:asciiTheme="majorHAnsi" w:hAnsiTheme="majorHAnsi"/>
          <w:sz w:val="26"/>
          <w:szCs w:val="26"/>
          <w:lang w:val="en-GB"/>
        </w:rPr>
        <w:t xml:space="preserve">is </w:t>
      </w:r>
      <w:r w:rsidR="00EE4B01">
        <w:rPr>
          <w:rFonts w:asciiTheme="majorHAnsi" w:hAnsiTheme="majorHAnsi"/>
          <w:sz w:val="26"/>
          <w:szCs w:val="26"/>
          <w:lang w:val="en-GB"/>
        </w:rPr>
        <w:t xml:space="preserve">how the institutional continuity between the Kingdom of Sardinia, the driving force in the Unification process, and the Italian state </w:t>
      </w:r>
      <w:r w:rsidR="00691B0A">
        <w:rPr>
          <w:rFonts w:asciiTheme="majorHAnsi" w:hAnsiTheme="majorHAnsi"/>
          <w:sz w:val="26"/>
          <w:szCs w:val="26"/>
          <w:lang w:val="en-GB"/>
        </w:rPr>
        <w:t xml:space="preserve">have </w:t>
      </w:r>
      <w:r w:rsidR="00EE4B01">
        <w:rPr>
          <w:rFonts w:asciiTheme="majorHAnsi" w:hAnsiTheme="majorHAnsi"/>
          <w:sz w:val="26"/>
          <w:szCs w:val="26"/>
          <w:lang w:val="en-GB"/>
        </w:rPr>
        <w:t xml:space="preserve">influenced the post-unitary industrial concentration. </w:t>
      </w:r>
      <w:r w:rsidR="005E3E0A">
        <w:rPr>
          <w:rFonts w:asciiTheme="majorHAnsi" w:hAnsiTheme="majorHAnsi"/>
          <w:sz w:val="26"/>
          <w:szCs w:val="26"/>
          <w:lang w:val="en-GB"/>
        </w:rPr>
        <w:t>The expansion of engineering firms was</w:t>
      </w:r>
      <w:r w:rsidR="005E3E0A" w:rsidRPr="0026326C">
        <w:rPr>
          <w:rFonts w:asciiTheme="majorHAnsi" w:hAnsiTheme="majorHAnsi"/>
          <w:sz w:val="26"/>
          <w:szCs w:val="26"/>
          <w:lang w:val="en-GB"/>
        </w:rPr>
        <w:t xml:space="preserve"> tied to internal demand according to Fenoaltea’s model; in post-unitary Italy such industries had only one client, the state.</w:t>
      </w:r>
      <w:r w:rsidR="005E3E0A">
        <w:rPr>
          <w:rStyle w:val="FootnoteReference"/>
          <w:rFonts w:asciiTheme="majorHAnsi" w:hAnsiTheme="majorHAnsi"/>
          <w:sz w:val="26"/>
          <w:szCs w:val="26"/>
          <w:lang w:val="en-GB"/>
        </w:rPr>
        <w:footnoteReference w:id="16"/>
      </w:r>
      <w:r w:rsidR="005E3E0A">
        <w:rPr>
          <w:rFonts w:asciiTheme="majorHAnsi" w:hAnsiTheme="majorHAnsi"/>
          <w:sz w:val="26"/>
          <w:szCs w:val="26"/>
          <w:lang w:val="en-GB"/>
        </w:rPr>
        <w:t xml:space="preserve"> </w:t>
      </w:r>
      <w:r w:rsidR="00EE4B01">
        <w:rPr>
          <w:rFonts w:asciiTheme="majorHAnsi" w:hAnsiTheme="majorHAnsi"/>
          <w:sz w:val="26"/>
          <w:szCs w:val="26"/>
          <w:lang w:val="en-GB"/>
        </w:rPr>
        <w:t>Piedmontese institutional continuity</w:t>
      </w:r>
      <w:r w:rsidR="00691B0A">
        <w:rPr>
          <w:rFonts w:asciiTheme="majorHAnsi" w:hAnsiTheme="majorHAnsi"/>
          <w:sz w:val="26"/>
          <w:szCs w:val="26"/>
          <w:lang w:val="en-GB"/>
        </w:rPr>
        <w:t xml:space="preserve"> manifested itself into the extension of Sardinian legislation to the peninsula, the influence of its nobility and military ranks in post-unitary cabinets, and the privileged relationship between the National Bank of Sardinia and the state.</w:t>
      </w:r>
      <w:r w:rsidR="00691B0A">
        <w:rPr>
          <w:rStyle w:val="FootnoteReference"/>
          <w:rFonts w:asciiTheme="majorHAnsi" w:hAnsiTheme="majorHAnsi"/>
          <w:sz w:val="26"/>
          <w:szCs w:val="26"/>
          <w:lang w:val="en-GB"/>
        </w:rPr>
        <w:footnoteReference w:id="17"/>
      </w:r>
      <w:r w:rsidR="00691B0A">
        <w:rPr>
          <w:rFonts w:asciiTheme="majorHAnsi" w:hAnsiTheme="majorHAnsi"/>
          <w:sz w:val="26"/>
          <w:szCs w:val="26"/>
          <w:lang w:val="en-GB"/>
        </w:rPr>
        <w:t xml:space="preserve"> </w:t>
      </w:r>
      <w:r w:rsidR="008717E5">
        <w:rPr>
          <w:rFonts w:asciiTheme="majorHAnsi" w:hAnsiTheme="majorHAnsi"/>
          <w:sz w:val="26"/>
          <w:szCs w:val="26"/>
          <w:lang w:val="en-GB"/>
        </w:rPr>
        <w:t xml:space="preserve">This </w:t>
      </w:r>
      <w:r w:rsidR="00940506">
        <w:rPr>
          <w:rFonts w:asciiTheme="majorHAnsi" w:hAnsiTheme="majorHAnsi"/>
          <w:sz w:val="26"/>
          <w:szCs w:val="26"/>
          <w:lang w:val="en-GB"/>
        </w:rPr>
        <w:t xml:space="preserve">legislative continuity renewed old ties between pre-unitary Northern engineering firms and the state, while continuities in state cabinets directed the distribution of public contracts, especially </w:t>
      </w:r>
      <w:r w:rsidR="00254F67">
        <w:rPr>
          <w:rFonts w:asciiTheme="majorHAnsi" w:hAnsiTheme="majorHAnsi"/>
          <w:sz w:val="26"/>
          <w:szCs w:val="26"/>
          <w:lang w:val="en-GB"/>
        </w:rPr>
        <w:t xml:space="preserve">relating to the </w:t>
      </w:r>
      <w:r w:rsidR="00B035EB">
        <w:rPr>
          <w:rFonts w:asciiTheme="majorHAnsi" w:hAnsiTheme="majorHAnsi"/>
          <w:sz w:val="26"/>
          <w:szCs w:val="26"/>
          <w:lang w:val="en-GB"/>
        </w:rPr>
        <w:t xml:space="preserve">Navy; preliminary research mentioned how the assignation of public contracts might </w:t>
      </w:r>
      <w:r w:rsidR="00B035EB">
        <w:rPr>
          <w:rFonts w:asciiTheme="majorHAnsi" w:hAnsiTheme="majorHAnsi"/>
          <w:sz w:val="26"/>
          <w:szCs w:val="26"/>
          <w:lang w:val="en-GB"/>
        </w:rPr>
        <w:lastRenderedPageBreak/>
        <w:t>have played a role in determining the Italian industrial geography.</w:t>
      </w:r>
      <w:r w:rsidR="00254F67">
        <w:rPr>
          <w:rStyle w:val="FootnoteReference"/>
          <w:rFonts w:asciiTheme="majorHAnsi" w:hAnsiTheme="majorHAnsi"/>
          <w:sz w:val="26"/>
          <w:szCs w:val="26"/>
          <w:lang w:val="en-GB"/>
        </w:rPr>
        <w:footnoteReference w:id="18"/>
      </w:r>
      <w:r w:rsidR="00940506">
        <w:rPr>
          <w:rFonts w:asciiTheme="majorHAnsi" w:hAnsiTheme="majorHAnsi"/>
          <w:sz w:val="26"/>
          <w:szCs w:val="26"/>
          <w:lang w:val="en-GB"/>
        </w:rPr>
        <w:t xml:space="preserve"> </w:t>
      </w:r>
      <w:r w:rsidR="00254F67">
        <w:rPr>
          <w:rFonts w:asciiTheme="majorHAnsi" w:hAnsiTheme="majorHAnsi"/>
          <w:sz w:val="26"/>
          <w:szCs w:val="26"/>
          <w:lang w:val="en-GB"/>
        </w:rPr>
        <w:t>Finally, the dominant position of the National Bank of Sardinia had implications in the availability of credit.</w:t>
      </w:r>
      <w:r w:rsidR="00B035EB">
        <w:rPr>
          <w:rStyle w:val="FootnoteReference"/>
          <w:rFonts w:asciiTheme="majorHAnsi" w:hAnsiTheme="majorHAnsi"/>
          <w:sz w:val="26"/>
          <w:szCs w:val="26"/>
          <w:lang w:val="en-GB"/>
        </w:rPr>
        <w:footnoteReference w:id="19"/>
      </w:r>
      <w:r w:rsidR="00254F67">
        <w:rPr>
          <w:rFonts w:asciiTheme="majorHAnsi" w:hAnsiTheme="majorHAnsi"/>
          <w:sz w:val="26"/>
          <w:szCs w:val="26"/>
          <w:lang w:val="en-GB"/>
        </w:rPr>
        <w:t xml:space="preserve"> </w:t>
      </w:r>
      <w:r w:rsidR="00254F67" w:rsidRPr="0026326C">
        <w:rPr>
          <w:rFonts w:asciiTheme="majorHAnsi" w:hAnsiTheme="majorHAnsi"/>
          <w:sz w:val="26"/>
          <w:szCs w:val="26"/>
          <w:lang w:val="en-GB"/>
        </w:rPr>
        <w:t xml:space="preserve">Thus, this case study will compare the distribution of public contracts, credit </w:t>
      </w:r>
      <w:r w:rsidR="00254F67">
        <w:rPr>
          <w:rFonts w:asciiTheme="majorHAnsi" w:hAnsiTheme="majorHAnsi"/>
          <w:sz w:val="26"/>
          <w:szCs w:val="26"/>
          <w:lang w:val="en-GB"/>
        </w:rPr>
        <w:t>availability and</w:t>
      </w:r>
      <w:r w:rsidR="00254F67" w:rsidRPr="0026326C">
        <w:rPr>
          <w:rFonts w:asciiTheme="majorHAnsi" w:hAnsiTheme="majorHAnsi"/>
          <w:sz w:val="26"/>
          <w:szCs w:val="26"/>
          <w:lang w:val="en-GB"/>
        </w:rPr>
        <w:t xml:space="preserve"> the involvement of the state </w:t>
      </w:r>
      <w:r w:rsidR="008717E5">
        <w:rPr>
          <w:rFonts w:asciiTheme="majorHAnsi" w:hAnsiTheme="majorHAnsi"/>
          <w:sz w:val="26"/>
          <w:szCs w:val="26"/>
          <w:lang w:val="en-GB"/>
        </w:rPr>
        <w:t>between the</w:t>
      </w:r>
      <w:r w:rsidR="00254F67" w:rsidRPr="0026326C">
        <w:rPr>
          <w:rFonts w:asciiTheme="majorHAnsi" w:hAnsiTheme="majorHAnsi"/>
          <w:sz w:val="26"/>
          <w:szCs w:val="26"/>
          <w:lang w:val="en-GB"/>
        </w:rPr>
        <w:t xml:space="preserve"> two biggest mechanic firms in post-unitary Italy: Pietrarsa, near Naples, in the South and Ansaldo, near Genoa, in the North. The aim of the research is to offer a preliminary qualitative analysis in what might have been the role of the Italian state in the development of the two most prominent Italian mechanic factories. In short, to what extent were public commissions, banking credit and privatization contracts influenced by the institutional continuity between the Kingdom of Sardinia and the Kingdom of Italy?</w:t>
      </w:r>
      <w:r w:rsidR="00EC6316" w:rsidRPr="0026326C">
        <w:rPr>
          <w:rFonts w:asciiTheme="majorHAnsi" w:hAnsiTheme="majorHAnsi"/>
          <w:sz w:val="26"/>
          <w:szCs w:val="26"/>
          <w:lang w:val="en-GB"/>
        </w:rPr>
        <w:tab/>
      </w:r>
      <w:r w:rsidR="000625F0" w:rsidRPr="0026326C">
        <w:rPr>
          <w:rFonts w:asciiTheme="majorHAnsi" w:hAnsiTheme="majorHAnsi"/>
          <w:sz w:val="26"/>
          <w:szCs w:val="26"/>
          <w:lang w:val="en-GB"/>
        </w:rPr>
        <w:tab/>
      </w:r>
      <w:r w:rsidR="008717E5">
        <w:rPr>
          <w:rFonts w:asciiTheme="majorHAnsi" w:hAnsiTheme="majorHAnsi"/>
          <w:sz w:val="26"/>
          <w:szCs w:val="26"/>
          <w:lang w:val="en-GB"/>
        </w:rPr>
        <w:br/>
      </w:r>
      <w:r w:rsidR="008717E5">
        <w:rPr>
          <w:rFonts w:asciiTheme="majorHAnsi" w:hAnsiTheme="majorHAnsi"/>
          <w:sz w:val="26"/>
          <w:szCs w:val="26"/>
          <w:lang w:val="en-GB"/>
        </w:rPr>
        <w:tab/>
      </w:r>
      <w:r w:rsidR="00C70D81" w:rsidRPr="0026326C">
        <w:rPr>
          <w:rFonts w:asciiTheme="majorHAnsi" w:hAnsiTheme="majorHAnsi"/>
          <w:sz w:val="26"/>
          <w:szCs w:val="26"/>
          <w:lang w:val="en-GB"/>
        </w:rPr>
        <w:t>The factories of Pietrarsa and Ansaldo have similar histories. Both were built in their respective pre-unitary kingdoms during the 1840s</w:t>
      </w:r>
      <w:r w:rsidR="00FC0322" w:rsidRPr="0026326C">
        <w:rPr>
          <w:rFonts w:asciiTheme="majorHAnsi" w:hAnsiTheme="majorHAnsi"/>
          <w:sz w:val="26"/>
          <w:szCs w:val="26"/>
          <w:lang w:val="en-GB"/>
        </w:rPr>
        <w:t xml:space="preserve"> and we</w:t>
      </w:r>
      <w:r w:rsidR="00BC742B" w:rsidRPr="0026326C">
        <w:rPr>
          <w:rFonts w:asciiTheme="majorHAnsi" w:hAnsiTheme="majorHAnsi"/>
          <w:sz w:val="26"/>
          <w:szCs w:val="26"/>
          <w:lang w:val="en-GB"/>
        </w:rPr>
        <w:t xml:space="preserve">re the two biggest factories </w:t>
      </w:r>
      <w:r w:rsidR="00A40B26" w:rsidRPr="0026326C">
        <w:rPr>
          <w:rFonts w:asciiTheme="majorHAnsi" w:hAnsiTheme="majorHAnsi"/>
          <w:sz w:val="26"/>
          <w:szCs w:val="26"/>
          <w:lang w:val="en-GB"/>
        </w:rPr>
        <w:t>inherited by the new state</w:t>
      </w:r>
      <w:r w:rsidR="00FC0322" w:rsidRPr="0026326C">
        <w:rPr>
          <w:rFonts w:asciiTheme="majorHAnsi" w:hAnsiTheme="majorHAnsi"/>
          <w:sz w:val="26"/>
          <w:szCs w:val="26"/>
          <w:lang w:val="en-GB"/>
        </w:rPr>
        <w:t>:</w:t>
      </w:r>
      <w:r w:rsidR="00C70D81" w:rsidRPr="0026326C">
        <w:rPr>
          <w:rFonts w:asciiTheme="majorHAnsi" w:hAnsiTheme="majorHAnsi"/>
          <w:sz w:val="26"/>
          <w:szCs w:val="26"/>
          <w:lang w:val="en-GB"/>
        </w:rPr>
        <w:t xml:space="preserve"> industrial reports of 1864 describe them as the o</w:t>
      </w:r>
      <w:r w:rsidR="00FC0322" w:rsidRPr="0026326C">
        <w:rPr>
          <w:rFonts w:asciiTheme="majorHAnsi" w:hAnsiTheme="majorHAnsi"/>
          <w:sz w:val="26"/>
          <w:szCs w:val="26"/>
          <w:lang w:val="en-GB"/>
        </w:rPr>
        <w:t>nly engineering establishments of a proper industrial entity, while i</w:t>
      </w:r>
      <w:r w:rsidR="00CE06E6" w:rsidRPr="0026326C">
        <w:rPr>
          <w:rFonts w:asciiTheme="majorHAnsi" w:hAnsiTheme="majorHAnsi"/>
          <w:sz w:val="26"/>
          <w:szCs w:val="26"/>
          <w:lang w:val="en-GB"/>
        </w:rPr>
        <w:t>n 1870-1874 another industrial enquiry</w:t>
      </w:r>
      <w:r w:rsidR="00FC0322" w:rsidRPr="0026326C">
        <w:rPr>
          <w:rFonts w:asciiTheme="majorHAnsi" w:hAnsiTheme="majorHAnsi"/>
          <w:sz w:val="26"/>
          <w:szCs w:val="26"/>
          <w:lang w:val="en-GB"/>
        </w:rPr>
        <w:t xml:space="preserve"> compares their productivity of naval machines in equal terms.</w:t>
      </w:r>
      <w:r w:rsidR="00FC0322" w:rsidRPr="0026326C">
        <w:rPr>
          <w:rStyle w:val="FootnoteReference"/>
          <w:rFonts w:asciiTheme="majorHAnsi" w:hAnsiTheme="majorHAnsi"/>
          <w:sz w:val="26"/>
          <w:szCs w:val="26"/>
          <w:lang w:val="en-GB"/>
        </w:rPr>
        <w:footnoteReference w:id="20"/>
      </w:r>
      <w:r w:rsidR="00FC0322" w:rsidRPr="0026326C">
        <w:rPr>
          <w:rFonts w:asciiTheme="majorHAnsi" w:hAnsiTheme="majorHAnsi"/>
          <w:sz w:val="26"/>
          <w:szCs w:val="26"/>
          <w:lang w:val="en-GB"/>
        </w:rPr>
        <w:t xml:space="preserve"> Both </w:t>
      </w:r>
      <w:r w:rsidR="00A43C1E" w:rsidRPr="0026326C">
        <w:rPr>
          <w:rFonts w:asciiTheme="majorHAnsi" w:hAnsiTheme="majorHAnsi"/>
          <w:sz w:val="26"/>
          <w:szCs w:val="26"/>
          <w:lang w:val="en-GB"/>
        </w:rPr>
        <w:t xml:space="preserve">underwent a privatization process with state involvement and </w:t>
      </w:r>
      <w:r w:rsidR="00FC0322" w:rsidRPr="0026326C">
        <w:rPr>
          <w:rFonts w:asciiTheme="majorHAnsi" w:hAnsiTheme="majorHAnsi"/>
          <w:sz w:val="26"/>
          <w:szCs w:val="26"/>
          <w:lang w:val="en-GB"/>
        </w:rPr>
        <w:t xml:space="preserve">relied </w:t>
      </w:r>
      <w:r w:rsidR="00A43C1E" w:rsidRPr="0026326C">
        <w:rPr>
          <w:rFonts w:asciiTheme="majorHAnsi" w:hAnsiTheme="majorHAnsi"/>
          <w:sz w:val="26"/>
          <w:szCs w:val="26"/>
          <w:lang w:val="en-GB"/>
        </w:rPr>
        <w:t xml:space="preserve">subsequently </w:t>
      </w:r>
      <w:r w:rsidR="00FC0322" w:rsidRPr="0026326C">
        <w:rPr>
          <w:rFonts w:asciiTheme="majorHAnsi" w:hAnsiTheme="majorHAnsi"/>
          <w:sz w:val="26"/>
          <w:szCs w:val="26"/>
          <w:lang w:val="en-GB"/>
        </w:rPr>
        <w:t xml:space="preserve">almost exclusively on state commissions mainly </w:t>
      </w:r>
      <w:r w:rsidR="00A40B26" w:rsidRPr="0026326C">
        <w:rPr>
          <w:rFonts w:asciiTheme="majorHAnsi" w:hAnsiTheme="majorHAnsi"/>
          <w:sz w:val="26"/>
          <w:szCs w:val="26"/>
          <w:lang w:val="en-GB"/>
        </w:rPr>
        <w:t>concentrating on</w:t>
      </w:r>
      <w:r w:rsidR="00FC0322" w:rsidRPr="0026326C">
        <w:rPr>
          <w:rFonts w:asciiTheme="majorHAnsi" w:hAnsiTheme="majorHAnsi"/>
          <w:sz w:val="26"/>
          <w:szCs w:val="26"/>
          <w:lang w:val="en-GB"/>
        </w:rPr>
        <w:t xml:space="preserve"> railroads material and naval machines.</w:t>
      </w:r>
      <w:r w:rsidR="00FC0322" w:rsidRPr="0026326C">
        <w:rPr>
          <w:rStyle w:val="FootnoteReference"/>
          <w:rFonts w:asciiTheme="majorHAnsi" w:hAnsiTheme="majorHAnsi"/>
          <w:sz w:val="26"/>
          <w:szCs w:val="26"/>
          <w:lang w:val="en-GB"/>
        </w:rPr>
        <w:footnoteReference w:id="21"/>
      </w:r>
      <w:r w:rsidR="00985689" w:rsidRPr="0026326C">
        <w:rPr>
          <w:rFonts w:asciiTheme="majorHAnsi" w:hAnsiTheme="majorHAnsi"/>
          <w:sz w:val="26"/>
          <w:szCs w:val="26"/>
          <w:lang w:val="en-GB"/>
        </w:rPr>
        <w:t xml:space="preserve"> </w:t>
      </w:r>
      <w:r w:rsidR="00A43C1E" w:rsidRPr="0026326C">
        <w:rPr>
          <w:rFonts w:asciiTheme="majorHAnsi" w:hAnsiTheme="majorHAnsi"/>
          <w:sz w:val="26"/>
          <w:szCs w:val="26"/>
          <w:lang w:val="en-GB"/>
        </w:rPr>
        <w:t>Both factories spent their first post-unitary decades in precarious financial conditio</w:t>
      </w:r>
      <w:r w:rsidR="00BC742B" w:rsidRPr="0026326C">
        <w:rPr>
          <w:rFonts w:asciiTheme="majorHAnsi" w:hAnsiTheme="majorHAnsi"/>
          <w:sz w:val="26"/>
          <w:szCs w:val="26"/>
          <w:lang w:val="en-GB"/>
        </w:rPr>
        <w:t>ns, which resulted in a compulsive use of credit.</w:t>
      </w:r>
      <w:r w:rsidR="00BC742B" w:rsidRPr="0026326C">
        <w:rPr>
          <w:rStyle w:val="FootnoteReference"/>
          <w:rFonts w:asciiTheme="majorHAnsi" w:hAnsiTheme="majorHAnsi"/>
          <w:sz w:val="26"/>
          <w:szCs w:val="26"/>
          <w:lang w:val="en-GB"/>
        </w:rPr>
        <w:footnoteReference w:id="22"/>
      </w:r>
      <w:r w:rsidR="00BC742B" w:rsidRPr="0026326C">
        <w:rPr>
          <w:rFonts w:asciiTheme="majorHAnsi" w:hAnsiTheme="majorHAnsi"/>
          <w:sz w:val="26"/>
          <w:szCs w:val="26"/>
          <w:lang w:val="en-GB"/>
        </w:rPr>
        <w:t xml:space="preserve"> One difference: the factory of Pietrarsa was declared bankrupt in 1878, while the Ansaldo would survive this phase and take the lead in the Italian industrialization process.</w:t>
      </w:r>
      <w:r w:rsidR="00BC742B" w:rsidRPr="0026326C">
        <w:rPr>
          <w:rStyle w:val="FootnoteReference"/>
          <w:rFonts w:asciiTheme="majorHAnsi" w:hAnsiTheme="majorHAnsi"/>
          <w:sz w:val="26"/>
          <w:szCs w:val="26"/>
          <w:lang w:val="en-GB"/>
        </w:rPr>
        <w:footnoteReference w:id="23"/>
      </w:r>
      <w:r w:rsidR="005A08B1">
        <w:rPr>
          <w:rFonts w:asciiTheme="majorHAnsi" w:hAnsiTheme="majorHAnsi"/>
          <w:sz w:val="26"/>
          <w:szCs w:val="26"/>
          <w:lang w:val="en-GB"/>
        </w:rPr>
        <w:br/>
      </w:r>
      <w:r w:rsidR="008717E5">
        <w:rPr>
          <w:rFonts w:asciiTheme="majorHAnsi" w:hAnsiTheme="majorHAnsi"/>
          <w:sz w:val="26"/>
          <w:szCs w:val="26"/>
          <w:lang w:val="en-GB"/>
        </w:rPr>
        <w:tab/>
      </w:r>
      <w:r w:rsidR="00831230" w:rsidRPr="0026326C">
        <w:rPr>
          <w:rFonts w:asciiTheme="majorHAnsi" w:hAnsiTheme="majorHAnsi"/>
          <w:sz w:val="26"/>
          <w:szCs w:val="26"/>
          <w:lang w:val="en-GB"/>
        </w:rPr>
        <w:t xml:space="preserve">Because of both factories’ dependency on the three elements mentioned above (state involvement, public contracts and credit) a comparison is </w:t>
      </w:r>
      <w:r w:rsidR="00640DDC" w:rsidRPr="0026326C">
        <w:rPr>
          <w:rFonts w:asciiTheme="majorHAnsi" w:hAnsiTheme="majorHAnsi"/>
          <w:sz w:val="26"/>
          <w:szCs w:val="26"/>
          <w:lang w:val="en-GB"/>
        </w:rPr>
        <w:t xml:space="preserve">likely to yield useful insights into the reason of their different outcomes. For that, John Stuart Mill’s method of difference will be used. </w:t>
      </w:r>
      <w:r w:rsidR="007A52C0" w:rsidRPr="0026326C">
        <w:rPr>
          <w:rFonts w:asciiTheme="majorHAnsi" w:hAnsiTheme="majorHAnsi"/>
          <w:sz w:val="26"/>
          <w:szCs w:val="26"/>
          <w:lang w:val="en-GB"/>
        </w:rPr>
        <w:t>Then, since in this comparative analysis the state plays a central role, the second point of this thesis will be to determine to what extent those political economic dynamics were determined by the institutional continuity between the Kingdom of Sa</w:t>
      </w:r>
      <w:r w:rsidR="00066C5D">
        <w:rPr>
          <w:rFonts w:asciiTheme="majorHAnsi" w:hAnsiTheme="majorHAnsi"/>
          <w:sz w:val="26"/>
          <w:szCs w:val="26"/>
          <w:lang w:val="en-GB"/>
        </w:rPr>
        <w:t>rdinia and the Kingdom of Italy.</w:t>
      </w:r>
      <w:r w:rsidR="007A52C0" w:rsidRPr="0026326C">
        <w:rPr>
          <w:rStyle w:val="FootnoteReference"/>
          <w:rFonts w:asciiTheme="majorHAnsi" w:hAnsiTheme="majorHAnsi"/>
          <w:sz w:val="26"/>
          <w:szCs w:val="26"/>
          <w:lang w:val="en-GB"/>
        </w:rPr>
        <w:footnoteReference w:id="24"/>
      </w:r>
      <w:r w:rsidR="000603E7" w:rsidRPr="0026326C">
        <w:rPr>
          <w:rFonts w:asciiTheme="majorHAnsi" w:hAnsiTheme="majorHAnsi"/>
          <w:sz w:val="26"/>
          <w:szCs w:val="26"/>
          <w:lang w:val="en-GB"/>
        </w:rPr>
        <w:t xml:space="preserve"> </w:t>
      </w:r>
      <w:r w:rsidR="007A7360" w:rsidRPr="0026326C">
        <w:rPr>
          <w:rFonts w:asciiTheme="majorHAnsi" w:hAnsiTheme="majorHAnsi"/>
          <w:sz w:val="26"/>
          <w:szCs w:val="26"/>
          <w:lang w:val="en-GB"/>
        </w:rPr>
        <w:t xml:space="preserve">Despite coming to different </w:t>
      </w:r>
      <w:r w:rsidR="007A7360" w:rsidRPr="0026326C">
        <w:rPr>
          <w:rFonts w:asciiTheme="majorHAnsi" w:hAnsiTheme="majorHAnsi"/>
          <w:sz w:val="26"/>
          <w:szCs w:val="26"/>
          <w:lang w:val="en-GB"/>
        </w:rPr>
        <w:lastRenderedPageBreak/>
        <w:t>conclusions, this thesis will use Fenoaltea’s cyclical interpretation of Italian economic history as well as his model of fixed and mobile resources regarding the South – North divergence. The first is directly linked to the role of the</w:t>
      </w:r>
      <w:r w:rsidR="00CF1572" w:rsidRPr="0026326C">
        <w:rPr>
          <w:rFonts w:asciiTheme="majorHAnsi" w:hAnsiTheme="majorHAnsi"/>
          <w:sz w:val="26"/>
          <w:szCs w:val="26"/>
          <w:lang w:val="en-GB"/>
        </w:rPr>
        <w:t xml:space="preserve"> st</w:t>
      </w:r>
      <w:r w:rsidR="00C8737C" w:rsidRPr="0026326C">
        <w:rPr>
          <w:rFonts w:asciiTheme="majorHAnsi" w:hAnsiTheme="majorHAnsi"/>
          <w:sz w:val="26"/>
          <w:szCs w:val="26"/>
          <w:lang w:val="en-GB"/>
        </w:rPr>
        <w:t>ate, s</w:t>
      </w:r>
      <w:r w:rsidR="00591A6E" w:rsidRPr="0026326C">
        <w:rPr>
          <w:rFonts w:asciiTheme="majorHAnsi" w:hAnsiTheme="majorHAnsi"/>
          <w:sz w:val="26"/>
          <w:szCs w:val="26"/>
          <w:lang w:val="en-GB"/>
        </w:rPr>
        <w:t>ince</w:t>
      </w:r>
      <w:r w:rsidR="00CF1572" w:rsidRPr="0026326C">
        <w:rPr>
          <w:rFonts w:asciiTheme="majorHAnsi" w:hAnsiTheme="majorHAnsi"/>
          <w:sz w:val="26"/>
          <w:szCs w:val="26"/>
          <w:lang w:val="en-GB"/>
        </w:rPr>
        <w:t xml:space="preserve"> cyclical peaks that characterize</w:t>
      </w:r>
      <w:r w:rsidR="00591A6E" w:rsidRPr="0026326C">
        <w:rPr>
          <w:rFonts w:asciiTheme="majorHAnsi" w:hAnsiTheme="majorHAnsi"/>
          <w:sz w:val="26"/>
          <w:szCs w:val="26"/>
          <w:lang w:val="en-GB"/>
        </w:rPr>
        <w:t>d</w:t>
      </w:r>
      <w:r w:rsidR="00CF1572" w:rsidRPr="0026326C">
        <w:rPr>
          <w:rFonts w:asciiTheme="majorHAnsi" w:hAnsiTheme="majorHAnsi"/>
          <w:sz w:val="26"/>
          <w:szCs w:val="26"/>
          <w:lang w:val="en-GB"/>
        </w:rPr>
        <w:t xml:space="preserve"> Italian industrial output reflect</w:t>
      </w:r>
      <w:r w:rsidR="00591A6E" w:rsidRPr="0026326C">
        <w:rPr>
          <w:rFonts w:asciiTheme="majorHAnsi" w:hAnsiTheme="majorHAnsi"/>
          <w:sz w:val="26"/>
          <w:szCs w:val="26"/>
          <w:lang w:val="en-GB"/>
        </w:rPr>
        <w:t>ed</w:t>
      </w:r>
      <w:r w:rsidR="00CF1572" w:rsidRPr="0026326C">
        <w:rPr>
          <w:rFonts w:asciiTheme="majorHAnsi" w:hAnsiTheme="majorHAnsi"/>
          <w:sz w:val="26"/>
          <w:szCs w:val="26"/>
          <w:lang w:val="en-GB"/>
        </w:rPr>
        <w:t xml:space="preserve"> the unstableness of the demand in the post-unitary period and not the missing prerequisites for industrialization.</w:t>
      </w:r>
      <w:r w:rsidR="00CF1572" w:rsidRPr="0026326C">
        <w:rPr>
          <w:rStyle w:val="FootnoteReference"/>
          <w:rFonts w:asciiTheme="majorHAnsi" w:hAnsiTheme="majorHAnsi"/>
          <w:sz w:val="26"/>
          <w:szCs w:val="26"/>
          <w:lang w:val="en-GB"/>
        </w:rPr>
        <w:footnoteReference w:id="25"/>
      </w:r>
      <w:r w:rsidR="00CF1572" w:rsidRPr="0026326C">
        <w:rPr>
          <w:rFonts w:asciiTheme="majorHAnsi" w:hAnsiTheme="majorHAnsi"/>
          <w:sz w:val="26"/>
          <w:szCs w:val="26"/>
          <w:lang w:val="en-GB"/>
        </w:rPr>
        <w:t xml:space="preserve"> </w:t>
      </w:r>
      <w:r w:rsidR="005A08B1">
        <w:rPr>
          <w:rFonts w:asciiTheme="majorHAnsi" w:hAnsiTheme="majorHAnsi"/>
          <w:sz w:val="26"/>
          <w:szCs w:val="26"/>
          <w:lang w:val="en-GB"/>
        </w:rPr>
        <w:t>The role of the state was</w:t>
      </w:r>
      <w:r w:rsidR="00CF1572" w:rsidRPr="0026326C">
        <w:rPr>
          <w:rFonts w:asciiTheme="majorHAnsi" w:hAnsiTheme="majorHAnsi"/>
          <w:sz w:val="26"/>
          <w:szCs w:val="26"/>
          <w:lang w:val="en-GB"/>
        </w:rPr>
        <w:t xml:space="preserve"> inextricably linked with the develo</w:t>
      </w:r>
      <w:r w:rsidR="00591A6E" w:rsidRPr="0026326C">
        <w:rPr>
          <w:rFonts w:asciiTheme="majorHAnsi" w:hAnsiTheme="majorHAnsi"/>
          <w:sz w:val="26"/>
          <w:szCs w:val="26"/>
          <w:lang w:val="en-GB"/>
        </w:rPr>
        <w:t>pment of the mechani</w:t>
      </w:r>
      <w:r w:rsidR="00C8737C" w:rsidRPr="0026326C">
        <w:rPr>
          <w:rFonts w:asciiTheme="majorHAnsi" w:hAnsiTheme="majorHAnsi"/>
          <w:sz w:val="26"/>
          <w:szCs w:val="26"/>
          <w:lang w:val="en-GB"/>
        </w:rPr>
        <w:t>c industry, which brings us to the second point:</w:t>
      </w:r>
      <w:r w:rsidR="00591A6E" w:rsidRPr="0026326C">
        <w:rPr>
          <w:rFonts w:asciiTheme="majorHAnsi" w:hAnsiTheme="majorHAnsi"/>
          <w:sz w:val="26"/>
          <w:szCs w:val="26"/>
          <w:lang w:val="en-GB"/>
        </w:rPr>
        <w:t xml:space="preserve"> fixed and mobile resources. The three elements of the comparative analysis mentioned above w</w:t>
      </w:r>
      <w:r w:rsidR="005A08B1">
        <w:rPr>
          <w:rFonts w:asciiTheme="majorHAnsi" w:hAnsiTheme="majorHAnsi"/>
          <w:sz w:val="26"/>
          <w:szCs w:val="26"/>
          <w:lang w:val="en-GB"/>
        </w:rPr>
        <w:t>ill</w:t>
      </w:r>
      <w:r w:rsidR="00591A6E" w:rsidRPr="0026326C">
        <w:rPr>
          <w:rFonts w:asciiTheme="majorHAnsi" w:hAnsiTheme="majorHAnsi"/>
          <w:sz w:val="26"/>
          <w:szCs w:val="26"/>
          <w:lang w:val="en-GB"/>
        </w:rPr>
        <w:t xml:space="preserve"> classify as mobile resources, and this thesis will </w:t>
      </w:r>
      <w:r w:rsidR="00103CEE" w:rsidRPr="0026326C">
        <w:rPr>
          <w:rFonts w:asciiTheme="majorHAnsi" w:hAnsiTheme="majorHAnsi"/>
          <w:sz w:val="26"/>
          <w:szCs w:val="26"/>
          <w:lang w:val="en-GB"/>
        </w:rPr>
        <w:t xml:space="preserve">make the point </w:t>
      </w:r>
      <w:r w:rsidR="005740A4" w:rsidRPr="0026326C">
        <w:rPr>
          <w:rFonts w:asciiTheme="majorHAnsi" w:hAnsiTheme="majorHAnsi"/>
          <w:sz w:val="26"/>
          <w:szCs w:val="26"/>
          <w:lang w:val="en-GB"/>
        </w:rPr>
        <w:t>the institutional continuity with the Kingdom of Sardinia was part of the</w:t>
      </w:r>
      <w:r w:rsidR="00103CEE" w:rsidRPr="0026326C">
        <w:rPr>
          <w:rFonts w:asciiTheme="majorHAnsi" w:hAnsiTheme="majorHAnsi"/>
          <w:sz w:val="26"/>
          <w:szCs w:val="26"/>
          <w:lang w:val="en-GB"/>
        </w:rPr>
        <w:t xml:space="preserve"> fixed </w:t>
      </w:r>
      <w:r w:rsidR="005A08B1">
        <w:rPr>
          <w:rFonts w:asciiTheme="majorHAnsi" w:hAnsiTheme="majorHAnsi"/>
          <w:sz w:val="26"/>
          <w:szCs w:val="26"/>
          <w:lang w:val="en-GB"/>
        </w:rPr>
        <w:t xml:space="preserve">capitals </w:t>
      </w:r>
      <w:r w:rsidR="005740A4" w:rsidRPr="0026326C">
        <w:rPr>
          <w:rFonts w:asciiTheme="majorHAnsi" w:hAnsiTheme="majorHAnsi"/>
          <w:sz w:val="26"/>
          <w:szCs w:val="26"/>
          <w:lang w:val="en-GB"/>
        </w:rPr>
        <w:t xml:space="preserve">that attracted </w:t>
      </w:r>
      <w:r w:rsidR="005A08B1">
        <w:rPr>
          <w:rFonts w:asciiTheme="majorHAnsi" w:hAnsiTheme="majorHAnsi"/>
          <w:sz w:val="26"/>
          <w:szCs w:val="26"/>
          <w:lang w:val="en-GB"/>
        </w:rPr>
        <w:t>them</w:t>
      </w:r>
      <w:r w:rsidR="005740A4" w:rsidRPr="0026326C">
        <w:rPr>
          <w:rFonts w:asciiTheme="majorHAnsi" w:hAnsiTheme="majorHAnsi"/>
          <w:sz w:val="26"/>
          <w:szCs w:val="26"/>
          <w:lang w:val="en-GB"/>
        </w:rPr>
        <w:t>.</w:t>
      </w:r>
      <w:r w:rsidR="007A21BB" w:rsidRPr="0026326C">
        <w:rPr>
          <w:rFonts w:asciiTheme="majorHAnsi" w:hAnsiTheme="majorHAnsi"/>
          <w:sz w:val="26"/>
          <w:szCs w:val="26"/>
          <w:lang w:val="en-GB"/>
        </w:rPr>
        <w:t xml:space="preserve"> </w:t>
      </w:r>
      <w:r w:rsidR="00066C5D">
        <w:rPr>
          <w:rFonts w:asciiTheme="majorHAnsi" w:hAnsiTheme="majorHAnsi"/>
          <w:sz w:val="26"/>
          <w:szCs w:val="26"/>
          <w:lang w:val="en-GB"/>
        </w:rPr>
        <w:t>This thesis is meant to enlarge Fenoaltea’s model by including</w:t>
      </w:r>
      <w:r w:rsidR="00564914" w:rsidRPr="0026326C">
        <w:rPr>
          <w:rFonts w:asciiTheme="majorHAnsi" w:hAnsiTheme="majorHAnsi"/>
          <w:sz w:val="26"/>
          <w:szCs w:val="26"/>
          <w:lang w:val="en-GB"/>
        </w:rPr>
        <w:t xml:space="preserve"> institutional continuity with pre-unitary Piedmont </w:t>
      </w:r>
      <w:r w:rsidR="00066C5D">
        <w:rPr>
          <w:rFonts w:asciiTheme="majorHAnsi" w:hAnsiTheme="majorHAnsi"/>
          <w:sz w:val="26"/>
          <w:szCs w:val="26"/>
          <w:lang w:val="en-GB"/>
        </w:rPr>
        <w:t>in the</w:t>
      </w:r>
      <w:r w:rsidR="00564914" w:rsidRPr="0026326C">
        <w:rPr>
          <w:rFonts w:asciiTheme="majorHAnsi" w:hAnsiTheme="majorHAnsi"/>
          <w:sz w:val="26"/>
          <w:szCs w:val="26"/>
          <w:lang w:val="en-GB"/>
        </w:rPr>
        <w:t xml:space="preserve"> category of fixed capital to </w:t>
      </w:r>
      <w:r w:rsidR="000F38CA" w:rsidRPr="0026326C">
        <w:rPr>
          <w:rFonts w:asciiTheme="majorHAnsi" w:hAnsiTheme="majorHAnsi"/>
          <w:sz w:val="26"/>
          <w:szCs w:val="26"/>
          <w:lang w:val="en-GB"/>
        </w:rPr>
        <w:t>show how it might have</w:t>
      </w:r>
      <w:r w:rsidR="00564914" w:rsidRPr="0026326C">
        <w:rPr>
          <w:rFonts w:asciiTheme="majorHAnsi" w:hAnsiTheme="majorHAnsi"/>
          <w:sz w:val="26"/>
          <w:szCs w:val="26"/>
          <w:lang w:val="en-GB"/>
        </w:rPr>
        <w:t xml:space="preserve"> attracted a higher degree of public contracts, credits and favourable privatization terms. </w:t>
      </w:r>
      <w:r w:rsidR="00C673DB">
        <w:rPr>
          <w:rFonts w:asciiTheme="majorHAnsi" w:hAnsiTheme="majorHAnsi"/>
          <w:sz w:val="24"/>
          <w:szCs w:val="24"/>
          <w:lang w:val="en-GB"/>
        </w:rPr>
        <w:br/>
      </w:r>
      <w:r w:rsidR="0011065F">
        <w:rPr>
          <w:rFonts w:ascii="Cambria" w:hAnsi="Cambria"/>
          <w:sz w:val="24"/>
          <w:szCs w:val="24"/>
          <w:lang w:val="en-GB"/>
        </w:rPr>
        <w:br/>
      </w:r>
      <w:r w:rsidR="0011065F" w:rsidRPr="00AD5BD5">
        <w:rPr>
          <w:rFonts w:asciiTheme="majorHAnsi" w:hAnsiTheme="majorHAnsi"/>
          <w:b/>
          <w:sz w:val="28"/>
          <w:szCs w:val="28"/>
          <w:lang w:val="en-US"/>
        </w:rPr>
        <w:t>Methodology</w:t>
      </w:r>
    </w:p>
    <w:p w14:paraId="5D36E382" w14:textId="3474C76C" w:rsidR="005426AB" w:rsidRPr="00AD5BD5" w:rsidRDefault="005426AB" w:rsidP="000625F0">
      <w:pPr>
        <w:rPr>
          <w:rFonts w:asciiTheme="majorHAnsi" w:hAnsiTheme="majorHAnsi"/>
          <w:sz w:val="26"/>
          <w:szCs w:val="26"/>
          <w:lang w:val="en-GB"/>
        </w:rPr>
      </w:pPr>
      <w:r w:rsidRPr="00AD5BD5">
        <w:rPr>
          <w:rFonts w:asciiTheme="majorHAnsi" w:hAnsiTheme="majorHAnsi"/>
          <w:b/>
          <w:sz w:val="26"/>
          <w:szCs w:val="26"/>
          <w:lang w:val="en-US"/>
        </w:rPr>
        <w:t>John Stuart Mill’s method of difference</w:t>
      </w:r>
    </w:p>
    <w:p w14:paraId="7F13496E" w14:textId="0477150C" w:rsidR="005426AB" w:rsidRPr="0026326C" w:rsidRDefault="005A08B1" w:rsidP="00C673DB">
      <w:pPr>
        <w:rPr>
          <w:rFonts w:asciiTheme="majorHAnsi" w:hAnsiTheme="majorHAnsi"/>
          <w:sz w:val="26"/>
          <w:szCs w:val="26"/>
          <w:lang w:val="en-US"/>
        </w:rPr>
      </w:pPr>
      <w:r>
        <w:rPr>
          <w:rFonts w:asciiTheme="majorHAnsi" w:hAnsiTheme="majorHAnsi"/>
          <w:sz w:val="26"/>
          <w:szCs w:val="26"/>
          <w:lang w:val="en-US"/>
        </w:rPr>
        <w:t>Pietrarsa and Ansaldo had three main characteristics in common:</w:t>
      </w:r>
      <w:r w:rsidR="0011065F" w:rsidRPr="0026326C">
        <w:rPr>
          <w:rFonts w:asciiTheme="majorHAnsi" w:hAnsiTheme="majorHAnsi"/>
          <w:sz w:val="26"/>
          <w:szCs w:val="26"/>
          <w:lang w:val="en-US"/>
        </w:rPr>
        <w:t xml:space="preserve"> the assistance of the state in the creation of the private enterprise, the dependency on state commissions and an excessive reliance on credit. </w:t>
      </w:r>
      <w:r w:rsidR="00785FE9" w:rsidRPr="0026326C">
        <w:rPr>
          <w:rFonts w:asciiTheme="majorHAnsi" w:hAnsiTheme="majorHAnsi"/>
          <w:sz w:val="26"/>
          <w:szCs w:val="26"/>
          <w:lang w:val="en-US"/>
        </w:rPr>
        <w:t>The similarities of the histories of both establishments make the method of difference of John Stuart Mill a perfect framework to isolate the possible cause of failure and success of the two mechanic “giants”.</w:t>
      </w:r>
      <w:r w:rsidR="00E07032" w:rsidRPr="0026326C">
        <w:rPr>
          <w:rFonts w:asciiTheme="majorHAnsi" w:hAnsiTheme="majorHAnsi"/>
          <w:sz w:val="26"/>
          <w:szCs w:val="26"/>
          <w:lang w:val="en-US"/>
        </w:rPr>
        <w:t xml:space="preserve"> This method </w:t>
      </w:r>
      <w:r w:rsidR="003773D4" w:rsidRPr="0026326C">
        <w:rPr>
          <w:rFonts w:asciiTheme="majorHAnsi" w:hAnsiTheme="majorHAnsi"/>
          <w:sz w:val="26"/>
          <w:szCs w:val="26"/>
          <w:lang w:val="en-US"/>
        </w:rPr>
        <w:t>has been theorized in order to ascer</w:t>
      </w:r>
      <w:r w:rsidR="00DC697F" w:rsidRPr="0026326C">
        <w:rPr>
          <w:rFonts w:asciiTheme="majorHAnsi" w:hAnsiTheme="majorHAnsi"/>
          <w:sz w:val="26"/>
          <w:szCs w:val="26"/>
          <w:lang w:val="en-US"/>
        </w:rPr>
        <w:t>tain the cause of a particular phenomenon</w:t>
      </w:r>
      <w:r w:rsidR="003773D4" w:rsidRPr="0026326C">
        <w:rPr>
          <w:rFonts w:asciiTheme="majorHAnsi" w:hAnsiTheme="majorHAnsi"/>
          <w:sz w:val="26"/>
          <w:szCs w:val="26"/>
          <w:lang w:val="en-US"/>
        </w:rPr>
        <w:t xml:space="preserve"> in </w:t>
      </w:r>
      <w:r w:rsidR="00DC697F" w:rsidRPr="0026326C">
        <w:rPr>
          <w:rFonts w:asciiTheme="majorHAnsi" w:hAnsiTheme="majorHAnsi"/>
          <w:sz w:val="26"/>
          <w:szCs w:val="26"/>
          <w:lang w:val="en-US"/>
        </w:rPr>
        <w:t>an instance in which it occurs</w:t>
      </w:r>
      <w:r w:rsidR="00A17F7B" w:rsidRPr="0026326C">
        <w:rPr>
          <w:rFonts w:asciiTheme="majorHAnsi" w:hAnsiTheme="majorHAnsi"/>
          <w:sz w:val="26"/>
          <w:szCs w:val="26"/>
          <w:lang w:val="en-US"/>
        </w:rPr>
        <w:t>,</w:t>
      </w:r>
      <w:r w:rsidR="00DC697F" w:rsidRPr="0026326C">
        <w:rPr>
          <w:rFonts w:asciiTheme="majorHAnsi" w:hAnsiTheme="majorHAnsi"/>
          <w:sz w:val="26"/>
          <w:szCs w:val="26"/>
          <w:lang w:val="en-US"/>
        </w:rPr>
        <w:t xml:space="preserve"> and an instance in which it does not occur, where the two instances</w:t>
      </w:r>
      <w:r w:rsidR="003773D4" w:rsidRPr="0026326C">
        <w:rPr>
          <w:rFonts w:asciiTheme="majorHAnsi" w:hAnsiTheme="majorHAnsi"/>
          <w:sz w:val="26"/>
          <w:szCs w:val="26"/>
          <w:lang w:val="en-US"/>
        </w:rPr>
        <w:t xml:space="preserve"> present the same set of circumstances save one; that specific instance will be the cause or an indispensable part of the cause.</w:t>
      </w:r>
      <w:r w:rsidR="003773D4" w:rsidRPr="0026326C">
        <w:rPr>
          <w:rStyle w:val="FootnoteReference"/>
          <w:rFonts w:asciiTheme="majorHAnsi" w:hAnsiTheme="majorHAnsi"/>
          <w:sz w:val="26"/>
          <w:szCs w:val="26"/>
          <w:lang w:val="en-US"/>
        </w:rPr>
        <w:footnoteReference w:id="26"/>
      </w:r>
      <w:r w:rsidR="00C12585" w:rsidRPr="0026326C">
        <w:rPr>
          <w:rFonts w:asciiTheme="majorHAnsi" w:hAnsiTheme="majorHAnsi"/>
          <w:sz w:val="26"/>
          <w:szCs w:val="26"/>
          <w:lang w:val="en-US"/>
        </w:rPr>
        <w:t xml:space="preserve"> </w:t>
      </w:r>
      <w:r w:rsidR="005426AB" w:rsidRPr="0026326C">
        <w:rPr>
          <w:rFonts w:asciiTheme="majorHAnsi" w:hAnsiTheme="majorHAnsi"/>
          <w:sz w:val="26"/>
          <w:szCs w:val="26"/>
          <w:lang w:val="en-US"/>
        </w:rPr>
        <w:br/>
      </w:r>
      <w:r w:rsidR="005426AB" w:rsidRPr="0026326C">
        <w:rPr>
          <w:rFonts w:asciiTheme="majorHAnsi" w:hAnsiTheme="majorHAnsi"/>
          <w:sz w:val="26"/>
          <w:szCs w:val="26"/>
          <w:lang w:val="en-US"/>
        </w:rPr>
        <w:tab/>
      </w:r>
      <w:r w:rsidR="00A17F7B" w:rsidRPr="0026326C">
        <w:rPr>
          <w:rFonts w:asciiTheme="majorHAnsi" w:hAnsiTheme="majorHAnsi"/>
          <w:sz w:val="26"/>
          <w:szCs w:val="26"/>
          <w:lang w:val="en-US"/>
        </w:rPr>
        <w:t xml:space="preserve">The investigated phenomenon is the failure of the enterprise: it occurs in Pietrarsa’s case and does not occur in the Ansaldo. In their mirror-like history, the different circumstance in both instances relies in different concentrations of public contracts and credit terms, as well as slight difference in their privatization contracts. </w:t>
      </w:r>
      <w:r w:rsidR="00066483" w:rsidRPr="0026326C">
        <w:rPr>
          <w:rFonts w:asciiTheme="majorHAnsi" w:hAnsiTheme="majorHAnsi"/>
          <w:sz w:val="26"/>
          <w:szCs w:val="26"/>
          <w:lang w:val="en-US"/>
        </w:rPr>
        <w:t>Those three elements were chosen for the comparison since they are the elements on which the survival or</w:t>
      </w:r>
      <w:r w:rsidR="00B54330" w:rsidRPr="0026326C">
        <w:rPr>
          <w:rFonts w:asciiTheme="majorHAnsi" w:hAnsiTheme="majorHAnsi"/>
          <w:sz w:val="26"/>
          <w:szCs w:val="26"/>
          <w:lang w:val="en-US"/>
        </w:rPr>
        <w:t xml:space="preserve"> failure of the company rested on: privatization contracts defined the state involvement they received, crucial at this stage for engineering firms; public contracts characterized demand, which was the driving force for the engineering sector in the cyclical model; the use of credit </w:t>
      </w:r>
      <w:r w:rsidR="00D918C0" w:rsidRPr="0026326C">
        <w:rPr>
          <w:rFonts w:asciiTheme="majorHAnsi" w:hAnsiTheme="majorHAnsi"/>
          <w:sz w:val="26"/>
          <w:szCs w:val="26"/>
          <w:lang w:val="en-US"/>
        </w:rPr>
        <w:t xml:space="preserve">is considered </w:t>
      </w:r>
      <w:r w:rsidR="00800FEA">
        <w:rPr>
          <w:rFonts w:asciiTheme="majorHAnsi" w:hAnsiTheme="majorHAnsi"/>
          <w:sz w:val="26"/>
          <w:szCs w:val="26"/>
          <w:lang w:val="en-US"/>
        </w:rPr>
        <w:t>generally</w:t>
      </w:r>
      <w:r w:rsidR="00D918C0" w:rsidRPr="0026326C">
        <w:rPr>
          <w:rFonts w:asciiTheme="majorHAnsi" w:hAnsiTheme="majorHAnsi"/>
          <w:sz w:val="26"/>
          <w:szCs w:val="26"/>
          <w:lang w:val="en-US"/>
        </w:rPr>
        <w:t xml:space="preserve"> one of the preconditions for entrepreneurship, even more so in the precarious development of both factories in post-unitary decades. F</w:t>
      </w:r>
      <w:r w:rsidR="00066483" w:rsidRPr="0026326C">
        <w:rPr>
          <w:rFonts w:asciiTheme="majorHAnsi" w:hAnsiTheme="majorHAnsi"/>
          <w:sz w:val="26"/>
          <w:szCs w:val="26"/>
          <w:lang w:val="en-US"/>
        </w:rPr>
        <w:t xml:space="preserve">or methodological purposes, entrepreneurial </w:t>
      </w:r>
      <w:r w:rsidR="00066483" w:rsidRPr="0026326C">
        <w:rPr>
          <w:rFonts w:asciiTheme="majorHAnsi" w:hAnsiTheme="majorHAnsi"/>
          <w:sz w:val="26"/>
          <w:szCs w:val="26"/>
          <w:lang w:val="en-US"/>
        </w:rPr>
        <w:lastRenderedPageBreak/>
        <w:t>abilities have been omitted, since it is ascertained how during this period both companies were not generating profit and relying excessively on credit.</w:t>
      </w:r>
      <w:r w:rsidR="00066483" w:rsidRPr="0026326C">
        <w:rPr>
          <w:rStyle w:val="FootnoteReference"/>
          <w:rFonts w:asciiTheme="majorHAnsi" w:hAnsiTheme="majorHAnsi"/>
          <w:sz w:val="26"/>
          <w:szCs w:val="26"/>
          <w:lang w:val="en-US"/>
        </w:rPr>
        <w:footnoteReference w:id="27"/>
      </w:r>
      <w:r w:rsidR="00B54330" w:rsidRPr="0026326C">
        <w:rPr>
          <w:rFonts w:asciiTheme="majorHAnsi" w:hAnsiTheme="majorHAnsi"/>
          <w:sz w:val="26"/>
          <w:szCs w:val="26"/>
          <w:lang w:val="en-US"/>
        </w:rPr>
        <w:t xml:space="preserve"> </w:t>
      </w:r>
      <w:r w:rsidR="00D918C0" w:rsidRPr="0026326C">
        <w:rPr>
          <w:rFonts w:asciiTheme="majorHAnsi" w:hAnsiTheme="majorHAnsi"/>
          <w:sz w:val="26"/>
          <w:szCs w:val="26"/>
          <w:lang w:val="en-US"/>
        </w:rPr>
        <w:t xml:space="preserve">Therefore, the different concentrations of the three elements will be compared and tied to the specific circumstances of the failure of Pietrarsa. </w:t>
      </w:r>
    </w:p>
    <w:p w14:paraId="0180DB1C" w14:textId="77777777" w:rsidR="009E35B5" w:rsidRPr="0026326C" w:rsidRDefault="005426AB" w:rsidP="00C673DB">
      <w:pPr>
        <w:rPr>
          <w:rFonts w:asciiTheme="majorHAnsi" w:hAnsiTheme="majorHAnsi"/>
          <w:sz w:val="26"/>
          <w:szCs w:val="26"/>
          <w:lang w:val="en-US"/>
        </w:rPr>
      </w:pPr>
      <w:r w:rsidRPr="0026326C">
        <w:rPr>
          <w:rFonts w:asciiTheme="majorHAnsi" w:hAnsiTheme="majorHAnsi"/>
          <w:b/>
          <w:sz w:val="26"/>
          <w:szCs w:val="26"/>
          <w:lang w:val="en-US"/>
        </w:rPr>
        <w:t>Fenoaltea’s fixed and mobile resources and the use of primary sources</w:t>
      </w:r>
    </w:p>
    <w:p w14:paraId="1D3FF576" w14:textId="4C5C6FC1" w:rsidR="0002066C" w:rsidRDefault="009F56A9" w:rsidP="00C673DB">
      <w:pPr>
        <w:rPr>
          <w:rFonts w:asciiTheme="majorHAnsi" w:hAnsiTheme="majorHAnsi"/>
          <w:sz w:val="26"/>
          <w:szCs w:val="26"/>
          <w:lang w:val="en-US"/>
        </w:rPr>
      </w:pPr>
      <w:r w:rsidRPr="0026326C">
        <w:rPr>
          <w:rFonts w:asciiTheme="majorHAnsi" w:hAnsiTheme="majorHAnsi"/>
          <w:sz w:val="26"/>
          <w:szCs w:val="26"/>
          <w:lang w:val="en-US"/>
        </w:rPr>
        <w:t>Fenoaltea’s distinction between fixed and mobile resources will be used as a framework to compare the concentration of these three elements in both factories by investigating their link with the political continuity with the Kingdom of Sardinia: privatization conditions, public contracts and credit will be treated as mobile resources, while political continuity as fixed resources.</w:t>
      </w:r>
      <w:r w:rsidR="00CD36C9" w:rsidRPr="0026326C">
        <w:rPr>
          <w:rFonts w:asciiTheme="majorHAnsi" w:hAnsiTheme="majorHAnsi"/>
          <w:sz w:val="26"/>
          <w:szCs w:val="26"/>
          <w:lang w:val="en-US"/>
        </w:rPr>
        <w:t xml:space="preserve"> In Fenoaltea’s model, fixed capitals attracted mobile capitals in post-unification Italy, determining its industrial geography. The originality of this </w:t>
      </w:r>
      <w:r w:rsidR="000603E7" w:rsidRPr="0026326C">
        <w:rPr>
          <w:rFonts w:asciiTheme="majorHAnsi" w:hAnsiTheme="majorHAnsi"/>
          <w:sz w:val="26"/>
          <w:szCs w:val="26"/>
          <w:lang w:val="en-US"/>
        </w:rPr>
        <w:t xml:space="preserve">thesis </w:t>
      </w:r>
      <w:r w:rsidR="00CD36C9" w:rsidRPr="0026326C">
        <w:rPr>
          <w:rFonts w:asciiTheme="majorHAnsi" w:hAnsiTheme="majorHAnsi"/>
          <w:sz w:val="26"/>
          <w:szCs w:val="26"/>
          <w:lang w:val="en-US"/>
        </w:rPr>
        <w:t xml:space="preserve">consists in considering political continuity as a fixed capital, which attracted mobile resources such as favorable privatization contracts, public contracts and credit. In order to do that, the link between the concentration of those elements and political </w:t>
      </w:r>
      <w:r w:rsidR="00E3010B" w:rsidRPr="0026326C">
        <w:rPr>
          <w:rFonts w:asciiTheme="majorHAnsi" w:hAnsiTheme="majorHAnsi"/>
          <w:sz w:val="26"/>
          <w:szCs w:val="26"/>
          <w:lang w:val="en-US"/>
        </w:rPr>
        <w:t>continuity will be investigated through primary sources.</w:t>
      </w:r>
      <w:r w:rsidR="00CD36C9" w:rsidRPr="0026326C">
        <w:rPr>
          <w:rFonts w:asciiTheme="majorHAnsi" w:hAnsiTheme="majorHAnsi"/>
          <w:sz w:val="26"/>
          <w:szCs w:val="26"/>
          <w:lang w:val="en-US"/>
        </w:rPr>
        <w:br/>
      </w:r>
      <w:r w:rsidR="00785FE9" w:rsidRPr="0026326C">
        <w:rPr>
          <w:rFonts w:asciiTheme="majorHAnsi" w:hAnsiTheme="majorHAnsi"/>
          <w:sz w:val="26"/>
          <w:szCs w:val="26"/>
          <w:lang w:val="en-US"/>
        </w:rPr>
        <w:tab/>
        <w:t xml:space="preserve">Privatization contracts, public contracts and credit are subjects already treated by secondary literature, which will be used in the comparative analysis. Primary sources will be mainly used in order to ascertain the possible motives of different concentrations </w:t>
      </w:r>
      <w:r w:rsidR="009E0680" w:rsidRPr="0026326C">
        <w:rPr>
          <w:rFonts w:asciiTheme="majorHAnsi" w:hAnsiTheme="majorHAnsi"/>
          <w:sz w:val="26"/>
          <w:szCs w:val="26"/>
          <w:lang w:val="en-US"/>
        </w:rPr>
        <w:t>of</w:t>
      </w:r>
      <w:r w:rsidR="00785FE9" w:rsidRPr="0026326C">
        <w:rPr>
          <w:rFonts w:asciiTheme="majorHAnsi" w:hAnsiTheme="majorHAnsi"/>
          <w:sz w:val="26"/>
          <w:szCs w:val="26"/>
          <w:lang w:val="en-US"/>
        </w:rPr>
        <w:t xml:space="preserve"> mobile capitals mentioned above. Industrial inquiries made in 1864 and 1870-1874 are invaluable sources to determine the </w:t>
      </w:r>
      <w:r w:rsidR="009E0680" w:rsidRPr="0026326C">
        <w:rPr>
          <w:rFonts w:asciiTheme="majorHAnsi" w:hAnsiTheme="majorHAnsi"/>
          <w:sz w:val="26"/>
          <w:szCs w:val="26"/>
          <w:lang w:val="en-US"/>
        </w:rPr>
        <w:t>conditions of both factories at that time; they are especially important when it comes to public contracts, since they witness the respective capacity of both firms to p</w:t>
      </w:r>
      <w:r w:rsidR="000F4339" w:rsidRPr="0026326C">
        <w:rPr>
          <w:rFonts w:asciiTheme="majorHAnsi" w:hAnsiTheme="majorHAnsi"/>
          <w:sz w:val="26"/>
          <w:szCs w:val="26"/>
          <w:lang w:val="en-US"/>
        </w:rPr>
        <w:t>roduce</w:t>
      </w:r>
      <w:r w:rsidR="009E0680" w:rsidRPr="0026326C">
        <w:rPr>
          <w:rFonts w:asciiTheme="majorHAnsi" w:hAnsiTheme="majorHAnsi"/>
          <w:sz w:val="26"/>
          <w:szCs w:val="26"/>
          <w:lang w:val="en-US"/>
        </w:rPr>
        <w:t xml:space="preserve"> railways material and naval machines at convenient prices, attributing any unbalance in their assignation to social rather than technical reasons. </w:t>
      </w:r>
      <w:r w:rsidR="00DB2509">
        <w:rPr>
          <w:rFonts w:asciiTheme="majorHAnsi" w:hAnsiTheme="majorHAnsi"/>
          <w:sz w:val="26"/>
          <w:szCs w:val="26"/>
          <w:lang w:val="en-US"/>
        </w:rPr>
        <w:t>At the same time, they</w:t>
      </w:r>
      <w:r w:rsidR="009E0680" w:rsidRPr="0026326C">
        <w:rPr>
          <w:rFonts w:asciiTheme="majorHAnsi" w:hAnsiTheme="majorHAnsi"/>
          <w:sz w:val="26"/>
          <w:szCs w:val="26"/>
          <w:lang w:val="en-US"/>
        </w:rPr>
        <w:t xml:space="preserve"> were made by industrials in </w:t>
      </w:r>
      <w:r w:rsidR="00CB5BA2" w:rsidRPr="0026326C">
        <w:rPr>
          <w:rFonts w:asciiTheme="majorHAnsi" w:hAnsiTheme="majorHAnsi"/>
          <w:sz w:val="26"/>
          <w:szCs w:val="26"/>
          <w:lang w:val="en-US"/>
        </w:rPr>
        <w:t xml:space="preserve">order to </w:t>
      </w:r>
      <w:r w:rsidR="007457D1" w:rsidRPr="0026326C">
        <w:rPr>
          <w:rFonts w:asciiTheme="majorHAnsi" w:hAnsiTheme="majorHAnsi"/>
          <w:sz w:val="26"/>
          <w:szCs w:val="26"/>
          <w:lang w:val="en-US"/>
        </w:rPr>
        <w:t>increase</w:t>
      </w:r>
      <w:r w:rsidR="00CB5BA2" w:rsidRPr="0026326C">
        <w:rPr>
          <w:rFonts w:asciiTheme="majorHAnsi" w:hAnsiTheme="majorHAnsi"/>
          <w:sz w:val="26"/>
          <w:szCs w:val="26"/>
          <w:lang w:val="en-US"/>
        </w:rPr>
        <w:t xml:space="preserve"> state assistance towards national manufactures; this makes those enquiries particularly keen on emphasizing </w:t>
      </w:r>
      <w:r w:rsidR="007457D1" w:rsidRPr="0026326C">
        <w:rPr>
          <w:rFonts w:asciiTheme="majorHAnsi" w:hAnsiTheme="majorHAnsi"/>
          <w:sz w:val="26"/>
          <w:szCs w:val="26"/>
          <w:lang w:val="en-US"/>
        </w:rPr>
        <w:t>the</w:t>
      </w:r>
      <w:r w:rsidR="00954A09">
        <w:rPr>
          <w:rFonts w:asciiTheme="majorHAnsi" w:hAnsiTheme="majorHAnsi"/>
          <w:sz w:val="26"/>
          <w:szCs w:val="26"/>
          <w:lang w:val="en-US"/>
        </w:rPr>
        <w:t xml:space="preserve"> merits of national industries. </w:t>
      </w:r>
      <w:r w:rsidR="00D12A98" w:rsidRPr="0026326C">
        <w:rPr>
          <w:rFonts w:asciiTheme="majorHAnsi" w:hAnsiTheme="majorHAnsi"/>
          <w:sz w:val="26"/>
          <w:szCs w:val="26"/>
          <w:lang w:val="en-US"/>
        </w:rPr>
        <w:t xml:space="preserve">Concerning credit, </w:t>
      </w:r>
      <w:r w:rsidR="00DB2509">
        <w:rPr>
          <w:rFonts w:asciiTheme="majorHAnsi" w:hAnsiTheme="majorHAnsi"/>
          <w:sz w:val="26"/>
          <w:szCs w:val="26"/>
          <w:lang w:val="en-US"/>
        </w:rPr>
        <w:t>its comparison will rely on secondary literature</w:t>
      </w:r>
      <w:r w:rsidR="009152BC" w:rsidRPr="009152BC">
        <w:rPr>
          <w:rFonts w:asciiTheme="majorHAnsi" w:hAnsiTheme="majorHAnsi"/>
          <w:sz w:val="26"/>
          <w:szCs w:val="26"/>
          <w:lang w:val="en-US"/>
        </w:rPr>
        <w:t xml:space="preserve"> </w:t>
      </w:r>
      <w:r w:rsidR="009152BC">
        <w:rPr>
          <w:rFonts w:asciiTheme="majorHAnsi" w:hAnsiTheme="majorHAnsi"/>
          <w:sz w:val="26"/>
          <w:szCs w:val="26"/>
          <w:lang w:val="en-US"/>
        </w:rPr>
        <w:t>as well</w:t>
      </w:r>
      <w:r w:rsidR="00DB2509">
        <w:rPr>
          <w:rFonts w:asciiTheme="majorHAnsi" w:hAnsiTheme="majorHAnsi"/>
          <w:sz w:val="26"/>
          <w:szCs w:val="26"/>
          <w:lang w:val="en-US"/>
        </w:rPr>
        <w:t xml:space="preserve">, since available primary sources have already been abundantly examined in that regard. </w:t>
      </w:r>
      <w:r w:rsidR="00954A09">
        <w:rPr>
          <w:rFonts w:asciiTheme="majorHAnsi" w:hAnsiTheme="majorHAnsi"/>
          <w:sz w:val="26"/>
          <w:szCs w:val="26"/>
          <w:lang w:val="en-US"/>
        </w:rPr>
        <w:br/>
      </w:r>
      <w:r w:rsidR="00954A09">
        <w:rPr>
          <w:rFonts w:asciiTheme="majorHAnsi" w:hAnsiTheme="majorHAnsi"/>
          <w:sz w:val="26"/>
          <w:szCs w:val="26"/>
          <w:lang w:val="en-US"/>
        </w:rPr>
        <w:tab/>
      </w:r>
      <w:r w:rsidR="00FE4B37" w:rsidRPr="0026326C">
        <w:rPr>
          <w:rFonts w:asciiTheme="majorHAnsi" w:hAnsiTheme="majorHAnsi"/>
          <w:sz w:val="26"/>
          <w:szCs w:val="26"/>
          <w:lang w:val="en-US"/>
        </w:rPr>
        <w:t xml:space="preserve">In conclusion, this thesis will perform a comparison of privatization contracts, public contracts and credit between the two firms to assess their cause of failure </w:t>
      </w:r>
      <w:r w:rsidR="00653AC0" w:rsidRPr="0026326C">
        <w:rPr>
          <w:rFonts w:asciiTheme="majorHAnsi" w:hAnsiTheme="majorHAnsi"/>
          <w:sz w:val="26"/>
          <w:szCs w:val="26"/>
          <w:lang w:val="en-US"/>
        </w:rPr>
        <w:t>or success based on Mill’s method of</w:t>
      </w:r>
      <w:r w:rsidR="00FE4B37" w:rsidRPr="0026326C">
        <w:rPr>
          <w:rFonts w:asciiTheme="majorHAnsi" w:hAnsiTheme="majorHAnsi"/>
          <w:sz w:val="26"/>
          <w:szCs w:val="26"/>
          <w:lang w:val="en-US"/>
        </w:rPr>
        <w:t xml:space="preserve"> difference. Then, their possible ties </w:t>
      </w:r>
      <w:r w:rsidR="005243C7" w:rsidRPr="0026326C">
        <w:rPr>
          <w:rFonts w:asciiTheme="majorHAnsi" w:hAnsiTheme="majorHAnsi"/>
          <w:sz w:val="26"/>
          <w:szCs w:val="26"/>
          <w:lang w:val="en-US"/>
        </w:rPr>
        <w:t>with political continuities with pre-unitary Piedmont will be investigated on the basis of primary sources and secondary literature.</w:t>
      </w:r>
      <w:r w:rsidR="009152BC">
        <w:rPr>
          <w:rFonts w:asciiTheme="majorHAnsi" w:hAnsiTheme="majorHAnsi"/>
          <w:sz w:val="26"/>
          <w:szCs w:val="26"/>
          <w:lang w:val="en-US"/>
        </w:rPr>
        <w:t xml:space="preserve"> </w:t>
      </w:r>
      <w:r w:rsidR="007457D1" w:rsidRPr="0026326C">
        <w:rPr>
          <w:rFonts w:asciiTheme="majorHAnsi" w:hAnsiTheme="majorHAnsi"/>
          <w:sz w:val="26"/>
          <w:szCs w:val="26"/>
          <w:lang w:val="en-US"/>
        </w:rPr>
        <w:br/>
      </w:r>
      <w:r w:rsidR="007457D1" w:rsidRPr="0026326C">
        <w:rPr>
          <w:rFonts w:asciiTheme="majorHAnsi" w:hAnsiTheme="majorHAnsi"/>
          <w:sz w:val="26"/>
          <w:szCs w:val="26"/>
          <w:lang w:val="en-US"/>
        </w:rPr>
        <w:tab/>
      </w:r>
    </w:p>
    <w:p w14:paraId="677F39DA" w14:textId="77777777" w:rsidR="00CD12A4" w:rsidRDefault="00CD12A4" w:rsidP="00C673DB">
      <w:pPr>
        <w:rPr>
          <w:rFonts w:asciiTheme="majorHAnsi" w:hAnsiTheme="majorHAnsi"/>
          <w:sz w:val="26"/>
          <w:szCs w:val="26"/>
          <w:lang w:val="en-US"/>
        </w:rPr>
      </w:pPr>
    </w:p>
    <w:p w14:paraId="117CECC7" w14:textId="77777777" w:rsidR="00CD12A4" w:rsidRDefault="00CD12A4" w:rsidP="006447DD">
      <w:pPr>
        <w:rPr>
          <w:rFonts w:asciiTheme="majorHAnsi" w:hAnsiTheme="majorHAnsi"/>
          <w:b/>
          <w:sz w:val="40"/>
          <w:szCs w:val="40"/>
          <w:lang w:val="en-US"/>
        </w:rPr>
      </w:pPr>
    </w:p>
    <w:p w14:paraId="6C358998" w14:textId="0DD2CF15" w:rsidR="0026636D" w:rsidRDefault="0092542F" w:rsidP="00D30CD3">
      <w:pPr>
        <w:jc w:val="center"/>
        <w:rPr>
          <w:rFonts w:asciiTheme="majorHAnsi" w:hAnsiTheme="majorHAnsi"/>
          <w:b/>
          <w:sz w:val="40"/>
          <w:szCs w:val="40"/>
          <w:lang w:val="en-US"/>
        </w:rPr>
      </w:pPr>
      <w:r>
        <w:rPr>
          <w:rFonts w:asciiTheme="majorHAnsi" w:hAnsiTheme="majorHAnsi"/>
          <w:b/>
          <w:sz w:val="40"/>
          <w:szCs w:val="40"/>
          <w:lang w:val="en-US"/>
        </w:rPr>
        <w:t xml:space="preserve">CHAPTER ONE - </w:t>
      </w:r>
      <w:r w:rsidR="0026636D" w:rsidRPr="00C837A0">
        <w:rPr>
          <w:rFonts w:asciiTheme="majorHAnsi" w:hAnsiTheme="majorHAnsi"/>
          <w:b/>
          <w:sz w:val="40"/>
          <w:szCs w:val="40"/>
          <w:lang w:val="en-US"/>
        </w:rPr>
        <w:t>F</w:t>
      </w:r>
      <w:r w:rsidR="00C673DB">
        <w:rPr>
          <w:rFonts w:asciiTheme="majorHAnsi" w:hAnsiTheme="majorHAnsi"/>
          <w:b/>
          <w:sz w:val="40"/>
          <w:szCs w:val="40"/>
          <w:lang w:val="en-US"/>
        </w:rPr>
        <w:t>raming the case study</w:t>
      </w:r>
      <w:r>
        <w:rPr>
          <w:rFonts w:asciiTheme="majorHAnsi" w:hAnsiTheme="majorHAnsi"/>
          <w:b/>
          <w:sz w:val="40"/>
          <w:szCs w:val="40"/>
          <w:lang w:val="en-US"/>
        </w:rPr>
        <w:br/>
      </w:r>
    </w:p>
    <w:p w14:paraId="57038380" w14:textId="6B5F0043" w:rsidR="00F70B01" w:rsidRDefault="00F70B01" w:rsidP="00D30CD3">
      <w:pPr>
        <w:jc w:val="center"/>
        <w:rPr>
          <w:rFonts w:asciiTheme="majorHAnsi" w:hAnsiTheme="majorHAnsi"/>
          <w:b/>
          <w:sz w:val="40"/>
          <w:szCs w:val="40"/>
          <w:lang w:val="en-US"/>
        </w:rPr>
      </w:pPr>
      <w:r>
        <w:rPr>
          <w:rFonts w:asciiTheme="majorHAnsi" w:hAnsiTheme="majorHAnsi"/>
          <w:b/>
          <w:noProof/>
          <w:sz w:val="40"/>
          <w:szCs w:val="40"/>
          <w:lang w:eastAsia="it-IT"/>
        </w:rPr>
        <w:drawing>
          <wp:anchor distT="0" distB="0" distL="114300" distR="114300" simplePos="0" relativeHeight="251672576" behindDoc="0" locked="0" layoutInCell="1" allowOverlap="1" wp14:anchorId="253BE76A" wp14:editId="77F9A384">
            <wp:simplePos x="0" y="0"/>
            <wp:positionH relativeFrom="column">
              <wp:posOffset>975360</wp:posOffset>
            </wp:positionH>
            <wp:positionV relativeFrom="paragraph">
              <wp:posOffset>19050</wp:posOffset>
            </wp:positionV>
            <wp:extent cx="4152900" cy="511248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900" cy="51124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8AFF9" w14:textId="77777777" w:rsidR="00F70B01" w:rsidRDefault="00F70B01" w:rsidP="00D30CD3">
      <w:pPr>
        <w:jc w:val="center"/>
        <w:rPr>
          <w:rFonts w:asciiTheme="majorHAnsi" w:hAnsiTheme="majorHAnsi"/>
          <w:b/>
          <w:sz w:val="40"/>
          <w:szCs w:val="40"/>
          <w:lang w:val="en-US"/>
        </w:rPr>
      </w:pPr>
    </w:p>
    <w:p w14:paraId="5FE3C191" w14:textId="77777777" w:rsidR="00F70B01" w:rsidRDefault="00F70B01" w:rsidP="00D30CD3">
      <w:pPr>
        <w:jc w:val="center"/>
        <w:rPr>
          <w:rFonts w:asciiTheme="majorHAnsi" w:hAnsiTheme="majorHAnsi"/>
          <w:b/>
          <w:sz w:val="40"/>
          <w:szCs w:val="40"/>
          <w:lang w:val="en-US"/>
        </w:rPr>
      </w:pPr>
    </w:p>
    <w:p w14:paraId="3F85B6E9" w14:textId="77777777" w:rsidR="00F70B01" w:rsidRDefault="00F70B01" w:rsidP="00D30CD3">
      <w:pPr>
        <w:jc w:val="center"/>
        <w:rPr>
          <w:rFonts w:asciiTheme="majorHAnsi" w:hAnsiTheme="majorHAnsi"/>
          <w:b/>
          <w:sz w:val="40"/>
          <w:szCs w:val="40"/>
          <w:lang w:val="en-US"/>
        </w:rPr>
      </w:pPr>
    </w:p>
    <w:p w14:paraId="732529A4" w14:textId="77777777" w:rsidR="00F70B01" w:rsidRDefault="00F70B01" w:rsidP="00D30CD3">
      <w:pPr>
        <w:jc w:val="center"/>
        <w:rPr>
          <w:rFonts w:asciiTheme="majorHAnsi" w:hAnsiTheme="majorHAnsi"/>
          <w:b/>
          <w:sz w:val="40"/>
          <w:szCs w:val="40"/>
          <w:lang w:val="en-US"/>
        </w:rPr>
      </w:pPr>
    </w:p>
    <w:p w14:paraId="73BB61C6" w14:textId="77777777" w:rsidR="00F70B01" w:rsidRDefault="00F70B01" w:rsidP="00D30CD3">
      <w:pPr>
        <w:jc w:val="center"/>
        <w:rPr>
          <w:rFonts w:asciiTheme="majorHAnsi" w:hAnsiTheme="majorHAnsi"/>
          <w:b/>
          <w:sz w:val="40"/>
          <w:szCs w:val="40"/>
          <w:lang w:val="en-US"/>
        </w:rPr>
      </w:pPr>
    </w:p>
    <w:p w14:paraId="76A2EA07" w14:textId="77777777" w:rsidR="00F70B01" w:rsidRDefault="00F70B01" w:rsidP="00D30CD3">
      <w:pPr>
        <w:jc w:val="center"/>
        <w:rPr>
          <w:rFonts w:asciiTheme="majorHAnsi" w:hAnsiTheme="majorHAnsi"/>
          <w:b/>
          <w:sz w:val="40"/>
          <w:szCs w:val="40"/>
          <w:lang w:val="en-US"/>
        </w:rPr>
      </w:pPr>
    </w:p>
    <w:p w14:paraId="62F90D8B" w14:textId="77777777" w:rsidR="00F70B01" w:rsidRDefault="00F70B01" w:rsidP="00D30CD3">
      <w:pPr>
        <w:jc w:val="center"/>
        <w:rPr>
          <w:rFonts w:asciiTheme="majorHAnsi" w:hAnsiTheme="majorHAnsi"/>
          <w:b/>
          <w:sz w:val="40"/>
          <w:szCs w:val="40"/>
          <w:lang w:val="en-US"/>
        </w:rPr>
      </w:pPr>
    </w:p>
    <w:p w14:paraId="07C6DD51" w14:textId="77777777" w:rsidR="00F70B01" w:rsidRDefault="00F70B01" w:rsidP="00F70B01">
      <w:pPr>
        <w:rPr>
          <w:rFonts w:asciiTheme="majorHAnsi" w:hAnsiTheme="majorHAnsi"/>
          <w:b/>
          <w:sz w:val="40"/>
          <w:szCs w:val="40"/>
          <w:lang w:val="en-US"/>
        </w:rPr>
      </w:pPr>
    </w:p>
    <w:p w14:paraId="07898935" w14:textId="77777777" w:rsidR="00F70B01" w:rsidRDefault="00F70B01" w:rsidP="00F70B01">
      <w:pPr>
        <w:rPr>
          <w:rFonts w:asciiTheme="majorHAnsi" w:hAnsiTheme="majorHAnsi"/>
          <w:b/>
          <w:sz w:val="40"/>
          <w:szCs w:val="40"/>
          <w:lang w:val="en-US"/>
        </w:rPr>
      </w:pPr>
    </w:p>
    <w:p w14:paraId="42616575" w14:textId="77777777" w:rsidR="00F70B01" w:rsidRDefault="00F70B01" w:rsidP="00F70B01">
      <w:pPr>
        <w:rPr>
          <w:rFonts w:asciiTheme="majorHAnsi" w:hAnsiTheme="majorHAnsi"/>
          <w:b/>
          <w:sz w:val="40"/>
          <w:szCs w:val="40"/>
          <w:lang w:val="en-US"/>
        </w:rPr>
      </w:pPr>
    </w:p>
    <w:p w14:paraId="2D7E23FA" w14:textId="77777777" w:rsidR="00F70B01" w:rsidRDefault="00F70B01" w:rsidP="00F70B01">
      <w:pPr>
        <w:rPr>
          <w:rFonts w:asciiTheme="majorHAnsi" w:hAnsiTheme="majorHAnsi"/>
          <w:b/>
          <w:sz w:val="40"/>
          <w:szCs w:val="40"/>
          <w:lang w:val="en-US"/>
        </w:rPr>
      </w:pPr>
    </w:p>
    <w:p w14:paraId="5B370BEE" w14:textId="5FD29B32" w:rsidR="00F70B01" w:rsidRDefault="009A1215" w:rsidP="00F70B01">
      <w:pPr>
        <w:rPr>
          <w:rFonts w:asciiTheme="majorHAnsi" w:hAnsiTheme="majorHAnsi"/>
          <w:b/>
          <w:sz w:val="30"/>
          <w:szCs w:val="30"/>
          <w:lang w:val="en-US"/>
        </w:rPr>
      </w:pPr>
      <w:r>
        <w:rPr>
          <w:rFonts w:asciiTheme="majorHAnsi" w:hAnsiTheme="majorHAnsi"/>
          <w:b/>
          <w:sz w:val="30"/>
          <w:szCs w:val="30"/>
          <w:lang w:val="en-US"/>
        </w:rPr>
        <w:t>Was there a pre-determined South – North gap?</w:t>
      </w:r>
    </w:p>
    <w:p w14:paraId="6B5610E2" w14:textId="45FF7749" w:rsidR="009A1215" w:rsidRPr="009A1215" w:rsidRDefault="009A1215" w:rsidP="00F70B01">
      <w:pPr>
        <w:rPr>
          <w:rFonts w:asciiTheme="majorHAnsi" w:hAnsiTheme="majorHAnsi"/>
          <w:b/>
          <w:sz w:val="30"/>
          <w:szCs w:val="30"/>
          <w:lang w:val="en-US"/>
        </w:rPr>
      </w:pPr>
      <w:r>
        <w:rPr>
          <w:rFonts w:asciiTheme="majorHAnsi" w:hAnsiTheme="majorHAnsi"/>
          <w:b/>
          <w:sz w:val="30"/>
          <w:szCs w:val="30"/>
          <w:lang w:val="en-US"/>
        </w:rPr>
        <w:t>How can Fenoaltea’s model be applied in this comparative case study?</w:t>
      </w:r>
    </w:p>
    <w:p w14:paraId="5CEC817B" w14:textId="112B89DE" w:rsidR="00CD6092" w:rsidRPr="00F70B01" w:rsidRDefault="008723AB" w:rsidP="00DE5431">
      <w:pPr>
        <w:rPr>
          <w:rFonts w:asciiTheme="majorHAnsi" w:hAnsiTheme="majorHAnsi"/>
          <w:b/>
          <w:sz w:val="26"/>
          <w:szCs w:val="26"/>
          <w:lang w:val="en-US"/>
        </w:rPr>
      </w:pPr>
      <w:r>
        <w:rPr>
          <w:rFonts w:asciiTheme="majorHAnsi" w:hAnsiTheme="majorHAnsi"/>
          <w:b/>
          <w:sz w:val="26"/>
          <w:szCs w:val="26"/>
          <w:lang w:val="en-US"/>
        </w:rPr>
        <w:br/>
      </w:r>
      <w:r w:rsidR="00100B77" w:rsidRPr="00F70B01">
        <w:rPr>
          <w:rFonts w:asciiTheme="majorHAnsi" w:hAnsiTheme="majorHAnsi"/>
          <w:b/>
          <w:sz w:val="26"/>
          <w:szCs w:val="26"/>
          <w:lang w:val="en-US"/>
        </w:rPr>
        <w:t>Chapter outline</w:t>
      </w:r>
    </w:p>
    <w:p w14:paraId="1E7F3FA1" w14:textId="6C345AA6" w:rsidR="00100B77" w:rsidRPr="00F70B01" w:rsidRDefault="00100B77" w:rsidP="00100B77">
      <w:pPr>
        <w:pStyle w:val="ListParagraph"/>
        <w:numPr>
          <w:ilvl w:val="0"/>
          <w:numId w:val="4"/>
        </w:numPr>
        <w:rPr>
          <w:rFonts w:asciiTheme="majorHAnsi" w:hAnsiTheme="majorHAnsi"/>
          <w:b/>
          <w:sz w:val="26"/>
          <w:szCs w:val="26"/>
          <w:lang w:val="en-US"/>
        </w:rPr>
      </w:pPr>
      <w:r w:rsidRPr="00F70B01">
        <w:rPr>
          <w:rFonts w:asciiTheme="majorHAnsi" w:hAnsiTheme="majorHAnsi"/>
          <w:b/>
          <w:sz w:val="26"/>
          <w:szCs w:val="26"/>
          <w:lang w:val="en-US"/>
        </w:rPr>
        <w:t>The South – North Divergence at the time of Unification</w:t>
      </w:r>
    </w:p>
    <w:p w14:paraId="0C747EE2" w14:textId="2F867523" w:rsidR="00100B77" w:rsidRPr="00F70B01" w:rsidRDefault="00100B77" w:rsidP="00100B77">
      <w:pPr>
        <w:pStyle w:val="ListParagraph"/>
        <w:numPr>
          <w:ilvl w:val="0"/>
          <w:numId w:val="4"/>
        </w:numPr>
        <w:rPr>
          <w:rFonts w:asciiTheme="majorHAnsi" w:hAnsiTheme="majorHAnsi"/>
          <w:b/>
          <w:sz w:val="26"/>
          <w:szCs w:val="26"/>
          <w:lang w:val="en-US"/>
        </w:rPr>
      </w:pPr>
      <w:r w:rsidRPr="00F70B01">
        <w:rPr>
          <w:rFonts w:asciiTheme="majorHAnsi" w:hAnsiTheme="majorHAnsi"/>
          <w:b/>
          <w:sz w:val="26"/>
          <w:szCs w:val="26"/>
          <w:lang w:val="en-US"/>
        </w:rPr>
        <w:t>Post-Unification engineering industry: leaving the South behind</w:t>
      </w:r>
    </w:p>
    <w:p w14:paraId="676F1554" w14:textId="42BC8C72" w:rsidR="00377889" w:rsidRPr="006C2999" w:rsidRDefault="00F70B01" w:rsidP="009B70E4">
      <w:pPr>
        <w:pStyle w:val="ListParagraph"/>
        <w:numPr>
          <w:ilvl w:val="0"/>
          <w:numId w:val="4"/>
        </w:numPr>
        <w:rPr>
          <w:rFonts w:asciiTheme="majorHAnsi" w:hAnsiTheme="majorHAnsi"/>
          <w:b/>
          <w:sz w:val="26"/>
          <w:szCs w:val="26"/>
          <w:lang w:val="en-US"/>
        </w:rPr>
      </w:pPr>
      <w:r w:rsidRPr="00F70B01">
        <w:rPr>
          <w:rFonts w:asciiTheme="majorHAnsi" w:hAnsiTheme="majorHAnsi"/>
          <w:b/>
          <w:sz w:val="26"/>
          <w:szCs w:val="26"/>
          <w:lang w:val="en-US"/>
        </w:rPr>
        <w:t>Applying Fenoaltea’s model: political continuity as fixed capital</w:t>
      </w:r>
    </w:p>
    <w:p w14:paraId="16A4735F" w14:textId="77777777" w:rsidR="00B90C03" w:rsidRPr="00416879" w:rsidRDefault="00B90C03" w:rsidP="00B90C03">
      <w:pPr>
        <w:rPr>
          <w:rFonts w:asciiTheme="majorHAnsi" w:hAnsiTheme="majorHAnsi"/>
          <w:b/>
          <w:sz w:val="28"/>
          <w:szCs w:val="28"/>
          <w:lang w:val="en-US"/>
        </w:rPr>
      </w:pPr>
      <w:r w:rsidRPr="00416879">
        <w:rPr>
          <w:rFonts w:asciiTheme="majorHAnsi" w:hAnsiTheme="majorHAnsi"/>
          <w:b/>
          <w:sz w:val="28"/>
          <w:szCs w:val="28"/>
          <w:lang w:val="en-US"/>
        </w:rPr>
        <w:lastRenderedPageBreak/>
        <w:t>The South – North divergence at the time of Unification</w:t>
      </w:r>
    </w:p>
    <w:p w14:paraId="3DEACA18" w14:textId="77777777" w:rsidR="00B90C03" w:rsidRPr="00416879" w:rsidRDefault="00B90C03" w:rsidP="00B90C03">
      <w:pPr>
        <w:rPr>
          <w:rFonts w:asciiTheme="majorHAnsi" w:hAnsiTheme="majorHAnsi"/>
          <w:sz w:val="26"/>
          <w:szCs w:val="26"/>
          <w:lang w:val="en-US"/>
        </w:rPr>
      </w:pPr>
      <w:r w:rsidRPr="00416879">
        <w:rPr>
          <w:rFonts w:asciiTheme="majorHAnsi" w:hAnsiTheme="majorHAnsi"/>
          <w:b/>
          <w:sz w:val="26"/>
          <w:szCs w:val="26"/>
          <w:lang w:val="en-US"/>
        </w:rPr>
        <w:t>Pre-unitary economic structures: a matter of different politics</w:t>
      </w:r>
    </w:p>
    <w:p w14:paraId="7357D89A" w14:textId="4651EA7E" w:rsidR="00B90C03" w:rsidRPr="0026326C" w:rsidRDefault="00B90C03" w:rsidP="00B90C03">
      <w:pPr>
        <w:rPr>
          <w:rFonts w:asciiTheme="majorHAnsi" w:hAnsiTheme="majorHAnsi"/>
          <w:sz w:val="26"/>
          <w:szCs w:val="26"/>
          <w:lang w:val="en-US"/>
        </w:rPr>
      </w:pPr>
      <w:r w:rsidRPr="0026326C">
        <w:rPr>
          <w:rFonts w:asciiTheme="majorHAnsi" w:hAnsiTheme="majorHAnsi"/>
          <w:sz w:val="26"/>
          <w:szCs w:val="26"/>
          <w:lang w:val="en-US"/>
        </w:rPr>
        <w:t>South Italy had a protected economy up until 1861, due to the self-sufficiency polici</w:t>
      </w:r>
      <w:r w:rsidR="00A1558E" w:rsidRPr="0026326C">
        <w:rPr>
          <w:rFonts w:asciiTheme="majorHAnsi" w:hAnsiTheme="majorHAnsi"/>
          <w:sz w:val="26"/>
          <w:szCs w:val="26"/>
          <w:lang w:val="en-US"/>
        </w:rPr>
        <w:t>es of the Bourbon</w:t>
      </w:r>
      <w:r w:rsidR="00416879">
        <w:rPr>
          <w:rFonts w:asciiTheme="majorHAnsi" w:hAnsiTheme="majorHAnsi"/>
          <w:sz w:val="26"/>
          <w:szCs w:val="26"/>
          <w:lang w:val="en-US"/>
        </w:rPr>
        <w:t xml:space="preserve"> dynasty</w:t>
      </w:r>
      <w:r w:rsidRPr="0026326C">
        <w:rPr>
          <w:rFonts w:asciiTheme="majorHAnsi" w:hAnsiTheme="majorHAnsi"/>
          <w:sz w:val="26"/>
          <w:szCs w:val="26"/>
          <w:lang w:val="en-US"/>
        </w:rPr>
        <w:t>.</w:t>
      </w:r>
      <w:r w:rsidRPr="0026326C">
        <w:rPr>
          <w:rStyle w:val="FootnoteReference"/>
          <w:rFonts w:asciiTheme="majorHAnsi" w:hAnsiTheme="majorHAnsi"/>
          <w:sz w:val="26"/>
          <w:szCs w:val="26"/>
          <w:lang w:val="en-US"/>
        </w:rPr>
        <w:footnoteReference w:id="28"/>
      </w:r>
      <w:r w:rsidRPr="0026326C">
        <w:rPr>
          <w:rFonts w:asciiTheme="majorHAnsi" w:hAnsiTheme="majorHAnsi"/>
          <w:sz w:val="26"/>
          <w:szCs w:val="26"/>
          <w:lang w:val="en-US"/>
        </w:rPr>
        <w:t xml:space="preserve"> </w:t>
      </w:r>
      <w:r w:rsidR="00CE3864">
        <w:rPr>
          <w:rFonts w:asciiTheme="majorHAnsi" w:hAnsiTheme="majorHAnsi"/>
          <w:sz w:val="26"/>
          <w:szCs w:val="26"/>
          <w:lang w:val="en-US"/>
        </w:rPr>
        <w:t xml:space="preserve">Agriculture </w:t>
      </w:r>
      <w:r w:rsidR="00122117">
        <w:rPr>
          <w:rFonts w:asciiTheme="majorHAnsi" w:hAnsiTheme="majorHAnsi"/>
          <w:sz w:val="26"/>
          <w:szCs w:val="26"/>
          <w:lang w:val="en-US"/>
        </w:rPr>
        <w:t>was dominated by big landowners</w:t>
      </w:r>
      <w:r w:rsidR="00CE3864">
        <w:rPr>
          <w:rFonts w:asciiTheme="majorHAnsi" w:hAnsiTheme="majorHAnsi"/>
          <w:sz w:val="26"/>
          <w:szCs w:val="26"/>
          <w:lang w:val="en-US"/>
        </w:rPr>
        <w:t xml:space="preserve">, and </w:t>
      </w:r>
      <w:r w:rsidR="00122117">
        <w:rPr>
          <w:rFonts w:asciiTheme="majorHAnsi" w:hAnsiTheme="majorHAnsi"/>
          <w:sz w:val="26"/>
          <w:szCs w:val="26"/>
          <w:lang w:val="en-US"/>
        </w:rPr>
        <w:t>public</w:t>
      </w:r>
      <w:r w:rsidRPr="0026326C">
        <w:rPr>
          <w:rFonts w:asciiTheme="majorHAnsi" w:hAnsiTheme="majorHAnsi"/>
          <w:sz w:val="26"/>
          <w:szCs w:val="26"/>
          <w:lang w:val="en-US"/>
        </w:rPr>
        <w:t xml:space="preserve"> spending was kept at a minimum by the Bourbons, resulting in the pre-unitary kingdom with lowest p</w:t>
      </w:r>
      <w:r w:rsidR="00BD77B8">
        <w:rPr>
          <w:rFonts w:asciiTheme="majorHAnsi" w:hAnsiTheme="majorHAnsi"/>
          <w:sz w:val="26"/>
          <w:szCs w:val="26"/>
          <w:lang w:val="en-US"/>
        </w:rPr>
        <w:t xml:space="preserve">ublic debt on the one hand, but with </w:t>
      </w:r>
      <w:r w:rsidRPr="0026326C">
        <w:rPr>
          <w:rFonts w:asciiTheme="majorHAnsi" w:hAnsiTheme="majorHAnsi"/>
          <w:sz w:val="26"/>
          <w:szCs w:val="26"/>
          <w:lang w:val="en-US"/>
        </w:rPr>
        <w:t>a lack of education and infrastructures on the other.</w:t>
      </w:r>
      <w:r w:rsidRPr="0026326C">
        <w:rPr>
          <w:rStyle w:val="FootnoteReference"/>
          <w:rFonts w:asciiTheme="majorHAnsi" w:hAnsiTheme="majorHAnsi"/>
          <w:sz w:val="26"/>
          <w:szCs w:val="26"/>
          <w:lang w:val="en-US"/>
        </w:rPr>
        <w:footnoteReference w:id="29"/>
      </w:r>
      <w:r w:rsidR="00243912" w:rsidRPr="0026326C">
        <w:rPr>
          <w:rFonts w:asciiTheme="majorHAnsi" w:hAnsiTheme="majorHAnsi"/>
          <w:sz w:val="26"/>
          <w:szCs w:val="26"/>
          <w:lang w:val="en-US"/>
        </w:rPr>
        <w:t xml:space="preserve"> The protectionist regime, however, granted the kingdom a technological supremacy in the engineerin</w:t>
      </w:r>
      <w:r w:rsidR="00056BC0">
        <w:rPr>
          <w:rFonts w:asciiTheme="majorHAnsi" w:hAnsiTheme="majorHAnsi"/>
          <w:sz w:val="26"/>
          <w:szCs w:val="26"/>
          <w:lang w:val="en-US"/>
        </w:rPr>
        <w:t>g sector in the whole peninsula.</w:t>
      </w:r>
      <w:r w:rsidR="00056BC0" w:rsidRPr="0026326C">
        <w:rPr>
          <w:rStyle w:val="FootnoteReference"/>
          <w:rFonts w:asciiTheme="majorHAnsi" w:hAnsiTheme="majorHAnsi"/>
          <w:sz w:val="26"/>
          <w:szCs w:val="26"/>
          <w:lang w:val="en-US"/>
        </w:rPr>
        <w:footnoteReference w:id="30"/>
      </w:r>
      <w:r w:rsidR="00122117">
        <w:rPr>
          <w:rFonts w:asciiTheme="majorHAnsi" w:hAnsiTheme="majorHAnsi"/>
          <w:sz w:val="26"/>
          <w:szCs w:val="26"/>
          <w:lang w:val="en-US"/>
        </w:rPr>
        <w:t xml:space="preserve"> </w:t>
      </w:r>
      <w:r w:rsidR="00911D38" w:rsidRPr="0026326C">
        <w:rPr>
          <w:rFonts w:asciiTheme="majorHAnsi" w:hAnsiTheme="majorHAnsi"/>
          <w:sz w:val="26"/>
          <w:szCs w:val="26"/>
          <w:lang w:val="en-US"/>
        </w:rPr>
        <w:t xml:space="preserve">Northern Italy, </w:t>
      </w:r>
      <w:r w:rsidRPr="0026326C">
        <w:rPr>
          <w:rFonts w:asciiTheme="majorHAnsi" w:hAnsiTheme="majorHAnsi"/>
          <w:sz w:val="26"/>
          <w:szCs w:val="26"/>
          <w:lang w:val="en-US"/>
        </w:rPr>
        <w:t xml:space="preserve">on the other hand, </w:t>
      </w:r>
      <w:r w:rsidR="00911D38" w:rsidRPr="0026326C">
        <w:rPr>
          <w:rFonts w:asciiTheme="majorHAnsi" w:hAnsiTheme="majorHAnsi"/>
          <w:sz w:val="26"/>
          <w:szCs w:val="26"/>
          <w:lang w:val="en-US"/>
        </w:rPr>
        <w:t xml:space="preserve">had already been accustomed to </w:t>
      </w:r>
      <w:r w:rsidR="00FB60C6" w:rsidRPr="0026326C">
        <w:rPr>
          <w:rFonts w:asciiTheme="majorHAnsi" w:hAnsiTheme="majorHAnsi"/>
          <w:sz w:val="26"/>
          <w:szCs w:val="26"/>
          <w:lang w:val="en-US"/>
        </w:rPr>
        <w:t>more advanced pre</w:t>
      </w:r>
      <w:r w:rsidR="00122117">
        <w:rPr>
          <w:rFonts w:asciiTheme="majorHAnsi" w:hAnsiTheme="majorHAnsi"/>
          <w:sz w:val="26"/>
          <w:szCs w:val="26"/>
          <w:lang w:val="en-US"/>
        </w:rPr>
        <w:t>-capitalist agrarian activities</w:t>
      </w:r>
      <w:r w:rsidR="00FB60C6" w:rsidRPr="0026326C">
        <w:rPr>
          <w:rFonts w:asciiTheme="majorHAnsi" w:hAnsiTheme="majorHAnsi"/>
          <w:sz w:val="26"/>
          <w:szCs w:val="26"/>
          <w:lang w:val="en-US"/>
        </w:rPr>
        <w:t>.</w:t>
      </w:r>
      <w:r w:rsidR="00911D38" w:rsidRPr="0026326C">
        <w:rPr>
          <w:rStyle w:val="FootnoteReference"/>
          <w:rFonts w:asciiTheme="majorHAnsi" w:hAnsiTheme="majorHAnsi"/>
          <w:sz w:val="26"/>
          <w:szCs w:val="26"/>
          <w:lang w:val="en-US"/>
        </w:rPr>
        <w:footnoteReference w:id="31"/>
      </w:r>
      <w:r w:rsidR="00911D38" w:rsidRPr="0026326C">
        <w:rPr>
          <w:rFonts w:asciiTheme="majorHAnsi" w:hAnsiTheme="majorHAnsi"/>
          <w:sz w:val="26"/>
          <w:szCs w:val="26"/>
          <w:lang w:val="en-US"/>
        </w:rPr>
        <w:t xml:space="preserve"> </w:t>
      </w:r>
      <w:r w:rsidR="00FB60C6" w:rsidRPr="0026326C">
        <w:rPr>
          <w:rFonts w:asciiTheme="majorHAnsi" w:hAnsiTheme="majorHAnsi"/>
          <w:sz w:val="26"/>
          <w:szCs w:val="26"/>
          <w:lang w:val="en-US"/>
        </w:rPr>
        <w:t xml:space="preserve">Piedmont, the driving force of liberal Italy, </w:t>
      </w:r>
      <w:r w:rsidR="00122117">
        <w:rPr>
          <w:rFonts w:asciiTheme="majorHAnsi" w:hAnsiTheme="majorHAnsi"/>
          <w:sz w:val="26"/>
          <w:szCs w:val="26"/>
          <w:lang w:val="en-US"/>
        </w:rPr>
        <w:t>had adopted free trade from 1851.</w:t>
      </w:r>
      <w:r w:rsidRPr="0026326C">
        <w:rPr>
          <w:rStyle w:val="FootnoteReference"/>
          <w:rFonts w:asciiTheme="majorHAnsi" w:hAnsiTheme="majorHAnsi"/>
          <w:sz w:val="26"/>
          <w:szCs w:val="26"/>
          <w:lang w:val="en-US"/>
        </w:rPr>
        <w:footnoteReference w:id="32"/>
      </w:r>
      <w:r w:rsidRPr="0026326C">
        <w:rPr>
          <w:rFonts w:asciiTheme="majorHAnsi" w:hAnsiTheme="majorHAnsi"/>
          <w:sz w:val="26"/>
          <w:szCs w:val="26"/>
          <w:lang w:val="en-US"/>
        </w:rPr>
        <w:t xml:space="preserve"> At the same time, </w:t>
      </w:r>
      <w:r w:rsidR="00122117">
        <w:rPr>
          <w:rFonts w:asciiTheme="majorHAnsi" w:hAnsiTheme="majorHAnsi"/>
          <w:sz w:val="26"/>
          <w:szCs w:val="26"/>
          <w:lang w:val="en-US"/>
        </w:rPr>
        <w:t>intense</w:t>
      </w:r>
      <w:r w:rsidRPr="0026326C">
        <w:rPr>
          <w:rFonts w:asciiTheme="majorHAnsi" w:hAnsiTheme="majorHAnsi"/>
          <w:sz w:val="26"/>
          <w:szCs w:val="26"/>
          <w:lang w:val="en-US"/>
        </w:rPr>
        <w:t xml:space="preserve"> public works had been undertaken, </w:t>
      </w:r>
      <w:r w:rsidR="00122117">
        <w:rPr>
          <w:rFonts w:asciiTheme="majorHAnsi" w:hAnsiTheme="majorHAnsi"/>
          <w:sz w:val="26"/>
          <w:szCs w:val="26"/>
          <w:lang w:val="en-US"/>
        </w:rPr>
        <w:t>encompassing</w:t>
      </w:r>
      <w:r w:rsidRPr="0026326C">
        <w:rPr>
          <w:rFonts w:asciiTheme="majorHAnsi" w:hAnsiTheme="majorHAnsi"/>
          <w:sz w:val="26"/>
          <w:szCs w:val="26"/>
          <w:lang w:val="en-US"/>
        </w:rPr>
        <w:t xml:space="preserve"> irrigation, infrastructures and railways.</w:t>
      </w:r>
      <w:r w:rsidRPr="0026326C">
        <w:rPr>
          <w:rStyle w:val="FootnoteReference"/>
          <w:rFonts w:asciiTheme="majorHAnsi" w:hAnsiTheme="majorHAnsi"/>
          <w:sz w:val="26"/>
          <w:szCs w:val="26"/>
          <w:lang w:val="en-US"/>
        </w:rPr>
        <w:footnoteReference w:id="33"/>
      </w:r>
      <w:r w:rsidRPr="0026326C">
        <w:rPr>
          <w:rFonts w:asciiTheme="majorHAnsi" w:hAnsiTheme="majorHAnsi"/>
          <w:sz w:val="26"/>
          <w:szCs w:val="26"/>
          <w:lang w:val="en-US"/>
        </w:rPr>
        <w:t xml:space="preserve"> On the basis of this qualitative analysis scholars have long assumed that the South – North gap that became apparent in post-unitary decades was simply the result of this pre-existing divergence. When it comes to industrial output, however, the new index of Fenoaltea brings to the table surprising statistics that challenge this age old view.</w:t>
      </w:r>
      <w:r w:rsidR="007B6F55" w:rsidRPr="0026326C">
        <w:rPr>
          <w:rFonts w:asciiTheme="majorHAnsi" w:hAnsiTheme="majorHAnsi"/>
          <w:sz w:val="26"/>
          <w:szCs w:val="26"/>
          <w:lang w:val="en-US"/>
        </w:rPr>
        <w:t xml:space="preserve"> </w:t>
      </w:r>
      <w:r w:rsidR="00864B23" w:rsidRPr="0026326C">
        <w:rPr>
          <w:rFonts w:asciiTheme="majorHAnsi" w:hAnsiTheme="majorHAnsi"/>
          <w:sz w:val="26"/>
          <w:szCs w:val="26"/>
          <w:lang w:val="en-US"/>
        </w:rPr>
        <w:t xml:space="preserve"> </w:t>
      </w:r>
    </w:p>
    <w:p w14:paraId="0C1D7CA4" w14:textId="77777777" w:rsidR="00B90C03" w:rsidRPr="0026326C" w:rsidRDefault="00B90C03" w:rsidP="00B90C03">
      <w:pPr>
        <w:rPr>
          <w:rFonts w:asciiTheme="majorHAnsi" w:hAnsiTheme="majorHAnsi"/>
          <w:sz w:val="26"/>
          <w:szCs w:val="26"/>
          <w:lang w:val="en-US"/>
        </w:rPr>
      </w:pPr>
      <w:r w:rsidRPr="0026326C">
        <w:rPr>
          <w:rFonts w:asciiTheme="majorHAnsi" w:hAnsiTheme="majorHAnsi"/>
          <w:b/>
          <w:sz w:val="26"/>
          <w:szCs w:val="26"/>
          <w:lang w:val="en-US"/>
        </w:rPr>
        <w:t>Industrial output</w:t>
      </w:r>
    </w:p>
    <w:p w14:paraId="5BE90CFF" w14:textId="0B19F6AC" w:rsidR="00B90C03" w:rsidRPr="0026326C" w:rsidRDefault="00B90C03" w:rsidP="009B70E4">
      <w:pPr>
        <w:rPr>
          <w:rFonts w:asciiTheme="majorHAnsi" w:hAnsiTheme="majorHAnsi"/>
          <w:sz w:val="26"/>
          <w:szCs w:val="26"/>
          <w:lang w:val="en-US"/>
        </w:rPr>
      </w:pPr>
      <w:r w:rsidRPr="0026326C">
        <w:rPr>
          <w:rFonts w:asciiTheme="majorHAnsi" w:hAnsiTheme="majorHAnsi"/>
          <w:sz w:val="26"/>
          <w:szCs w:val="26"/>
          <w:lang w:val="en-US"/>
        </w:rPr>
        <w:t xml:space="preserve">Traditional scholars, relying mainly on qualitative sources, have always taken the natural poverty of the South for granted; new data sets, on the other hand, seem to gradually shatter that view. </w:t>
      </w:r>
      <w:r w:rsidR="008C1037">
        <w:rPr>
          <w:rFonts w:asciiTheme="majorHAnsi" w:hAnsiTheme="majorHAnsi"/>
          <w:sz w:val="26"/>
          <w:szCs w:val="26"/>
          <w:lang w:val="en-US"/>
        </w:rPr>
        <w:t>In light of this debate,</w:t>
      </w:r>
      <w:r w:rsidRPr="0026326C">
        <w:rPr>
          <w:rFonts w:asciiTheme="majorHAnsi" w:hAnsiTheme="majorHAnsi"/>
          <w:sz w:val="26"/>
          <w:szCs w:val="26"/>
          <w:lang w:val="en-US"/>
        </w:rPr>
        <w:t xml:space="preserve"> was there a real divergence at the time of unification? And, when exac</w:t>
      </w:r>
      <w:r w:rsidR="00BA3D61">
        <w:rPr>
          <w:rFonts w:asciiTheme="majorHAnsi" w:hAnsiTheme="majorHAnsi"/>
          <w:sz w:val="26"/>
          <w:szCs w:val="26"/>
          <w:lang w:val="en-US"/>
        </w:rPr>
        <w:t>tly did the divergence happen?</w:t>
      </w:r>
      <w:r w:rsidRPr="0026326C">
        <w:rPr>
          <w:rFonts w:asciiTheme="majorHAnsi" w:hAnsiTheme="majorHAnsi"/>
          <w:sz w:val="26"/>
          <w:szCs w:val="26"/>
          <w:lang w:val="en-US"/>
        </w:rPr>
        <w:br/>
      </w:r>
      <w:r w:rsidRPr="0026326C">
        <w:rPr>
          <w:rFonts w:asciiTheme="majorHAnsi" w:hAnsiTheme="majorHAnsi"/>
          <w:sz w:val="26"/>
          <w:szCs w:val="26"/>
          <w:lang w:val="en-US"/>
        </w:rPr>
        <w:tab/>
        <w:t>When it comes to assessing a divergence in terms of regional output at the time of Unification, the new industrial index of Fenoaltea show that Italy in 1871 presented a West – East gap, rather than a South – North one.</w:t>
      </w:r>
      <w:r w:rsidRPr="0026326C">
        <w:rPr>
          <w:rStyle w:val="FootnoteReference"/>
          <w:rFonts w:asciiTheme="majorHAnsi" w:hAnsiTheme="majorHAnsi"/>
          <w:sz w:val="26"/>
          <w:szCs w:val="26"/>
          <w:lang w:val="en-US"/>
        </w:rPr>
        <w:footnoteReference w:id="34"/>
      </w:r>
      <w:r w:rsidRPr="0026326C">
        <w:rPr>
          <w:rFonts w:asciiTheme="majorHAnsi" w:hAnsiTheme="majorHAnsi"/>
          <w:sz w:val="26"/>
          <w:szCs w:val="26"/>
          <w:lang w:val="en-US"/>
        </w:rPr>
        <w:t xml:space="preserve"> </w:t>
      </w:r>
      <w:r w:rsidR="008C1037" w:rsidRPr="0026326C">
        <w:rPr>
          <w:rFonts w:asciiTheme="majorHAnsi" w:hAnsiTheme="majorHAnsi"/>
          <w:sz w:val="26"/>
          <w:szCs w:val="26"/>
          <w:lang w:val="en-US"/>
        </w:rPr>
        <w:t xml:space="preserve">Such an output distribution reflects Ricardo’s growth model of a traditional </w:t>
      </w:r>
      <w:r w:rsidR="008C1037" w:rsidRPr="0026326C">
        <w:rPr>
          <w:rFonts w:asciiTheme="majorHAnsi" w:hAnsiTheme="majorHAnsi"/>
          <w:i/>
          <w:sz w:val="26"/>
          <w:szCs w:val="26"/>
          <w:lang w:val="en-US"/>
        </w:rPr>
        <w:t xml:space="preserve">Ancién Regime </w:t>
      </w:r>
      <w:r w:rsidR="008C1037" w:rsidRPr="0026326C">
        <w:rPr>
          <w:rFonts w:asciiTheme="majorHAnsi" w:hAnsiTheme="majorHAnsi"/>
          <w:sz w:val="26"/>
          <w:szCs w:val="26"/>
          <w:lang w:val="en-US"/>
        </w:rPr>
        <w:t>economy, in which manufacturing centers are conce</w:t>
      </w:r>
      <w:r w:rsidR="008C1037">
        <w:rPr>
          <w:rFonts w:asciiTheme="majorHAnsi" w:hAnsiTheme="majorHAnsi"/>
          <w:sz w:val="26"/>
          <w:szCs w:val="26"/>
          <w:lang w:val="en-US"/>
        </w:rPr>
        <w:t>ntrated around the old capitals.</w:t>
      </w:r>
      <w:r w:rsidR="008C1037">
        <w:rPr>
          <w:rStyle w:val="FootnoteReference"/>
          <w:rFonts w:asciiTheme="majorHAnsi" w:hAnsiTheme="majorHAnsi"/>
          <w:sz w:val="26"/>
          <w:szCs w:val="26"/>
          <w:lang w:val="en-US"/>
        </w:rPr>
        <w:footnoteReference w:id="35"/>
      </w:r>
      <w:r w:rsidR="008C1037">
        <w:rPr>
          <w:rFonts w:asciiTheme="majorHAnsi" w:hAnsiTheme="majorHAnsi"/>
          <w:sz w:val="26"/>
          <w:szCs w:val="26"/>
          <w:lang w:val="en-US"/>
        </w:rPr>
        <w:t xml:space="preserve"> </w:t>
      </w:r>
      <w:r w:rsidR="008C1037" w:rsidRPr="0026326C">
        <w:rPr>
          <w:rFonts w:asciiTheme="majorHAnsi" w:hAnsiTheme="majorHAnsi"/>
          <w:sz w:val="26"/>
          <w:szCs w:val="26"/>
          <w:lang w:val="en-US"/>
        </w:rPr>
        <w:t xml:space="preserve">In its benchmark progressions, then, the data reveals that a real divergence started to take place during the 1880s, when the rise of the Industrial Triangle of Milan, Turin and Genoa, became </w:t>
      </w:r>
      <w:r w:rsidR="008C1037" w:rsidRPr="0026326C">
        <w:rPr>
          <w:rFonts w:asciiTheme="majorHAnsi" w:hAnsiTheme="majorHAnsi"/>
          <w:sz w:val="26"/>
          <w:szCs w:val="26"/>
          <w:lang w:val="en-US"/>
        </w:rPr>
        <w:lastRenderedPageBreak/>
        <w:t>apparent.</w:t>
      </w:r>
      <w:r w:rsidR="008C1037" w:rsidRPr="0026326C">
        <w:rPr>
          <w:rStyle w:val="FootnoteReference"/>
          <w:rFonts w:asciiTheme="majorHAnsi" w:hAnsiTheme="majorHAnsi"/>
          <w:sz w:val="26"/>
          <w:szCs w:val="26"/>
          <w:lang w:val="en-US"/>
        </w:rPr>
        <w:footnoteReference w:id="36"/>
      </w:r>
      <w:r w:rsidR="008C1037" w:rsidRPr="0026326C">
        <w:rPr>
          <w:rFonts w:asciiTheme="majorHAnsi" w:hAnsiTheme="majorHAnsi"/>
          <w:sz w:val="26"/>
          <w:szCs w:val="26"/>
          <w:lang w:val="en-US"/>
        </w:rPr>
        <w:t xml:space="preserve"> The gap would become obvious in the 1911 benchmark.</w:t>
      </w:r>
      <w:r w:rsidR="008C1037" w:rsidRPr="0026326C">
        <w:rPr>
          <w:rStyle w:val="FootnoteReference"/>
          <w:rFonts w:asciiTheme="majorHAnsi" w:hAnsiTheme="majorHAnsi"/>
          <w:sz w:val="26"/>
          <w:szCs w:val="26"/>
          <w:lang w:val="en-US"/>
        </w:rPr>
        <w:footnoteReference w:id="37"/>
      </w:r>
      <w:r w:rsidR="008C1037" w:rsidRPr="0026326C">
        <w:rPr>
          <w:rFonts w:asciiTheme="majorHAnsi" w:hAnsiTheme="majorHAnsi"/>
          <w:sz w:val="26"/>
          <w:szCs w:val="26"/>
          <w:lang w:val="en-US"/>
        </w:rPr>
        <w:t xml:space="preserve"> This means, Fenoaltea concludes, that the divergence between the Industrial Triangle and the </w:t>
      </w:r>
      <w:r w:rsidR="008C1037" w:rsidRPr="0026326C">
        <w:rPr>
          <w:rFonts w:asciiTheme="majorHAnsi" w:hAnsiTheme="majorHAnsi"/>
          <w:i/>
          <w:sz w:val="26"/>
          <w:szCs w:val="26"/>
          <w:lang w:val="en-US"/>
        </w:rPr>
        <w:t>Mezzogiorno</w:t>
      </w:r>
      <w:r w:rsidR="008C1037" w:rsidRPr="0026326C">
        <w:rPr>
          <w:rFonts w:asciiTheme="majorHAnsi" w:hAnsiTheme="majorHAnsi"/>
          <w:sz w:val="26"/>
          <w:szCs w:val="26"/>
          <w:lang w:val="en-US"/>
        </w:rPr>
        <w:t xml:space="preserve"> occurred due to specific post-unitary economic circumstances rather than a deterministic amplification of an already present gap.</w:t>
      </w:r>
      <w:r w:rsidR="008C1037" w:rsidRPr="0026326C">
        <w:rPr>
          <w:rStyle w:val="FootnoteReference"/>
          <w:rFonts w:asciiTheme="majorHAnsi" w:hAnsiTheme="majorHAnsi"/>
          <w:sz w:val="26"/>
          <w:szCs w:val="26"/>
          <w:lang w:val="en-US"/>
        </w:rPr>
        <w:footnoteReference w:id="38"/>
      </w:r>
      <w:r w:rsidR="008C1037" w:rsidRPr="0026326C">
        <w:rPr>
          <w:rFonts w:asciiTheme="majorHAnsi" w:hAnsiTheme="majorHAnsi"/>
          <w:sz w:val="26"/>
          <w:szCs w:val="26"/>
          <w:lang w:val="en-US"/>
        </w:rPr>
        <w:t xml:space="preserve"> </w:t>
      </w:r>
      <w:r w:rsidR="008C1037">
        <w:rPr>
          <w:rFonts w:asciiTheme="majorHAnsi" w:hAnsiTheme="majorHAnsi"/>
          <w:sz w:val="26"/>
          <w:szCs w:val="26"/>
          <w:lang w:val="en-US"/>
        </w:rPr>
        <w:br/>
      </w:r>
      <w:r w:rsidR="008C1037">
        <w:rPr>
          <w:rFonts w:asciiTheme="majorHAnsi" w:hAnsiTheme="majorHAnsi"/>
          <w:sz w:val="26"/>
          <w:szCs w:val="26"/>
          <w:lang w:val="en-US"/>
        </w:rPr>
        <w:tab/>
        <w:t>These</w:t>
      </w:r>
      <w:r w:rsidRPr="0026326C">
        <w:rPr>
          <w:rFonts w:asciiTheme="majorHAnsi" w:hAnsiTheme="majorHAnsi"/>
          <w:sz w:val="26"/>
          <w:szCs w:val="26"/>
          <w:lang w:val="en-US"/>
        </w:rPr>
        <w:t xml:space="preserve"> estimates were obtained from new indexes of national industrial production that emerged within the most recent efforts of the cliometric school.</w:t>
      </w:r>
      <w:r w:rsidRPr="0026326C">
        <w:rPr>
          <w:rStyle w:val="FootnoteReference"/>
          <w:rFonts w:asciiTheme="majorHAnsi" w:hAnsiTheme="majorHAnsi"/>
          <w:sz w:val="26"/>
          <w:szCs w:val="26"/>
          <w:lang w:val="en-US"/>
        </w:rPr>
        <w:footnoteReference w:id="39"/>
      </w:r>
      <w:r w:rsidRPr="0026326C">
        <w:rPr>
          <w:rFonts w:asciiTheme="majorHAnsi" w:hAnsiTheme="majorHAnsi"/>
          <w:sz w:val="26"/>
          <w:szCs w:val="26"/>
          <w:lang w:val="en-US"/>
        </w:rPr>
        <w:t xml:space="preserve"> New research in the field started from the 1960s and culminated in Fenoaltea’s new index of 2001; such new data sets are a product of modern economic theory and statistical methods applied to economic history.</w:t>
      </w:r>
      <w:r w:rsidRPr="0026326C">
        <w:rPr>
          <w:rStyle w:val="FootnoteReference"/>
          <w:rFonts w:asciiTheme="majorHAnsi" w:hAnsiTheme="majorHAnsi"/>
          <w:sz w:val="26"/>
          <w:szCs w:val="26"/>
          <w:lang w:val="en-US"/>
        </w:rPr>
        <w:footnoteReference w:id="40"/>
      </w:r>
      <w:r w:rsidRPr="0026326C">
        <w:rPr>
          <w:rFonts w:asciiTheme="majorHAnsi" w:hAnsiTheme="majorHAnsi"/>
          <w:sz w:val="26"/>
          <w:szCs w:val="26"/>
          <w:lang w:val="en-US"/>
        </w:rPr>
        <w:t xml:space="preserve"> The most recent indexes of national industrial produ</w:t>
      </w:r>
      <w:r w:rsidR="007A7DE7" w:rsidRPr="0026326C">
        <w:rPr>
          <w:rFonts w:asciiTheme="majorHAnsi" w:hAnsiTheme="majorHAnsi"/>
          <w:sz w:val="26"/>
          <w:szCs w:val="26"/>
          <w:lang w:val="en-US"/>
        </w:rPr>
        <w:t xml:space="preserve">ction have permitted the first </w:t>
      </w:r>
      <w:r w:rsidRPr="0026326C">
        <w:rPr>
          <w:rFonts w:asciiTheme="majorHAnsi" w:hAnsiTheme="majorHAnsi"/>
          <w:sz w:val="26"/>
          <w:szCs w:val="26"/>
          <w:lang w:val="en-US"/>
        </w:rPr>
        <w:t xml:space="preserve">calculation </w:t>
      </w:r>
      <w:r w:rsidR="007A7DE7" w:rsidRPr="0026326C">
        <w:rPr>
          <w:rFonts w:asciiTheme="majorHAnsi" w:hAnsiTheme="majorHAnsi"/>
          <w:sz w:val="26"/>
          <w:szCs w:val="26"/>
          <w:lang w:val="en-US"/>
        </w:rPr>
        <w:t xml:space="preserve">of </w:t>
      </w:r>
      <w:r w:rsidRPr="0026326C">
        <w:rPr>
          <w:rFonts w:asciiTheme="majorHAnsi" w:hAnsiTheme="majorHAnsi"/>
          <w:sz w:val="26"/>
          <w:szCs w:val="26"/>
          <w:lang w:val="en-US"/>
        </w:rPr>
        <w:t>direct estimates of regional industrial production from 1871 to 1911, considering for the first time labor productivity as well.</w:t>
      </w:r>
      <w:r w:rsidRPr="0026326C">
        <w:rPr>
          <w:rStyle w:val="FootnoteReference"/>
          <w:rFonts w:asciiTheme="majorHAnsi" w:hAnsiTheme="majorHAnsi"/>
          <w:sz w:val="26"/>
          <w:szCs w:val="26"/>
          <w:lang w:val="en-US"/>
        </w:rPr>
        <w:footnoteReference w:id="41"/>
      </w:r>
      <w:r w:rsidRPr="0026326C">
        <w:rPr>
          <w:rFonts w:asciiTheme="majorHAnsi" w:hAnsiTheme="majorHAnsi"/>
          <w:sz w:val="26"/>
          <w:szCs w:val="26"/>
          <w:lang w:val="en-US"/>
        </w:rPr>
        <w:t xml:space="preserve"> The </w:t>
      </w:r>
      <w:r w:rsidR="005A5795">
        <w:rPr>
          <w:rFonts w:asciiTheme="majorHAnsi" w:hAnsiTheme="majorHAnsi"/>
          <w:sz w:val="26"/>
          <w:szCs w:val="26"/>
          <w:lang w:val="en-US"/>
        </w:rPr>
        <w:t xml:space="preserve">West – East </w:t>
      </w:r>
      <w:r w:rsidRPr="0026326C">
        <w:rPr>
          <w:rFonts w:asciiTheme="majorHAnsi" w:hAnsiTheme="majorHAnsi"/>
          <w:sz w:val="26"/>
          <w:szCs w:val="26"/>
          <w:lang w:val="en-US"/>
        </w:rPr>
        <w:t xml:space="preserve">divide </w:t>
      </w:r>
      <w:r w:rsidR="005A5795">
        <w:rPr>
          <w:rFonts w:asciiTheme="majorHAnsi" w:hAnsiTheme="majorHAnsi"/>
          <w:sz w:val="26"/>
          <w:szCs w:val="26"/>
          <w:lang w:val="en-US"/>
        </w:rPr>
        <w:t xml:space="preserve">of new data </w:t>
      </w:r>
      <w:r w:rsidRPr="0026326C">
        <w:rPr>
          <w:rFonts w:asciiTheme="majorHAnsi" w:hAnsiTheme="majorHAnsi"/>
          <w:sz w:val="26"/>
          <w:szCs w:val="26"/>
          <w:lang w:val="en-US"/>
        </w:rPr>
        <w:t>shatters age old view of a pre-existing South - North dive</w:t>
      </w:r>
      <w:r w:rsidR="000659AA">
        <w:rPr>
          <w:rFonts w:asciiTheme="majorHAnsi" w:hAnsiTheme="majorHAnsi"/>
          <w:sz w:val="26"/>
          <w:szCs w:val="26"/>
          <w:lang w:val="en-US"/>
        </w:rPr>
        <w:t xml:space="preserve">rgence entrenched in the past. </w:t>
      </w:r>
      <w:r w:rsidRPr="0026326C">
        <w:rPr>
          <w:rFonts w:asciiTheme="majorHAnsi" w:hAnsiTheme="majorHAnsi"/>
          <w:sz w:val="26"/>
          <w:szCs w:val="26"/>
          <w:lang w:val="en-US"/>
        </w:rPr>
        <w:tab/>
      </w:r>
      <w:r w:rsidR="002F3120" w:rsidRPr="0026326C">
        <w:rPr>
          <w:rFonts w:asciiTheme="majorHAnsi" w:hAnsiTheme="majorHAnsi"/>
          <w:sz w:val="26"/>
          <w:szCs w:val="26"/>
          <w:lang w:val="en-US"/>
        </w:rPr>
        <w:t xml:space="preserve"> </w:t>
      </w:r>
    </w:p>
    <w:p w14:paraId="45E7EF75" w14:textId="77777777" w:rsidR="002D36F4" w:rsidRPr="00162827" w:rsidRDefault="002D36F4" w:rsidP="002D36F4">
      <w:pPr>
        <w:rPr>
          <w:rFonts w:asciiTheme="majorHAnsi" w:hAnsiTheme="majorHAnsi"/>
          <w:sz w:val="28"/>
          <w:szCs w:val="28"/>
          <w:lang w:val="en-US"/>
        </w:rPr>
      </w:pPr>
      <w:r w:rsidRPr="00162827">
        <w:rPr>
          <w:rFonts w:asciiTheme="majorHAnsi" w:hAnsiTheme="majorHAnsi"/>
          <w:b/>
          <w:sz w:val="28"/>
          <w:szCs w:val="28"/>
          <w:lang w:val="en-US"/>
        </w:rPr>
        <w:t>Post-unification engineering industry: leaving the South behind</w:t>
      </w:r>
    </w:p>
    <w:p w14:paraId="6DDA4321" w14:textId="17FCBCBE" w:rsidR="002D36F4" w:rsidRDefault="002D36F4" w:rsidP="002D36F4">
      <w:pPr>
        <w:rPr>
          <w:rFonts w:asciiTheme="majorHAnsi" w:hAnsiTheme="majorHAnsi"/>
          <w:sz w:val="26"/>
          <w:szCs w:val="26"/>
          <w:lang w:val="en-US"/>
        </w:rPr>
      </w:pPr>
      <w:r w:rsidRPr="0026326C">
        <w:rPr>
          <w:rFonts w:asciiTheme="majorHAnsi" w:hAnsiTheme="majorHAnsi"/>
          <w:sz w:val="26"/>
          <w:szCs w:val="26"/>
          <w:lang w:val="en-US"/>
        </w:rPr>
        <w:t>At the time of unification Italy presented an overall underdeveloped industrial structure</w:t>
      </w:r>
      <w:r w:rsidR="00C4483C">
        <w:rPr>
          <w:rFonts w:asciiTheme="majorHAnsi" w:hAnsiTheme="majorHAnsi"/>
          <w:sz w:val="26"/>
          <w:szCs w:val="26"/>
          <w:lang w:val="en-US"/>
        </w:rPr>
        <w:t>, accounting only for</w:t>
      </w:r>
      <w:r w:rsidRPr="0026326C">
        <w:rPr>
          <w:rFonts w:asciiTheme="majorHAnsi" w:hAnsiTheme="majorHAnsi"/>
          <w:sz w:val="26"/>
          <w:szCs w:val="26"/>
          <w:lang w:val="en-US"/>
        </w:rPr>
        <w:t xml:space="preserve"> 20% of the Italian gro</w:t>
      </w:r>
      <w:r w:rsidR="00C4483C">
        <w:rPr>
          <w:rFonts w:asciiTheme="majorHAnsi" w:hAnsiTheme="majorHAnsi"/>
          <w:sz w:val="26"/>
          <w:szCs w:val="26"/>
          <w:lang w:val="en-US"/>
        </w:rPr>
        <w:t>ss domestic product and employing</w:t>
      </w:r>
      <w:r w:rsidRPr="0026326C">
        <w:rPr>
          <w:rFonts w:asciiTheme="majorHAnsi" w:hAnsiTheme="majorHAnsi"/>
          <w:sz w:val="26"/>
          <w:szCs w:val="26"/>
          <w:lang w:val="en-US"/>
        </w:rPr>
        <w:t xml:space="preserve"> 18% of the country’s labor in an economy still dominated by agriculture.</w:t>
      </w:r>
      <w:r w:rsidRPr="0026326C">
        <w:rPr>
          <w:rStyle w:val="FootnoteReference"/>
          <w:rFonts w:asciiTheme="majorHAnsi" w:hAnsiTheme="majorHAnsi"/>
          <w:sz w:val="26"/>
          <w:szCs w:val="26"/>
          <w:lang w:val="en-US"/>
        </w:rPr>
        <w:footnoteReference w:id="42"/>
      </w:r>
      <w:r w:rsidR="003A54D3">
        <w:rPr>
          <w:rFonts w:asciiTheme="majorHAnsi" w:hAnsiTheme="majorHAnsi"/>
          <w:sz w:val="26"/>
          <w:szCs w:val="26"/>
          <w:lang w:val="en-US"/>
        </w:rPr>
        <w:t xml:space="preserve"> </w:t>
      </w:r>
      <w:r w:rsidR="00EC5EE8">
        <w:rPr>
          <w:rFonts w:asciiTheme="majorHAnsi" w:hAnsiTheme="majorHAnsi"/>
          <w:sz w:val="26"/>
          <w:szCs w:val="26"/>
          <w:lang w:val="en-US"/>
        </w:rPr>
        <w:t xml:space="preserve">The engineering sector depended entirely on state support at this stage. </w:t>
      </w:r>
      <w:r w:rsidR="003A54D3">
        <w:rPr>
          <w:rFonts w:asciiTheme="majorHAnsi" w:hAnsiTheme="majorHAnsi"/>
          <w:sz w:val="26"/>
          <w:szCs w:val="26"/>
          <w:lang w:val="en-US"/>
        </w:rPr>
        <w:t>T</w:t>
      </w:r>
      <w:r>
        <w:rPr>
          <w:rFonts w:asciiTheme="majorHAnsi" w:hAnsiTheme="majorHAnsi"/>
          <w:sz w:val="26"/>
          <w:szCs w:val="26"/>
          <w:lang w:val="en-US"/>
        </w:rPr>
        <w:t xml:space="preserve">he </w:t>
      </w:r>
      <w:r w:rsidR="00C4483C">
        <w:rPr>
          <w:rFonts w:asciiTheme="majorHAnsi" w:hAnsiTheme="majorHAnsi"/>
          <w:sz w:val="26"/>
          <w:szCs w:val="26"/>
          <w:lang w:val="en-US"/>
        </w:rPr>
        <w:t xml:space="preserve">Piedmontese </w:t>
      </w:r>
      <w:r>
        <w:rPr>
          <w:rFonts w:asciiTheme="majorHAnsi" w:hAnsiTheme="majorHAnsi"/>
          <w:sz w:val="26"/>
          <w:szCs w:val="26"/>
          <w:lang w:val="en-US"/>
        </w:rPr>
        <w:t>extension of free trade</w:t>
      </w:r>
      <w:r w:rsidR="00C4483C">
        <w:rPr>
          <w:rFonts w:asciiTheme="majorHAnsi" w:hAnsiTheme="majorHAnsi"/>
          <w:sz w:val="26"/>
          <w:szCs w:val="26"/>
          <w:lang w:val="en-US"/>
        </w:rPr>
        <w:t xml:space="preserve"> caused</w:t>
      </w:r>
      <w:r>
        <w:rPr>
          <w:rFonts w:asciiTheme="majorHAnsi" w:hAnsiTheme="majorHAnsi"/>
          <w:sz w:val="26"/>
          <w:szCs w:val="26"/>
          <w:lang w:val="en-US"/>
        </w:rPr>
        <w:t xml:space="preserve"> in South Italy a reorganization of </w:t>
      </w:r>
      <w:r w:rsidR="00592057">
        <w:rPr>
          <w:rFonts w:asciiTheme="majorHAnsi" w:hAnsiTheme="majorHAnsi"/>
          <w:sz w:val="26"/>
          <w:szCs w:val="26"/>
          <w:lang w:val="en-US"/>
        </w:rPr>
        <w:t xml:space="preserve">engineering </w:t>
      </w:r>
      <w:r>
        <w:rPr>
          <w:rFonts w:asciiTheme="majorHAnsi" w:hAnsiTheme="majorHAnsi"/>
          <w:sz w:val="26"/>
          <w:szCs w:val="26"/>
          <w:lang w:val="en-US"/>
        </w:rPr>
        <w:t>firms,</w:t>
      </w:r>
      <w:r w:rsidR="00C4483C">
        <w:rPr>
          <w:rFonts w:asciiTheme="majorHAnsi" w:hAnsiTheme="majorHAnsi"/>
          <w:sz w:val="26"/>
          <w:szCs w:val="26"/>
          <w:lang w:val="en-US"/>
        </w:rPr>
        <w:t xml:space="preserve"> which restructured and merged to compete in t</w:t>
      </w:r>
      <w:r w:rsidR="00592057">
        <w:rPr>
          <w:rFonts w:asciiTheme="majorHAnsi" w:hAnsiTheme="majorHAnsi"/>
          <w:sz w:val="26"/>
          <w:szCs w:val="26"/>
          <w:lang w:val="en-US"/>
        </w:rPr>
        <w:t>he new market; the SNIM, Guppy and Pattison are an example of that.</w:t>
      </w:r>
      <w:r w:rsidR="00C4483C">
        <w:rPr>
          <w:rStyle w:val="FootnoteReference"/>
          <w:rFonts w:asciiTheme="majorHAnsi" w:hAnsiTheme="majorHAnsi"/>
          <w:sz w:val="26"/>
          <w:szCs w:val="26"/>
          <w:lang w:val="en-US"/>
        </w:rPr>
        <w:footnoteReference w:id="43"/>
      </w:r>
      <w:r w:rsidR="00592057">
        <w:rPr>
          <w:rFonts w:asciiTheme="majorHAnsi" w:hAnsiTheme="majorHAnsi"/>
          <w:sz w:val="26"/>
          <w:szCs w:val="26"/>
          <w:lang w:val="en-US"/>
        </w:rPr>
        <w:t xml:space="preserve"> However, Northern firms at that stage </w:t>
      </w:r>
      <w:r w:rsidR="00EC5EE8">
        <w:rPr>
          <w:rFonts w:asciiTheme="majorHAnsi" w:hAnsiTheme="majorHAnsi"/>
          <w:sz w:val="26"/>
          <w:szCs w:val="26"/>
          <w:lang w:val="en-US"/>
        </w:rPr>
        <w:t>were emerging with within a closer relationship with the Italian state.</w:t>
      </w:r>
      <w:r w:rsidR="00EC5EE8">
        <w:rPr>
          <w:rStyle w:val="FootnoteReference"/>
          <w:rFonts w:asciiTheme="majorHAnsi" w:hAnsiTheme="majorHAnsi"/>
          <w:sz w:val="26"/>
          <w:szCs w:val="26"/>
          <w:lang w:val="en-US"/>
        </w:rPr>
        <w:footnoteReference w:id="44"/>
      </w:r>
      <w:r w:rsidR="00C4483C">
        <w:rPr>
          <w:rFonts w:asciiTheme="majorHAnsi" w:hAnsiTheme="majorHAnsi"/>
          <w:sz w:val="26"/>
          <w:szCs w:val="26"/>
          <w:lang w:val="en-US"/>
        </w:rPr>
        <w:br/>
      </w:r>
      <w:r>
        <w:rPr>
          <w:rFonts w:asciiTheme="majorHAnsi" w:hAnsiTheme="majorHAnsi"/>
          <w:sz w:val="26"/>
          <w:szCs w:val="26"/>
          <w:lang w:val="en-US"/>
        </w:rPr>
        <w:tab/>
        <w:t>During the 1880s,</w:t>
      </w:r>
      <w:r w:rsidRPr="0026326C">
        <w:rPr>
          <w:rFonts w:asciiTheme="majorHAnsi" w:hAnsiTheme="majorHAnsi"/>
          <w:sz w:val="26"/>
          <w:szCs w:val="26"/>
          <w:lang w:val="en-US"/>
        </w:rPr>
        <w:t xml:space="preserve"> the Italian political class shifted its economic policy in favor of </w:t>
      </w:r>
      <w:r>
        <w:rPr>
          <w:rFonts w:asciiTheme="majorHAnsi" w:hAnsiTheme="majorHAnsi"/>
          <w:sz w:val="26"/>
          <w:szCs w:val="26"/>
          <w:lang w:val="en-US"/>
        </w:rPr>
        <w:t>a protectionist economy, adopting tariff barriers</w:t>
      </w:r>
      <w:r w:rsidRPr="0026326C">
        <w:rPr>
          <w:rFonts w:asciiTheme="majorHAnsi" w:hAnsiTheme="majorHAnsi"/>
          <w:sz w:val="26"/>
          <w:szCs w:val="26"/>
          <w:lang w:val="en-US"/>
        </w:rPr>
        <w:t xml:space="preserve"> to protect specific industrial sectors, such as steel making, and increased subsidies to local firms through state commissions.</w:t>
      </w:r>
      <w:r w:rsidRPr="002D614C">
        <w:rPr>
          <w:rStyle w:val="FootnoteReference"/>
          <w:rFonts w:asciiTheme="majorHAnsi" w:hAnsiTheme="majorHAnsi"/>
          <w:sz w:val="26"/>
          <w:szCs w:val="26"/>
          <w:lang w:val="en-US"/>
        </w:rPr>
        <w:t xml:space="preserve"> </w:t>
      </w:r>
      <w:r w:rsidRPr="0026326C">
        <w:rPr>
          <w:rStyle w:val="FootnoteReference"/>
          <w:rFonts w:asciiTheme="majorHAnsi" w:hAnsiTheme="majorHAnsi"/>
          <w:sz w:val="26"/>
          <w:szCs w:val="26"/>
          <w:lang w:val="en-US"/>
        </w:rPr>
        <w:footnoteReference w:id="45"/>
      </w:r>
      <w:r w:rsidRPr="0026326C">
        <w:rPr>
          <w:rStyle w:val="FootnoteReference"/>
          <w:rFonts w:asciiTheme="majorHAnsi" w:hAnsiTheme="majorHAnsi"/>
          <w:sz w:val="26"/>
          <w:szCs w:val="26"/>
          <w:lang w:val="en-US"/>
        </w:rPr>
        <w:footnoteReference w:id="46"/>
      </w:r>
      <w:r w:rsidRPr="0026326C">
        <w:rPr>
          <w:rFonts w:asciiTheme="majorHAnsi" w:hAnsiTheme="majorHAnsi"/>
          <w:sz w:val="26"/>
          <w:szCs w:val="26"/>
          <w:lang w:val="en-US"/>
        </w:rPr>
        <w:t xml:space="preserve"> It is during this period that the Industrial Triangle of Milan, Turin and Genoa emerged, doubling its average growth rate</w:t>
      </w:r>
      <w:r>
        <w:rPr>
          <w:rFonts w:asciiTheme="majorHAnsi" w:hAnsiTheme="majorHAnsi"/>
          <w:sz w:val="26"/>
          <w:szCs w:val="26"/>
          <w:lang w:val="en-US"/>
        </w:rPr>
        <w:t>, resulting in the Italian “industrial take off”.</w:t>
      </w:r>
      <w:r w:rsidRPr="0026326C">
        <w:rPr>
          <w:rStyle w:val="FootnoteReference"/>
          <w:rFonts w:asciiTheme="majorHAnsi" w:hAnsiTheme="majorHAnsi"/>
          <w:sz w:val="26"/>
          <w:szCs w:val="26"/>
          <w:lang w:val="en-US"/>
        </w:rPr>
        <w:footnoteReference w:id="47"/>
      </w:r>
      <w:r w:rsidRPr="0026326C">
        <w:rPr>
          <w:rFonts w:asciiTheme="majorHAnsi" w:hAnsiTheme="majorHAnsi"/>
          <w:sz w:val="26"/>
          <w:szCs w:val="26"/>
          <w:lang w:val="en-US"/>
        </w:rPr>
        <w:t xml:space="preserve"> </w:t>
      </w:r>
      <w:r>
        <w:rPr>
          <w:rFonts w:asciiTheme="majorHAnsi" w:hAnsiTheme="majorHAnsi"/>
          <w:sz w:val="26"/>
          <w:szCs w:val="26"/>
          <w:lang w:val="en-US"/>
        </w:rPr>
        <w:t>In that process, however, South Italian engineering firms</w:t>
      </w:r>
      <w:r w:rsidRPr="0026326C">
        <w:rPr>
          <w:rFonts w:asciiTheme="majorHAnsi" w:hAnsiTheme="majorHAnsi"/>
          <w:sz w:val="26"/>
          <w:szCs w:val="26"/>
          <w:lang w:val="en-US"/>
        </w:rPr>
        <w:t xml:space="preserve"> got left behind.</w:t>
      </w:r>
      <w:r w:rsidRPr="0026326C">
        <w:rPr>
          <w:rStyle w:val="FootnoteReference"/>
          <w:rFonts w:asciiTheme="majorHAnsi" w:hAnsiTheme="majorHAnsi"/>
          <w:sz w:val="26"/>
          <w:szCs w:val="26"/>
          <w:lang w:val="en-US"/>
        </w:rPr>
        <w:footnoteReference w:id="48"/>
      </w:r>
      <w:r w:rsidRPr="0026326C">
        <w:rPr>
          <w:rFonts w:asciiTheme="majorHAnsi" w:hAnsiTheme="majorHAnsi"/>
          <w:sz w:val="26"/>
          <w:szCs w:val="26"/>
          <w:lang w:val="en-US"/>
        </w:rPr>
        <w:t xml:space="preserve"> This thesis is concerned with the </w:t>
      </w:r>
      <w:r>
        <w:rPr>
          <w:rFonts w:asciiTheme="majorHAnsi" w:hAnsiTheme="majorHAnsi"/>
          <w:sz w:val="26"/>
          <w:szCs w:val="26"/>
          <w:lang w:val="en-US"/>
        </w:rPr>
        <w:t>two post-unitary decades anticipating</w:t>
      </w:r>
      <w:r w:rsidRPr="0026326C">
        <w:rPr>
          <w:rFonts w:asciiTheme="majorHAnsi" w:hAnsiTheme="majorHAnsi"/>
          <w:sz w:val="26"/>
          <w:szCs w:val="26"/>
          <w:lang w:val="en-US"/>
        </w:rPr>
        <w:t xml:space="preserve"> the </w:t>
      </w:r>
      <w:r>
        <w:rPr>
          <w:rFonts w:asciiTheme="majorHAnsi" w:hAnsiTheme="majorHAnsi"/>
          <w:sz w:val="26"/>
          <w:szCs w:val="26"/>
          <w:lang w:val="en-US"/>
        </w:rPr>
        <w:lastRenderedPageBreak/>
        <w:t xml:space="preserve">industrial </w:t>
      </w:r>
      <w:r w:rsidRPr="0026326C">
        <w:rPr>
          <w:rFonts w:asciiTheme="majorHAnsi" w:hAnsiTheme="majorHAnsi"/>
          <w:sz w:val="26"/>
          <w:szCs w:val="26"/>
          <w:lang w:val="en-US"/>
        </w:rPr>
        <w:t>take-</w:t>
      </w:r>
      <w:r>
        <w:rPr>
          <w:rFonts w:asciiTheme="majorHAnsi" w:hAnsiTheme="majorHAnsi"/>
          <w:sz w:val="26"/>
          <w:szCs w:val="26"/>
          <w:lang w:val="en-US"/>
        </w:rPr>
        <w:t>off</w:t>
      </w:r>
      <w:r w:rsidRPr="0026326C">
        <w:rPr>
          <w:rFonts w:asciiTheme="majorHAnsi" w:hAnsiTheme="majorHAnsi"/>
          <w:sz w:val="26"/>
          <w:szCs w:val="26"/>
          <w:lang w:val="en-US"/>
        </w:rPr>
        <w:t xml:space="preserve">. In those circumstances a question rises naturally. Why concentrate on the mechanic industries in such a period, when they played such a marginal role in the Italian economy? </w:t>
      </w:r>
      <w:r w:rsidRPr="0026326C">
        <w:rPr>
          <w:rFonts w:asciiTheme="majorHAnsi" w:hAnsiTheme="majorHAnsi"/>
          <w:sz w:val="26"/>
          <w:szCs w:val="26"/>
          <w:lang w:val="en-US"/>
        </w:rPr>
        <w:br/>
      </w:r>
      <w:r w:rsidRPr="0026326C">
        <w:rPr>
          <w:rFonts w:asciiTheme="majorHAnsi" w:hAnsiTheme="majorHAnsi"/>
          <w:sz w:val="26"/>
          <w:szCs w:val="26"/>
          <w:lang w:val="en-US"/>
        </w:rPr>
        <w:tab/>
        <w:t xml:space="preserve">This question can be answered firstly by mentioning the relevance of the </w:t>
      </w:r>
      <w:r>
        <w:rPr>
          <w:rFonts w:asciiTheme="majorHAnsi" w:hAnsiTheme="majorHAnsi"/>
          <w:sz w:val="26"/>
          <w:szCs w:val="26"/>
          <w:lang w:val="en-US"/>
        </w:rPr>
        <w:t>mechanic</w:t>
      </w:r>
      <w:r w:rsidRPr="0026326C">
        <w:rPr>
          <w:rFonts w:asciiTheme="majorHAnsi" w:hAnsiTheme="majorHAnsi"/>
          <w:sz w:val="26"/>
          <w:szCs w:val="26"/>
          <w:lang w:val="en-US"/>
        </w:rPr>
        <w:t xml:space="preserve"> industry at large in this preliminary stage, as well as the case-specific situation of the two factories. First, the engineering industry, despite its initial narrowness, would soon prove to be one of the most dynamic sectors in the Italian economy in the 1880s.</w:t>
      </w:r>
      <w:r w:rsidRPr="0026326C">
        <w:rPr>
          <w:rStyle w:val="FootnoteReference"/>
          <w:rFonts w:asciiTheme="majorHAnsi" w:hAnsiTheme="majorHAnsi"/>
          <w:sz w:val="26"/>
          <w:szCs w:val="26"/>
          <w:lang w:val="en-US"/>
        </w:rPr>
        <w:footnoteReference w:id="49"/>
      </w:r>
      <w:r w:rsidRPr="0026326C">
        <w:rPr>
          <w:rFonts w:asciiTheme="majorHAnsi" w:hAnsiTheme="majorHAnsi"/>
          <w:sz w:val="26"/>
          <w:szCs w:val="26"/>
          <w:lang w:val="en-US"/>
        </w:rPr>
        <w:t xml:space="preserve"> </w:t>
      </w:r>
      <w:r>
        <w:rPr>
          <w:rFonts w:asciiTheme="majorHAnsi" w:hAnsiTheme="majorHAnsi"/>
          <w:sz w:val="26"/>
          <w:szCs w:val="26"/>
          <w:lang w:val="en-US"/>
        </w:rPr>
        <w:t xml:space="preserve">This stage, despite unstable growth, </w:t>
      </w:r>
      <w:r w:rsidRPr="0026326C">
        <w:rPr>
          <w:rFonts w:asciiTheme="majorHAnsi" w:hAnsiTheme="majorHAnsi"/>
          <w:sz w:val="26"/>
          <w:szCs w:val="26"/>
          <w:lang w:val="en-US"/>
        </w:rPr>
        <w:t xml:space="preserve">would be important to maintain continuity between post-unification engineering factories and the subsequent intensification of heavy industry. </w:t>
      </w:r>
      <w:r>
        <w:rPr>
          <w:rFonts w:asciiTheme="majorHAnsi" w:hAnsiTheme="majorHAnsi"/>
          <w:sz w:val="26"/>
          <w:szCs w:val="26"/>
          <w:lang w:val="en-US"/>
        </w:rPr>
        <w:t>Witness to that is the fact that Ansaldo became one of the pioneering factories in Italian industrial development.</w:t>
      </w:r>
      <w:r>
        <w:rPr>
          <w:rStyle w:val="FootnoteReference"/>
          <w:rFonts w:asciiTheme="majorHAnsi" w:hAnsiTheme="majorHAnsi"/>
          <w:sz w:val="26"/>
          <w:szCs w:val="26"/>
          <w:lang w:val="en-US"/>
        </w:rPr>
        <w:footnoteReference w:id="50"/>
      </w:r>
      <w:r>
        <w:rPr>
          <w:rFonts w:asciiTheme="majorHAnsi" w:hAnsiTheme="majorHAnsi"/>
          <w:sz w:val="26"/>
          <w:szCs w:val="26"/>
          <w:lang w:val="en-US"/>
        </w:rPr>
        <w:t xml:space="preserve"> Given</w:t>
      </w:r>
      <w:r w:rsidRPr="0026326C">
        <w:rPr>
          <w:rFonts w:asciiTheme="majorHAnsi" w:hAnsiTheme="majorHAnsi"/>
          <w:sz w:val="26"/>
          <w:szCs w:val="26"/>
          <w:lang w:val="en-US"/>
        </w:rPr>
        <w:t xml:space="preserve"> the isolated number of mechanic establishments in 1861, amounting to five, their continuity between that preliminary phase and the industrial take off in the 1880s would have been relevant in determining the country’s industrial geography. </w:t>
      </w:r>
      <w:r w:rsidR="00EC5EE8">
        <w:rPr>
          <w:rFonts w:asciiTheme="majorHAnsi" w:hAnsiTheme="majorHAnsi"/>
          <w:sz w:val="26"/>
          <w:szCs w:val="26"/>
          <w:lang w:val="en-US"/>
        </w:rPr>
        <w:t xml:space="preserve">The SNIM went </w:t>
      </w:r>
      <w:r w:rsidRPr="0026326C">
        <w:rPr>
          <w:rFonts w:asciiTheme="majorHAnsi" w:hAnsiTheme="majorHAnsi"/>
          <w:sz w:val="26"/>
          <w:szCs w:val="26"/>
          <w:lang w:val="en-US"/>
        </w:rPr>
        <w:t xml:space="preserve">bankrupt in 1878, </w:t>
      </w:r>
      <w:r w:rsidR="00EC5EE8">
        <w:rPr>
          <w:rFonts w:asciiTheme="majorHAnsi" w:hAnsiTheme="majorHAnsi"/>
          <w:sz w:val="26"/>
          <w:szCs w:val="26"/>
          <w:lang w:val="en-US"/>
        </w:rPr>
        <w:t>missing the opportunity to “take-off” with the rest of the country</w:t>
      </w:r>
      <w:r>
        <w:rPr>
          <w:rFonts w:asciiTheme="majorHAnsi" w:hAnsiTheme="majorHAnsi"/>
          <w:sz w:val="26"/>
          <w:szCs w:val="26"/>
          <w:lang w:val="en-US"/>
        </w:rPr>
        <w:t>.</w:t>
      </w:r>
      <w:r>
        <w:rPr>
          <w:rStyle w:val="FootnoteReference"/>
          <w:rFonts w:asciiTheme="majorHAnsi" w:hAnsiTheme="majorHAnsi"/>
          <w:sz w:val="26"/>
          <w:szCs w:val="26"/>
          <w:lang w:val="en-US"/>
        </w:rPr>
        <w:footnoteReference w:id="51"/>
      </w:r>
      <w:r w:rsidRPr="0026326C">
        <w:rPr>
          <w:rFonts w:asciiTheme="majorHAnsi" w:hAnsiTheme="majorHAnsi"/>
          <w:sz w:val="26"/>
          <w:szCs w:val="26"/>
          <w:lang w:val="en-US"/>
        </w:rPr>
        <w:br/>
      </w:r>
      <w:r w:rsidRPr="0026326C">
        <w:rPr>
          <w:rFonts w:asciiTheme="majorHAnsi" w:hAnsiTheme="majorHAnsi"/>
          <w:sz w:val="26"/>
          <w:szCs w:val="26"/>
          <w:lang w:val="en-US"/>
        </w:rPr>
        <w:tab/>
        <w:t>For these motives, this thesis aims to investigate which factors were responsible for the survival of the Ansaldo industry over Pietrarsa in the pos</w:t>
      </w:r>
      <w:r w:rsidR="005A5795">
        <w:rPr>
          <w:rFonts w:asciiTheme="majorHAnsi" w:hAnsiTheme="majorHAnsi"/>
          <w:sz w:val="26"/>
          <w:szCs w:val="26"/>
          <w:lang w:val="en-US"/>
        </w:rPr>
        <w:t>t-unification decades using this</w:t>
      </w:r>
      <w:r w:rsidRPr="0026326C">
        <w:rPr>
          <w:rFonts w:asciiTheme="majorHAnsi" w:hAnsiTheme="majorHAnsi"/>
          <w:sz w:val="26"/>
          <w:szCs w:val="26"/>
          <w:lang w:val="en-US"/>
        </w:rPr>
        <w:t xml:space="preserve"> qualitative comparative case study</w:t>
      </w:r>
      <w:r w:rsidR="005A5795">
        <w:rPr>
          <w:rFonts w:asciiTheme="majorHAnsi" w:hAnsiTheme="majorHAnsi"/>
          <w:sz w:val="26"/>
          <w:szCs w:val="26"/>
          <w:lang w:val="en-US"/>
        </w:rPr>
        <w:t xml:space="preserve">. </w:t>
      </w:r>
      <w:r w:rsidRPr="0026326C">
        <w:rPr>
          <w:rFonts w:asciiTheme="majorHAnsi" w:hAnsiTheme="majorHAnsi"/>
          <w:sz w:val="26"/>
          <w:szCs w:val="26"/>
          <w:lang w:val="en-US"/>
        </w:rPr>
        <w:t>Fenoaltea explained the Northern industrial concentration in terms of attraction of mobile capitals by natural resources.</w:t>
      </w:r>
      <w:r w:rsidRPr="0026326C">
        <w:rPr>
          <w:rStyle w:val="FootnoteReference"/>
          <w:rFonts w:asciiTheme="majorHAnsi" w:hAnsiTheme="majorHAnsi"/>
          <w:sz w:val="26"/>
          <w:szCs w:val="26"/>
          <w:lang w:val="en-US"/>
        </w:rPr>
        <w:footnoteReference w:id="52"/>
      </w:r>
      <w:r w:rsidRPr="0026326C">
        <w:rPr>
          <w:rFonts w:asciiTheme="majorHAnsi" w:hAnsiTheme="majorHAnsi"/>
          <w:sz w:val="26"/>
          <w:szCs w:val="26"/>
          <w:lang w:val="en-US"/>
        </w:rPr>
        <w:t xml:space="preserve"> Further investigation into economic dynamics within this comparative case study, however, will show that the success or failure of such firms had a direct correlation with Piedmontese institutional continuities within the new state</w:t>
      </w:r>
      <w:r w:rsidR="002179C1">
        <w:rPr>
          <w:rFonts w:asciiTheme="majorHAnsi" w:hAnsiTheme="majorHAnsi"/>
          <w:sz w:val="26"/>
          <w:szCs w:val="26"/>
          <w:lang w:val="en-US"/>
        </w:rPr>
        <w:t>.</w:t>
      </w:r>
      <w:r w:rsidRPr="0026326C">
        <w:rPr>
          <w:rFonts w:asciiTheme="majorHAnsi" w:hAnsiTheme="majorHAnsi"/>
          <w:sz w:val="26"/>
          <w:szCs w:val="26"/>
          <w:lang w:val="en-US"/>
        </w:rPr>
        <w:t xml:space="preserve"> </w:t>
      </w:r>
    </w:p>
    <w:p w14:paraId="4E4505FF" w14:textId="4DBAB3D9" w:rsidR="00AF0055" w:rsidRPr="00162827" w:rsidRDefault="00B25978" w:rsidP="00D30CD3">
      <w:pPr>
        <w:rPr>
          <w:rFonts w:asciiTheme="majorHAnsi" w:hAnsiTheme="majorHAnsi"/>
          <w:b/>
          <w:sz w:val="28"/>
          <w:szCs w:val="28"/>
          <w:lang w:val="en-US"/>
        </w:rPr>
      </w:pPr>
      <w:r w:rsidRPr="00162827">
        <w:rPr>
          <w:rFonts w:asciiTheme="majorHAnsi" w:hAnsiTheme="majorHAnsi"/>
          <w:b/>
          <w:sz w:val="28"/>
          <w:szCs w:val="28"/>
          <w:lang w:val="en-US"/>
        </w:rPr>
        <w:t xml:space="preserve">Applying </w:t>
      </w:r>
      <w:r w:rsidR="006C23E4" w:rsidRPr="00162827">
        <w:rPr>
          <w:rFonts w:asciiTheme="majorHAnsi" w:hAnsiTheme="majorHAnsi"/>
          <w:b/>
          <w:sz w:val="28"/>
          <w:szCs w:val="28"/>
          <w:lang w:val="en-US"/>
        </w:rPr>
        <w:t>Fenoaltea’s model: political continuity as fixed capital</w:t>
      </w:r>
    </w:p>
    <w:p w14:paraId="6852267E" w14:textId="4471A52D" w:rsidR="00006C8A" w:rsidRPr="009C5D13" w:rsidRDefault="00085D87" w:rsidP="00CB0094">
      <w:pPr>
        <w:rPr>
          <w:rFonts w:asciiTheme="majorHAnsi" w:hAnsiTheme="majorHAnsi"/>
          <w:sz w:val="26"/>
          <w:szCs w:val="26"/>
          <w:lang w:val="en-US"/>
        </w:rPr>
      </w:pPr>
      <w:r w:rsidRPr="0026326C">
        <w:rPr>
          <w:rFonts w:asciiTheme="majorHAnsi" w:hAnsiTheme="majorHAnsi"/>
          <w:sz w:val="26"/>
          <w:szCs w:val="26"/>
          <w:lang w:val="en-US"/>
        </w:rPr>
        <w:t xml:space="preserve">In the </w:t>
      </w:r>
      <w:r w:rsidR="00D72542">
        <w:rPr>
          <w:rFonts w:asciiTheme="majorHAnsi" w:hAnsiTheme="majorHAnsi"/>
          <w:sz w:val="26"/>
          <w:szCs w:val="26"/>
          <w:lang w:val="en-US"/>
        </w:rPr>
        <w:t>never-ending debate surrounding pre-unitary conditions</w:t>
      </w:r>
      <w:r w:rsidR="00650E3A" w:rsidRPr="0026326C">
        <w:rPr>
          <w:rFonts w:asciiTheme="majorHAnsi" w:hAnsiTheme="majorHAnsi"/>
          <w:sz w:val="26"/>
          <w:szCs w:val="26"/>
          <w:lang w:val="en-US"/>
        </w:rPr>
        <w:t xml:space="preserve">, </w:t>
      </w:r>
      <w:r w:rsidR="008A5236" w:rsidRPr="0026326C">
        <w:rPr>
          <w:rFonts w:asciiTheme="majorHAnsi" w:hAnsiTheme="majorHAnsi"/>
          <w:sz w:val="26"/>
          <w:szCs w:val="26"/>
          <w:lang w:val="en-US"/>
        </w:rPr>
        <w:t>Fenoaltea’s new statistics offer</w:t>
      </w:r>
      <w:r w:rsidR="000E4921" w:rsidRPr="0026326C">
        <w:rPr>
          <w:rFonts w:asciiTheme="majorHAnsi" w:hAnsiTheme="majorHAnsi"/>
          <w:sz w:val="26"/>
          <w:szCs w:val="26"/>
          <w:lang w:val="en-US"/>
        </w:rPr>
        <w:t>ed</w:t>
      </w:r>
      <w:r w:rsidR="008A5236" w:rsidRPr="0026326C">
        <w:rPr>
          <w:rFonts w:asciiTheme="majorHAnsi" w:hAnsiTheme="majorHAnsi"/>
          <w:sz w:val="26"/>
          <w:szCs w:val="26"/>
          <w:lang w:val="en-US"/>
        </w:rPr>
        <w:t xml:space="preserve"> a breath of fresh air, </w:t>
      </w:r>
      <w:r w:rsidR="00D72542">
        <w:rPr>
          <w:rFonts w:asciiTheme="majorHAnsi" w:hAnsiTheme="majorHAnsi"/>
          <w:sz w:val="26"/>
          <w:szCs w:val="26"/>
          <w:lang w:val="en-US"/>
        </w:rPr>
        <w:t>moving away</w:t>
      </w:r>
      <w:r w:rsidR="008A5236" w:rsidRPr="0026326C">
        <w:rPr>
          <w:rFonts w:asciiTheme="majorHAnsi" w:hAnsiTheme="majorHAnsi"/>
          <w:sz w:val="26"/>
          <w:szCs w:val="26"/>
          <w:lang w:val="en-US"/>
        </w:rPr>
        <w:t xml:space="preserve"> from deterministic assumptions that had previously dominated the debate. In this section a brief highlights of the most important growth models of the South – North divergence will be discussed briefly</w:t>
      </w:r>
      <w:r w:rsidR="00291FD3" w:rsidRPr="0026326C">
        <w:rPr>
          <w:rFonts w:asciiTheme="majorHAnsi" w:hAnsiTheme="majorHAnsi"/>
          <w:sz w:val="26"/>
          <w:szCs w:val="26"/>
          <w:lang w:val="en-US"/>
        </w:rPr>
        <w:t>, to then explain why the model proposed by Fenoaltea is the best for this case study.</w:t>
      </w:r>
      <w:r w:rsidR="00291FD3" w:rsidRPr="0026326C">
        <w:rPr>
          <w:rFonts w:asciiTheme="majorHAnsi" w:hAnsiTheme="majorHAnsi"/>
          <w:sz w:val="26"/>
          <w:szCs w:val="26"/>
          <w:lang w:val="en-US"/>
        </w:rPr>
        <w:br/>
      </w:r>
      <w:r w:rsidR="00291FD3" w:rsidRPr="0026326C">
        <w:rPr>
          <w:rFonts w:asciiTheme="majorHAnsi" w:hAnsiTheme="majorHAnsi"/>
          <w:sz w:val="26"/>
          <w:szCs w:val="26"/>
          <w:lang w:val="en-US"/>
        </w:rPr>
        <w:tab/>
      </w:r>
      <w:r w:rsidRPr="0026326C">
        <w:rPr>
          <w:rFonts w:asciiTheme="majorHAnsi" w:hAnsiTheme="majorHAnsi"/>
          <w:sz w:val="26"/>
          <w:szCs w:val="26"/>
          <w:lang w:val="en-US"/>
        </w:rPr>
        <w:t>The</w:t>
      </w:r>
      <w:r w:rsidR="000E4921" w:rsidRPr="0026326C">
        <w:rPr>
          <w:rFonts w:asciiTheme="majorHAnsi" w:hAnsiTheme="majorHAnsi"/>
          <w:sz w:val="26"/>
          <w:szCs w:val="26"/>
          <w:lang w:val="en-US"/>
        </w:rPr>
        <w:t xml:space="preserve"> progress of industrialized nations</w:t>
      </w:r>
      <w:r w:rsidR="00C703B8" w:rsidRPr="0026326C">
        <w:rPr>
          <w:rFonts w:asciiTheme="majorHAnsi" w:hAnsiTheme="majorHAnsi"/>
          <w:sz w:val="26"/>
          <w:szCs w:val="26"/>
          <w:lang w:val="en-US"/>
        </w:rPr>
        <w:t>, as well as those for which it had</w:t>
      </w:r>
      <w:r w:rsidR="000E4921" w:rsidRPr="0026326C">
        <w:rPr>
          <w:rFonts w:asciiTheme="majorHAnsi" w:hAnsiTheme="majorHAnsi"/>
          <w:sz w:val="26"/>
          <w:szCs w:val="26"/>
          <w:lang w:val="en-US"/>
        </w:rPr>
        <w:t xml:space="preserve"> yet to come, has been mainly theorized according to the stages of growth model</w:t>
      </w:r>
      <w:r w:rsidR="0076650F">
        <w:rPr>
          <w:rFonts w:asciiTheme="majorHAnsi" w:hAnsiTheme="majorHAnsi"/>
          <w:sz w:val="26"/>
          <w:szCs w:val="26"/>
          <w:lang w:val="en-US"/>
        </w:rPr>
        <w:t xml:space="preserve"> of</w:t>
      </w:r>
      <w:r w:rsidR="005A538B" w:rsidRPr="0026326C">
        <w:rPr>
          <w:rFonts w:asciiTheme="majorHAnsi" w:hAnsiTheme="majorHAnsi"/>
          <w:sz w:val="26"/>
          <w:szCs w:val="26"/>
          <w:lang w:val="en-US"/>
        </w:rPr>
        <w:t xml:space="preserve"> </w:t>
      </w:r>
      <w:r w:rsidR="000E4921" w:rsidRPr="0026326C">
        <w:rPr>
          <w:rFonts w:asciiTheme="majorHAnsi" w:hAnsiTheme="majorHAnsi"/>
          <w:sz w:val="26"/>
          <w:szCs w:val="26"/>
          <w:lang w:val="en-US"/>
        </w:rPr>
        <w:t>Walt Rostow</w:t>
      </w:r>
      <w:r w:rsidR="00E27D77">
        <w:rPr>
          <w:rFonts w:asciiTheme="majorHAnsi" w:hAnsiTheme="majorHAnsi"/>
          <w:sz w:val="26"/>
          <w:szCs w:val="26"/>
          <w:lang w:val="en-US"/>
        </w:rPr>
        <w:t>, in which t</w:t>
      </w:r>
      <w:r w:rsidR="00C703B8" w:rsidRPr="0026326C">
        <w:rPr>
          <w:rFonts w:asciiTheme="majorHAnsi" w:hAnsiTheme="majorHAnsi"/>
          <w:sz w:val="26"/>
          <w:szCs w:val="26"/>
          <w:lang w:val="en-US"/>
        </w:rPr>
        <w:t>he stage of p</w:t>
      </w:r>
      <w:r w:rsidR="00207FC5">
        <w:rPr>
          <w:rFonts w:asciiTheme="majorHAnsi" w:hAnsiTheme="majorHAnsi"/>
          <w:sz w:val="26"/>
          <w:szCs w:val="26"/>
          <w:lang w:val="en-US"/>
        </w:rPr>
        <w:t>re-requisites for growth is characterized by a</w:t>
      </w:r>
      <w:r w:rsidR="00C703B8" w:rsidRPr="0026326C">
        <w:rPr>
          <w:rFonts w:asciiTheme="majorHAnsi" w:hAnsiTheme="majorHAnsi"/>
          <w:sz w:val="26"/>
          <w:szCs w:val="26"/>
          <w:lang w:val="en-US"/>
        </w:rPr>
        <w:t xml:space="preserve"> necessary accumulation to make a</w:t>
      </w:r>
      <w:r w:rsidR="00207FC5">
        <w:rPr>
          <w:rFonts w:asciiTheme="majorHAnsi" w:hAnsiTheme="majorHAnsi"/>
          <w:sz w:val="26"/>
          <w:szCs w:val="26"/>
          <w:lang w:val="en-US"/>
        </w:rPr>
        <w:t xml:space="preserve">n industrial take off possible; this </w:t>
      </w:r>
      <w:r w:rsidR="00E27D77">
        <w:rPr>
          <w:rFonts w:asciiTheme="majorHAnsi" w:hAnsiTheme="majorHAnsi"/>
          <w:sz w:val="26"/>
          <w:szCs w:val="26"/>
          <w:lang w:val="en-US"/>
        </w:rPr>
        <w:t>has been</w:t>
      </w:r>
      <w:r w:rsidR="00C703B8" w:rsidRPr="0026326C">
        <w:rPr>
          <w:rFonts w:asciiTheme="majorHAnsi" w:hAnsiTheme="majorHAnsi"/>
          <w:sz w:val="26"/>
          <w:szCs w:val="26"/>
          <w:lang w:val="en-US"/>
        </w:rPr>
        <w:t xml:space="preserve"> a key elemen</w:t>
      </w:r>
      <w:r w:rsidR="00AD3DC9" w:rsidRPr="0026326C">
        <w:rPr>
          <w:rFonts w:asciiTheme="majorHAnsi" w:hAnsiTheme="majorHAnsi"/>
          <w:sz w:val="26"/>
          <w:szCs w:val="26"/>
          <w:lang w:val="en-US"/>
        </w:rPr>
        <w:t>t in models developed to explain the South – North differential.</w:t>
      </w:r>
      <w:r w:rsidR="00E27D77" w:rsidRPr="0026326C">
        <w:rPr>
          <w:rStyle w:val="FootnoteReference"/>
          <w:rFonts w:asciiTheme="majorHAnsi" w:hAnsiTheme="majorHAnsi"/>
          <w:sz w:val="26"/>
          <w:szCs w:val="26"/>
          <w:lang w:val="en-US"/>
        </w:rPr>
        <w:footnoteReference w:id="53"/>
      </w:r>
      <w:r w:rsidR="00E27D77">
        <w:rPr>
          <w:rFonts w:asciiTheme="majorHAnsi" w:hAnsiTheme="majorHAnsi"/>
          <w:sz w:val="26"/>
          <w:szCs w:val="26"/>
          <w:lang w:val="en-US"/>
        </w:rPr>
        <w:t xml:space="preserve"> </w:t>
      </w:r>
      <w:r w:rsidR="009C4078" w:rsidRPr="0026326C">
        <w:rPr>
          <w:rFonts w:asciiTheme="majorHAnsi" w:hAnsiTheme="majorHAnsi"/>
          <w:sz w:val="26"/>
          <w:szCs w:val="26"/>
          <w:lang w:val="en-US"/>
        </w:rPr>
        <w:t>Ge</w:t>
      </w:r>
      <w:r w:rsidR="00BF2D50" w:rsidRPr="0026326C">
        <w:rPr>
          <w:rFonts w:asciiTheme="majorHAnsi" w:hAnsiTheme="majorHAnsi"/>
          <w:sz w:val="26"/>
          <w:szCs w:val="26"/>
          <w:lang w:val="en-US"/>
        </w:rPr>
        <w:t>r</w:t>
      </w:r>
      <w:r w:rsidR="00E27D77">
        <w:rPr>
          <w:rFonts w:asciiTheme="majorHAnsi" w:hAnsiTheme="majorHAnsi"/>
          <w:sz w:val="26"/>
          <w:szCs w:val="26"/>
          <w:lang w:val="en-US"/>
        </w:rPr>
        <w:t>schenkron</w:t>
      </w:r>
      <w:r w:rsidR="00207FC5">
        <w:rPr>
          <w:rFonts w:asciiTheme="majorHAnsi" w:hAnsiTheme="majorHAnsi"/>
          <w:sz w:val="26"/>
          <w:szCs w:val="26"/>
          <w:lang w:val="en-US"/>
        </w:rPr>
        <w:t>, however,</w:t>
      </w:r>
      <w:r w:rsidR="00E27D77">
        <w:rPr>
          <w:rFonts w:asciiTheme="majorHAnsi" w:hAnsiTheme="majorHAnsi"/>
          <w:sz w:val="26"/>
          <w:szCs w:val="26"/>
          <w:lang w:val="en-US"/>
        </w:rPr>
        <w:t xml:space="preserve"> </w:t>
      </w:r>
      <w:r w:rsidR="009C4078" w:rsidRPr="0026326C">
        <w:rPr>
          <w:rFonts w:asciiTheme="majorHAnsi" w:hAnsiTheme="majorHAnsi"/>
          <w:sz w:val="26"/>
          <w:szCs w:val="26"/>
          <w:lang w:val="en-US"/>
        </w:rPr>
        <w:t>developed a</w:t>
      </w:r>
      <w:r w:rsidR="00E27D77">
        <w:rPr>
          <w:rFonts w:asciiTheme="majorHAnsi" w:hAnsiTheme="majorHAnsi"/>
          <w:sz w:val="26"/>
          <w:szCs w:val="26"/>
          <w:lang w:val="en-US"/>
        </w:rPr>
        <w:t>n alternative model</w:t>
      </w:r>
      <w:r w:rsidR="00E07AAC" w:rsidRPr="0026326C">
        <w:rPr>
          <w:rFonts w:asciiTheme="majorHAnsi" w:hAnsiTheme="majorHAnsi"/>
          <w:sz w:val="26"/>
          <w:szCs w:val="26"/>
          <w:lang w:val="en-US"/>
        </w:rPr>
        <w:t xml:space="preserve"> for countries </w:t>
      </w:r>
      <w:r w:rsidR="00207FC5">
        <w:rPr>
          <w:rFonts w:asciiTheme="majorHAnsi" w:hAnsiTheme="majorHAnsi"/>
          <w:sz w:val="26"/>
          <w:szCs w:val="26"/>
          <w:lang w:val="en-US"/>
        </w:rPr>
        <w:t>developing despite</w:t>
      </w:r>
      <w:r w:rsidR="009C4078" w:rsidRPr="0026326C">
        <w:rPr>
          <w:rFonts w:asciiTheme="majorHAnsi" w:hAnsiTheme="majorHAnsi"/>
          <w:sz w:val="26"/>
          <w:szCs w:val="26"/>
          <w:lang w:val="en-US"/>
        </w:rPr>
        <w:t xml:space="preserve"> missing pre-</w:t>
      </w:r>
      <w:r w:rsidR="009C4078" w:rsidRPr="0026326C">
        <w:rPr>
          <w:rFonts w:asciiTheme="majorHAnsi" w:hAnsiTheme="majorHAnsi"/>
          <w:sz w:val="26"/>
          <w:szCs w:val="26"/>
          <w:lang w:val="en-US"/>
        </w:rPr>
        <w:lastRenderedPageBreak/>
        <w:t>requisites, such as Japan, Germany, Sweden and Italy.</w:t>
      </w:r>
      <w:r w:rsidR="009C4078" w:rsidRPr="0026326C">
        <w:rPr>
          <w:rStyle w:val="FootnoteReference"/>
          <w:rFonts w:asciiTheme="majorHAnsi" w:hAnsiTheme="majorHAnsi"/>
          <w:sz w:val="26"/>
          <w:szCs w:val="26"/>
          <w:lang w:val="en-US"/>
        </w:rPr>
        <w:footnoteReference w:id="54"/>
      </w:r>
      <w:r w:rsidR="009C4078" w:rsidRPr="0026326C">
        <w:rPr>
          <w:rFonts w:asciiTheme="majorHAnsi" w:hAnsiTheme="majorHAnsi"/>
          <w:sz w:val="26"/>
          <w:szCs w:val="26"/>
          <w:lang w:val="en-US"/>
        </w:rPr>
        <w:t xml:space="preserve"> </w:t>
      </w:r>
      <w:r w:rsidR="00207FC5">
        <w:rPr>
          <w:rFonts w:asciiTheme="majorHAnsi" w:hAnsiTheme="majorHAnsi"/>
          <w:sz w:val="26"/>
          <w:szCs w:val="26"/>
          <w:lang w:val="en-US"/>
        </w:rPr>
        <w:t>In</w:t>
      </w:r>
      <w:r w:rsidR="00671AB8" w:rsidRPr="0026326C">
        <w:rPr>
          <w:rFonts w:asciiTheme="majorHAnsi" w:hAnsiTheme="majorHAnsi"/>
          <w:sz w:val="26"/>
          <w:szCs w:val="26"/>
          <w:lang w:val="en-US"/>
        </w:rPr>
        <w:t xml:space="preserve"> those cases central authorities wou</w:t>
      </w:r>
      <w:r w:rsidR="00207FC5">
        <w:rPr>
          <w:rFonts w:asciiTheme="majorHAnsi" w:hAnsiTheme="majorHAnsi"/>
          <w:sz w:val="26"/>
          <w:szCs w:val="26"/>
          <w:lang w:val="en-US"/>
        </w:rPr>
        <w:t>ld play a leading role, and the</w:t>
      </w:r>
      <w:r w:rsidR="00671AB8" w:rsidRPr="0026326C">
        <w:rPr>
          <w:rFonts w:asciiTheme="majorHAnsi" w:hAnsiTheme="majorHAnsi"/>
          <w:sz w:val="26"/>
          <w:szCs w:val="26"/>
          <w:lang w:val="en-US"/>
        </w:rPr>
        <w:t xml:space="preserve"> accumulation </w:t>
      </w:r>
      <w:r w:rsidR="00207FC5">
        <w:rPr>
          <w:rFonts w:asciiTheme="majorHAnsi" w:hAnsiTheme="majorHAnsi"/>
          <w:sz w:val="26"/>
          <w:szCs w:val="26"/>
          <w:lang w:val="en-US"/>
        </w:rPr>
        <w:t xml:space="preserve">phase </w:t>
      </w:r>
      <w:r w:rsidR="00671AB8" w:rsidRPr="0026326C">
        <w:rPr>
          <w:rFonts w:asciiTheme="majorHAnsi" w:hAnsiTheme="majorHAnsi"/>
          <w:sz w:val="26"/>
          <w:szCs w:val="26"/>
          <w:lang w:val="en-US"/>
        </w:rPr>
        <w:t>would be substituted with innovative solutions.</w:t>
      </w:r>
      <w:r w:rsidR="00671AB8" w:rsidRPr="0026326C">
        <w:rPr>
          <w:rStyle w:val="FootnoteReference"/>
          <w:rFonts w:asciiTheme="majorHAnsi" w:hAnsiTheme="majorHAnsi"/>
          <w:sz w:val="26"/>
          <w:szCs w:val="26"/>
          <w:lang w:val="en-US"/>
        </w:rPr>
        <w:footnoteReference w:id="55"/>
      </w:r>
      <w:r w:rsidR="00671AB8" w:rsidRPr="0026326C">
        <w:rPr>
          <w:rFonts w:asciiTheme="majorHAnsi" w:hAnsiTheme="majorHAnsi"/>
          <w:sz w:val="26"/>
          <w:szCs w:val="26"/>
          <w:lang w:val="en-US"/>
        </w:rPr>
        <w:t xml:space="preserve"> </w:t>
      </w:r>
      <w:r w:rsidR="00207FC5" w:rsidRPr="0026326C">
        <w:rPr>
          <w:rFonts w:asciiTheme="majorHAnsi" w:hAnsiTheme="majorHAnsi"/>
          <w:sz w:val="26"/>
          <w:szCs w:val="26"/>
          <w:lang w:val="en-US"/>
        </w:rPr>
        <w:t xml:space="preserve">Gerschenkron </w:t>
      </w:r>
      <w:r w:rsidR="00207FC5">
        <w:rPr>
          <w:rFonts w:asciiTheme="majorHAnsi" w:hAnsiTheme="majorHAnsi"/>
          <w:sz w:val="26"/>
          <w:szCs w:val="26"/>
          <w:lang w:val="en-US"/>
        </w:rPr>
        <w:t>has been very critical with the role of the Italian state; r</w:t>
      </w:r>
      <w:r w:rsidR="00207FC5" w:rsidRPr="0026326C">
        <w:rPr>
          <w:rFonts w:asciiTheme="majorHAnsi" w:hAnsiTheme="majorHAnsi"/>
          <w:sz w:val="26"/>
          <w:szCs w:val="26"/>
          <w:lang w:val="en-US"/>
        </w:rPr>
        <w:t>elating to the South – North question, he sees the Italian state as actually having limited the gap, in the worst possible way, by limiting the growth of Northern industries.</w:t>
      </w:r>
      <w:r w:rsidR="00207FC5" w:rsidRPr="0026326C">
        <w:rPr>
          <w:rStyle w:val="FootnoteReference"/>
          <w:rFonts w:asciiTheme="majorHAnsi" w:hAnsiTheme="majorHAnsi"/>
          <w:sz w:val="26"/>
          <w:szCs w:val="26"/>
          <w:lang w:val="en-US"/>
        </w:rPr>
        <w:footnoteReference w:id="56"/>
      </w:r>
      <w:r w:rsidR="00207FC5">
        <w:rPr>
          <w:rFonts w:asciiTheme="majorHAnsi" w:hAnsiTheme="majorHAnsi"/>
          <w:sz w:val="26"/>
          <w:szCs w:val="26"/>
          <w:lang w:val="en-US"/>
        </w:rPr>
        <w:br/>
      </w:r>
      <w:r w:rsidR="00AD3DC9" w:rsidRPr="0026326C">
        <w:rPr>
          <w:rFonts w:asciiTheme="majorHAnsi" w:hAnsiTheme="majorHAnsi"/>
          <w:sz w:val="26"/>
          <w:szCs w:val="26"/>
          <w:lang w:val="en-US"/>
        </w:rPr>
        <w:tab/>
      </w:r>
      <w:r w:rsidR="00093590" w:rsidRPr="0026326C">
        <w:rPr>
          <w:rFonts w:asciiTheme="majorHAnsi" w:hAnsiTheme="majorHAnsi"/>
          <w:sz w:val="26"/>
          <w:szCs w:val="26"/>
          <w:lang w:val="en-US"/>
        </w:rPr>
        <w:t xml:space="preserve">Rosario Romeo held a completely different view. </w:t>
      </w:r>
      <w:r w:rsidR="00207FC5">
        <w:rPr>
          <w:rFonts w:asciiTheme="majorHAnsi" w:hAnsiTheme="majorHAnsi"/>
          <w:sz w:val="26"/>
          <w:szCs w:val="26"/>
          <w:lang w:val="en-US"/>
        </w:rPr>
        <w:t>Using</w:t>
      </w:r>
      <w:r w:rsidR="00093590" w:rsidRPr="0026326C">
        <w:rPr>
          <w:rFonts w:asciiTheme="majorHAnsi" w:hAnsiTheme="majorHAnsi"/>
          <w:sz w:val="26"/>
          <w:szCs w:val="26"/>
          <w:lang w:val="en-US"/>
        </w:rPr>
        <w:t xml:space="preserve"> the stages of growth theory, </w:t>
      </w:r>
      <w:r w:rsidR="00207FC5">
        <w:rPr>
          <w:rFonts w:asciiTheme="majorHAnsi" w:hAnsiTheme="majorHAnsi"/>
          <w:sz w:val="26"/>
          <w:szCs w:val="26"/>
          <w:lang w:val="en-US"/>
        </w:rPr>
        <w:t>he argued</w:t>
      </w:r>
      <w:r w:rsidR="0006421F" w:rsidRPr="0026326C">
        <w:rPr>
          <w:rFonts w:asciiTheme="majorHAnsi" w:hAnsiTheme="majorHAnsi"/>
          <w:sz w:val="26"/>
          <w:szCs w:val="26"/>
          <w:lang w:val="en-US"/>
        </w:rPr>
        <w:t xml:space="preserve"> that before industrializing,</w:t>
      </w:r>
      <w:r w:rsidR="00093590" w:rsidRPr="0026326C">
        <w:rPr>
          <w:rFonts w:asciiTheme="majorHAnsi" w:hAnsiTheme="majorHAnsi"/>
          <w:sz w:val="26"/>
          <w:szCs w:val="26"/>
          <w:lang w:val="en-US"/>
        </w:rPr>
        <w:t xml:space="preserve"> Italy went through a phase of agrarian accumulation during the 1860s and 1870s that would end in the 1880s, </w:t>
      </w:r>
      <w:r w:rsidR="0006421F" w:rsidRPr="0026326C">
        <w:rPr>
          <w:rFonts w:asciiTheme="majorHAnsi" w:hAnsiTheme="majorHAnsi"/>
          <w:sz w:val="26"/>
          <w:szCs w:val="26"/>
          <w:lang w:val="en-US"/>
        </w:rPr>
        <w:t>period in which the accumulated capital would shift from agriculture towards industry.</w:t>
      </w:r>
      <w:r w:rsidR="0058187C" w:rsidRPr="0026326C">
        <w:rPr>
          <w:rStyle w:val="FootnoteReference"/>
          <w:rFonts w:asciiTheme="majorHAnsi" w:hAnsiTheme="majorHAnsi"/>
          <w:sz w:val="26"/>
          <w:szCs w:val="26"/>
          <w:lang w:val="en-US"/>
        </w:rPr>
        <w:footnoteReference w:id="57"/>
      </w:r>
      <w:r w:rsidR="0006421F" w:rsidRPr="0026326C">
        <w:rPr>
          <w:rFonts w:asciiTheme="majorHAnsi" w:hAnsiTheme="majorHAnsi"/>
          <w:sz w:val="26"/>
          <w:szCs w:val="26"/>
          <w:lang w:val="en-US"/>
        </w:rPr>
        <w:t xml:space="preserve"> </w:t>
      </w:r>
      <w:r w:rsidR="002E7F71" w:rsidRPr="0026326C">
        <w:rPr>
          <w:rFonts w:asciiTheme="majorHAnsi" w:hAnsiTheme="majorHAnsi"/>
          <w:sz w:val="26"/>
          <w:szCs w:val="26"/>
          <w:lang w:val="en-US"/>
        </w:rPr>
        <w:t>In his theory, the state was successful in fostering industrial growth; in doing so, however, South Italy was sacrificed since the new protectionist regime drastically harmed its main dynamic export-oriented sector, that of specialized agriculture.</w:t>
      </w:r>
      <w:r w:rsidR="002E7F71" w:rsidRPr="0026326C">
        <w:rPr>
          <w:rStyle w:val="FootnoteReference"/>
          <w:rFonts w:asciiTheme="majorHAnsi" w:hAnsiTheme="majorHAnsi"/>
          <w:sz w:val="26"/>
          <w:szCs w:val="26"/>
          <w:lang w:val="en-US"/>
        </w:rPr>
        <w:footnoteReference w:id="58"/>
      </w:r>
      <w:r w:rsidR="00FF1A64" w:rsidRPr="0026326C">
        <w:rPr>
          <w:rFonts w:asciiTheme="majorHAnsi" w:hAnsiTheme="majorHAnsi"/>
          <w:sz w:val="26"/>
          <w:szCs w:val="26"/>
          <w:lang w:val="en-US"/>
        </w:rPr>
        <w:t xml:space="preserve"> In short, Romeo argues that South Italy was treated as a colonial market for Northern manufactured goods.</w:t>
      </w:r>
      <w:r w:rsidR="00FF1A64" w:rsidRPr="0026326C">
        <w:rPr>
          <w:rStyle w:val="FootnoteReference"/>
          <w:rFonts w:asciiTheme="majorHAnsi" w:hAnsiTheme="majorHAnsi"/>
          <w:sz w:val="26"/>
          <w:szCs w:val="26"/>
          <w:lang w:val="en-US"/>
        </w:rPr>
        <w:footnoteReference w:id="59"/>
      </w:r>
      <w:r w:rsidR="005D43BE" w:rsidRPr="0026326C">
        <w:rPr>
          <w:rFonts w:asciiTheme="majorHAnsi" w:hAnsiTheme="majorHAnsi"/>
          <w:sz w:val="26"/>
          <w:szCs w:val="26"/>
          <w:lang w:val="en-US"/>
        </w:rPr>
        <w:br/>
      </w:r>
      <w:r w:rsidR="005D43BE" w:rsidRPr="0026326C">
        <w:rPr>
          <w:rFonts w:asciiTheme="majorHAnsi" w:hAnsiTheme="majorHAnsi"/>
          <w:sz w:val="26"/>
          <w:szCs w:val="26"/>
          <w:lang w:val="en-US"/>
        </w:rPr>
        <w:tab/>
        <w:t>Evolving forward from Romeo’s position is the model of Luciano Cafagna, who radically rejected any political economic reason that might have shifted the balance in favor of Northern Italy.</w:t>
      </w:r>
      <w:r w:rsidR="005D43BE" w:rsidRPr="0026326C">
        <w:rPr>
          <w:rStyle w:val="FootnoteReference"/>
          <w:rFonts w:asciiTheme="majorHAnsi" w:hAnsiTheme="majorHAnsi"/>
          <w:sz w:val="26"/>
          <w:szCs w:val="26"/>
          <w:lang w:val="en-US"/>
        </w:rPr>
        <w:footnoteReference w:id="60"/>
      </w:r>
      <w:r w:rsidR="005D43BE" w:rsidRPr="0026326C">
        <w:rPr>
          <w:rFonts w:asciiTheme="majorHAnsi" w:hAnsiTheme="majorHAnsi"/>
          <w:sz w:val="26"/>
          <w:szCs w:val="26"/>
          <w:lang w:val="en-US"/>
        </w:rPr>
        <w:t xml:space="preserve"> Cafagna sees the industrial concentration in North Italy as a natural </w:t>
      </w:r>
      <w:r w:rsidR="00F12E10" w:rsidRPr="0026326C">
        <w:rPr>
          <w:rFonts w:asciiTheme="majorHAnsi" w:hAnsiTheme="majorHAnsi"/>
          <w:sz w:val="26"/>
          <w:szCs w:val="26"/>
          <w:lang w:val="en-US"/>
        </w:rPr>
        <w:t>development derived from its geographical advantage</w:t>
      </w:r>
      <w:r w:rsidR="00644310" w:rsidRPr="0026326C">
        <w:rPr>
          <w:rFonts w:asciiTheme="majorHAnsi" w:hAnsiTheme="majorHAnsi"/>
          <w:sz w:val="26"/>
          <w:szCs w:val="26"/>
          <w:lang w:val="en-US"/>
        </w:rPr>
        <w:t>,</w:t>
      </w:r>
      <w:r w:rsidR="00587F08" w:rsidRPr="0026326C">
        <w:rPr>
          <w:rFonts w:asciiTheme="majorHAnsi" w:hAnsiTheme="majorHAnsi"/>
          <w:sz w:val="26"/>
          <w:szCs w:val="26"/>
          <w:lang w:val="en-US"/>
        </w:rPr>
        <w:t xml:space="preserve"> as well as</w:t>
      </w:r>
      <w:r w:rsidR="00F12E10" w:rsidRPr="0026326C">
        <w:rPr>
          <w:rFonts w:asciiTheme="majorHAnsi" w:hAnsiTheme="majorHAnsi"/>
          <w:sz w:val="26"/>
          <w:szCs w:val="26"/>
          <w:lang w:val="en-US"/>
        </w:rPr>
        <w:t xml:space="preserve"> an agrarian accumulation that had lasted over a century that had now reached </w:t>
      </w:r>
      <w:r w:rsidR="00644310" w:rsidRPr="0026326C">
        <w:rPr>
          <w:rFonts w:asciiTheme="majorHAnsi" w:hAnsiTheme="majorHAnsi"/>
          <w:sz w:val="26"/>
          <w:szCs w:val="26"/>
          <w:lang w:val="en-US"/>
        </w:rPr>
        <w:t>full maturity</w:t>
      </w:r>
      <w:r w:rsidR="00F12E10" w:rsidRPr="0026326C">
        <w:rPr>
          <w:rFonts w:asciiTheme="majorHAnsi" w:hAnsiTheme="majorHAnsi"/>
          <w:sz w:val="26"/>
          <w:szCs w:val="26"/>
          <w:lang w:val="en-US"/>
        </w:rPr>
        <w:t>.</w:t>
      </w:r>
      <w:r w:rsidR="00F12E10" w:rsidRPr="0026326C">
        <w:rPr>
          <w:rStyle w:val="FootnoteReference"/>
          <w:rFonts w:asciiTheme="majorHAnsi" w:hAnsiTheme="majorHAnsi"/>
          <w:sz w:val="26"/>
          <w:szCs w:val="26"/>
          <w:lang w:val="en-US"/>
        </w:rPr>
        <w:footnoteReference w:id="61"/>
      </w:r>
      <w:r w:rsidR="00F12E10" w:rsidRPr="0026326C">
        <w:rPr>
          <w:rFonts w:asciiTheme="majorHAnsi" w:hAnsiTheme="majorHAnsi"/>
          <w:sz w:val="26"/>
          <w:szCs w:val="26"/>
          <w:lang w:val="en-US"/>
        </w:rPr>
        <w:t xml:space="preserve"> He uses the stages of growth model as well, but in a significantly increased deterministic way, tracing the roots of the increased South – North divergence to the initial gap itself</w:t>
      </w:r>
      <w:r w:rsidR="00587F08" w:rsidRPr="0026326C">
        <w:rPr>
          <w:rFonts w:asciiTheme="majorHAnsi" w:hAnsiTheme="majorHAnsi"/>
          <w:sz w:val="26"/>
          <w:szCs w:val="26"/>
          <w:lang w:val="en-US"/>
        </w:rPr>
        <w:t>, arguing that the two macro-regions developed in respective autonomous environments.</w:t>
      </w:r>
      <w:r w:rsidR="00F12E10" w:rsidRPr="0026326C">
        <w:rPr>
          <w:rStyle w:val="FootnoteReference"/>
          <w:rFonts w:asciiTheme="majorHAnsi" w:hAnsiTheme="majorHAnsi"/>
          <w:sz w:val="26"/>
          <w:szCs w:val="26"/>
          <w:lang w:val="en-US"/>
        </w:rPr>
        <w:footnoteReference w:id="62"/>
      </w:r>
      <w:r w:rsidR="00116B19">
        <w:rPr>
          <w:rFonts w:asciiTheme="majorHAnsi" w:hAnsiTheme="majorHAnsi"/>
          <w:sz w:val="26"/>
          <w:szCs w:val="26"/>
          <w:lang w:val="en-US"/>
        </w:rPr>
        <w:br/>
      </w:r>
      <w:r w:rsidR="002F3120" w:rsidRPr="0026326C">
        <w:rPr>
          <w:rFonts w:asciiTheme="majorHAnsi" w:hAnsiTheme="majorHAnsi"/>
          <w:sz w:val="26"/>
          <w:szCs w:val="26"/>
          <w:lang w:val="en-US"/>
        </w:rPr>
        <w:tab/>
      </w:r>
      <w:r w:rsidR="00587F08" w:rsidRPr="0026326C">
        <w:rPr>
          <w:rFonts w:asciiTheme="majorHAnsi" w:hAnsiTheme="majorHAnsi"/>
          <w:sz w:val="26"/>
          <w:szCs w:val="26"/>
          <w:lang w:val="en-US"/>
        </w:rPr>
        <w:t>The three mentioned authors</w:t>
      </w:r>
      <w:r w:rsidR="002179C1">
        <w:rPr>
          <w:rFonts w:asciiTheme="majorHAnsi" w:hAnsiTheme="majorHAnsi"/>
          <w:sz w:val="26"/>
          <w:szCs w:val="26"/>
          <w:lang w:val="en-US"/>
        </w:rPr>
        <w:t>, however,</w:t>
      </w:r>
      <w:r w:rsidR="00587F08" w:rsidRPr="0026326C">
        <w:rPr>
          <w:rFonts w:asciiTheme="majorHAnsi" w:hAnsiTheme="majorHAnsi"/>
          <w:sz w:val="26"/>
          <w:szCs w:val="26"/>
          <w:lang w:val="en-US"/>
        </w:rPr>
        <w:t xml:space="preserve"> relied on a traditional set of statistics concerning industrial output</w:t>
      </w:r>
      <w:r w:rsidR="008825E4" w:rsidRPr="0026326C">
        <w:rPr>
          <w:rFonts w:asciiTheme="majorHAnsi" w:hAnsiTheme="majorHAnsi"/>
          <w:sz w:val="26"/>
          <w:szCs w:val="26"/>
          <w:lang w:val="en-US"/>
        </w:rPr>
        <w:t xml:space="preserve"> that became outdated as of very recently, thanks to the work of Fenoaltea</w:t>
      </w:r>
      <w:r w:rsidR="00F81ECD" w:rsidRPr="0026326C">
        <w:rPr>
          <w:rFonts w:asciiTheme="majorHAnsi" w:hAnsiTheme="majorHAnsi"/>
          <w:sz w:val="26"/>
          <w:szCs w:val="26"/>
          <w:lang w:val="en-US"/>
        </w:rPr>
        <w:t xml:space="preserve"> and a new generation of scholars of the cliometric school emerging in the 1960s.</w:t>
      </w:r>
      <w:r w:rsidR="00F81ECD" w:rsidRPr="0026326C">
        <w:rPr>
          <w:rStyle w:val="FootnoteReference"/>
          <w:rFonts w:asciiTheme="majorHAnsi" w:hAnsiTheme="majorHAnsi"/>
          <w:sz w:val="26"/>
          <w:szCs w:val="26"/>
          <w:lang w:val="en-US"/>
        </w:rPr>
        <w:footnoteReference w:id="63"/>
      </w:r>
      <w:r w:rsidR="00F81ECD" w:rsidRPr="0026326C">
        <w:rPr>
          <w:rFonts w:asciiTheme="majorHAnsi" w:hAnsiTheme="majorHAnsi"/>
          <w:sz w:val="26"/>
          <w:szCs w:val="26"/>
          <w:lang w:val="en-US"/>
        </w:rPr>
        <w:t xml:space="preserve"> The new indexes of industrial production </w:t>
      </w:r>
      <w:r w:rsidR="0076650F">
        <w:rPr>
          <w:rFonts w:asciiTheme="majorHAnsi" w:hAnsiTheme="majorHAnsi"/>
          <w:sz w:val="26"/>
          <w:szCs w:val="26"/>
          <w:lang w:val="en-US"/>
        </w:rPr>
        <w:t>were</w:t>
      </w:r>
      <w:r w:rsidR="00F81ECD" w:rsidRPr="0026326C">
        <w:rPr>
          <w:rFonts w:asciiTheme="majorHAnsi" w:hAnsiTheme="majorHAnsi"/>
          <w:sz w:val="26"/>
          <w:szCs w:val="26"/>
          <w:lang w:val="en-US"/>
        </w:rPr>
        <w:t xml:space="preserve"> obtained </w:t>
      </w:r>
      <w:r w:rsidR="00692EF5" w:rsidRPr="0026326C">
        <w:rPr>
          <w:rFonts w:asciiTheme="majorHAnsi" w:hAnsiTheme="majorHAnsi"/>
          <w:sz w:val="26"/>
          <w:szCs w:val="26"/>
          <w:lang w:val="en-US"/>
        </w:rPr>
        <w:t>through</w:t>
      </w:r>
      <w:r w:rsidR="00F81ECD" w:rsidRPr="0026326C">
        <w:rPr>
          <w:rFonts w:asciiTheme="majorHAnsi" w:hAnsiTheme="majorHAnsi"/>
          <w:sz w:val="26"/>
          <w:szCs w:val="26"/>
          <w:lang w:val="en-US"/>
        </w:rPr>
        <w:t xml:space="preserve"> the application of modern economic theories and new statisti</w:t>
      </w:r>
      <w:r w:rsidR="00692EF5" w:rsidRPr="0026326C">
        <w:rPr>
          <w:rFonts w:asciiTheme="majorHAnsi" w:hAnsiTheme="majorHAnsi"/>
          <w:sz w:val="26"/>
          <w:szCs w:val="26"/>
          <w:lang w:val="en-US"/>
        </w:rPr>
        <w:t xml:space="preserve">cal methods to economic history, which </w:t>
      </w:r>
      <w:r w:rsidR="00F81ECD" w:rsidRPr="0026326C">
        <w:rPr>
          <w:rFonts w:asciiTheme="majorHAnsi" w:hAnsiTheme="majorHAnsi"/>
          <w:sz w:val="26"/>
          <w:szCs w:val="26"/>
          <w:lang w:val="en-US"/>
        </w:rPr>
        <w:t>led to the</w:t>
      </w:r>
      <w:r w:rsidR="00F81ECD">
        <w:rPr>
          <w:rFonts w:asciiTheme="majorHAnsi" w:hAnsiTheme="majorHAnsi"/>
          <w:sz w:val="24"/>
          <w:szCs w:val="24"/>
          <w:lang w:val="en-US"/>
        </w:rPr>
        <w:t xml:space="preserve"> </w:t>
      </w:r>
      <w:r w:rsidR="00F81ECD" w:rsidRPr="0026326C">
        <w:rPr>
          <w:rFonts w:asciiTheme="majorHAnsi" w:hAnsiTheme="majorHAnsi"/>
          <w:sz w:val="26"/>
          <w:szCs w:val="26"/>
          <w:lang w:val="en-US"/>
        </w:rPr>
        <w:t>revision of the previous I</w:t>
      </w:r>
      <w:r w:rsidR="00D575C4">
        <w:rPr>
          <w:rFonts w:asciiTheme="majorHAnsi" w:hAnsiTheme="majorHAnsi"/>
          <w:sz w:val="26"/>
          <w:szCs w:val="26"/>
          <w:lang w:val="en-US"/>
        </w:rPr>
        <w:t>stat-Vitali index of production</w:t>
      </w:r>
      <w:r w:rsidR="008825E4" w:rsidRPr="0026326C">
        <w:rPr>
          <w:rFonts w:asciiTheme="majorHAnsi" w:hAnsiTheme="majorHAnsi"/>
          <w:sz w:val="26"/>
          <w:szCs w:val="26"/>
          <w:lang w:val="en-US"/>
        </w:rPr>
        <w:t>.</w:t>
      </w:r>
      <w:r w:rsidR="008825E4" w:rsidRPr="0026326C">
        <w:rPr>
          <w:rStyle w:val="FootnoteReference"/>
          <w:rFonts w:asciiTheme="majorHAnsi" w:hAnsiTheme="majorHAnsi"/>
          <w:sz w:val="26"/>
          <w:szCs w:val="26"/>
          <w:lang w:val="en-US"/>
        </w:rPr>
        <w:footnoteReference w:id="64"/>
      </w:r>
      <w:r w:rsidR="002F3120" w:rsidRPr="0026326C">
        <w:rPr>
          <w:rFonts w:asciiTheme="majorHAnsi" w:hAnsiTheme="majorHAnsi"/>
          <w:sz w:val="26"/>
          <w:szCs w:val="26"/>
          <w:lang w:val="en-US"/>
        </w:rPr>
        <w:t xml:space="preserve"> </w:t>
      </w:r>
      <w:r w:rsidR="00C67FFC" w:rsidRPr="0026326C">
        <w:rPr>
          <w:rFonts w:asciiTheme="majorHAnsi" w:hAnsiTheme="majorHAnsi"/>
          <w:sz w:val="26"/>
          <w:szCs w:val="26"/>
          <w:lang w:val="en-US"/>
        </w:rPr>
        <w:t xml:space="preserve">The error in the previous </w:t>
      </w:r>
      <w:r w:rsidR="00D575C4">
        <w:rPr>
          <w:rFonts w:asciiTheme="majorHAnsi" w:hAnsiTheme="majorHAnsi"/>
          <w:sz w:val="26"/>
          <w:szCs w:val="26"/>
          <w:lang w:val="en-US"/>
        </w:rPr>
        <w:t xml:space="preserve">set of statistics </w:t>
      </w:r>
      <w:r w:rsidR="00C67FFC" w:rsidRPr="0026326C">
        <w:rPr>
          <w:rFonts w:asciiTheme="majorHAnsi" w:hAnsiTheme="majorHAnsi"/>
          <w:sz w:val="26"/>
          <w:szCs w:val="26"/>
          <w:lang w:val="en-US"/>
        </w:rPr>
        <w:t xml:space="preserve">relied in the 1880s underestimation of agrarian output, a reported significant decrease which coincided with the European agrarian </w:t>
      </w:r>
      <w:r w:rsidR="00C67FFC" w:rsidRPr="0026326C">
        <w:rPr>
          <w:rFonts w:asciiTheme="majorHAnsi" w:hAnsiTheme="majorHAnsi"/>
          <w:sz w:val="26"/>
          <w:szCs w:val="26"/>
          <w:lang w:val="en-US"/>
        </w:rPr>
        <w:lastRenderedPageBreak/>
        <w:t>crisis.</w:t>
      </w:r>
      <w:r w:rsidR="00C67FFC" w:rsidRPr="0026326C">
        <w:rPr>
          <w:rStyle w:val="FootnoteReference"/>
          <w:rFonts w:asciiTheme="majorHAnsi" w:hAnsiTheme="majorHAnsi"/>
          <w:sz w:val="26"/>
          <w:szCs w:val="26"/>
          <w:lang w:val="en-US"/>
        </w:rPr>
        <w:footnoteReference w:id="65"/>
      </w:r>
      <w:r w:rsidR="00C67FFC" w:rsidRPr="0026326C">
        <w:rPr>
          <w:rFonts w:asciiTheme="majorHAnsi" w:hAnsiTheme="majorHAnsi"/>
          <w:sz w:val="26"/>
          <w:szCs w:val="26"/>
          <w:lang w:val="en-US"/>
        </w:rPr>
        <w:t xml:space="preserve"> </w:t>
      </w:r>
      <w:r w:rsidR="00692EF5" w:rsidRPr="0026326C">
        <w:rPr>
          <w:rFonts w:asciiTheme="majorHAnsi" w:hAnsiTheme="majorHAnsi"/>
          <w:sz w:val="26"/>
          <w:szCs w:val="26"/>
          <w:lang w:val="en-US"/>
        </w:rPr>
        <w:t>Such an error was due to a historical def</w:t>
      </w:r>
      <w:r w:rsidR="00E20EE6" w:rsidRPr="0026326C">
        <w:rPr>
          <w:rFonts w:asciiTheme="majorHAnsi" w:hAnsiTheme="majorHAnsi"/>
          <w:sz w:val="26"/>
          <w:szCs w:val="26"/>
          <w:lang w:val="en-US"/>
        </w:rPr>
        <w:t>icient data gathering process in</w:t>
      </w:r>
      <w:r w:rsidR="00692EF5" w:rsidRPr="0026326C">
        <w:rPr>
          <w:rFonts w:asciiTheme="majorHAnsi" w:hAnsiTheme="majorHAnsi"/>
          <w:sz w:val="26"/>
          <w:szCs w:val="26"/>
          <w:lang w:val="en-US"/>
        </w:rPr>
        <w:t xml:space="preserve"> the 1880s, in which the sudden surge at the turn of the century was simply due to </w:t>
      </w:r>
      <w:r w:rsidR="00E20EE6" w:rsidRPr="0026326C">
        <w:rPr>
          <w:rFonts w:asciiTheme="majorHAnsi" w:hAnsiTheme="majorHAnsi"/>
          <w:sz w:val="26"/>
          <w:szCs w:val="26"/>
          <w:lang w:val="en-US"/>
        </w:rPr>
        <w:t>a</w:t>
      </w:r>
      <w:r w:rsidR="00692EF5" w:rsidRPr="0026326C">
        <w:rPr>
          <w:rFonts w:asciiTheme="majorHAnsi" w:hAnsiTheme="majorHAnsi"/>
          <w:sz w:val="26"/>
          <w:szCs w:val="26"/>
          <w:lang w:val="en-US"/>
        </w:rPr>
        <w:t xml:space="preserve"> </w:t>
      </w:r>
      <w:r w:rsidR="00E20EE6" w:rsidRPr="0026326C">
        <w:rPr>
          <w:rFonts w:asciiTheme="majorHAnsi" w:hAnsiTheme="majorHAnsi"/>
          <w:sz w:val="26"/>
          <w:szCs w:val="26"/>
          <w:lang w:val="en-US"/>
        </w:rPr>
        <w:t xml:space="preserve">later </w:t>
      </w:r>
      <w:r w:rsidR="00692EF5" w:rsidRPr="0026326C">
        <w:rPr>
          <w:rFonts w:asciiTheme="majorHAnsi" w:hAnsiTheme="majorHAnsi"/>
          <w:sz w:val="26"/>
          <w:szCs w:val="26"/>
          <w:lang w:val="en-US"/>
        </w:rPr>
        <w:t>interpolati</w:t>
      </w:r>
      <w:r w:rsidR="00EB72F5" w:rsidRPr="0026326C">
        <w:rPr>
          <w:rFonts w:asciiTheme="majorHAnsi" w:hAnsiTheme="majorHAnsi"/>
          <w:sz w:val="26"/>
          <w:szCs w:val="26"/>
          <w:lang w:val="en-US"/>
        </w:rPr>
        <w:t>on of more comprehensive data</w:t>
      </w:r>
      <w:r w:rsidR="00692EF5" w:rsidRPr="0026326C">
        <w:rPr>
          <w:rFonts w:asciiTheme="majorHAnsi" w:hAnsiTheme="majorHAnsi"/>
          <w:sz w:val="26"/>
          <w:szCs w:val="26"/>
          <w:lang w:val="en-US"/>
        </w:rPr>
        <w:t xml:space="preserve"> that</w:t>
      </w:r>
      <w:r w:rsidR="00E20EE6" w:rsidRPr="0026326C">
        <w:rPr>
          <w:rFonts w:asciiTheme="majorHAnsi" w:hAnsiTheme="majorHAnsi"/>
          <w:sz w:val="26"/>
          <w:szCs w:val="26"/>
          <w:lang w:val="en-US"/>
        </w:rPr>
        <w:t xml:space="preserve"> occurred in that</w:t>
      </w:r>
      <w:r w:rsidR="00692EF5" w:rsidRPr="0026326C">
        <w:rPr>
          <w:rFonts w:asciiTheme="majorHAnsi" w:hAnsiTheme="majorHAnsi"/>
          <w:sz w:val="26"/>
          <w:szCs w:val="26"/>
          <w:lang w:val="en-US"/>
        </w:rPr>
        <w:t xml:space="preserve"> period.</w:t>
      </w:r>
      <w:r w:rsidR="00692EF5" w:rsidRPr="0026326C">
        <w:rPr>
          <w:rStyle w:val="FootnoteReference"/>
          <w:rFonts w:asciiTheme="majorHAnsi" w:hAnsiTheme="majorHAnsi"/>
          <w:sz w:val="26"/>
          <w:szCs w:val="26"/>
          <w:lang w:val="en-US"/>
        </w:rPr>
        <w:footnoteReference w:id="66"/>
      </w:r>
      <w:r w:rsidR="00692EF5" w:rsidRPr="0026326C">
        <w:rPr>
          <w:rFonts w:asciiTheme="majorHAnsi" w:hAnsiTheme="majorHAnsi"/>
          <w:sz w:val="26"/>
          <w:szCs w:val="26"/>
          <w:lang w:val="en-US"/>
        </w:rPr>
        <w:t xml:space="preserve"> </w:t>
      </w:r>
      <w:r w:rsidR="002F3120" w:rsidRPr="0026326C">
        <w:rPr>
          <w:rFonts w:asciiTheme="majorHAnsi" w:hAnsiTheme="majorHAnsi"/>
          <w:sz w:val="26"/>
          <w:szCs w:val="26"/>
          <w:lang w:val="en-US"/>
        </w:rPr>
        <w:tab/>
      </w:r>
      <w:r w:rsidR="0026326C">
        <w:rPr>
          <w:rFonts w:asciiTheme="majorHAnsi" w:hAnsiTheme="majorHAnsi"/>
          <w:sz w:val="26"/>
          <w:szCs w:val="26"/>
          <w:lang w:val="en-US"/>
        </w:rPr>
        <w:br/>
      </w:r>
      <w:r w:rsidR="0026326C">
        <w:rPr>
          <w:rFonts w:asciiTheme="majorHAnsi" w:hAnsiTheme="majorHAnsi"/>
          <w:sz w:val="26"/>
          <w:szCs w:val="26"/>
          <w:lang w:val="en-US"/>
        </w:rPr>
        <w:tab/>
      </w:r>
      <w:r w:rsidR="009A4E59">
        <w:rPr>
          <w:rFonts w:asciiTheme="majorHAnsi" w:hAnsiTheme="majorHAnsi"/>
          <w:sz w:val="26"/>
          <w:szCs w:val="26"/>
          <w:lang w:val="en-US"/>
        </w:rPr>
        <w:t>T</w:t>
      </w:r>
      <w:r w:rsidR="00C67FFC" w:rsidRPr="0026326C">
        <w:rPr>
          <w:rFonts w:asciiTheme="majorHAnsi" w:hAnsiTheme="majorHAnsi"/>
          <w:sz w:val="26"/>
          <w:szCs w:val="26"/>
          <w:lang w:val="en-US"/>
        </w:rPr>
        <w:t xml:space="preserve">he revised series maintains a relatively linear growth of </w:t>
      </w:r>
      <w:r w:rsidR="00F37B66" w:rsidRPr="0026326C">
        <w:rPr>
          <w:rFonts w:asciiTheme="majorHAnsi" w:hAnsiTheme="majorHAnsi"/>
          <w:sz w:val="26"/>
          <w:szCs w:val="26"/>
          <w:lang w:val="en-US"/>
        </w:rPr>
        <w:t>consumer</w:t>
      </w:r>
      <w:r w:rsidR="00F97F50" w:rsidRPr="0026326C">
        <w:rPr>
          <w:rFonts w:asciiTheme="majorHAnsi" w:hAnsiTheme="majorHAnsi"/>
          <w:sz w:val="26"/>
          <w:szCs w:val="26"/>
          <w:lang w:val="en-US"/>
        </w:rPr>
        <w:t xml:space="preserve"> goods, mainly characterized by </w:t>
      </w:r>
      <w:r w:rsidR="00F37B66" w:rsidRPr="0026326C">
        <w:rPr>
          <w:rFonts w:asciiTheme="majorHAnsi" w:hAnsiTheme="majorHAnsi"/>
          <w:sz w:val="26"/>
          <w:szCs w:val="26"/>
          <w:lang w:val="en-US"/>
        </w:rPr>
        <w:t>food, while presenting cyclical peaks concerning investment industries, meaning sectors of durable goods</w:t>
      </w:r>
      <w:r w:rsidR="00F97F50" w:rsidRPr="0026326C">
        <w:rPr>
          <w:rFonts w:asciiTheme="majorHAnsi" w:hAnsiTheme="majorHAnsi"/>
          <w:sz w:val="26"/>
          <w:szCs w:val="26"/>
          <w:lang w:val="en-US"/>
        </w:rPr>
        <w:t xml:space="preserve"> of which engineering industries are part of</w:t>
      </w:r>
      <w:r w:rsidR="00F37B66" w:rsidRPr="0026326C">
        <w:rPr>
          <w:rFonts w:asciiTheme="majorHAnsi" w:hAnsiTheme="majorHAnsi"/>
          <w:sz w:val="26"/>
          <w:szCs w:val="26"/>
          <w:lang w:val="en-US"/>
        </w:rPr>
        <w:t>.</w:t>
      </w:r>
      <w:r w:rsidR="00F37B66" w:rsidRPr="0026326C">
        <w:rPr>
          <w:rStyle w:val="FootnoteReference"/>
          <w:rFonts w:asciiTheme="majorHAnsi" w:hAnsiTheme="majorHAnsi"/>
          <w:sz w:val="26"/>
          <w:szCs w:val="26"/>
          <w:lang w:val="en-US"/>
        </w:rPr>
        <w:footnoteReference w:id="67"/>
      </w:r>
      <w:r w:rsidR="00F37B66" w:rsidRPr="0026326C">
        <w:rPr>
          <w:rFonts w:asciiTheme="majorHAnsi" w:hAnsiTheme="majorHAnsi"/>
          <w:sz w:val="26"/>
          <w:szCs w:val="26"/>
          <w:lang w:val="en-US"/>
        </w:rPr>
        <w:t xml:space="preserve"> On </w:t>
      </w:r>
      <w:r w:rsidR="00116B19">
        <w:rPr>
          <w:rFonts w:asciiTheme="majorHAnsi" w:hAnsiTheme="majorHAnsi"/>
          <w:sz w:val="26"/>
          <w:szCs w:val="26"/>
          <w:lang w:val="en-US"/>
        </w:rPr>
        <w:t xml:space="preserve">basis of </w:t>
      </w:r>
      <w:r w:rsidR="00F37B66" w:rsidRPr="0026326C">
        <w:rPr>
          <w:rFonts w:asciiTheme="majorHAnsi" w:hAnsiTheme="majorHAnsi"/>
          <w:sz w:val="26"/>
          <w:szCs w:val="26"/>
          <w:lang w:val="en-US"/>
        </w:rPr>
        <w:t>the distinction between the linear growth of consumer goods and the cyclical peaks of investment production, Fenoaltea rejects th</w:t>
      </w:r>
      <w:r w:rsidR="00F97F50" w:rsidRPr="0026326C">
        <w:rPr>
          <w:rFonts w:asciiTheme="majorHAnsi" w:hAnsiTheme="majorHAnsi"/>
          <w:sz w:val="26"/>
          <w:szCs w:val="26"/>
          <w:lang w:val="en-US"/>
        </w:rPr>
        <w:t>e agrarian accumulation theory, arguing that increase and decline in investment industries depended on the instability of demand, which rose and declined following business cycles.</w:t>
      </w:r>
      <w:r w:rsidR="00F97F50" w:rsidRPr="0026326C">
        <w:rPr>
          <w:rStyle w:val="FootnoteReference"/>
          <w:rFonts w:asciiTheme="majorHAnsi" w:hAnsiTheme="majorHAnsi"/>
          <w:sz w:val="26"/>
          <w:szCs w:val="26"/>
          <w:lang w:val="en-US"/>
        </w:rPr>
        <w:footnoteReference w:id="68"/>
      </w:r>
      <w:r w:rsidR="002F3120" w:rsidRPr="0026326C">
        <w:rPr>
          <w:rFonts w:asciiTheme="majorHAnsi" w:hAnsiTheme="majorHAnsi"/>
          <w:sz w:val="26"/>
          <w:szCs w:val="26"/>
          <w:lang w:val="en-US"/>
        </w:rPr>
        <w:t xml:space="preserve"> </w:t>
      </w:r>
      <w:r w:rsidR="002B6F23" w:rsidRPr="0026326C">
        <w:rPr>
          <w:rFonts w:asciiTheme="majorHAnsi" w:hAnsiTheme="majorHAnsi"/>
          <w:sz w:val="26"/>
          <w:szCs w:val="26"/>
          <w:lang w:val="en-US"/>
        </w:rPr>
        <w:tab/>
      </w:r>
      <w:r w:rsidR="00116B19">
        <w:rPr>
          <w:rFonts w:asciiTheme="majorHAnsi" w:hAnsiTheme="majorHAnsi"/>
          <w:sz w:val="26"/>
          <w:szCs w:val="26"/>
          <w:lang w:val="en-US"/>
        </w:rPr>
        <w:br/>
      </w:r>
      <w:r w:rsidR="00116B19">
        <w:rPr>
          <w:rFonts w:asciiTheme="majorHAnsi" w:hAnsiTheme="majorHAnsi"/>
          <w:sz w:val="26"/>
          <w:szCs w:val="26"/>
          <w:lang w:val="en-US"/>
        </w:rPr>
        <w:tab/>
      </w:r>
      <w:r w:rsidR="0041443E" w:rsidRPr="0026326C">
        <w:rPr>
          <w:rFonts w:asciiTheme="majorHAnsi" w:hAnsiTheme="majorHAnsi"/>
          <w:sz w:val="26"/>
          <w:szCs w:val="26"/>
          <w:lang w:val="en-US"/>
        </w:rPr>
        <w:t xml:space="preserve">Fenoaltea’s model moves away from </w:t>
      </w:r>
      <w:r w:rsidR="002179C1">
        <w:rPr>
          <w:rFonts w:asciiTheme="majorHAnsi" w:hAnsiTheme="majorHAnsi"/>
          <w:sz w:val="26"/>
          <w:szCs w:val="26"/>
          <w:lang w:val="en-US"/>
        </w:rPr>
        <w:t>determinism</w:t>
      </w:r>
      <w:r w:rsidR="0041443E" w:rsidRPr="0026326C">
        <w:rPr>
          <w:rFonts w:asciiTheme="majorHAnsi" w:hAnsiTheme="majorHAnsi"/>
          <w:sz w:val="26"/>
          <w:szCs w:val="26"/>
          <w:lang w:val="en-US"/>
        </w:rPr>
        <w:t xml:space="preserve"> </w:t>
      </w:r>
      <w:r w:rsidR="006B56A9" w:rsidRPr="0026326C">
        <w:rPr>
          <w:rFonts w:asciiTheme="majorHAnsi" w:hAnsiTheme="majorHAnsi"/>
          <w:sz w:val="26"/>
          <w:szCs w:val="26"/>
          <w:lang w:val="en-US"/>
        </w:rPr>
        <w:t xml:space="preserve">and formulates a </w:t>
      </w:r>
      <w:r w:rsidR="0041443E" w:rsidRPr="0026326C">
        <w:rPr>
          <w:rFonts w:asciiTheme="majorHAnsi" w:hAnsiTheme="majorHAnsi"/>
          <w:sz w:val="26"/>
          <w:szCs w:val="26"/>
          <w:lang w:val="en-US"/>
        </w:rPr>
        <w:t>cyclical model of growth</w:t>
      </w:r>
      <w:r w:rsidR="006B56A9" w:rsidRPr="0026326C">
        <w:rPr>
          <w:rFonts w:asciiTheme="majorHAnsi" w:hAnsiTheme="majorHAnsi"/>
          <w:sz w:val="26"/>
          <w:szCs w:val="26"/>
          <w:lang w:val="en-US"/>
        </w:rPr>
        <w:t>, in which peaks of investment industries are generated by the cycle of their demand.</w:t>
      </w:r>
      <w:r w:rsidR="006B56A9" w:rsidRPr="0026326C">
        <w:rPr>
          <w:rStyle w:val="FootnoteReference"/>
          <w:rFonts w:asciiTheme="majorHAnsi" w:hAnsiTheme="majorHAnsi"/>
          <w:sz w:val="26"/>
          <w:szCs w:val="26"/>
          <w:lang w:val="en-US"/>
        </w:rPr>
        <w:footnoteReference w:id="69"/>
      </w:r>
      <w:r w:rsidR="006B56A9" w:rsidRPr="0026326C">
        <w:rPr>
          <w:rFonts w:asciiTheme="majorHAnsi" w:hAnsiTheme="majorHAnsi"/>
          <w:sz w:val="26"/>
          <w:szCs w:val="26"/>
          <w:lang w:val="en-US"/>
        </w:rPr>
        <w:t xml:space="preserve"> Thus, the state, being the exclusive upholder of engineering demand, </w:t>
      </w:r>
      <w:r w:rsidR="00BF3554" w:rsidRPr="0026326C">
        <w:rPr>
          <w:rFonts w:asciiTheme="majorHAnsi" w:hAnsiTheme="majorHAnsi"/>
          <w:sz w:val="26"/>
          <w:szCs w:val="26"/>
          <w:lang w:val="en-US"/>
        </w:rPr>
        <w:t>becomes the factor that directs the development of mechanic industry</w:t>
      </w:r>
      <w:r w:rsidR="006B56A9" w:rsidRPr="0026326C">
        <w:rPr>
          <w:rFonts w:asciiTheme="majorHAnsi" w:hAnsiTheme="majorHAnsi"/>
          <w:sz w:val="26"/>
          <w:szCs w:val="26"/>
          <w:lang w:val="en-US"/>
        </w:rPr>
        <w:t xml:space="preserve">. </w:t>
      </w:r>
      <w:r w:rsidR="00BF3554" w:rsidRPr="0026326C">
        <w:rPr>
          <w:rFonts w:asciiTheme="majorHAnsi" w:hAnsiTheme="majorHAnsi"/>
          <w:sz w:val="26"/>
          <w:szCs w:val="26"/>
          <w:lang w:val="en-US"/>
        </w:rPr>
        <w:t xml:space="preserve">At the same time, the pre-determined industrial supremacy of North Italy based on a previous agrarian accumulation is eliminated. </w:t>
      </w:r>
      <w:r w:rsidR="006B56A9" w:rsidRPr="0026326C">
        <w:rPr>
          <w:rFonts w:asciiTheme="majorHAnsi" w:hAnsiTheme="majorHAnsi"/>
          <w:sz w:val="26"/>
          <w:szCs w:val="26"/>
          <w:lang w:val="en-US"/>
        </w:rPr>
        <w:t>How to explain then the industrialization gap according to this model?</w:t>
      </w:r>
      <w:r w:rsidR="00BF3554" w:rsidRPr="0026326C">
        <w:rPr>
          <w:rFonts w:asciiTheme="majorHAnsi" w:hAnsiTheme="majorHAnsi"/>
          <w:sz w:val="26"/>
          <w:szCs w:val="26"/>
          <w:lang w:val="en-US"/>
        </w:rPr>
        <w:t xml:space="preserve"> </w:t>
      </w:r>
      <w:r w:rsidR="00BF3554" w:rsidRPr="0026326C">
        <w:rPr>
          <w:rFonts w:asciiTheme="majorHAnsi" w:hAnsiTheme="majorHAnsi"/>
          <w:sz w:val="26"/>
          <w:szCs w:val="26"/>
          <w:lang w:val="en-US"/>
        </w:rPr>
        <w:br/>
      </w:r>
      <w:r w:rsidR="00BF3554" w:rsidRPr="0026326C">
        <w:rPr>
          <w:rFonts w:asciiTheme="majorHAnsi" w:hAnsiTheme="majorHAnsi"/>
          <w:sz w:val="26"/>
          <w:szCs w:val="26"/>
          <w:lang w:val="en-US"/>
        </w:rPr>
        <w:tab/>
      </w:r>
      <w:r w:rsidR="00116B19">
        <w:rPr>
          <w:rFonts w:asciiTheme="majorHAnsi" w:hAnsiTheme="majorHAnsi"/>
          <w:sz w:val="26"/>
          <w:szCs w:val="26"/>
          <w:lang w:val="en-US"/>
        </w:rPr>
        <w:t xml:space="preserve">Fenoaltea </w:t>
      </w:r>
      <w:r w:rsidR="00DA58EB">
        <w:rPr>
          <w:rFonts w:asciiTheme="majorHAnsi" w:hAnsiTheme="majorHAnsi"/>
          <w:sz w:val="26"/>
          <w:szCs w:val="26"/>
          <w:lang w:val="en-US"/>
        </w:rPr>
        <w:t>explains how</w:t>
      </w:r>
      <w:r w:rsidR="00244F86" w:rsidRPr="0026326C">
        <w:rPr>
          <w:rFonts w:asciiTheme="majorHAnsi" w:hAnsiTheme="majorHAnsi"/>
          <w:sz w:val="26"/>
          <w:szCs w:val="26"/>
          <w:lang w:val="en-US"/>
        </w:rPr>
        <w:t xml:space="preserve"> natural resources in the North – West such as waterfalls and a greater social capital played a role in the industrialization of that region.</w:t>
      </w:r>
      <w:r w:rsidR="00244F86" w:rsidRPr="0026326C">
        <w:rPr>
          <w:rStyle w:val="FootnoteReference"/>
          <w:rFonts w:asciiTheme="majorHAnsi" w:hAnsiTheme="majorHAnsi"/>
          <w:sz w:val="26"/>
          <w:szCs w:val="26"/>
          <w:lang w:val="en-US"/>
        </w:rPr>
        <w:footnoteReference w:id="70"/>
      </w:r>
      <w:r w:rsidR="00244F86" w:rsidRPr="0026326C">
        <w:rPr>
          <w:rFonts w:asciiTheme="majorHAnsi" w:hAnsiTheme="majorHAnsi"/>
          <w:sz w:val="26"/>
          <w:szCs w:val="26"/>
          <w:lang w:val="en-US"/>
        </w:rPr>
        <w:t xml:space="preserve"> His </w:t>
      </w:r>
      <w:r w:rsidR="00254138" w:rsidRPr="0026326C">
        <w:rPr>
          <w:rFonts w:asciiTheme="majorHAnsi" w:hAnsiTheme="majorHAnsi"/>
          <w:sz w:val="26"/>
          <w:szCs w:val="26"/>
          <w:lang w:val="en-US"/>
        </w:rPr>
        <w:t>model</w:t>
      </w:r>
      <w:r w:rsidR="00244F86" w:rsidRPr="0026326C">
        <w:rPr>
          <w:rFonts w:asciiTheme="majorHAnsi" w:hAnsiTheme="majorHAnsi"/>
          <w:sz w:val="26"/>
          <w:szCs w:val="26"/>
          <w:lang w:val="en-US"/>
        </w:rPr>
        <w:t xml:space="preserve">, however, is </w:t>
      </w:r>
      <w:r w:rsidR="00DA58EB">
        <w:rPr>
          <w:rFonts w:asciiTheme="majorHAnsi" w:hAnsiTheme="majorHAnsi"/>
          <w:sz w:val="26"/>
          <w:szCs w:val="26"/>
          <w:lang w:val="en-US"/>
        </w:rPr>
        <w:t>not deterministic</w:t>
      </w:r>
      <w:r w:rsidR="00244F86" w:rsidRPr="0026326C">
        <w:rPr>
          <w:rFonts w:asciiTheme="majorHAnsi" w:hAnsiTheme="majorHAnsi"/>
          <w:sz w:val="26"/>
          <w:szCs w:val="26"/>
          <w:lang w:val="en-US"/>
        </w:rPr>
        <w:t>.</w:t>
      </w:r>
      <w:r w:rsidR="00DA58EB">
        <w:rPr>
          <w:rFonts w:asciiTheme="majorHAnsi" w:hAnsiTheme="majorHAnsi"/>
          <w:sz w:val="26"/>
          <w:szCs w:val="26"/>
          <w:lang w:val="en-US"/>
        </w:rPr>
        <w:t xml:space="preserve"> </w:t>
      </w:r>
      <w:r w:rsidR="00254138" w:rsidRPr="0026326C">
        <w:rPr>
          <w:rFonts w:asciiTheme="majorHAnsi" w:hAnsiTheme="majorHAnsi"/>
          <w:sz w:val="26"/>
          <w:szCs w:val="26"/>
          <w:lang w:val="en-US"/>
        </w:rPr>
        <w:t>Not all resources share the same level of mobility: relatively immobile resources such as geographical advantages attract in those that are highly mobile</w:t>
      </w:r>
      <w:r w:rsidR="00610E5C" w:rsidRPr="0026326C">
        <w:rPr>
          <w:rFonts w:asciiTheme="majorHAnsi" w:hAnsiTheme="majorHAnsi"/>
          <w:sz w:val="26"/>
          <w:szCs w:val="26"/>
          <w:lang w:val="en-US"/>
        </w:rPr>
        <w:t xml:space="preserve"> </w:t>
      </w:r>
      <w:r w:rsidR="00DA58EB">
        <w:rPr>
          <w:rFonts w:asciiTheme="majorHAnsi" w:hAnsiTheme="majorHAnsi"/>
          <w:sz w:val="26"/>
          <w:szCs w:val="26"/>
          <w:lang w:val="en-US"/>
        </w:rPr>
        <w:t xml:space="preserve">during </w:t>
      </w:r>
      <w:r w:rsidR="00610E5C" w:rsidRPr="0026326C">
        <w:rPr>
          <w:rFonts w:asciiTheme="majorHAnsi" w:hAnsiTheme="majorHAnsi"/>
          <w:sz w:val="26"/>
          <w:szCs w:val="26"/>
          <w:lang w:val="en-US"/>
        </w:rPr>
        <w:t>a specific point in time</w:t>
      </w:r>
      <w:r w:rsidR="00254138" w:rsidRPr="0026326C">
        <w:rPr>
          <w:rFonts w:asciiTheme="majorHAnsi" w:hAnsiTheme="majorHAnsi"/>
          <w:sz w:val="26"/>
          <w:szCs w:val="26"/>
          <w:lang w:val="en-US"/>
        </w:rPr>
        <w:t>, such as capitals, investments and labor.</w:t>
      </w:r>
      <w:r w:rsidR="00254138" w:rsidRPr="0026326C">
        <w:rPr>
          <w:rStyle w:val="FootnoteReference"/>
          <w:rFonts w:asciiTheme="majorHAnsi" w:hAnsiTheme="majorHAnsi"/>
          <w:sz w:val="26"/>
          <w:szCs w:val="26"/>
          <w:lang w:val="en-US"/>
        </w:rPr>
        <w:footnoteReference w:id="71"/>
      </w:r>
      <w:r w:rsidR="00610E5C" w:rsidRPr="0026326C">
        <w:rPr>
          <w:rFonts w:asciiTheme="majorHAnsi" w:hAnsiTheme="majorHAnsi"/>
          <w:sz w:val="26"/>
          <w:szCs w:val="26"/>
          <w:lang w:val="en-US"/>
        </w:rPr>
        <w:t xml:space="preserve"> </w:t>
      </w:r>
      <w:r w:rsidR="00DA58EB">
        <w:rPr>
          <w:rFonts w:asciiTheme="majorHAnsi" w:hAnsiTheme="majorHAnsi"/>
          <w:sz w:val="26"/>
          <w:szCs w:val="26"/>
          <w:lang w:val="en-US"/>
        </w:rPr>
        <w:t>Therefore</w:t>
      </w:r>
      <w:r w:rsidR="00610E5C" w:rsidRPr="0026326C">
        <w:rPr>
          <w:rFonts w:asciiTheme="majorHAnsi" w:hAnsiTheme="majorHAnsi"/>
          <w:sz w:val="26"/>
          <w:szCs w:val="26"/>
          <w:lang w:val="en-US"/>
        </w:rPr>
        <w:t>, this model explains the gap attributing its causes to their historical present.</w:t>
      </w:r>
      <w:r w:rsidR="00610E5C" w:rsidRPr="0026326C">
        <w:rPr>
          <w:rStyle w:val="FootnoteReference"/>
          <w:rFonts w:asciiTheme="majorHAnsi" w:hAnsiTheme="majorHAnsi"/>
          <w:sz w:val="26"/>
          <w:szCs w:val="26"/>
          <w:lang w:val="en-US"/>
        </w:rPr>
        <w:footnoteReference w:id="72"/>
      </w:r>
      <w:r w:rsidR="00610E5C" w:rsidRPr="0026326C">
        <w:rPr>
          <w:rFonts w:asciiTheme="majorHAnsi" w:hAnsiTheme="majorHAnsi"/>
          <w:sz w:val="26"/>
          <w:szCs w:val="26"/>
          <w:lang w:val="en-US"/>
        </w:rPr>
        <w:t xml:space="preserve"> In short, the sudden development of the Industrial Triangle that started from the 1880s is explained by the sudden attraction that fixed capitals (resources) exercised on mobile capitals during that time, thanks to the specific technology that was driving Italian industrialization which favored water power.</w:t>
      </w:r>
      <w:r w:rsidR="00610E5C" w:rsidRPr="0026326C">
        <w:rPr>
          <w:rStyle w:val="FootnoteReference"/>
          <w:rFonts w:asciiTheme="majorHAnsi" w:hAnsiTheme="majorHAnsi"/>
          <w:sz w:val="26"/>
          <w:szCs w:val="26"/>
          <w:lang w:val="en-US"/>
        </w:rPr>
        <w:footnoteReference w:id="73"/>
      </w:r>
      <w:r w:rsidR="00E978AD" w:rsidRPr="0026326C">
        <w:rPr>
          <w:rFonts w:asciiTheme="majorHAnsi" w:hAnsiTheme="majorHAnsi"/>
          <w:sz w:val="26"/>
          <w:szCs w:val="26"/>
          <w:lang w:val="en-US"/>
        </w:rPr>
        <w:t xml:space="preserve"> However, if Fenoaltea’s model still attributes the attraction of key mobile capitals to natural advantages of the North – West, how can it be linked to this comparative case study?</w:t>
      </w:r>
      <w:r w:rsidR="00E978AD" w:rsidRPr="0026326C">
        <w:rPr>
          <w:rFonts w:asciiTheme="majorHAnsi" w:hAnsiTheme="majorHAnsi"/>
          <w:sz w:val="26"/>
          <w:szCs w:val="26"/>
          <w:lang w:val="en-US"/>
        </w:rPr>
        <w:br/>
      </w:r>
      <w:r w:rsidR="00E978AD" w:rsidRPr="0026326C">
        <w:rPr>
          <w:rFonts w:asciiTheme="majorHAnsi" w:hAnsiTheme="majorHAnsi"/>
          <w:sz w:val="26"/>
          <w:szCs w:val="26"/>
          <w:lang w:val="en-US"/>
        </w:rPr>
        <w:tab/>
        <w:t xml:space="preserve">In the comparative analysis between the Southern Pietrarsa and the Northern Ansaldo, credit </w:t>
      </w:r>
      <w:r w:rsidR="007B3D2D">
        <w:rPr>
          <w:rFonts w:asciiTheme="majorHAnsi" w:hAnsiTheme="majorHAnsi"/>
          <w:sz w:val="26"/>
          <w:szCs w:val="26"/>
          <w:lang w:val="en-US"/>
        </w:rPr>
        <w:t>availability</w:t>
      </w:r>
      <w:r w:rsidR="00E978AD" w:rsidRPr="0026326C">
        <w:rPr>
          <w:rFonts w:asciiTheme="majorHAnsi" w:hAnsiTheme="majorHAnsi"/>
          <w:sz w:val="26"/>
          <w:szCs w:val="26"/>
          <w:lang w:val="en-US"/>
        </w:rPr>
        <w:t xml:space="preserve">, public contracts and favorable privatization contracts will be defined as mobile capitals. Their different concentration in </w:t>
      </w:r>
      <w:r w:rsidR="007F4FDE" w:rsidRPr="0026326C">
        <w:rPr>
          <w:rFonts w:asciiTheme="majorHAnsi" w:hAnsiTheme="majorHAnsi"/>
          <w:sz w:val="26"/>
          <w:szCs w:val="26"/>
          <w:lang w:val="en-US"/>
        </w:rPr>
        <w:t xml:space="preserve">both factories will be </w:t>
      </w:r>
      <w:r w:rsidR="007F4FDE" w:rsidRPr="0026326C">
        <w:rPr>
          <w:rFonts w:asciiTheme="majorHAnsi" w:hAnsiTheme="majorHAnsi"/>
          <w:sz w:val="26"/>
          <w:szCs w:val="26"/>
          <w:lang w:val="en-US"/>
        </w:rPr>
        <w:lastRenderedPageBreak/>
        <w:t>compared,</w:t>
      </w:r>
      <w:r w:rsidR="00E978AD" w:rsidRPr="0026326C">
        <w:rPr>
          <w:rFonts w:asciiTheme="majorHAnsi" w:hAnsiTheme="majorHAnsi"/>
          <w:sz w:val="26"/>
          <w:szCs w:val="26"/>
          <w:lang w:val="en-US"/>
        </w:rPr>
        <w:t xml:space="preserve"> but instead of focusing on </w:t>
      </w:r>
      <w:r w:rsidR="007F4FDE" w:rsidRPr="0026326C">
        <w:rPr>
          <w:rFonts w:asciiTheme="majorHAnsi" w:hAnsiTheme="majorHAnsi"/>
          <w:sz w:val="26"/>
          <w:szCs w:val="26"/>
          <w:lang w:val="en-US"/>
        </w:rPr>
        <w:t xml:space="preserve">the pull that natural regional advantages exercised on them, they will be linked to the institutional continuity with Piedmont. </w:t>
      </w:r>
      <w:r w:rsidR="00212BB3" w:rsidRPr="0026326C">
        <w:rPr>
          <w:rFonts w:asciiTheme="majorHAnsi" w:hAnsiTheme="majorHAnsi"/>
          <w:sz w:val="26"/>
          <w:szCs w:val="26"/>
          <w:lang w:val="en-US"/>
        </w:rPr>
        <w:t>T</w:t>
      </w:r>
      <w:r w:rsidR="00F56221" w:rsidRPr="0026326C">
        <w:rPr>
          <w:rFonts w:asciiTheme="majorHAnsi" w:hAnsiTheme="majorHAnsi"/>
          <w:sz w:val="26"/>
          <w:szCs w:val="26"/>
          <w:lang w:val="en-US"/>
        </w:rPr>
        <w:t xml:space="preserve">his thesis aims to </w:t>
      </w:r>
      <w:r w:rsidR="00212BB3" w:rsidRPr="0026326C">
        <w:rPr>
          <w:rFonts w:asciiTheme="majorHAnsi" w:hAnsiTheme="majorHAnsi"/>
          <w:sz w:val="26"/>
          <w:szCs w:val="26"/>
          <w:lang w:val="en-US"/>
        </w:rPr>
        <w:t>enlarge the scope of existing research by</w:t>
      </w:r>
      <w:r w:rsidR="007F3CB6" w:rsidRPr="0026326C">
        <w:rPr>
          <w:rFonts w:asciiTheme="majorHAnsi" w:hAnsiTheme="majorHAnsi"/>
          <w:sz w:val="26"/>
          <w:szCs w:val="26"/>
          <w:lang w:val="en-US"/>
        </w:rPr>
        <w:t xml:space="preserve"> including the political aspect,</w:t>
      </w:r>
      <w:r w:rsidR="00212BB3" w:rsidRPr="0026326C">
        <w:rPr>
          <w:rFonts w:asciiTheme="majorHAnsi" w:hAnsiTheme="majorHAnsi"/>
          <w:sz w:val="26"/>
          <w:szCs w:val="26"/>
          <w:lang w:val="en-US"/>
        </w:rPr>
        <w:t xml:space="preserve"> focusing on </w:t>
      </w:r>
      <w:r w:rsidR="00F56221" w:rsidRPr="0026326C">
        <w:rPr>
          <w:rFonts w:asciiTheme="majorHAnsi" w:hAnsiTheme="majorHAnsi"/>
          <w:sz w:val="26"/>
          <w:szCs w:val="26"/>
          <w:lang w:val="en-US"/>
        </w:rPr>
        <w:t xml:space="preserve">a new type of immobile capital: the institutional continuity between the Italian state and the Kingdom of Sardinia. </w:t>
      </w:r>
      <w:r w:rsidR="00A92222" w:rsidRPr="0026326C">
        <w:rPr>
          <w:rFonts w:asciiTheme="majorHAnsi" w:hAnsiTheme="majorHAnsi"/>
          <w:sz w:val="26"/>
          <w:szCs w:val="26"/>
          <w:lang w:val="en-US"/>
        </w:rPr>
        <w:br/>
      </w:r>
      <w:r w:rsidR="00A92222" w:rsidRPr="0026326C">
        <w:rPr>
          <w:rFonts w:asciiTheme="majorHAnsi" w:hAnsiTheme="majorHAnsi"/>
          <w:sz w:val="26"/>
          <w:szCs w:val="26"/>
          <w:lang w:val="en-US"/>
        </w:rPr>
        <w:tab/>
        <w:t>Institution</w:t>
      </w:r>
      <w:r w:rsidR="0080402B" w:rsidRPr="0026326C">
        <w:rPr>
          <w:rFonts w:asciiTheme="majorHAnsi" w:hAnsiTheme="majorHAnsi"/>
          <w:sz w:val="26"/>
          <w:szCs w:val="26"/>
          <w:lang w:val="en-US"/>
        </w:rPr>
        <w:t>al continuity will be defined mainly in three</w:t>
      </w:r>
      <w:r w:rsidR="00424900" w:rsidRPr="0026326C">
        <w:rPr>
          <w:rFonts w:asciiTheme="majorHAnsi" w:hAnsiTheme="majorHAnsi"/>
          <w:sz w:val="26"/>
          <w:szCs w:val="26"/>
          <w:lang w:val="en-US"/>
        </w:rPr>
        <w:t xml:space="preserve"> features</w:t>
      </w:r>
      <w:r w:rsidR="0080402B" w:rsidRPr="0026326C">
        <w:rPr>
          <w:rFonts w:asciiTheme="majorHAnsi" w:hAnsiTheme="majorHAnsi"/>
          <w:sz w:val="26"/>
          <w:szCs w:val="26"/>
          <w:lang w:val="en-US"/>
        </w:rPr>
        <w:t>:</w:t>
      </w:r>
      <w:r w:rsidR="00A92222" w:rsidRPr="0026326C">
        <w:rPr>
          <w:rFonts w:asciiTheme="majorHAnsi" w:hAnsiTheme="majorHAnsi"/>
          <w:sz w:val="26"/>
          <w:szCs w:val="26"/>
          <w:lang w:val="en-US"/>
        </w:rPr>
        <w:t xml:space="preserve"> the extension of Piedmontese legislation in the unification process</w:t>
      </w:r>
      <w:r w:rsidR="00327D0B" w:rsidRPr="0026326C">
        <w:rPr>
          <w:rFonts w:asciiTheme="majorHAnsi" w:hAnsiTheme="majorHAnsi"/>
          <w:sz w:val="26"/>
          <w:szCs w:val="26"/>
          <w:lang w:val="en-US"/>
        </w:rPr>
        <w:t>, the continuity of</w:t>
      </w:r>
      <w:r w:rsidR="0080402B" w:rsidRPr="0026326C">
        <w:rPr>
          <w:rFonts w:asciiTheme="majorHAnsi" w:hAnsiTheme="majorHAnsi"/>
          <w:sz w:val="26"/>
          <w:szCs w:val="26"/>
          <w:lang w:val="en-US"/>
        </w:rPr>
        <w:t xml:space="preserve"> Piedmontese nobility </w:t>
      </w:r>
      <w:r w:rsidR="00327D0B" w:rsidRPr="0026326C">
        <w:rPr>
          <w:rFonts w:asciiTheme="majorHAnsi" w:hAnsiTheme="majorHAnsi"/>
          <w:sz w:val="26"/>
          <w:szCs w:val="26"/>
          <w:lang w:val="en-US"/>
        </w:rPr>
        <w:t xml:space="preserve">and military ranks </w:t>
      </w:r>
      <w:r w:rsidR="0080402B" w:rsidRPr="0026326C">
        <w:rPr>
          <w:rFonts w:asciiTheme="majorHAnsi" w:hAnsiTheme="majorHAnsi"/>
          <w:sz w:val="26"/>
          <w:szCs w:val="26"/>
          <w:lang w:val="en-US"/>
        </w:rPr>
        <w:t xml:space="preserve">in the nomination of Navy ministers and </w:t>
      </w:r>
      <w:r w:rsidR="00424900" w:rsidRPr="0026326C">
        <w:rPr>
          <w:rFonts w:asciiTheme="majorHAnsi" w:hAnsiTheme="majorHAnsi"/>
          <w:sz w:val="26"/>
          <w:szCs w:val="26"/>
          <w:lang w:val="en-US"/>
        </w:rPr>
        <w:t>the expansion of the National Bank</w:t>
      </w:r>
      <w:r w:rsidR="007C4842" w:rsidRPr="0026326C">
        <w:rPr>
          <w:rFonts w:asciiTheme="majorHAnsi" w:hAnsiTheme="majorHAnsi"/>
          <w:sz w:val="26"/>
          <w:szCs w:val="26"/>
          <w:lang w:val="en-US"/>
        </w:rPr>
        <w:t xml:space="preserve"> of Sardinian States</w:t>
      </w:r>
      <w:r w:rsidR="00424900" w:rsidRPr="0026326C">
        <w:rPr>
          <w:rFonts w:asciiTheme="majorHAnsi" w:hAnsiTheme="majorHAnsi"/>
          <w:sz w:val="26"/>
          <w:szCs w:val="26"/>
          <w:lang w:val="en-US"/>
        </w:rPr>
        <w:t xml:space="preserve">, </w:t>
      </w:r>
      <w:r w:rsidR="007C4842" w:rsidRPr="0026326C">
        <w:rPr>
          <w:rFonts w:asciiTheme="majorHAnsi" w:hAnsiTheme="majorHAnsi"/>
          <w:sz w:val="26"/>
          <w:szCs w:val="26"/>
          <w:lang w:val="en-US"/>
        </w:rPr>
        <w:t>which continued a post-unification privileged relationship with the state that started in 1849 with Cavour</w:t>
      </w:r>
      <w:r w:rsidR="00A92222" w:rsidRPr="0026326C">
        <w:rPr>
          <w:rFonts w:asciiTheme="majorHAnsi" w:hAnsiTheme="majorHAnsi"/>
          <w:sz w:val="26"/>
          <w:szCs w:val="26"/>
          <w:lang w:val="en-US"/>
        </w:rPr>
        <w:t>.</w:t>
      </w:r>
      <w:r w:rsidR="007C4842" w:rsidRPr="0026326C">
        <w:rPr>
          <w:rStyle w:val="FootnoteReference"/>
          <w:rFonts w:asciiTheme="majorHAnsi" w:hAnsiTheme="majorHAnsi"/>
          <w:sz w:val="26"/>
          <w:szCs w:val="26"/>
          <w:lang w:val="en-US"/>
        </w:rPr>
        <w:footnoteReference w:id="74"/>
      </w:r>
      <w:r w:rsidR="00A92222" w:rsidRPr="0026326C">
        <w:rPr>
          <w:rFonts w:asciiTheme="majorHAnsi" w:hAnsiTheme="majorHAnsi"/>
          <w:sz w:val="26"/>
          <w:szCs w:val="26"/>
          <w:lang w:val="en-US"/>
        </w:rPr>
        <w:t xml:space="preserve"> </w:t>
      </w:r>
      <w:r w:rsidR="00DA58EB">
        <w:rPr>
          <w:rFonts w:asciiTheme="majorHAnsi" w:hAnsiTheme="majorHAnsi"/>
          <w:sz w:val="26"/>
          <w:szCs w:val="26"/>
          <w:lang w:val="en-US"/>
        </w:rPr>
        <w:t>Those aspects will be linked in turn to privatization contract</w:t>
      </w:r>
      <w:r w:rsidR="007B3D2D">
        <w:rPr>
          <w:rFonts w:asciiTheme="majorHAnsi" w:hAnsiTheme="majorHAnsi"/>
          <w:sz w:val="26"/>
          <w:szCs w:val="26"/>
          <w:lang w:val="en-US"/>
        </w:rPr>
        <w:t>s, public contracts and credit availability</w:t>
      </w:r>
      <w:r w:rsidR="00DA58EB">
        <w:rPr>
          <w:rFonts w:asciiTheme="majorHAnsi" w:hAnsiTheme="majorHAnsi"/>
          <w:sz w:val="26"/>
          <w:szCs w:val="26"/>
          <w:lang w:val="en-US"/>
        </w:rPr>
        <w:t xml:space="preserve">. </w:t>
      </w:r>
      <w:r w:rsidR="00F119FE" w:rsidRPr="0026326C">
        <w:rPr>
          <w:rFonts w:asciiTheme="majorHAnsi" w:hAnsiTheme="majorHAnsi"/>
          <w:sz w:val="26"/>
          <w:szCs w:val="26"/>
          <w:lang w:val="en-US"/>
        </w:rPr>
        <w:t xml:space="preserve">In conclusion, </w:t>
      </w:r>
      <w:r w:rsidR="00104E70" w:rsidRPr="0026326C">
        <w:rPr>
          <w:rFonts w:asciiTheme="majorHAnsi" w:hAnsiTheme="majorHAnsi"/>
          <w:sz w:val="26"/>
          <w:szCs w:val="26"/>
          <w:lang w:val="en-US"/>
        </w:rPr>
        <w:t>credit, public contracts, state-enterprise contracts will be defined as mobile capitals, while Piedmontese institutional</w:t>
      </w:r>
      <w:r w:rsidR="009E7335" w:rsidRPr="0026326C">
        <w:rPr>
          <w:rFonts w:asciiTheme="majorHAnsi" w:hAnsiTheme="majorHAnsi"/>
          <w:sz w:val="26"/>
          <w:szCs w:val="26"/>
          <w:lang w:val="en-US"/>
        </w:rPr>
        <w:t xml:space="preserve"> continuity as a form of fixed</w:t>
      </w:r>
      <w:r w:rsidR="00104E70" w:rsidRPr="0026326C">
        <w:rPr>
          <w:rFonts w:asciiTheme="majorHAnsi" w:hAnsiTheme="majorHAnsi"/>
          <w:sz w:val="26"/>
          <w:szCs w:val="26"/>
          <w:lang w:val="en-US"/>
        </w:rPr>
        <w:t xml:space="preserve"> capital which attracted a higher concentration of the former. </w:t>
      </w:r>
    </w:p>
    <w:p w14:paraId="329B9394" w14:textId="77777777" w:rsidR="00006C8A" w:rsidRDefault="00006C8A" w:rsidP="00CB0094">
      <w:pPr>
        <w:rPr>
          <w:rFonts w:asciiTheme="majorHAnsi" w:hAnsiTheme="majorHAnsi"/>
          <w:b/>
          <w:sz w:val="40"/>
          <w:szCs w:val="40"/>
        </w:rPr>
      </w:pPr>
    </w:p>
    <w:p w14:paraId="646AC5ED" w14:textId="77777777" w:rsidR="009C5D13" w:rsidRDefault="009C5D13" w:rsidP="00CB0094">
      <w:pPr>
        <w:rPr>
          <w:rFonts w:asciiTheme="majorHAnsi" w:hAnsiTheme="majorHAnsi"/>
          <w:b/>
          <w:sz w:val="40"/>
          <w:szCs w:val="40"/>
        </w:rPr>
      </w:pPr>
    </w:p>
    <w:p w14:paraId="6F37FE85" w14:textId="77777777" w:rsidR="009C5D13" w:rsidRDefault="009C5D13" w:rsidP="00CB0094">
      <w:pPr>
        <w:rPr>
          <w:rFonts w:asciiTheme="majorHAnsi" w:hAnsiTheme="majorHAnsi"/>
          <w:b/>
          <w:sz w:val="40"/>
          <w:szCs w:val="40"/>
        </w:rPr>
      </w:pPr>
    </w:p>
    <w:p w14:paraId="522C23F5" w14:textId="77777777" w:rsidR="009C5D13" w:rsidRDefault="009C5D13" w:rsidP="00CB0094">
      <w:pPr>
        <w:rPr>
          <w:rFonts w:asciiTheme="majorHAnsi" w:hAnsiTheme="majorHAnsi"/>
          <w:b/>
          <w:sz w:val="40"/>
          <w:szCs w:val="40"/>
        </w:rPr>
      </w:pPr>
    </w:p>
    <w:p w14:paraId="5BBA14CF" w14:textId="77777777" w:rsidR="00D96A0A" w:rsidRDefault="00D96A0A" w:rsidP="0076650F">
      <w:pPr>
        <w:rPr>
          <w:rFonts w:asciiTheme="majorHAnsi" w:hAnsiTheme="majorHAnsi"/>
          <w:b/>
          <w:sz w:val="40"/>
          <w:szCs w:val="40"/>
        </w:rPr>
      </w:pPr>
    </w:p>
    <w:p w14:paraId="3986F112" w14:textId="77777777" w:rsidR="00970D1D" w:rsidRDefault="00970D1D" w:rsidP="00602BC0">
      <w:pPr>
        <w:jc w:val="center"/>
        <w:rPr>
          <w:rFonts w:asciiTheme="majorHAnsi" w:hAnsiTheme="majorHAnsi"/>
          <w:b/>
          <w:sz w:val="40"/>
          <w:szCs w:val="40"/>
        </w:rPr>
      </w:pPr>
    </w:p>
    <w:p w14:paraId="08DB1DBA" w14:textId="77777777" w:rsidR="00970D1D" w:rsidRDefault="00970D1D" w:rsidP="00602BC0">
      <w:pPr>
        <w:jc w:val="center"/>
        <w:rPr>
          <w:rFonts w:asciiTheme="majorHAnsi" w:hAnsiTheme="majorHAnsi"/>
          <w:b/>
          <w:sz w:val="40"/>
          <w:szCs w:val="40"/>
        </w:rPr>
      </w:pPr>
    </w:p>
    <w:p w14:paraId="59102868" w14:textId="77777777" w:rsidR="00970D1D" w:rsidRDefault="00970D1D" w:rsidP="00602BC0">
      <w:pPr>
        <w:jc w:val="center"/>
        <w:rPr>
          <w:rFonts w:asciiTheme="majorHAnsi" w:hAnsiTheme="majorHAnsi"/>
          <w:b/>
          <w:sz w:val="40"/>
          <w:szCs w:val="40"/>
        </w:rPr>
      </w:pPr>
    </w:p>
    <w:p w14:paraId="5BEB14B1" w14:textId="77777777" w:rsidR="00970D1D" w:rsidRDefault="00970D1D" w:rsidP="00602BC0">
      <w:pPr>
        <w:jc w:val="center"/>
        <w:rPr>
          <w:rFonts w:asciiTheme="majorHAnsi" w:hAnsiTheme="majorHAnsi"/>
          <w:b/>
          <w:sz w:val="40"/>
          <w:szCs w:val="40"/>
        </w:rPr>
      </w:pPr>
    </w:p>
    <w:p w14:paraId="6485AE41" w14:textId="77777777" w:rsidR="00970D1D" w:rsidRDefault="00970D1D" w:rsidP="00602BC0">
      <w:pPr>
        <w:jc w:val="center"/>
        <w:rPr>
          <w:rFonts w:asciiTheme="majorHAnsi" w:hAnsiTheme="majorHAnsi"/>
          <w:b/>
          <w:sz w:val="40"/>
          <w:szCs w:val="40"/>
        </w:rPr>
      </w:pPr>
    </w:p>
    <w:p w14:paraId="777AD94A" w14:textId="77777777" w:rsidR="00970D1D" w:rsidRDefault="00970D1D" w:rsidP="00602BC0">
      <w:pPr>
        <w:jc w:val="center"/>
        <w:rPr>
          <w:rFonts w:asciiTheme="majorHAnsi" w:hAnsiTheme="majorHAnsi"/>
          <w:b/>
          <w:sz w:val="40"/>
          <w:szCs w:val="40"/>
        </w:rPr>
      </w:pPr>
    </w:p>
    <w:p w14:paraId="3EEED861" w14:textId="77777777" w:rsidR="00970D1D" w:rsidRDefault="00970D1D" w:rsidP="00602BC0">
      <w:pPr>
        <w:jc w:val="center"/>
        <w:rPr>
          <w:rFonts w:asciiTheme="majorHAnsi" w:hAnsiTheme="majorHAnsi"/>
          <w:b/>
          <w:sz w:val="40"/>
          <w:szCs w:val="40"/>
        </w:rPr>
      </w:pPr>
    </w:p>
    <w:p w14:paraId="3016C661" w14:textId="77777777" w:rsidR="006C23E4" w:rsidRDefault="006C23E4" w:rsidP="00602BC0">
      <w:pPr>
        <w:jc w:val="center"/>
        <w:rPr>
          <w:rFonts w:asciiTheme="majorHAnsi" w:hAnsiTheme="majorHAnsi"/>
          <w:b/>
          <w:sz w:val="40"/>
          <w:szCs w:val="40"/>
        </w:rPr>
      </w:pPr>
      <w:r>
        <w:rPr>
          <w:rFonts w:asciiTheme="majorHAnsi" w:hAnsiTheme="majorHAnsi"/>
          <w:b/>
          <w:sz w:val="40"/>
          <w:szCs w:val="40"/>
        </w:rPr>
        <w:t>CHAPTER TWO</w:t>
      </w:r>
      <w:r>
        <w:rPr>
          <w:rFonts w:asciiTheme="majorHAnsi" w:hAnsiTheme="majorHAnsi"/>
          <w:b/>
          <w:sz w:val="40"/>
          <w:szCs w:val="40"/>
        </w:rPr>
        <w:br/>
        <w:t>Comparing the privatization contracts</w:t>
      </w:r>
    </w:p>
    <w:p w14:paraId="74C5490F" w14:textId="77777777" w:rsidR="006C23E4" w:rsidRDefault="006C23E4" w:rsidP="00602BC0">
      <w:pPr>
        <w:jc w:val="center"/>
        <w:rPr>
          <w:rFonts w:asciiTheme="majorHAnsi" w:hAnsiTheme="majorHAnsi"/>
          <w:b/>
          <w:sz w:val="40"/>
          <w:szCs w:val="40"/>
        </w:rPr>
      </w:pPr>
    </w:p>
    <w:p w14:paraId="4F90ABC6" w14:textId="77777777" w:rsidR="006C23E4" w:rsidRDefault="006C23E4" w:rsidP="00602BC0">
      <w:pPr>
        <w:jc w:val="center"/>
      </w:pPr>
      <w:r>
        <w:rPr>
          <w:noProof/>
          <w:lang w:eastAsia="it-IT"/>
        </w:rPr>
        <w:drawing>
          <wp:anchor distT="0" distB="0" distL="114300" distR="114300" simplePos="0" relativeHeight="251669504" behindDoc="1" locked="0" layoutInCell="1" allowOverlap="1" wp14:anchorId="057AFC49" wp14:editId="5A2D2FB2">
            <wp:simplePos x="0" y="0"/>
            <wp:positionH relativeFrom="column">
              <wp:posOffset>3811</wp:posOffset>
            </wp:positionH>
            <wp:positionV relativeFrom="paragraph">
              <wp:posOffset>1200150</wp:posOffset>
            </wp:positionV>
            <wp:extent cx="2800350" cy="1056472"/>
            <wp:effectExtent l="0" t="0" r="0" b="0"/>
            <wp:wrapNone/>
            <wp:docPr id="3" name="Picture 3" descr="Ansaldo - Centro Rete Biell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saldo - Centro Rete Bielle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10564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8480" behindDoc="1" locked="0" layoutInCell="1" allowOverlap="1" wp14:anchorId="128B9BD4" wp14:editId="10E5D787">
            <wp:simplePos x="0" y="0"/>
            <wp:positionH relativeFrom="column">
              <wp:posOffset>3810</wp:posOffset>
            </wp:positionH>
            <wp:positionV relativeFrom="paragraph">
              <wp:posOffset>2336165</wp:posOffset>
            </wp:positionV>
            <wp:extent cx="2800350" cy="2047240"/>
            <wp:effectExtent l="0" t="0" r="0" b="0"/>
            <wp:wrapNone/>
            <wp:docPr id="2" name="Picture 2" descr="Ansaldo, gli anni d'oro della fabbrica - l'Espr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saldo, gli anni d'oro della fabbrica - l'Espress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350"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32"/>
          <w:szCs w:val="32"/>
          <w:lang w:eastAsia="it-IT"/>
        </w:rPr>
        <w:drawing>
          <wp:anchor distT="0" distB="0" distL="114300" distR="114300" simplePos="0" relativeHeight="251667456" behindDoc="1" locked="0" layoutInCell="1" allowOverlap="1" wp14:anchorId="5C8A22C5" wp14:editId="3A64B968">
            <wp:simplePos x="0" y="0"/>
            <wp:positionH relativeFrom="column">
              <wp:posOffset>3318510</wp:posOffset>
            </wp:positionH>
            <wp:positionV relativeFrom="paragraph">
              <wp:posOffset>1252855</wp:posOffset>
            </wp:positionV>
            <wp:extent cx="2721610" cy="3137535"/>
            <wp:effectExtent l="0" t="0" r="2540" b="5715"/>
            <wp:wrapNone/>
            <wp:docPr id="1" name="Picture 1" descr="D:\Università\A - Tesi\Ricerca\Pietra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à\A - Tesi\Ricerca\Pietrars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1610" cy="3137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32"/>
          <w:szCs w:val="32"/>
        </w:rPr>
        <w:t>The comparative histories of Pietrarsa and Ansaldo during the first pre-unitary and post-unitary decades.</w:t>
      </w:r>
      <w:r w:rsidRPr="0030437F">
        <w:t xml:space="preserve"> </w:t>
      </w:r>
    </w:p>
    <w:p w14:paraId="7C1AB759" w14:textId="77777777" w:rsidR="006C23E4" w:rsidRDefault="006C23E4" w:rsidP="00602BC0">
      <w:pPr>
        <w:jc w:val="center"/>
      </w:pPr>
    </w:p>
    <w:p w14:paraId="27F8CB2B" w14:textId="77777777" w:rsidR="006C23E4" w:rsidRDefault="006C23E4" w:rsidP="00602BC0">
      <w:pPr>
        <w:jc w:val="center"/>
      </w:pPr>
    </w:p>
    <w:p w14:paraId="0E96F196" w14:textId="77777777" w:rsidR="006C23E4" w:rsidRDefault="006C23E4" w:rsidP="00602BC0">
      <w:pPr>
        <w:jc w:val="center"/>
      </w:pPr>
    </w:p>
    <w:p w14:paraId="4FBECD79" w14:textId="77777777" w:rsidR="006C23E4" w:rsidRDefault="006C23E4" w:rsidP="00602BC0">
      <w:pPr>
        <w:jc w:val="center"/>
      </w:pPr>
    </w:p>
    <w:p w14:paraId="65DD8DD2" w14:textId="77777777" w:rsidR="006C23E4" w:rsidRDefault="006C23E4" w:rsidP="00602BC0">
      <w:pPr>
        <w:jc w:val="center"/>
      </w:pPr>
    </w:p>
    <w:p w14:paraId="7F969C95" w14:textId="77777777" w:rsidR="006C23E4" w:rsidRDefault="006C23E4" w:rsidP="00602BC0">
      <w:pPr>
        <w:jc w:val="center"/>
      </w:pPr>
    </w:p>
    <w:p w14:paraId="50020487" w14:textId="77777777" w:rsidR="006C23E4" w:rsidRDefault="006C23E4" w:rsidP="00602BC0">
      <w:pPr>
        <w:jc w:val="center"/>
      </w:pPr>
    </w:p>
    <w:p w14:paraId="78748761" w14:textId="77777777" w:rsidR="006C23E4" w:rsidRDefault="006C23E4" w:rsidP="00602BC0">
      <w:pPr>
        <w:jc w:val="center"/>
      </w:pPr>
    </w:p>
    <w:p w14:paraId="297A9A5D" w14:textId="77777777" w:rsidR="006C23E4" w:rsidRDefault="006C23E4" w:rsidP="00602BC0">
      <w:pPr>
        <w:jc w:val="center"/>
      </w:pPr>
    </w:p>
    <w:p w14:paraId="5F809AA7" w14:textId="77777777" w:rsidR="006C23E4" w:rsidRDefault="006C23E4" w:rsidP="00602BC0">
      <w:pPr>
        <w:jc w:val="center"/>
      </w:pPr>
    </w:p>
    <w:p w14:paraId="63B9F3B3" w14:textId="77777777" w:rsidR="006C23E4" w:rsidRDefault="006C23E4" w:rsidP="00602BC0">
      <w:pPr>
        <w:jc w:val="center"/>
      </w:pPr>
    </w:p>
    <w:p w14:paraId="6FC6FD9B" w14:textId="77777777" w:rsidR="006C23E4" w:rsidRDefault="006C23E4" w:rsidP="00602BC0">
      <w:pPr>
        <w:jc w:val="center"/>
      </w:pPr>
    </w:p>
    <w:p w14:paraId="3FFC0C82" w14:textId="77777777" w:rsidR="006C23E4" w:rsidRDefault="006C23E4" w:rsidP="00602BC0">
      <w:pPr>
        <w:rPr>
          <w:rFonts w:asciiTheme="majorHAnsi" w:hAnsiTheme="majorHAnsi"/>
          <w:sz w:val="32"/>
          <w:szCs w:val="32"/>
        </w:rPr>
      </w:pPr>
    </w:p>
    <w:p w14:paraId="4378B1F7" w14:textId="1BD73E8B" w:rsidR="006C23E4" w:rsidRDefault="00A51A82" w:rsidP="00602BC0">
      <w:pPr>
        <w:rPr>
          <w:rFonts w:asciiTheme="majorHAnsi" w:hAnsiTheme="majorHAnsi"/>
          <w:b/>
          <w:sz w:val="32"/>
          <w:szCs w:val="32"/>
        </w:rPr>
      </w:pPr>
      <w:r>
        <w:rPr>
          <w:rFonts w:asciiTheme="majorHAnsi" w:hAnsiTheme="majorHAnsi"/>
          <w:b/>
          <w:sz w:val="32"/>
          <w:szCs w:val="32"/>
        </w:rPr>
        <w:t>How did institutional continuities influence the respective privatization contracts of Pietrarsa and Ansaldo?</w:t>
      </w:r>
      <w:r>
        <w:rPr>
          <w:rFonts w:asciiTheme="majorHAnsi" w:hAnsiTheme="majorHAnsi"/>
          <w:b/>
          <w:sz w:val="32"/>
          <w:szCs w:val="32"/>
        </w:rPr>
        <w:br/>
      </w:r>
      <w:r>
        <w:rPr>
          <w:rFonts w:asciiTheme="majorHAnsi" w:hAnsiTheme="majorHAnsi"/>
          <w:b/>
          <w:sz w:val="32"/>
          <w:szCs w:val="32"/>
        </w:rPr>
        <w:br/>
      </w:r>
      <w:r w:rsidR="00600EF5" w:rsidRPr="00600EF5">
        <w:rPr>
          <w:rFonts w:asciiTheme="majorHAnsi" w:hAnsiTheme="majorHAnsi"/>
          <w:b/>
          <w:sz w:val="32"/>
          <w:szCs w:val="32"/>
        </w:rPr>
        <w:t>Chapter outline</w:t>
      </w:r>
    </w:p>
    <w:p w14:paraId="0850294D" w14:textId="77777777" w:rsidR="00600EF5" w:rsidRDefault="00600EF5" w:rsidP="00600EF5">
      <w:pPr>
        <w:pStyle w:val="ListParagraph"/>
        <w:numPr>
          <w:ilvl w:val="0"/>
          <w:numId w:val="2"/>
        </w:numPr>
        <w:rPr>
          <w:rFonts w:asciiTheme="majorHAnsi" w:hAnsiTheme="majorHAnsi"/>
          <w:b/>
          <w:sz w:val="26"/>
          <w:szCs w:val="26"/>
        </w:rPr>
      </w:pPr>
      <w:r>
        <w:rPr>
          <w:rFonts w:asciiTheme="majorHAnsi" w:hAnsiTheme="majorHAnsi"/>
          <w:b/>
          <w:sz w:val="26"/>
          <w:szCs w:val="26"/>
        </w:rPr>
        <w:t>Brief history of Pietrarsa</w:t>
      </w:r>
    </w:p>
    <w:p w14:paraId="064D16EA" w14:textId="77777777" w:rsidR="00600EF5" w:rsidRDefault="00600EF5" w:rsidP="00600EF5">
      <w:pPr>
        <w:pStyle w:val="ListParagraph"/>
        <w:numPr>
          <w:ilvl w:val="0"/>
          <w:numId w:val="2"/>
        </w:numPr>
        <w:rPr>
          <w:rFonts w:asciiTheme="majorHAnsi" w:hAnsiTheme="majorHAnsi"/>
          <w:b/>
          <w:sz w:val="26"/>
          <w:szCs w:val="26"/>
        </w:rPr>
      </w:pPr>
      <w:r>
        <w:rPr>
          <w:rFonts w:asciiTheme="majorHAnsi" w:hAnsiTheme="majorHAnsi"/>
          <w:b/>
          <w:sz w:val="26"/>
          <w:szCs w:val="26"/>
        </w:rPr>
        <w:t>Brief history of Ansaldo</w:t>
      </w:r>
    </w:p>
    <w:p w14:paraId="5674BB5D" w14:textId="77777777" w:rsidR="00600EF5" w:rsidRDefault="00600EF5" w:rsidP="00600EF5">
      <w:pPr>
        <w:pStyle w:val="ListParagraph"/>
        <w:numPr>
          <w:ilvl w:val="0"/>
          <w:numId w:val="2"/>
        </w:numPr>
        <w:rPr>
          <w:rFonts w:asciiTheme="majorHAnsi" w:hAnsiTheme="majorHAnsi"/>
          <w:b/>
          <w:sz w:val="26"/>
          <w:szCs w:val="26"/>
        </w:rPr>
      </w:pPr>
      <w:r>
        <w:rPr>
          <w:rFonts w:asciiTheme="majorHAnsi" w:hAnsiTheme="majorHAnsi"/>
          <w:b/>
          <w:sz w:val="26"/>
          <w:szCs w:val="26"/>
        </w:rPr>
        <w:t>The privatization contract of Pietrarsa</w:t>
      </w:r>
    </w:p>
    <w:p w14:paraId="5744CD01" w14:textId="77777777" w:rsidR="00600EF5" w:rsidRDefault="00600EF5" w:rsidP="00600EF5">
      <w:pPr>
        <w:pStyle w:val="ListParagraph"/>
        <w:numPr>
          <w:ilvl w:val="0"/>
          <w:numId w:val="2"/>
        </w:numPr>
        <w:rPr>
          <w:rFonts w:asciiTheme="majorHAnsi" w:hAnsiTheme="majorHAnsi"/>
          <w:b/>
          <w:sz w:val="26"/>
          <w:szCs w:val="26"/>
        </w:rPr>
      </w:pPr>
      <w:r>
        <w:rPr>
          <w:rFonts w:asciiTheme="majorHAnsi" w:hAnsiTheme="majorHAnsi"/>
          <w:b/>
          <w:sz w:val="26"/>
          <w:szCs w:val="26"/>
        </w:rPr>
        <w:t>The privatization contract of Ansaldo</w:t>
      </w:r>
    </w:p>
    <w:p w14:paraId="04160B17" w14:textId="30319C15" w:rsidR="0076650F" w:rsidRPr="002C2EDC" w:rsidRDefault="00600EF5" w:rsidP="002C2EDC">
      <w:pPr>
        <w:pStyle w:val="ListParagraph"/>
        <w:numPr>
          <w:ilvl w:val="0"/>
          <w:numId w:val="2"/>
        </w:numPr>
        <w:rPr>
          <w:rFonts w:asciiTheme="majorHAnsi" w:hAnsiTheme="majorHAnsi"/>
          <w:b/>
          <w:sz w:val="26"/>
          <w:szCs w:val="26"/>
        </w:rPr>
      </w:pPr>
      <w:r>
        <w:rPr>
          <w:rFonts w:asciiTheme="majorHAnsi" w:hAnsiTheme="majorHAnsi"/>
          <w:b/>
          <w:sz w:val="26"/>
          <w:szCs w:val="26"/>
        </w:rPr>
        <w:t>Final confrontation</w:t>
      </w:r>
      <w:r w:rsidR="00094E33">
        <w:rPr>
          <w:rFonts w:asciiTheme="majorHAnsi" w:hAnsiTheme="majorHAnsi"/>
          <w:b/>
          <w:sz w:val="26"/>
          <w:szCs w:val="26"/>
        </w:rPr>
        <w:t xml:space="preserve"> and link to institutional continuities</w:t>
      </w:r>
    </w:p>
    <w:p w14:paraId="749C3DB0" w14:textId="77777777" w:rsidR="006C23E4" w:rsidRPr="0026326C" w:rsidRDefault="006C23E4">
      <w:pPr>
        <w:rPr>
          <w:rFonts w:asciiTheme="majorHAnsi" w:hAnsiTheme="majorHAnsi"/>
          <w:b/>
          <w:sz w:val="26"/>
          <w:szCs w:val="26"/>
          <w:lang w:val="en-US"/>
        </w:rPr>
      </w:pPr>
      <w:r w:rsidRPr="0026326C">
        <w:rPr>
          <w:rFonts w:asciiTheme="majorHAnsi" w:hAnsiTheme="majorHAnsi"/>
          <w:b/>
          <w:sz w:val="26"/>
          <w:szCs w:val="26"/>
          <w:lang w:val="en-US"/>
        </w:rPr>
        <w:lastRenderedPageBreak/>
        <w:t>Brief history of Pietrarsa</w:t>
      </w:r>
    </w:p>
    <w:p w14:paraId="28F777AF" w14:textId="3CC5EED7" w:rsidR="006C23E4" w:rsidRPr="0026326C" w:rsidRDefault="006C23E4">
      <w:pPr>
        <w:rPr>
          <w:rFonts w:asciiTheme="majorHAnsi" w:hAnsiTheme="majorHAnsi"/>
          <w:sz w:val="26"/>
          <w:szCs w:val="26"/>
          <w:lang w:val="en-US"/>
        </w:rPr>
      </w:pPr>
      <w:r w:rsidRPr="0026326C">
        <w:rPr>
          <w:rFonts w:asciiTheme="majorHAnsi" w:hAnsiTheme="majorHAnsi"/>
          <w:sz w:val="26"/>
          <w:szCs w:val="26"/>
          <w:lang w:val="en-US"/>
        </w:rPr>
        <w:t>The mecha</w:t>
      </w:r>
      <w:r w:rsidR="00954A09">
        <w:rPr>
          <w:rFonts w:asciiTheme="majorHAnsi" w:hAnsiTheme="majorHAnsi"/>
          <w:sz w:val="26"/>
          <w:szCs w:val="26"/>
          <w:lang w:val="en-US"/>
        </w:rPr>
        <w:t xml:space="preserve">nic establishment of Pietrarsa </w:t>
      </w:r>
      <w:r w:rsidRPr="0026326C">
        <w:rPr>
          <w:rFonts w:asciiTheme="majorHAnsi" w:hAnsiTheme="majorHAnsi"/>
          <w:sz w:val="26"/>
          <w:szCs w:val="26"/>
          <w:lang w:val="en-US"/>
        </w:rPr>
        <w:t>was built in 1843 by the Bourbons of Naples in order to free the dynasty from British industrial and military dependence.</w:t>
      </w:r>
      <w:r w:rsidRPr="0026326C">
        <w:rPr>
          <w:rStyle w:val="FootnoteReference"/>
          <w:rFonts w:asciiTheme="majorHAnsi" w:hAnsiTheme="majorHAnsi"/>
          <w:sz w:val="26"/>
          <w:szCs w:val="26"/>
          <w:lang w:val="en-US"/>
        </w:rPr>
        <w:footnoteReference w:id="75"/>
      </w:r>
      <w:r w:rsidRPr="0026326C">
        <w:rPr>
          <w:rFonts w:asciiTheme="majorHAnsi" w:hAnsiTheme="majorHAnsi"/>
          <w:sz w:val="26"/>
          <w:szCs w:val="26"/>
          <w:lang w:val="en-US"/>
        </w:rPr>
        <w:t xml:space="preserve"> It included ironworks, foundries and mechanic workshops in order to produce naval machines, locomotives and railways, wrought iron for military and civil use, and pyrotechnical productions.</w:t>
      </w:r>
      <w:r w:rsidRPr="0026326C">
        <w:rPr>
          <w:rStyle w:val="FootnoteReference"/>
          <w:rFonts w:asciiTheme="majorHAnsi" w:hAnsiTheme="majorHAnsi"/>
          <w:sz w:val="26"/>
          <w:szCs w:val="26"/>
          <w:lang w:val="en-US"/>
        </w:rPr>
        <w:footnoteReference w:id="76"/>
      </w:r>
      <w:r w:rsidRPr="0026326C">
        <w:rPr>
          <w:rFonts w:asciiTheme="majorHAnsi" w:hAnsiTheme="majorHAnsi"/>
          <w:sz w:val="26"/>
          <w:szCs w:val="26"/>
          <w:lang w:val="en-US"/>
        </w:rPr>
        <w:t xml:space="preserve"> Operating within a protectionist regime, the industry operated with modest positive economic results, especially in the mechanic sector, notwithstanding losses from ironworks and administration related inefficiencies.</w:t>
      </w:r>
      <w:r w:rsidRPr="0026326C">
        <w:rPr>
          <w:rStyle w:val="FootnoteReference"/>
          <w:rFonts w:asciiTheme="majorHAnsi" w:hAnsiTheme="majorHAnsi"/>
          <w:sz w:val="26"/>
          <w:szCs w:val="26"/>
          <w:lang w:val="en-US"/>
        </w:rPr>
        <w:t xml:space="preserve"> </w:t>
      </w:r>
      <w:r w:rsidRPr="0026326C">
        <w:rPr>
          <w:rStyle w:val="FootnoteReference"/>
          <w:rFonts w:asciiTheme="majorHAnsi" w:hAnsiTheme="majorHAnsi"/>
          <w:sz w:val="26"/>
          <w:szCs w:val="26"/>
          <w:lang w:val="en-US"/>
        </w:rPr>
        <w:footnoteReference w:id="77"/>
      </w:r>
      <w:r w:rsidRPr="0026326C">
        <w:rPr>
          <w:rFonts w:asciiTheme="majorHAnsi" w:hAnsiTheme="majorHAnsi"/>
          <w:sz w:val="26"/>
          <w:szCs w:val="26"/>
          <w:lang w:val="en-US"/>
        </w:rPr>
        <w:t xml:space="preserve">  It relied on state commissions and initial importation of foreign technology as well as techniques from abroad.</w:t>
      </w:r>
      <w:r w:rsidRPr="0026326C">
        <w:rPr>
          <w:rStyle w:val="FootnoteReference"/>
          <w:rFonts w:asciiTheme="majorHAnsi" w:hAnsiTheme="majorHAnsi"/>
          <w:sz w:val="26"/>
          <w:szCs w:val="26"/>
          <w:lang w:val="en-US"/>
        </w:rPr>
        <w:footnoteReference w:id="78"/>
      </w:r>
      <w:r w:rsidRPr="0026326C">
        <w:rPr>
          <w:rFonts w:asciiTheme="majorHAnsi" w:hAnsiTheme="majorHAnsi"/>
          <w:sz w:val="26"/>
          <w:szCs w:val="26"/>
          <w:lang w:val="en-US"/>
        </w:rPr>
        <w:br/>
      </w:r>
      <w:r w:rsidRPr="0026326C">
        <w:rPr>
          <w:rFonts w:asciiTheme="majorHAnsi" w:hAnsiTheme="majorHAnsi"/>
          <w:sz w:val="26"/>
          <w:szCs w:val="26"/>
          <w:lang w:val="en-US"/>
        </w:rPr>
        <w:tab/>
        <w:t>After Italy was unified the factory would remain three years under provisional state administration until 1863.</w:t>
      </w:r>
      <w:r w:rsidRPr="0026326C">
        <w:rPr>
          <w:rStyle w:val="FootnoteReference"/>
          <w:rFonts w:asciiTheme="majorHAnsi" w:hAnsiTheme="majorHAnsi"/>
          <w:sz w:val="26"/>
          <w:szCs w:val="26"/>
          <w:lang w:val="en-US"/>
        </w:rPr>
        <w:footnoteReference w:id="79"/>
      </w:r>
      <w:r w:rsidRPr="0026326C">
        <w:rPr>
          <w:rFonts w:asciiTheme="majorHAnsi" w:hAnsiTheme="majorHAnsi"/>
          <w:sz w:val="26"/>
          <w:szCs w:val="26"/>
          <w:lang w:val="en-US"/>
        </w:rPr>
        <w:t xml:space="preserve"> </w:t>
      </w:r>
      <w:r w:rsidR="00954A09">
        <w:rPr>
          <w:rFonts w:asciiTheme="majorHAnsi" w:hAnsiTheme="majorHAnsi"/>
          <w:sz w:val="26"/>
          <w:szCs w:val="26"/>
          <w:lang w:val="en-US"/>
        </w:rPr>
        <w:t>Finally, in 1863 it was</w:t>
      </w:r>
      <w:r w:rsidRPr="0026326C">
        <w:rPr>
          <w:rFonts w:asciiTheme="majorHAnsi" w:hAnsiTheme="majorHAnsi"/>
          <w:sz w:val="26"/>
          <w:szCs w:val="26"/>
          <w:lang w:val="en-US"/>
        </w:rPr>
        <w:t xml:space="preserve"> </w:t>
      </w:r>
      <w:r w:rsidR="000659AA">
        <w:rPr>
          <w:rFonts w:asciiTheme="majorHAnsi" w:hAnsiTheme="majorHAnsi"/>
          <w:sz w:val="26"/>
          <w:szCs w:val="26"/>
          <w:lang w:val="en-US"/>
        </w:rPr>
        <w:t>rented to a businessman</w:t>
      </w:r>
      <w:r w:rsidRPr="0026326C">
        <w:rPr>
          <w:rFonts w:asciiTheme="majorHAnsi" w:hAnsiTheme="majorHAnsi"/>
          <w:sz w:val="26"/>
          <w:szCs w:val="26"/>
          <w:lang w:val="en-US"/>
        </w:rPr>
        <w:t xml:space="preserve"> named Bozza; the enterprise</w:t>
      </w:r>
      <w:r w:rsidR="00954A09">
        <w:rPr>
          <w:rFonts w:asciiTheme="majorHAnsi" w:hAnsiTheme="majorHAnsi"/>
          <w:sz w:val="26"/>
          <w:szCs w:val="26"/>
          <w:lang w:val="en-US"/>
        </w:rPr>
        <w:t>, however,</w:t>
      </w:r>
      <w:r w:rsidRPr="0026326C">
        <w:rPr>
          <w:rFonts w:asciiTheme="majorHAnsi" w:hAnsiTheme="majorHAnsi"/>
          <w:sz w:val="26"/>
          <w:szCs w:val="26"/>
          <w:lang w:val="en-US"/>
        </w:rPr>
        <w:t xml:space="preserve"> failed shortly after however.</w:t>
      </w:r>
      <w:r w:rsidRPr="0026326C">
        <w:rPr>
          <w:rStyle w:val="FootnoteReference"/>
          <w:rFonts w:asciiTheme="majorHAnsi" w:hAnsiTheme="majorHAnsi"/>
          <w:sz w:val="26"/>
          <w:szCs w:val="26"/>
          <w:lang w:val="en-US"/>
        </w:rPr>
        <w:footnoteReference w:id="80"/>
      </w:r>
      <w:r w:rsidR="00954A09">
        <w:rPr>
          <w:rFonts w:asciiTheme="majorHAnsi" w:hAnsiTheme="majorHAnsi"/>
          <w:sz w:val="26"/>
          <w:szCs w:val="26"/>
          <w:lang w:val="en-US"/>
        </w:rPr>
        <w:t xml:space="preserve"> </w:t>
      </w:r>
      <w:r w:rsidRPr="0026326C">
        <w:rPr>
          <w:rFonts w:asciiTheme="majorHAnsi" w:hAnsiTheme="majorHAnsi"/>
          <w:sz w:val="26"/>
          <w:szCs w:val="26"/>
          <w:lang w:val="en-US"/>
        </w:rPr>
        <w:t xml:space="preserve">In 1864, </w:t>
      </w:r>
      <w:r w:rsidR="000659AA">
        <w:rPr>
          <w:rFonts w:asciiTheme="majorHAnsi" w:hAnsiTheme="majorHAnsi"/>
          <w:sz w:val="26"/>
          <w:szCs w:val="26"/>
          <w:lang w:val="en-US"/>
        </w:rPr>
        <w:t xml:space="preserve">a market reorganization of Southern firms led to the formation of the </w:t>
      </w:r>
      <w:r w:rsidR="000659AA" w:rsidRPr="0026326C">
        <w:rPr>
          <w:rFonts w:asciiTheme="majorHAnsi" w:hAnsiTheme="majorHAnsi"/>
          <w:sz w:val="26"/>
          <w:szCs w:val="26"/>
          <w:lang w:val="en-US"/>
        </w:rPr>
        <w:t>National</w:t>
      </w:r>
      <w:r w:rsidRPr="0026326C">
        <w:rPr>
          <w:rFonts w:asciiTheme="majorHAnsi" w:hAnsiTheme="majorHAnsi"/>
          <w:sz w:val="26"/>
          <w:szCs w:val="26"/>
          <w:lang w:val="en-US"/>
        </w:rPr>
        <w:t xml:space="preserve"> Society of Southern Industries</w:t>
      </w:r>
      <w:r w:rsidR="000659AA">
        <w:rPr>
          <w:rFonts w:asciiTheme="majorHAnsi" w:hAnsiTheme="majorHAnsi"/>
          <w:sz w:val="26"/>
          <w:szCs w:val="26"/>
          <w:lang w:val="en-US"/>
        </w:rPr>
        <w:t xml:space="preserve"> </w:t>
      </w:r>
      <w:r w:rsidRPr="0026326C">
        <w:rPr>
          <w:rFonts w:asciiTheme="majorHAnsi" w:hAnsiTheme="majorHAnsi"/>
          <w:sz w:val="26"/>
          <w:szCs w:val="26"/>
          <w:lang w:val="en-US"/>
        </w:rPr>
        <w:t>(Società nazionale del</w:t>
      </w:r>
      <w:r w:rsidR="000659AA">
        <w:rPr>
          <w:rFonts w:asciiTheme="majorHAnsi" w:hAnsiTheme="majorHAnsi"/>
          <w:sz w:val="26"/>
          <w:szCs w:val="26"/>
          <w:lang w:val="en-US"/>
        </w:rPr>
        <w:t>le industrie meridionali, SNIM), which incorporated Pietrarsa.</w:t>
      </w:r>
      <w:r w:rsidRPr="0026326C">
        <w:rPr>
          <w:rStyle w:val="FootnoteReference"/>
          <w:rFonts w:asciiTheme="majorHAnsi" w:hAnsiTheme="majorHAnsi"/>
          <w:sz w:val="26"/>
          <w:szCs w:val="26"/>
          <w:lang w:val="en-US"/>
        </w:rPr>
        <w:footnoteReference w:id="81"/>
      </w:r>
      <w:r w:rsidRPr="0026326C">
        <w:rPr>
          <w:rFonts w:asciiTheme="majorHAnsi" w:hAnsiTheme="majorHAnsi"/>
          <w:sz w:val="26"/>
          <w:szCs w:val="26"/>
          <w:lang w:val="en-US"/>
        </w:rPr>
        <w:t xml:space="preserve"> </w:t>
      </w:r>
      <w:r w:rsidR="000659AA">
        <w:rPr>
          <w:rFonts w:asciiTheme="majorHAnsi" w:hAnsiTheme="majorHAnsi"/>
          <w:sz w:val="26"/>
          <w:szCs w:val="26"/>
          <w:lang w:val="en-US"/>
        </w:rPr>
        <w:t>The initiative was taken by an entrepreneur named Macry.</w:t>
      </w:r>
      <w:r w:rsidR="000659AA">
        <w:rPr>
          <w:rStyle w:val="FootnoteReference"/>
          <w:rFonts w:asciiTheme="majorHAnsi" w:hAnsiTheme="majorHAnsi"/>
          <w:sz w:val="26"/>
          <w:szCs w:val="26"/>
          <w:lang w:val="en-US"/>
        </w:rPr>
        <w:footnoteReference w:id="82"/>
      </w:r>
      <w:r w:rsidR="000659AA">
        <w:rPr>
          <w:rFonts w:asciiTheme="majorHAnsi" w:hAnsiTheme="majorHAnsi"/>
          <w:sz w:val="26"/>
          <w:szCs w:val="26"/>
          <w:lang w:val="en-US"/>
        </w:rPr>
        <w:t xml:space="preserve"> </w:t>
      </w:r>
      <w:r w:rsidRPr="0026326C">
        <w:rPr>
          <w:rFonts w:asciiTheme="majorHAnsi" w:hAnsiTheme="majorHAnsi"/>
          <w:sz w:val="26"/>
          <w:szCs w:val="26"/>
          <w:lang w:val="en-US"/>
        </w:rPr>
        <w:t>The foundation of the SNIM will be the starting point of the comparativ</w:t>
      </w:r>
      <w:r w:rsidR="00056809">
        <w:rPr>
          <w:rFonts w:asciiTheme="majorHAnsi" w:hAnsiTheme="majorHAnsi"/>
          <w:sz w:val="26"/>
          <w:szCs w:val="26"/>
          <w:lang w:val="en-US"/>
        </w:rPr>
        <w:t>e case study with the Ansaldo</w:t>
      </w:r>
      <w:r w:rsidRPr="0026326C">
        <w:rPr>
          <w:rFonts w:asciiTheme="majorHAnsi" w:hAnsiTheme="majorHAnsi"/>
          <w:sz w:val="26"/>
          <w:szCs w:val="26"/>
          <w:lang w:val="en-US"/>
        </w:rPr>
        <w:t>. The privatization contract conceded the factory for rent with a rate that would increase every 5 years, starting from 45.000 lire and ending with 70.000 lire.</w:t>
      </w:r>
      <w:r w:rsidRPr="0026326C">
        <w:rPr>
          <w:rStyle w:val="FootnoteReference"/>
          <w:rFonts w:asciiTheme="majorHAnsi" w:hAnsiTheme="majorHAnsi"/>
          <w:sz w:val="26"/>
          <w:szCs w:val="26"/>
          <w:lang w:val="en-US"/>
        </w:rPr>
        <w:footnoteReference w:id="83"/>
      </w:r>
      <w:r w:rsidRPr="0026326C">
        <w:rPr>
          <w:rFonts w:asciiTheme="majorHAnsi" w:hAnsiTheme="majorHAnsi"/>
          <w:sz w:val="26"/>
          <w:szCs w:val="26"/>
          <w:lang w:val="en-US"/>
        </w:rPr>
        <w:t xml:space="preserve"> In the conditions of the contract, the society was accountable for maintenance costs.</w:t>
      </w:r>
      <w:r w:rsidRPr="0026326C">
        <w:rPr>
          <w:rStyle w:val="FootnoteReference"/>
          <w:rFonts w:asciiTheme="majorHAnsi" w:hAnsiTheme="majorHAnsi"/>
          <w:sz w:val="26"/>
          <w:szCs w:val="26"/>
          <w:lang w:val="en-US"/>
        </w:rPr>
        <w:footnoteReference w:id="84"/>
      </w:r>
      <w:r w:rsidRPr="0026326C">
        <w:rPr>
          <w:rFonts w:asciiTheme="majorHAnsi" w:hAnsiTheme="majorHAnsi"/>
          <w:sz w:val="26"/>
          <w:szCs w:val="26"/>
          <w:lang w:val="en-US"/>
        </w:rPr>
        <w:t xml:space="preserve"> </w:t>
      </w:r>
      <w:r w:rsidRPr="0026326C">
        <w:rPr>
          <w:rFonts w:asciiTheme="majorHAnsi" w:hAnsiTheme="majorHAnsi"/>
          <w:sz w:val="26"/>
          <w:szCs w:val="26"/>
          <w:lang w:val="en-US"/>
        </w:rPr>
        <w:br/>
      </w:r>
      <w:r w:rsidRPr="0026326C">
        <w:rPr>
          <w:rFonts w:asciiTheme="majorHAnsi" w:hAnsiTheme="majorHAnsi"/>
          <w:sz w:val="26"/>
          <w:szCs w:val="26"/>
          <w:lang w:val="en-US"/>
        </w:rPr>
        <w:tab/>
        <w:t xml:space="preserve">Commissions played a very important, if not the main, role and are the second main point of this analysis. The period from 1864 to 1868 would be marked by a crisis due to the lack of public contracts. Even though in 1865 the society was granted commissions of 10 million lire by the society of Southern Railway, the second war of independence, the </w:t>
      </w:r>
      <w:r w:rsidR="00056809">
        <w:rPr>
          <w:rFonts w:asciiTheme="majorHAnsi" w:hAnsiTheme="majorHAnsi"/>
          <w:sz w:val="26"/>
          <w:szCs w:val="26"/>
          <w:lang w:val="en-US"/>
        </w:rPr>
        <w:t>abolition of the gold standard in 1866</w:t>
      </w:r>
      <w:r w:rsidRPr="0026326C">
        <w:rPr>
          <w:rFonts w:asciiTheme="majorHAnsi" w:hAnsiTheme="majorHAnsi"/>
          <w:sz w:val="26"/>
          <w:szCs w:val="26"/>
          <w:lang w:val="en-US"/>
        </w:rPr>
        <w:t>, which raised the price of materials, and the financial crisis of the time made the contract not profitable.</w:t>
      </w:r>
      <w:r w:rsidRPr="0026326C">
        <w:rPr>
          <w:rStyle w:val="FootnoteReference"/>
          <w:rFonts w:asciiTheme="majorHAnsi" w:hAnsiTheme="majorHAnsi"/>
          <w:sz w:val="26"/>
          <w:szCs w:val="26"/>
          <w:lang w:val="en-US"/>
        </w:rPr>
        <w:footnoteReference w:id="85"/>
      </w:r>
      <w:r w:rsidRPr="0026326C">
        <w:rPr>
          <w:rFonts w:asciiTheme="majorHAnsi" w:hAnsiTheme="majorHAnsi"/>
          <w:sz w:val="26"/>
          <w:szCs w:val="26"/>
          <w:lang w:val="en-US"/>
        </w:rPr>
        <w:t xml:space="preserve"> In 1869, the crisis was over and the society would perform works for the value of 3 million lire.</w:t>
      </w:r>
      <w:r w:rsidRPr="0026326C">
        <w:rPr>
          <w:rStyle w:val="FootnoteReference"/>
          <w:rFonts w:asciiTheme="majorHAnsi" w:hAnsiTheme="majorHAnsi"/>
          <w:sz w:val="26"/>
          <w:szCs w:val="26"/>
          <w:lang w:val="en-US"/>
        </w:rPr>
        <w:footnoteReference w:id="86"/>
      </w:r>
      <w:r w:rsidRPr="0026326C">
        <w:rPr>
          <w:rFonts w:asciiTheme="majorHAnsi" w:hAnsiTheme="majorHAnsi"/>
          <w:sz w:val="26"/>
          <w:szCs w:val="26"/>
          <w:lang w:val="en-US"/>
        </w:rPr>
        <w:t xml:space="preserve"> Between 1869 and 1873 works would be yearly above 4 million lire to </w:t>
      </w:r>
      <w:r w:rsidRPr="0026326C">
        <w:rPr>
          <w:rFonts w:asciiTheme="majorHAnsi" w:hAnsiTheme="majorHAnsi"/>
          <w:sz w:val="26"/>
          <w:szCs w:val="26"/>
          <w:lang w:val="en-US"/>
        </w:rPr>
        <w:lastRenderedPageBreak/>
        <w:t>peak in 1873-1874 reaching 6 million.</w:t>
      </w:r>
      <w:r w:rsidRPr="0026326C">
        <w:rPr>
          <w:rStyle w:val="FootnoteReference"/>
          <w:rFonts w:asciiTheme="majorHAnsi" w:hAnsiTheme="majorHAnsi"/>
          <w:sz w:val="26"/>
          <w:szCs w:val="26"/>
          <w:lang w:val="en-US"/>
        </w:rPr>
        <w:footnoteReference w:id="87"/>
      </w:r>
      <w:r w:rsidRPr="0026326C">
        <w:rPr>
          <w:rFonts w:asciiTheme="majorHAnsi" w:hAnsiTheme="majorHAnsi"/>
          <w:sz w:val="26"/>
          <w:szCs w:val="26"/>
          <w:lang w:val="en-US"/>
        </w:rPr>
        <w:t xml:space="preserve"> </w:t>
      </w:r>
      <w:r w:rsidR="002A6F95">
        <w:rPr>
          <w:rFonts w:asciiTheme="majorHAnsi" w:hAnsiTheme="majorHAnsi"/>
          <w:sz w:val="26"/>
          <w:szCs w:val="26"/>
          <w:lang w:val="en-US"/>
        </w:rPr>
        <w:t>However, a budget cuts from the state in the 1870s generated a crisis in the whole engineering sector, and Pietrarsa would fail in 1878.</w:t>
      </w:r>
      <w:r w:rsidR="002A6F95">
        <w:rPr>
          <w:rStyle w:val="FootnoteReference"/>
          <w:rFonts w:asciiTheme="majorHAnsi" w:hAnsiTheme="majorHAnsi"/>
          <w:sz w:val="26"/>
          <w:szCs w:val="26"/>
          <w:lang w:val="en-US"/>
        </w:rPr>
        <w:footnoteReference w:id="88"/>
      </w:r>
      <w:r w:rsidR="002A6F95">
        <w:rPr>
          <w:rFonts w:asciiTheme="majorHAnsi" w:hAnsiTheme="majorHAnsi"/>
          <w:sz w:val="26"/>
          <w:szCs w:val="26"/>
          <w:lang w:val="en-US"/>
        </w:rPr>
        <w:t xml:space="preserve"> </w:t>
      </w:r>
      <w:r w:rsidR="00BE69B1">
        <w:rPr>
          <w:rFonts w:asciiTheme="majorHAnsi" w:hAnsiTheme="majorHAnsi"/>
          <w:sz w:val="26"/>
          <w:szCs w:val="26"/>
          <w:lang w:val="en-US"/>
        </w:rPr>
        <w:t xml:space="preserve">During these 14 years, </w:t>
      </w:r>
      <w:r w:rsidRPr="0026326C">
        <w:rPr>
          <w:rFonts w:asciiTheme="majorHAnsi" w:hAnsiTheme="majorHAnsi"/>
          <w:sz w:val="26"/>
          <w:szCs w:val="26"/>
          <w:lang w:val="en-US"/>
        </w:rPr>
        <w:t>the SNIM performed works for the total amount of approximately 42 million lire: 9 for the Royal Navy, 7 for the war ministry, 16 for railways construction and 10 for privates.</w:t>
      </w:r>
      <w:r w:rsidRPr="0026326C">
        <w:rPr>
          <w:rStyle w:val="FootnoteReference"/>
          <w:rFonts w:asciiTheme="majorHAnsi" w:hAnsiTheme="majorHAnsi"/>
          <w:sz w:val="26"/>
          <w:szCs w:val="26"/>
          <w:lang w:val="en-US"/>
        </w:rPr>
        <w:footnoteReference w:id="89"/>
      </w:r>
      <w:r w:rsidRPr="0026326C">
        <w:rPr>
          <w:rFonts w:asciiTheme="majorHAnsi" w:hAnsiTheme="majorHAnsi"/>
          <w:sz w:val="26"/>
          <w:szCs w:val="26"/>
          <w:lang w:val="en-US"/>
        </w:rPr>
        <w:t xml:space="preserve"> Despite that, constant indebtedness seemed to be a constant, as for the mechanic industry in general at the time, and thus comes the third major relevant point of its history: the compulsive use of credit.</w:t>
      </w:r>
      <w:r w:rsidRPr="0026326C">
        <w:rPr>
          <w:rStyle w:val="FootnoteReference"/>
          <w:rFonts w:asciiTheme="majorHAnsi" w:hAnsiTheme="majorHAnsi"/>
          <w:sz w:val="26"/>
          <w:szCs w:val="26"/>
          <w:lang w:val="en-US"/>
        </w:rPr>
        <w:footnoteReference w:id="90"/>
      </w:r>
      <w:r w:rsidRPr="0026326C">
        <w:rPr>
          <w:rFonts w:asciiTheme="majorHAnsi" w:hAnsiTheme="majorHAnsi"/>
          <w:sz w:val="26"/>
          <w:szCs w:val="26"/>
          <w:lang w:val="en-US"/>
        </w:rPr>
        <w:br/>
      </w:r>
      <w:r w:rsidRPr="0026326C">
        <w:rPr>
          <w:rFonts w:asciiTheme="majorHAnsi" w:hAnsiTheme="majorHAnsi"/>
          <w:sz w:val="26"/>
          <w:szCs w:val="26"/>
          <w:lang w:val="en-US"/>
        </w:rPr>
        <w:tab/>
      </w:r>
      <w:r w:rsidR="00B4418E" w:rsidRPr="0026326C">
        <w:rPr>
          <w:rFonts w:asciiTheme="majorHAnsi" w:hAnsiTheme="majorHAnsi"/>
          <w:sz w:val="26"/>
          <w:szCs w:val="26"/>
          <w:lang w:val="en-US"/>
        </w:rPr>
        <w:t>The decision to file for bankruptcy</w:t>
      </w:r>
      <w:r w:rsidR="00240731">
        <w:rPr>
          <w:rFonts w:asciiTheme="majorHAnsi" w:hAnsiTheme="majorHAnsi"/>
          <w:sz w:val="26"/>
          <w:szCs w:val="26"/>
          <w:lang w:val="en-US"/>
        </w:rPr>
        <w:t xml:space="preserve"> in 1878</w:t>
      </w:r>
      <w:r w:rsidR="00B4418E" w:rsidRPr="0026326C">
        <w:rPr>
          <w:rFonts w:asciiTheme="majorHAnsi" w:hAnsiTheme="majorHAnsi"/>
          <w:sz w:val="26"/>
          <w:szCs w:val="26"/>
          <w:lang w:val="en-US"/>
        </w:rPr>
        <w:t xml:space="preserve"> was forced by a particular chain of events. A shareholder named Fiocca had engaged himself in the construction of a hotel and emitted bills for the value of 72.000 lire endorsed by Macry, th</w:t>
      </w:r>
      <w:r w:rsidR="002D6CBF" w:rsidRPr="0026326C">
        <w:rPr>
          <w:rFonts w:asciiTheme="majorHAnsi" w:hAnsiTheme="majorHAnsi"/>
          <w:sz w:val="26"/>
          <w:szCs w:val="26"/>
          <w:lang w:val="en-US"/>
        </w:rPr>
        <w:t>e main shareholder of the SNIM, however, the debt could not be repaid and Fiocca committed suicide; as a result every creditor of Macry and the company requested the repayment of every debt at the same time.</w:t>
      </w:r>
      <w:r w:rsidR="002D6CBF" w:rsidRPr="0026326C">
        <w:rPr>
          <w:rStyle w:val="FootnoteReference"/>
          <w:rFonts w:asciiTheme="majorHAnsi" w:hAnsiTheme="majorHAnsi"/>
          <w:sz w:val="26"/>
          <w:szCs w:val="26"/>
          <w:lang w:val="en-US"/>
        </w:rPr>
        <w:footnoteReference w:id="91"/>
      </w:r>
      <w:r w:rsidR="002D6CBF" w:rsidRPr="0026326C">
        <w:rPr>
          <w:rFonts w:asciiTheme="majorHAnsi" w:hAnsiTheme="majorHAnsi"/>
          <w:sz w:val="26"/>
          <w:szCs w:val="26"/>
          <w:lang w:val="en-US"/>
        </w:rPr>
        <w:t xml:space="preserve"> In particular, the Bank of Naples was forced to proceed by legal means.</w:t>
      </w:r>
      <w:r w:rsidR="002D6CBF" w:rsidRPr="0026326C">
        <w:rPr>
          <w:rStyle w:val="FootnoteReference"/>
          <w:rFonts w:asciiTheme="majorHAnsi" w:hAnsiTheme="majorHAnsi"/>
          <w:sz w:val="26"/>
          <w:szCs w:val="26"/>
          <w:lang w:val="en-US"/>
        </w:rPr>
        <w:footnoteReference w:id="92"/>
      </w:r>
    </w:p>
    <w:p w14:paraId="38B73A09" w14:textId="77777777" w:rsidR="006C23E4" w:rsidRPr="0026326C" w:rsidRDefault="006C23E4">
      <w:pPr>
        <w:rPr>
          <w:rFonts w:asciiTheme="majorHAnsi" w:hAnsiTheme="majorHAnsi"/>
          <w:b/>
          <w:sz w:val="26"/>
          <w:szCs w:val="26"/>
          <w:lang w:val="en-US"/>
        </w:rPr>
      </w:pPr>
      <w:proofErr w:type="gramStart"/>
      <w:r w:rsidRPr="0026326C">
        <w:rPr>
          <w:rFonts w:asciiTheme="majorHAnsi" w:hAnsiTheme="majorHAnsi"/>
          <w:b/>
          <w:sz w:val="26"/>
          <w:szCs w:val="26"/>
          <w:lang w:val="en-US"/>
        </w:rPr>
        <w:t>Brief history of the Gio.</w:t>
      </w:r>
      <w:proofErr w:type="gramEnd"/>
      <w:r w:rsidRPr="0026326C">
        <w:rPr>
          <w:rFonts w:asciiTheme="majorHAnsi" w:hAnsiTheme="majorHAnsi"/>
          <w:b/>
          <w:sz w:val="26"/>
          <w:szCs w:val="26"/>
          <w:lang w:val="en-US"/>
        </w:rPr>
        <w:t xml:space="preserve"> Ansaldo &amp; Co.</w:t>
      </w:r>
    </w:p>
    <w:p w14:paraId="683A2D5B" w14:textId="7D0C4712" w:rsidR="006C23E4" w:rsidRDefault="006C23E4">
      <w:pPr>
        <w:rPr>
          <w:rFonts w:asciiTheme="majorHAnsi" w:hAnsiTheme="majorHAnsi"/>
          <w:sz w:val="26"/>
          <w:szCs w:val="26"/>
          <w:lang w:val="en-US"/>
        </w:rPr>
      </w:pPr>
      <w:r w:rsidRPr="0026326C">
        <w:rPr>
          <w:rFonts w:asciiTheme="majorHAnsi" w:hAnsiTheme="majorHAnsi"/>
          <w:sz w:val="26"/>
          <w:szCs w:val="26"/>
          <w:lang w:val="en-US"/>
        </w:rPr>
        <w:t>The mechanic industrial establishment of Ansaldo was initially built in 1847 in Sampierdarena, near Genova, in the Kingdom of Sardinia.</w:t>
      </w:r>
      <w:r w:rsidRPr="0026326C">
        <w:rPr>
          <w:rStyle w:val="FootnoteReference"/>
          <w:rFonts w:asciiTheme="majorHAnsi" w:hAnsiTheme="majorHAnsi"/>
          <w:sz w:val="26"/>
          <w:szCs w:val="26"/>
          <w:lang w:val="en-US"/>
        </w:rPr>
        <w:footnoteReference w:id="93"/>
      </w:r>
      <w:r w:rsidRPr="0026326C">
        <w:rPr>
          <w:rFonts w:asciiTheme="majorHAnsi" w:hAnsiTheme="majorHAnsi"/>
          <w:sz w:val="26"/>
          <w:szCs w:val="26"/>
          <w:lang w:val="en-US"/>
        </w:rPr>
        <w:t xml:space="preserve"> The initiative was born as a semi-private enterprise with state involvement, in which two entrepreneurs, Taylor and Prandi, received a loan of 500.000 lire from the ministry of commerce without interests to set up an establishment in order to receive state commissions for the railways constructions that were to take place.</w:t>
      </w:r>
      <w:r w:rsidRPr="0026326C">
        <w:rPr>
          <w:rStyle w:val="FootnoteReference"/>
          <w:rFonts w:asciiTheme="majorHAnsi" w:hAnsiTheme="majorHAnsi"/>
          <w:sz w:val="26"/>
          <w:szCs w:val="26"/>
          <w:lang w:val="en-US"/>
        </w:rPr>
        <w:footnoteReference w:id="94"/>
      </w:r>
      <w:r w:rsidRPr="0026326C">
        <w:rPr>
          <w:rFonts w:asciiTheme="majorHAnsi" w:hAnsiTheme="majorHAnsi"/>
          <w:sz w:val="26"/>
          <w:szCs w:val="26"/>
          <w:lang w:val="en-US"/>
        </w:rPr>
        <w:t xml:space="preserve"> The contract had specific provisions, and more loans were bestowed upon the enterprise due to its lack of capitals.</w:t>
      </w:r>
      <w:r w:rsidRPr="0026326C">
        <w:rPr>
          <w:rStyle w:val="FootnoteReference"/>
          <w:rFonts w:asciiTheme="majorHAnsi" w:hAnsiTheme="majorHAnsi"/>
          <w:sz w:val="26"/>
          <w:szCs w:val="26"/>
          <w:lang w:val="en-US"/>
        </w:rPr>
        <w:footnoteReference w:id="95"/>
      </w:r>
      <w:r w:rsidRPr="0026326C">
        <w:rPr>
          <w:rFonts w:asciiTheme="majorHAnsi" w:hAnsiTheme="majorHAnsi"/>
          <w:sz w:val="26"/>
          <w:szCs w:val="26"/>
          <w:lang w:val="en-US"/>
        </w:rPr>
        <w:t xml:space="preserve"> This initial attempt, however, failed in 1852, and the plant was sold back to the state.</w:t>
      </w:r>
      <w:r w:rsidRPr="0026326C">
        <w:rPr>
          <w:rStyle w:val="FootnoteReference"/>
          <w:rFonts w:asciiTheme="majorHAnsi" w:hAnsiTheme="majorHAnsi"/>
          <w:sz w:val="26"/>
          <w:szCs w:val="26"/>
          <w:lang w:val="en-US"/>
        </w:rPr>
        <w:footnoteReference w:id="96"/>
      </w:r>
      <w:r w:rsidRPr="0026326C">
        <w:rPr>
          <w:rFonts w:asciiTheme="majorHAnsi" w:hAnsiTheme="majorHAnsi"/>
          <w:sz w:val="26"/>
          <w:szCs w:val="26"/>
          <w:lang w:val="en-US"/>
        </w:rPr>
        <w:t xml:space="preserve"> </w:t>
      </w:r>
      <w:r w:rsidRPr="0026326C">
        <w:rPr>
          <w:rFonts w:asciiTheme="majorHAnsi" w:hAnsiTheme="majorHAnsi"/>
          <w:sz w:val="26"/>
          <w:szCs w:val="26"/>
          <w:lang w:val="en-US"/>
        </w:rPr>
        <w:br/>
      </w:r>
      <w:r w:rsidRPr="0026326C">
        <w:rPr>
          <w:rFonts w:asciiTheme="majorHAnsi" w:hAnsiTheme="majorHAnsi"/>
          <w:sz w:val="26"/>
          <w:szCs w:val="26"/>
          <w:lang w:val="en-US"/>
        </w:rPr>
        <w:tab/>
        <w:t>In 1853, Carlo Bombrini, Raffaele Rubattino, and Giovanni Penco, three prominent names of the Piedmontese finance, formed a commercial partnership and took possession of the plant inheriting its debts as well.</w:t>
      </w:r>
      <w:r w:rsidRPr="0026326C">
        <w:rPr>
          <w:rStyle w:val="FootnoteReference"/>
          <w:rFonts w:asciiTheme="majorHAnsi" w:hAnsiTheme="majorHAnsi"/>
          <w:sz w:val="26"/>
          <w:szCs w:val="26"/>
          <w:lang w:val="en-US"/>
        </w:rPr>
        <w:footnoteReference w:id="97"/>
      </w:r>
      <w:r w:rsidRPr="0026326C">
        <w:rPr>
          <w:rFonts w:asciiTheme="majorHAnsi" w:hAnsiTheme="majorHAnsi"/>
          <w:sz w:val="26"/>
          <w:szCs w:val="26"/>
          <w:lang w:val="en-US"/>
        </w:rPr>
        <w:t xml:space="preserve"> The engineer Giovanni Ansaldo would be chosen as director.</w:t>
      </w:r>
      <w:r w:rsidRPr="0026326C">
        <w:rPr>
          <w:rStyle w:val="FootnoteReference"/>
          <w:rFonts w:asciiTheme="majorHAnsi" w:hAnsiTheme="majorHAnsi"/>
          <w:sz w:val="26"/>
          <w:szCs w:val="26"/>
          <w:lang w:val="en-US"/>
        </w:rPr>
        <w:footnoteReference w:id="98"/>
      </w:r>
      <w:r w:rsidRPr="0026326C">
        <w:rPr>
          <w:rFonts w:asciiTheme="majorHAnsi" w:hAnsiTheme="majorHAnsi"/>
          <w:sz w:val="26"/>
          <w:szCs w:val="26"/>
          <w:lang w:val="en-US"/>
        </w:rPr>
        <w:t xml:space="preserve"> The new society was formed with a capital of 1.200.000 lire, of which 810.000 were constituted b</w:t>
      </w:r>
      <w:r w:rsidR="007F218D" w:rsidRPr="0026326C">
        <w:rPr>
          <w:rFonts w:asciiTheme="majorHAnsi" w:hAnsiTheme="majorHAnsi"/>
          <w:sz w:val="26"/>
          <w:szCs w:val="26"/>
          <w:lang w:val="en-US"/>
        </w:rPr>
        <w:t>y the value of the plant itself, handed over as a loan to be repaid without interests.</w:t>
      </w:r>
      <w:r w:rsidRPr="0026326C">
        <w:rPr>
          <w:rStyle w:val="FootnoteReference"/>
          <w:rFonts w:asciiTheme="majorHAnsi" w:hAnsiTheme="majorHAnsi"/>
          <w:sz w:val="26"/>
          <w:szCs w:val="26"/>
          <w:lang w:val="en-US"/>
        </w:rPr>
        <w:footnoteReference w:id="99"/>
      </w:r>
      <w:r w:rsidRPr="0026326C">
        <w:rPr>
          <w:rFonts w:asciiTheme="majorHAnsi" w:hAnsiTheme="majorHAnsi"/>
          <w:sz w:val="26"/>
          <w:szCs w:val="26"/>
          <w:lang w:val="en-US"/>
        </w:rPr>
        <w:t xml:space="preserve"> The conditions of the contract </w:t>
      </w:r>
      <w:r w:rsidRPr="0026326C">
        <w:rPr>
          <w:rFonts w:asciiTheme="majorHAnsi" w:hAnsiTheme="majorHAnsi"/>
          <w:sz w:val="26"/>
          <w:szCs w:val="26"/>
          <w:lang w:val="en-US"/>
        </w:rPr>
        <w:lastRenderedPageBreak/>
        <w:t>with the state remained the same as with Taylor &amp; Prandi, and constitute the first point of analysis.</w:t>
      </w:r>
      <w:r w:rsidRPr="0026326C">
        <w:rPr>
          <w:rFonts w:asciiTheme="majorHAnsi" w:hAnsiTheme="majorHAnsi"/>
          <w:sz w:val="26"/>
          <w:szCs w:val="26"/>
          <w:lang w:val="en-US"/>
        </w:rPr>
        <w:br/>
      </w:r>
      <w:r w:rsidRPr="0026326C">
        <w:rPr>
          <w:rFonts w:asciiTheme="majorHAnsi" w:hAnsiTheme="majorHAnsi"/>
          <w:sz w:val="26"/>
          <w:szCs w:val="26"/>
          <w:lang w:val="en-US"/>
        </w:rPr>
        <w:tab/>
        <w:t>Such conditions were: a 10% discount on state commissions; a mortgage placed on the plant by the state; direct government intervention for the purchase of land, buildings and machines, with payments made directly by its treasury; public supervision in building constructions; 3 out 4 workers would need to be natives; obligation to perform any public commission; profit of the partners could not exceed 18%, to which the 10% discount from public contracts would weight in.</w:t>
      </w:r>
      <w:r w:rsidRPr="0026326C">
        <w:rPr>
          <w:rStyle w:val="FootnoteReference"/>
          <w:rFonts w:asciiTheme="majorHAnsi" w:hAnsiTheme="majorHAnsi"/>
          <w:sz w:val="26"/>
          <w:szCs w:val="26"/>
          <w:lang w:val="en-US"/>
        </w:rPr>
        <w:footnoteReference w:id="100"/>
      </w:r>
      <w:r w:rsidRPr="0026326C">
        <w:rPr>
          <w:rFonts w:asciiTheme="majorHAnsi" w:hAnsiTheme="majorHAnsi"/>
          <w:sz w:val="26"/>
          <w:szCs w:val="26"/>
          <w:lang w:val="en-US"/>
        </w:rPr>
        <w:t xml:space="preserve"> Here again, without the state as the main client, the enterprise would not have survived this stage, hence public contracts being the second point of the analysis.</w:t>
      </w:r>
      <w:r w:rsidRPr="0026326C">
        <w:rPr>
          <w:rStyle w:val="FootnoteReference"/>
          <w:rFonts w:asciiTheme="majorHAnsi" w:hAnsiTheme="majorHAnsi"/>
          <w:sz w:val="26"/>
          <w:szCs w:val="26"/>
          <w:lang w:val="en-US"/>
        </w:rPr>
        <w:footnoteReference w:id="101"/>
      </w:r>
      <w:r w:rsidRPr="0026326C">
        <w:rPr>
          <w:rFonts w:asciiTheme="majorHAnsi" w:hAnsiTheme="majorHAnsi"/>
          <w:sz w:val="26"/>
          <w:szCs w:val="26"/>
          <w:lang w:val="en-US"/>
        </w:rPr>
        <w:t xml:space="preserve"> </w:t>
      </w:r>
      <w:r w:rsidRPr="0026326C">
        <w:rPr>
          <w:rFonts w:asciiTheme="majorHAnsi" w:hAnsiTheme="majorHAnsi"/>
          <w:sz w:val="26"/>
          <w:szCs w:val="26"/>
          <w:lang w:val="en-US"/>
        </w:rPr>
        <w:br/>
      </w:r>
      <w:r w:rsidRPr="0026326C">
        <w:rPr>
          <w:rFonts w:asciiTheme="majorHAnsi" w:hAnsiTheme="majorHAnsi"/>
          <w:sz w:val="26"/>
          <w:szCs w:val="26"/>
          <w:lang w:val="en-US"/>
        </w:rPr>
        <w:tab/>
        <w:t>From 1853 to 1858 state commissions were merely sufficient and were granted by Cavour’s influence.</w:t>
      </w:r>
      <w:r w:rsidRPr="0026326C">
        <w:rPr>
          <w:rStyle w:val="FootnoteReference"/>
          <w:rFonts w:asciiTheme="majorHAnsi" w:hAnsiTheme="majorHAnsi"/>
          <w:sz w:val="26"/>
          <w:szCs w:val="26"/>
          <w:lang w:val="en-US"/>
        </w:rPr>
        <w:footnoteReference w:id="102"/>
      </w:r>
      <w:r w:rsidRPr="0026326C">
        <w:rPr>
          <w:rFonts w:asciiTheme="majorHAnsi" w:hAnsiTheme="majorHAnsi"/>
          <w:sz w:val="26"/>
          <w:szCs w:val="26"/>
          <w:lang w:val="en-US"/>
        </w:rPr>
        <w:t xml:space="preserve"> 20 locomotives were produced as well as other railway materials, the drilling machine for the </w:t>
      </w:r>
      <w:proofErr w:type="spellStart"/>
      <w:r w:rsidRPr="0026326C">
        <w:rPr>
          <w:rFonts w:asciiTheme="majorHAnsi" w:hAnsiTheme="majorHAnsi"/>
          <w:sz w:val="26"/>
          <w:szCs w:val="26"/>
          <w:lang w:val="en-US"/>
        </w:rPr>
        <w:t>Frejus</w:t>
      </w:r>
      <w:proofErr w:type="spellEnd"/>
      <w:r w:rsidRPr="0026326C">
        <w:rPr>
          <w:rFonts w:asciiTheme="majorHAnsi" w:hAnsiTheme="majorHAnsi"/>
          <w:sz w:val="26"/>
          <w:szCs w:val="26"/>
          <w:lang w:val="en-US"/>
        </w:rPr>
        <w:t xml:space="preserve"> tunnel and various works for privates.</w:t>
      </w:r>
      <w:r w:rsidRPr="0026326C">
        <w:rPr>
          <w:rStyle w:val="FootnoteReference"/>
          <w:rFonts w:asciiTheme="majorHAnsi" w:hAnsiTheme="majorHAnsi"/>
          <w:sz w:val="26"/>
          <w:szCs w:val="26"/>
          <w:lang w:val="en-US"/>
        </w:rPr>
        <w:footnoteReference w:id="103"/>
      </w:r>
      <w:r w:rsidRPr="0026326C">
        <w:rPr>
          <w:rFonts w:asciiTheme="majorHAnsi" w:hAnsiTheme="majorHAnsi"/>
          <w:sz w:val="26"/>
          <w:szCs w:val="26"/>
          <w:lang w:val="en-US"/>
        </w:rPr>
        <w:t xml:space="preserve"> The enterprise risked its failure in those years and Carlo Bombrini used his role as president of the National Bank to ensure its survival.</w:t>
      </w:r>
      <w:r w:rsidRPr="0026326C">
        <w:rPr>
          <w:rStyle w:val="FootnoteReference"/>
          <w:rFonts w:asciiTheme="majorHAnsi" w:hAnsiTheme="majorHAnsi"/>
          <w:sz w:val="26"/>
          <w:szCs w:val="26"/>
          <w:lang w:val="en-US"/>
        </w:rPr>
        <w:footnoteReference w:id="104"/>
      </w:r>
      <w:r w:rsidRPr="0026326C">
        <w:rPr>
          <w:rFonts w:asciiTheme="majorHAnsi" w:hAnsiTheme="majorHAnsi"/>
          <w:sz w:val="26"/>
          <w:szCs w:val="26"/>
          <w:lang w:val="en-US"/>
        </w:rPr>
        <w:t xml:space="preserve"> In 1859, the Second War of Independence granted a new flow of state commissions.</w:t>
      </w:r>
      <w:r w:rsidRPr="0026326C">
        <w:rPr>
          <w:rStyle w:val="FootnoteReference"/>
          <w:rFonts w:asciiTheme="majorHAnsi" w:hAnsiTheme="majorHAnsi"/>
          <w:sz w:val="26"/>
          <w:szCs w:val="26"/>
          <w:lang w:val="en-US"/>
        </w:rPr>
        <w:footnoteReference w:id="105"/>
      </w:r>
      <w:r w:rsidRPr="0026326C">
        <w:rPr>
          <w:rFonts w:asciiTheme="majorHAnsi" w:hAnsiTheme="majorHAnsi"/>
          <w:sz w:val="26"/>
          <w:szCs w:val="26"/>
          <w:lang w:val="en-US"/>
        </w:rPr>
        <w:t xml:space="preserve"> Rifled cannons were commissioned, arms and ammunitions, and two gunboat ships in 1860.</w:t>
      </w:r>
      <w:r w:rsidRPr="0026326C">
        <w:rPr>
          <w:rStyle w:val="FootnoteReference"/>
          <w:rFonts w:asciiTheme="majorHAnsi" w:hAnsiTheme="majorHAnsi"/>
          <w:sz w:val="26"/>
          <w:szCs w:val="26"/>
          <w:lang w:val="en-US"/>
        </w:rPr>
        <w:footnoteReference w:id="106"/>
      </w:r>
      <w:r w:rsidRPr="0026326C">
        <w:rPr>
          <w:rFonts w:asciiTheme="majorHAnsi" w:hAnsiTheme="majorHAnsi"/>
          <w:sz w:val="26"/>
          <w:szCs w:val="26"/>
          <w:lang w:val="en-US"/>
        </w:rPr>
        <w:t xml:space="preserve"> Thanks to military productions between 1858 and 1863, the Ansaldo would close its financial books with an active balance.</w:t>
      </w:r>
      <w:r w:rsidRPr="0026326C">
        <w:rPr>
          <w:rStyle w:val="FootnoteReference"/>
          <w:rFonts w:asciiTheme="majorHAnsi" w:hAnsiTheme="majorHAnsi"/>
          <w:sz w:val="26"/>
          <w:szCs w:val="26"/>
          <w:lang w:val="en-US"/>
        </w:rPr>
        <w:footnoteReference w:id="107"/>
      </w:r>
      <w:r w:rsidRPr="0026326C">
        <w:rPr>
          <w:rFonts w:asciiTheme="majorHAnsi" w:hAnsiTheme="majorHAnsi"/>
          <w:sz w:val="26"/>
          <w:szCs w:val="26"/>
          <w:lang w:val="en-US"/>
        </w:rPr>
        <w:t xml:space="preserve"> From that point onwards, however, continuous losses ensued.</w:t>
      </w:r>
      <w:r w:rsidRPr="0026326C">
        <w:rPr>
          <w:rStyle w:val="FootnoteReference"/>
          <w:rFonts w:asciiTheme="majorHAnsi" w:hAnsiTheme="majorHAnsi"/>
          <w:sz w:val="26"/>
          <w:szCs w:val="26"/>
          <w:lang w:val="en-US"/>
        </w:rPr>
        <w:footnoteReference w:id="108"/>
      </w:r>
      <w:r w:rsidRPr="0026326C">
        <w:rPr>
          <w:rFonts w:asciiTheme="majorHAnsi" w:hAnsiTheme="majorHAnsi"/>
          <w:sz w:val="26"/>
          <w:szCs w:val="26"/>
          <w:lang w:val="en-US"/>
        </w:rPr>
        <w:t xml:space="preserve"> Railways productions had slowed down, completely stopping in 1865, to resume only in 1879.</w:t>
      </w:r>
      <w:r w:rsidRPr="0026326C">
        <w:rPr>
          <w:rStyle w:val="FootnoteReference"/>
          <w:rFonts w:asciiTheme="majorHAnsi" w:hAnsiTheme="majorHAnsi"/>
          <w:sz w:val="26"/>
          <w:szCs w:val="26"/>
          <w:lang w:val="en-US"/>
        </w:rPr>
        <w:footnoteReference w:id="109"/>
      </w:r>
      <w:r w:rsidRPr="0026326C">
        <w:rPr>
          <w:rFonts w:asciiTheme="majorHAnsi" w:hAnsiTheme="majorHAnsi"/>
          <w:sz w:val="26"/>
          <w:szCs w:val="26"/>
          <w:lang w:val="en-US"/>
        </w:rPr>
        <w:t xml:space="preserve">  Despite that, in 1884 the factory would have produced 68 locomotives.</w:t>
      </w:r>
      <w:r w:rsidRPr="0026326C">
        <w:rPr>
          <w:rStyle w:val="FootnoteReference"/>
          <w:rFonts w:asciiTheme="majorHAnsi" w:hAnsiTheme="majorHAnsi"/>
          <w:sz w:val="26"/>
          <w:szCs w:val="26"/>
          <w:lang w:val="en-US"/>
        </w:rPr>
        <w:footnoteReference w:id="110"/>
      </w:r>
      <w:r w:rsidRPr="0026326C">
        <w:rPr>
          <w:rFonts w:asciiTheme="majorHAnsi" w:hAnsiTheme="majorHAnsi"/>
          <w:sz w:val="26"/>
          <w:szCs w:val="26"/>
          <w:lang w:val="en-US"/>
        </w:rPr>
        <w:t xml:space="preserve"> Through-out these two decades, the Ansaldo received commissions from the navy in different concentrations, rising slightly from the 1870s onwards, due to the keener attitude of the Royal Navy towards Italian industries.</w:t>
      </w:r>
      <w:r w:rsidRPr="0026326C">
        <w:rPr>
          <w:rStyle w:val="FootnoteReference"/>
          <w:rFonts w:asciiTheme="majorHAnsi" w:hAnsiTheme="majorHAnsi"/>
          <w:sz w:val="26"/>
          <w:szCs w:val="26"/>
          <w:lang w:val="en-US"/>
        </w:rPr>
        <w:footnoteReference w:id="111"/>
      </w:r>
      <w:r w:rsidRPr="0026326C">
        <w:rPr>
          <w:rFonts w:asciiTheme="majorHAnsi" w:hAnsiTheme="majorHAnsi"/>
          <w:sz w:val="26"/>
          <w:szCs w:val="26"/>
          <w:lang w:val="en-US"/>
        </w:rPr>
        <w:t xml:space="preserve"> </w:t>
      </w:r>
      <w:proofErr w:type="gramStart"/>
      <w:r w:rsidRPr="0026326C">
        <w:rPr>
          <w:rFonts w:asciiTheme="majorHAnsi" w:hAnsiTheme="majorHAnsi"/>
          <w:sz w:val="26"/>
          <w:szCs w:val="26"/>
          <w:lang w:val="en-US"/>
        </w:rPr>
        <w:t>Overall, from 1854 to 1882 the Gio.</w:t>
      </w:r>
      <w:proofErr w:type="gramEnd"/>
      <w:r w:rsidRPr="0026326C">
        <w:rPr>
          <w:rFonts w:asciiTheme="majorHAnsi" w:hAnsiTheme="majorHAnsi"/>
          <w:sz w:val="26"/>
          <w:szCs w:val="26"/>
          <w:lang w:val="en-US"/>
        </w:rPr>
        <w:t xml:space="preserve"> Ansaldo &amp; co. performed works for circa 45 million lire with a yearly average of 5 million.</w:t>
      </w:r>
      <w:r w:rsidRPr="0026326C">
        <w:rPr>
          <w:rStyle w:val="FootnoteReference"/>
          <w:rFonts w:asciiTheme="majorHAnsi" w:hAnsiTheme="majorHAnsi"/>
          <w:sz w:val="26"/>
          <w:szCs w:val="26"/>
          <w:lang w:val="en-US"/>
        </w:rPr>
        <w:footnoteReference w:id="112"/>
      </w:r>
      <w:r w:rsidRPr="0026326C">
        <w:rPr>
          <w:rFonts w:asciiTheme="majorHAnsi" w:hAnsiTheme="majorHAnsi"/>
          <w:sz w:val="26"/>
          <w:szCs w:val="26"/>
          <w:lang w:val="en-US"/>
        </w:rPr>
        <w:t xml:space="preserve"> Of those, 14 million were commissioned by the railways, 17 million for the Royal Navy, and 3 million for shipbuilding, while the rest for privates.</w:t>
      </w:r>
      <w:r w:rsidRPr="0026326C">
        <w:rPr>
          <w:rStyle w:val="FootnoteReference"/>
          <w:rFonts w:asciiTheme="majorHAnsi" w:hAnsiTheme="majorHAnsi"/>
          <w:sz w:val="26"/>
          <w:szCs w:val="26"/>
          <w:lang w:val="en-US"/>
        </w:rPr>
        <w:footnoteReference w:id="113"/>
      </w:r>
    </w:p>
    <w:p w14:paraId="5B0F79D8" w14:textId="77777777" w:rsidR="000571A8" w:rsidRPr="0026326C" w:rsidRDefault="000571A8">
      <w:pPr>
        <w:rPr>
          <w:rFonts w:asciiTheme="majorHAnsi" w:hAnsiTheme="majorHAnsi"/>
          <w:sz w:val="26"/>
          <w:szCs w:val="26"/>
          <w:lang w:val="en-US"/>
        </w:rPr>
      </w:pPr>
    </w:p>
    <w:p w14:paraId="1AEADDD8" w14:textId="77777777" w:rsidR="006C23E4" w:rsidRDefault="006C23E4">
      <w:pPr>
        <w:rPr>
          <w:rFonts w:asciiTheme="majorHAnsi" w:hAnsiTheme="majorHAnsi"/>
          <w:b/>
          <w:sz w:val="26"/>
          <w:szCs w:val="26"/>
          <w:lang w:val="en-US"/>
        </w:rPr>
      </w:pPr>
      <w:r w:rsidRPr="00952D7F">
        <w:rPr>
          <w:rFonts w:asciiTheme="majorHAnsi" w:hAnsiTheme="majorHAnsi"/>
          <w:b/>
          <w:sz w:val="26"/>
          <w:szCs w:val="26"/>
          <w:lang w:val="en-US"/>
        </w:rPr>
        <w:lastRenderedPageBreak/>
        <w:t xml:space="preserve">Pietrarsa </w:t>
      </w:r>
      <w:proofErr w:type="spellStart"/>
      <w:r w:rsidRPr="00952D7F">
        <w:rPr>
          <w:rFonts w:asciiTheme="majorHAnsi" w:hAnsiTheme="majorHAnsi"/>
          <w:b/>
          <w:sz w:val="26"/>
          <w:szCs w:val="26"/>
          <w:lang w:val="en-US"/>
        </w:rPr>
        <w:t>vs</w:t>
      </w:r>
      <w:proofErr w:type="spellEnd"/>
      <w:r w:rsidRPr="00952D7F">
        <w:rPr>
          <w:rFonts w:asciiTheme="majorHAnsi" w:hAnsiTheme="majorHAnsi"/>
          <w:b/>
          <w:sz w:val="26"/>
          <w:szCs w:val="26"/>
          <w:lang w:val="en-US"/>
        </w:rPr>
        <w:t xml:space="preserve"> Ansaldo: comparison of the privatization contracts</w:t>
      </w:r>
    </w:p>
    <w:p w14:paraId="2864943B" w14:textId="1ADCFCF3" w:rsidR="006A1343" w:rsidRPr="00BE69B1" w:rsidRDefault="006C23E4" w:rsidP="00955F9B">
      <w:pPr>
        <w:rPr>
          <w:rFonts w:asciiTheme="majorHAnsi" w:hAnsiTheme="majorHAnsi"/>
          <w:sz w:val="26"/>
          <w:szCs w:val="26"/>
          <w:lang w:val="en-US"/>
        </w:rPr>
      </w:pPr>
      <w:r w:rsidRPr="0026326C">
        <w:rPr>
          <w:rFonts w:asciiTheme="majorHAnsi" w:hAnsiTheme="majorHAnsi"/>
          <w:sz w:val="26"/>
          <w:szCs w:val="26"/>
          <w:lang w:val="en-US"/>
        </w:rPr>
        <w:t>This section will compare the first point in the historical confrontation of the two mechanic establishment: their privatization process. The contract signed between the company and the state regarding the Ansaldo took place in 1853, 10 years before the society of SNIM was formed; despite that, the two contracts show a number of similarities that make a comparison possible. Both of them went through a privatization process with state involvement</w:t>
      </w:r>
      <w:r w:rsidR="00954A09">
        <w:rPr>
          <w:rFonts w:asciiTheme="majorHAnsi" w:hAnsiTheme="majorHAnsi"/>
          <w:sz w:val="26"/>
          <w:szCs w:val="26"/>
          <w:lang w:val="en-US"/>
        </w:rPr>
        <w:t xml:space="preserve"> and </w:t>
      </w:r>
      <w:r w:rsidRPr="0026326C">
        <w:rPr>
          <w:rFonts w:asciiTheme="majorHAnsi" w:hAnsiTheme="majorHAnsi"/>
          <w:sz w:val="26"/>
          <w:szCs w:val="26"/>
          <w:lang w:val="en-US"/>
        </w:rPr>
        <w:t>both of them failed i</w:t>
      </w:r>
      <w:r w:rsidR="00954A09">
        <w:rPr>
          <w:rFonts w:asciiTheme="majorHAnsi" w:hAnsiTheme="majorHAnsi"/>
          <w:sz w:val="26"/>
          <w:szCs w:val="26"/>
          <w:lang w:val="en-US"/>
        </w:rPr>
        <w:t>n their first attempt to do so. Following Mill’s method, the comparison</w:t>
      </w:r>
      <w:r w:rsidR="000571A8">
        <w:rPr>
          <w:rFonts w:asciiTheme="majorHAnsi" w:hAnsiTheme="majorHAnsi"/>
          <w:sz w:val="26"/>
          <w:szCs w:val="26"/>
          <w:lang w:val="en-US"/>
        </w:rPr>
        <w:t xml:space="preserve"> will be oriented in finding a</w:t>
      </w:r>
      <w:r w:rsidR="00954A09">
        <w:rPr>
          <w:rFonts w:asciiTheme="majorHAnsi" w:hAnsiTheme="majorHAnsi"/>
          <w:sz w:val="26"/>
          <w:szCs w:val="26"/>
          <w:lang w:val="en-US"/>
        </w:rPr>
        <w:t xml:space="preserve"> major difference.</w:t>
      </w:r>
      <w:r w:rsidRPr="0026326C">
        <w:rPr>
          <w:rFonts w:asciiTheme="majorHAnsi" w:hAnsiTheme="majorHAnsi"/>
          <w:sz w:val="26"/>
          <w:szCs w:val="26"/>
          <w:lang w:val="en-US"/>
        </w:rPr>
        <w:br/>
      </w:r>
      <w:r w:rsidRPr="0026326C">
        <w:rPr>
          <w:rFonts w:asciiTheme="majorHAnsi" w:hAnsiTheme="majorHAnsi"/>
          <w:sz w:val="26"/>
          <w:szCs w:val="26"/>
          <w:lang w:val="en-US"/>
        </w:rPr>
        <w:tab/>
      </w:r>
      <w:proofErr w:type="gramStart"/>
      <w:r w:rsidRPr="0026326C">
        <w:rPr>
          <w:rFonts w:asciiTheme="majorHAnsi" w:hAnsiTheme="majorHAnsi"/>
          <w:sz w:val="26"/>
          <w:szCs w:val="26"/>
          <w:lang w:val="en-US"/>
        </w:rPr>
        <w:t>The society of Gio.</w:t>
      </w:r>
      <w:proofErr w:type="gramEnd"/>
      <w:r w:rsidRPr="0026326C">
        <w:rPr>
          <w:rFonts w:asciiTheme="majorHAnsi" w:hAnsiTheme="majorHAnsi"/>
          <w:sz w:val="26"/>
          <w:szCs w:val="26"/>
          <w:lang w:val="en-US"/>
        </w:rPr>
        <w:t xml:space="preserve"> Ansaldo &amp; Co. was </w:t>
      </w:r>
      <w:r w:rsidR="00DB5695">
        <w:rPr>
          <w:rFonts w:asciiTheme="majorHAnsi" w:hAnsiTheme="majorHAnsi"/>
          <w:sz w:val="26"/>
          <w:szCs w:val="26"/>
          <w:lang w:val="en-US"/>
        </w:rPr>
        <w:t>created in</w:t>
      </w:r>
      <w:r w:rsidRPr="0026326C">
        <w:rPr>
          <w:rFonts w:asciiTheme="majorHAnsi" w:hAnsiTheme="majorHAnsi"/>
          <w:sz w:val="26"/>
          <w:szCs w:val="26"/>
          <w:lang w:val="en-US"/>
        </w:rPr>
        <w:t xml:space="preserve"> 1853</w:t>
      </w:r>
      <w:r w:rsidR="00DB5695">
        <w:rPr>
          <w:rFonts w:asciiTheme="majorHAnsi" w:hAnsiTheme="majorHAnsi"/>
          <w:sz w:val="26"/>
          <w:szCs w:val="26"/>
          <w:lang w:val="en-US"/>
        </w:rPr>
        <w:t>, and soon took over the factory.</w:t>
      </w:r>
      <w:r w:rsidRPr="0026326C">
        <w:rPr>
          <w:rStyle w:val="FootnoteReference"/>
          <w:rFonts w:asciiTheme="majorHAnsi" w:hAnsiTheme="majorHAnsi"/>
          <w:sz w:val="26"/>
          <w:szCs w:val="26"/>
          <w:lang w:val="en-US"/>
        </w:rPr>
        <w:footnoteReference w:id="114"/>
      </w:r>
      <w:r w:rsidR="00DB5695">
        <w:rPr>
          <w:rFonts w:asciiTheme="majorHAnsi" w:hAnsiTheme="majorHAnsi"/>
          <w:sz w:val="26"/>
          <w:szCs w:val="26"/>
          <w:lang w:val="en-US"/>
        </w:rPr>
        <w:t xml:space="preserve"> </w:t>
      </w:r>
      <w:r w:rsidRPr="0026326C">
        <w:rPr>
          <w:rFonts w:asciiTheme="majorHAnsi" w:hAnsiTheme="majorHAnsi"/>
          <w:sz w:val="26"/>
          <w:szCs w:val="26"/>
          <w:lang w:val="en-US"/>
        </w:rPr>
        <w:t>Previously, the state had signed a contract with Taylor and Prandi in 1847.</w:t>
      </w:r>
      <w:r w:rsidRPr="0026326C">
        <w:rPr>
          <w:rStyle w:val="FootnoteReference"/>
          <w:rFonts w:asciiTheme="majorHAnsi" w:hAnsiTheme="majorHAnsi"/>
          <w:sz w:val="26"/>
          <w:szCs w:val="26"/>
          <w:lang w:val="en-US"/>
        </w:rPr>
        <w:footnoteReference w:id="115"/>
      </w:r>
      <w:r w:rsidRPr="0026326C">
        <w:rPr>
          <w:rFonts w:asciiTheme="majorHAnsi" w:hAnsiTheme="majorHAnsi"/>
          <w:sz w:val="26"/>
          <w:szCs w:val="26"/>
          <w:lang w:val="en-US"/>
        </w:rPr>
        <w:t xml:space="preserve"> After the failure of that enterprise, the same contract would have been signed by the neo-constituted Gio. Ansaldo &amp; co</w:t>
      </w:r>
      <w:proofErr w:type="gramStart"/>
      <w:r w:rsidRPr="0026326C">
        <w:rPr>
          <w:rFonts w:asciiTheme="majorHAnsi" w:hAnsiTheme="majorHAnsi"/>
          <w:sz w:val="26"/>
          <w:szCs w:val="26"/>
          <w:lang w:val="en-US"/>
        </w:rPr>
        <w:t>.,</w:t>
      </w:r>
      <w:proofErr w:type="gramEnd"/>
      <w:r w:rsidRPr="0026326C">
        <w:rPr>
          <w:rFonts w:asciiTheme="majorHAnsi" w:hAnsiTheme="majorHAnsi"/>
          <w:sz w:val="26"/>
          <w:szCs w:val="26"/>
          <w:lang w:val="en-US"/>
        </w:rPr>
        <w:t xml:space="preserve"> formed by the president of the National Bank Carlo Bombrini, the ship-owner Raffaele Rubattino, and the financier Giovanni Penco.</w:t>
      </w:r>
      <w:r w:rsidRPr="0026326C">
        <w:rPr>
          <w:rStyle w:val="FootnoteReference"/>
          <w:rFonts w:asciiTheme="majorHAnsi" w:hAnsiTheme="majorHAnsi"/>
          <w:sz w:val="26"/>
          <w:szCs w:val="26"/>
          <w:lang w:val="en-US"/>
        </w:rPr>
        <w:footnoteReference w:id="116"/>
      </w:r>
      <w:r w:rsidRPr="0026326C">
        <w:rPr>
          <w:rFonts w:asciiTheme="majorHAnsi" w:hAnsiTheme="majorHAnsi"/>
          <w:sz w:val="26"/>
          <w:szCs w:val="26"/>
          <w:lang w:val="en-US"/>
        </w:rPr>
        <w:t xml:space="preserve"> </w:t>
      </w:r>
      <w:r w:rsidR="00DB5695">
        <w:rPr>
          <w:rFonts w:asciiTheme="majorHAnsi" w:hAnsiTheme="majorHAnsi"/>
          <w:sz w:val="26"/>
          <w:szCs w:val="26"/>
          <w:lang w:val="en-US"/>
        </w:rPr>
        <w:t>The</w:t>
      </w:r>
      <w:r w:rsidRPr="0026326C">
        <w:rPr>
          <w:rFonts w:asciiTheme="majorHAnsi" w:hAnsiTheme="majorHAnsi"/>
          <w:sz w:val="26"/>
          <w:szCs w:val="26"/>
          <w:lang w:val="en-US"/>
        </w:rPr>
        <w:t xml:space="preserve"> contract was characterized by an initial loan of 810.000 lire, under the form of the plant’s real estate value, to be returned with a 10% discount from public commissions.</w:t>
      </w:r>
      <w:r w:rsidRPr="0026326C">
        <w:rPr>
          <w:rStyle w:val="FootnoteReference"/>
          <w:rFonts w:asciiTheme="majorHAnsi" w:hAnsiTheme="majorHAnsi"/>
          <w:sz w:val="26"/>
          <w:szCs w:val="26"/>
          <w:lang w:val="en-US"/>
        </w:rPr>
        <w:footnoteReference w:id="117"/>
      </w:r>
      <w:r w:rsidRPr="0026326C">
        <w:rPr>
          <w:rFonts w:asciiTheme="majorHAnsi" w:hAnsiTheme="majorHAnsi"/>
          <w:sz w:val="26"/>
          <w:szCs w:val="26"/>
          <w:lang w:val="en-US"/>
        </w:rPr>
        <w:t xml:space="preserve"> All of the previous clauses issued with Taylor and Prandi were kept.</w:t>
      </w:r>
      <w:r w:rsidRPr="0026326C">
        <w:rPr>
          <w:rStyle w:val="FootnoteReference"/>
          <w:rFonts w:asciiTheme="majorHAnsi" w:hAnsiTheme="majorHAnsi"/>
          <w:sz w:val="26"/>
          <w:szCs w:val="26"/>
          <w:lang w:val="en-US"/>
        </w:rPr>
        <w:footnoteReference w:id="118"/>
      </w:r>
      <w:r w:rsidRPr="0026326C">
        <w:rPr>
          <w:rFonts w:asciiTheme="majorHAnsi" w:hAnsiTheme="majorHAnsi"/>
          <w:sz w:val="26"/>
          <w:szCs w:val="26"/>
          <w:lang w:val="en-US"/>
        </w:rPr>
        <w:t xml:space="preserve"> Such clauses involved a mortgage upon the plant and its machinery by the state; the intervention of the state in every purchase of land, buildings and machinery, with their relative payments performed directly by the government; the need of approval from the state regarding building constructions; three quarters of the workers would have to be natives; the treasurer would have to be approved by the state; and finally, the establishment had the obligation of performing every received commission.</w:t>
      </w:r>
      <w:r w:rsidRPr="0026326C">
        <w:rPr>
          <w:rStyle w:val="FootnoteReference"/>
          <w:rFonts w:asciiTheme="majorHAnsi" w:hAnsiTheme="majorHAnsi"/>
          <w:sz w:val="26"/>
          <w:szCs w:val="26"/>
          <w:lang w:val="en-US"/>
        </w:rPr>
        <w:footnoteReference w:id="119"/>
      </w:r>
      <w:r w:rsidRPr="0026326C">
        <w:rPr>
          <w:rFonts w:asciiTheme="majorHAnsi" w:hAnsiTheme="majorHAnsi"/>
          <w:sz w:val="26"/>
          <w:szCs w:val="26"/>
          <w:lang w:val="en-US"/>
        </w:rPr>
        <w:t xml:space="preserve"> Because of the legislative continuity with the Kingdom of Piedmont, after Italy’s Unification such contracts became unaltered, making therefore a direct comparison with the privatization process of the SNIM possible.</w:t>
      </w:r>
      <w:r w:rsidRPr="0026326C">
        <w:rPr>
          <w:rFonts w:asciiTheme="majorHAnsi" w:hAnsiTheme="majorHAnsi"/>
          <w:sz w:val="26"/>
          <w:szCs w:val="26"/>
          <w:lang w:val="en-US"/>
        </w:rPr>
        <w:br/>
      </w:r>
      <w:r w:rsidRPr="0026326C">
        <w:rPr>
          <w:rFonts w:asciiTheme="majorHAnsi" w:hAnsiTheme="majorHAnsi"/>
          <w:sz w:val="26"/>
          <w:szCs w:val="26"/>
          <w:lang w:val="en-US"/>
        </w:rPr>
        <w:tab/>
        <w:t xml:space="preserve">The National Society of the Neapolitan Industry was formed in 1864, </w:t>
      </w:r>
      <w:r w:rsidR="00DB5695">
        <w:rPr>
          <w:rFonts w:asciiTheme="majorHAnsi" w:hAnsiTheme="majorHAnsi"/>
          <w:sz w:val="26"/>
          <w:szCs w:val="26"/>
          <w:lang w:val="en-US"/>
        </w:rPr>
        <w:t>with the structural merger of Southern engineering firms</w:t>
      </w:r>
      <w:r w:rsidRPr="0026326C">
        <w:rPr>
          <w:rFonts w:asciiTheme="majorHAnsi" w:hAnsiTheme="majorHAnsi"/>
          <w:sz w:val="26"/>
          <w:szCs w:val="26"/>
          <w:lang w:val="en-US"/>
        </w:rPr>
        <w:t>.</w:t>
      </w:r>
      <w:r w:rsidRPr="0026326C">
        <w:rPr>
          <w:rStyle w:val="FootnoteReference"/>
          <w:rFonts w:asciiTheme="majorHAnsi" w:hAnsiTheme="majorHAnsi"/>
          <w:sz w:val="26"/>
          <w:szCs w:val="26"/>
          <w:lang w:val="en-US"/>
        </w:rPr>
        <w:footnoteReference w:id="120"/>
      </w:r>
      <w:r w:rsidRPr="0026326C">
        <w:rPr>
          <w:rFonts w:asciiTheme="majorHAnsi" w:hAnsiTheme="majorHAnsi"/>
          <w:sz w:val="26"/>
          <w:szCs w:val="26"/>
          <w:lang w:val="en-US"/>
        </w:rPr>
        <w:t xml:space="preserve"> </w:t>
      </w:r>
      <w:r w:rsidR="00DB5695">
        <w:rPr>
          <w:rFonts w:asciiTheme="majorHAnsi" w:hAnsiTheme="majorHAnsi"/>
          <w:sz w:val="26"/>
          <w:szCs w:val="26"/>
          <w:lang w:val="en-US"/>
        </w:rPr>
        <w:t xml:space="preserve">In this case as well, it was the second privatization initiative after the failure of a first one. </w:t>
      </w:r>
      <w:r w:rsidRPr="0026326C">
        <w:rPr>
          <w:rFonts w:asciiTheme="majorHAnsi" w:hAnsiTheme="majorHAnsi"/>
          <w:sz w:val="26"/>
          <w:szCs w:val="26"/>
          <w:lang w:val="en-US"/>
        </w:rPr>
        <w:t xml:space="preserve">The establishment of Pietrarsa was given for rent to the neo-constituted society, with the following conditions: rent of 45.000 lire for the first five years, 50.000 for the second five years, 60.000 for the third five years, and 70.000 for the fourth five years; the society would be responsible for maintenance costs, differing in that from the previous contract stipulated with Bozza; the rent allowed for the use of the plant’s machinery and tools, </w:t>
      </w:r>
      <w:r w:rsidRPr="0026326C">
        <w:rPr>
          <w:rFonts w:asciiTheme="majorHAnsi" w:hAnsiTheme="majorHAnsi"/>
          <w:sz w:val="26"/>
          <w:szCs w:val="26"/>
          <w:lang w:val="en-US"/>
        </w:rPr>
        <w:lastRenderedPageBreak/>
        <w:t>amounting to the value of 829.584,65 lire, and the company committed itself to not let their value diminish as well as making their value rise in time, for which it would receive compensation from the state at the time of restitution; the government would concede to the company the raw materials stored in the warehouses, and its works in progress, which amounted to 498.692, 48 lire and would have to be returned to the state at the end of the contract.</w:t>
      </w:r>
      <w:r w:rsidRPr="0026326C">
        <w:rPr>
          <w:rStyle w:val="FootnoteReference"/>
          <w:rFonts w:asciiTheme="majorHAnsi" w:hAnsiTheme="majorHAnsi"/>
          <w:sz w:val="26"/>
          <w:szCs w:val="26"/>
          <w:lang w:val="en-US"/>
        </w:rPr>
        <w:footnoteReference w:id="121"/>
      </w:r>
      <w:r w:rsidR="00DB5695">
        <w:rPr>
          <w:rFonts w:asciiTheme="majorHAnsi" w:hAnsiTheme="majorHAnsi"/>
          <w:sz w:val="26"/>
          <w:szCs w:val="26"/>
          <w:lang w:val="en-US"/>
        </w:rPr>
        <w:t xml:space="preserve"> </w:t>
      </w:r>
      <w:r w:rsidRPr="0026326C">
        <w:rPr>
          <w:rFonts w:asciiTheme="majorHAnsi" w:hAnsiTheme="majorHAnsi"/>
          <w:sz w:val="26"/>
          <w:szCs w:val="26"/>
          <w:lang w:val="en-US"/>
        </w:rPr>
        <w:br/>
      </w:r>
      <w:r w:rsidRPr="0026326C">
        <w:rPr>
          <w:rFonts w:asciiTheme="majorHAnsi" w:hAnsiTheme="majorHAnsi"/>
          <w:sz w:val="26"/>
          <w:szCs w:val="26"/>
          <w:lang w:val="en-US"/>
        </w:rPr>
        <w:tab/>
        <w:t>It appears that the two companies had a striking amount of similitudes in their privatization processes, as well as some key differences. Both factories experienced a first privatization process which failed shortly after, to then become part of a new society. Also, both companies were created with the prospect of living out of state commissions: the Ansaldo was formed to supply for the needs of the emerging Piedmontese railways, and eventually encompassed also naval machines for the navy in its production; the SNIM was formed in order to become a key supplier of the state for the same reasons. In the post-unitary period, both of them would rely on public contracts, albeit in different concentrations. Some key differences though, would mark their development.</w:t>
      </w:r>
      <w:r w:rsidRPr="0026326C">
        <w:rPr>
          <w:rFonts w:asciiTheme="majorHAnsi" w:hAnsiTheme="majorHAnsi"/>
          <w:sz w:val="26"/>
          <w:szCs w:val="26"/>
          <w:lang w:val="en-US"/>
        </w:rPr>
        <w:br/>
      </w:r>
      <w:r w:rsidRPr="0026326C">
        <w:rPr>
          <w:rFonts w:asciiTheme="majorHAnsi" w:hAnsiTheme="majorHAnsi"/>
          <w:sz w:val="26"/>
          <w:szCs w:val="26"/>
          <w:lang w:val="en-US"/>
        </w:rPr>
        <w:tab/>
        <w:t xml:space="preserve">First of all, while in the case of the Ansaldo the factory was given to the society in the form of a mortgage, the SNIM had to pay a rising amount of rent, which would amount to 225.000 lire the first five years, 250.000 the second five years, and 300.000 the third five years. </w:t>
      </w:r>
      <w:r w:rsidR="007060F6">
        <w:rPr>
          <w:rFonts w:asciiTheme="majorHAnsi" w:hAnsiTheme="majorHAnsi"/>
          <w:sz w:val="26"/>
          <w:szCs w:val="26"/>
          <w:lang w:val="en-US"/>
        </w:rPr>
        <w:t>This aspect, h</w:t>
      </w:r>
      <w:r w:rsidR="007060F6" w:rsidRPr="0026326C">
        <w:rPr>
          <w:rFonts w:asciiTheme="majorHAnsi" w:hAnsiTheme="majorHAnsi"/>
          <w:sz w:val="26"/>
          <w:szCs w:val="26"/>
          <w:lang w:val="en-US"/>
        </w:rPr>
        <w:t xml:space="preserve">owever, is not directly comparable since the Kingdom of Piedmont in 1853 presented itself in a different situation than when it became the Kingdom of Italy. </w:t>
      </w:r>
      <w:r w:rsidR="007060F6">
        <w:rPr>
          <w:rFonts w:asciiTheme="majorHAnsi" w:hAnsiTheme="majorHAnsi"/>
          <w:sz w:val="26"/>
          <w:szCs w:val="26"/>
          <w:lang w:val="en-US"/>
        </w:rPr>
        <w:t>A more interesting aspect</w:t>
      </w:r>
      <w:r w:rsidRPr="0026326C">
        <w:rPr>
          <w:rFonts w:asciiTheme="majorHAnsi" w:hAnsiTheme="majorHAnsi"/>
          <w:sz w:val="26"/>
          <w:szCs w:val="26"/>
          <w:lang w:val="en-US"/>
        </w:rPr>
        <w:t xml:space="preserve">, </w:t>
      </w:r>
      <w:r w:rsidR="007060F6">
        <w:rPr>
          <w:rFonts w:asciiTheme="majorHAnsi" w:hAnsiTheme="majorHAnsi"/>
          <w:sz w:val="26"/>
          <w:szCs w:val="26"/>
          <w:lang w:val="en-US"/>
        </w:rPr>
        <w:t xml:space="preserve">however, relied in the fact that </w:t>
      </w:r>
      <w:r w:rsidRPr="0026326C">
        <w:rPr>
          <w:rFonts w:asciiTheme="majorHAnsi" w:hAnsiTheme="majorHAnsi"/>
          <w:sz w:val="26"/>
          <w:szCs w:val="26"/>
          <w:lang w:val="en-US"/>
        </w:rPr>
        <w:t>maintenance costs for the Ansaldo were taken care of by the state, indeed with a heavy involvement in the company’s administration, while the SNIM was held accountable for such expenses.</w:t>
      </w:r>
      <w:r w:rsidR="001C0478" w:rsidRPr="0026326C">
        <w:rPr>
          <w:rStyle w:val="FootnoteReference"/>
          <w:rFonts w:asciiTheme="majorHAnsi" w:hAnsiTheme="majorHAnsi"/>
          <w:sz w:val="26"/>
          <w:szCs w:val="26"/>
          <w:lang w:val="en-US"/>
        </w:rPr>
        <w:footnoteReference w:id="122"/>
      </w:r>
      <w:r w:rsidRPr="0026326C">
        <w:rPr>
          <w:rFonts w:asciiTheme="majorHAnsi" w:hAnsiTheme="majorHAnsi"/>
          <w:sz w:val="26"/>
          <w:szCs w:val="26"/>
          <w:lang w:val="en-US"/>
        </w:rPr>
        <w:t xml:space="preserve"> Finally, </w:t>
      </w:r>
      <w:r w:rsidR="001C0478" w:rsidRPr="0026326C">
        <w:rPr>
          <w:rFonts w:asciiTheme="majorHAnsi" w:hAnsiTheme="majorHAnsi"/>
          <w:sz w:val="26"/>
          <w:szCs w:val="26"/>
          <w:lang w:val="en-US"/>
        </w:rPr>
        <w:t xml:space="preserve">as shown above, </w:t>
      </w:r>
      <w:r w:rsidRPr="0026326C">
        <w:rPr>
          <w:rFonts w:asciiTheme="majorHAnsi" w:hAnsiTheme="majorHAnsi"/>
          <w:sz w:val="26"/>
          <w:szCs w:val="26"/>
          <w:lang w:val="en-US"/>
        </w:rPr>
        <w:t>the additional clauses of state’s involvement in the administration of the Ansaldo are not present in the case of the SNIM.</w:t>
      </w:r>
      <w:r w:rsidR="001C0478" w:rsidRPr="0026326C">
        <w:rPr>
          <w:rFonts w:asciiTheme="majorHAnsi" w:hAnsiTheme="majorHAnsi"/>
          <w:sz w:val="26"/>
          <w:szCs w:val="26"/>
          <w:lang w:val="en-US"/>
        </w:rPr>
        <w:t xml:space="preserve"> </w:t>
      </w:r>
      <w:r w:rsidRPr="0026326C">
        <w:rPr>
          <w:rFonts w:asciiTheme="majorHAnsi" w:hAnsiTheme="majorHAnsi"/>
          <w:sz w:val="26"/>
          <w:szCs w:val="26"/>
          <w:lang w:val="en-US"/>
        </w:rPr>
        <w:br/>
      </w:r>
      <w:r w:rsidRPr="0026326C">
        <w:rPr>
          <w:rFonts w:asciiTheme="majorHAnsi" w:hAnsiTheme="majorHAnsi"/>
          <w:sz w:val="26"/>
          <w:szCs w:val="26"/>
          <w:lang w:val="en-US"/>
        </w:rPr>
        <w:tab/>
      </w:r>
      <w:r w:rsidR="00392B53">
        <w:rPr>
          <w:rFonts w:asciiTheme="majorHAnsi" w:hAnsiTheme="majorHAnsi"/>
          <w:sz w:val="26"/>
          <w:szCs w:val="26"/>
          <w:lang w:val="en-US"/>
        </w:rPr>
        <w:t xml:space="preserve">Maintenance costs appear to be the most </w:t>
      </w:r>
      <w:r w:rsidRPr="0026326C">
        <w:rPr>
          <w:rFonts w:asciiTheme="majorHAnsi" w:hAnsiTheme="majorHAnsi"/>
          <w:sz w:val="26"/>
          <w:szCs w:val="26"/>
          <w:lang w:val="en-US"/>
        </w:rPr>
        <w:t xml:space="preserve">important element in the comparative analysis, </w:t>
      </w:r>
      <w:r w:rsidR="007060F6">
        <w:rPr>
          <w:rFonts w:asciiTheme="majorHAnsi" w:hAnsiTheme="majorHAnsi"/>
          <w:sz w:val="26"/>
          <w:szCs w:val="26"/>
          <w:lang w:val="en-US"/>
        </w:rPr>
        <w:t xml:space="preserve">since they originated from </w:t>
      </w:r>
      <w:r w:rsidRPr="0026326C">
        <w:rPr>
          <w:rFonts w:asciiTheme="majorHAnsi" w:hAnsiTheme="majorHAnsi"/>
          <w:sz w:val="26"/>
          <w:szCs w:val="26"/>
          <w:lang w:val="en-US"/>
        </w:rPr>
        <w:t xml:space="preserve">the institutional continuity with the Kingdom of Piedmont. The adoption of the Piedmontese legislation in the whole nation meant that the Ansaldo contract signed in 1853 remained valid in the post-unification period, therefore saving the Gio. Ansaldo &amp; Co. from the burden of maintenance costs. In conclusion, from the privatization contracts of both companies emerges the advantage of the Ansaldo regarding maintenance costs taken care by the state, which was due to the political continuity between Kingdom of Piedmont and Kingdom of Italy. </w:t>
      </w:r>
      <w:r w:rsidR="006E0A3E" w:rsidRPr="0026326C">
        <w:rPr>
          <w:rFonts w:asciiTheme="majorHAnsi" w:hAnsiTheme="majorHAnsi"/>
          <w:sz w:val="26"/>
          <w:szCs w:val="26"/>
          <w:lang w:val="en-US"/>
        </w:rPr>
        <w:t>Political continuity can be defined as the fixed capital that attracted mobile financial resources of maintenance costs, according to Fenoaltea’s model.</w:t>
      </w:r>
      <w:r w:rsidR="00804812" w:rsidRPr="0026326C">
        <w:rPr>
          <w:rFonts w:asciiTheme="majorHAnsi" w:hAnsiTheme="majorHAnsi"/>
          <w:sz w:val="26"/>
          <w:szCs w:val="26"/>
          <w:lang w:val="en-US"/>
        </w:rPr>
        <w:t xml:space="preserve"> This difference, among the many similarities, is bound to have had a role in the final outcome of both factories, </w:t>
      </w:r>
      <w:r w:rsidR="00BE69B1">
        <w:rPr>
          <w:rFonts w:asciiTheme="majorHAnsi" w:hAnsiTheme="majorHAnsi"/>
          <w:sz w:val="26"/>
          <w:szCs w:val="26"/>
          <w:lang w:val="en-US"/>
        </w:rPr>
        <w:lastRenderedPageBreak/>
        <w:t>according to</w:t>
      </w:r>
      <w:r w:rsidR="00804812" w:rsidRPr="0026326C">
        <w:rPr>
          <w:rFonts w:asciiTheme="majorHAnsi" w:hAnsiTheme="majorHAnsi"/>
          <w:sz w:val="26"/>
          <w:szCs w:val="26"/>
          <w:lang w:val="en-US"/>
        </w:rPr>
        <w:t xml:space="preserve"> Mill’s framework; however, since the financial situation of the Ansaldo did not appear to be less tragic than Pietrarsa, only a marginal correlation is plausible </w:t>
      </w:r>
      <w:r w:rsidR="00BE69B1">
        <w:rPr>
          <w:rFonts w:asciiTheme="majorHAnsi" w:hAnsiTheme="majorHAnsi"/>
          <w:sz w:val="26"/>
          <w:szCs w:val="26"/>
          <w:lang w:val="en-US"/>
        </w:rPr>
        <w:t>in the different outcome of the two factories.</w:t>
      </w:r>
      <w:r w:rsidR="007060F6">
        <w:rPr>
          <w:rStyle w:val="FootnoteReference"/>
          <w:rFonts w:asciiTheme="majorHAnsi" w:hAnsiTheme="majorHAnsi"/>
          <w:sz w:val="26"/>
          <w:szCs w:val="26"/>
          <w:lang w:val="en-US"/>
        </w:rPr>
        <w:footnoteReference w:id="123"/>
      </w:r>
    </w:p>
    <w:p w14:paraId="4508BB69" w14:textId="77777777" w:rsidR="006A1343" w:rsidRDefault="006A1343" w:rsidP="00955F9B">
      <w:pPr>
        <w:rPr>
          <w:rFonts w:asciiTheme="majorHAnsi" w:hAnsiTheme="majorHAnsi"/>
          <w:b/>
          <w:sz w:val="40"/>
          <w:szCs w:val="40"/>
        </w:rPr>
      </w:pPr>
    </w:p>
    <w:p w14:paraId="69E463B9" w14:textId="77777777" w:rsidR="00240731" w:rsidRDefault="00240731" w:rsidP="00955F9B">
      <w:pPr>
        <w:rPr>
          <w:rFonts w:asciiTheme="majorHAnsi" w:hAnsiTheme="majorHAnsi"/>
          <w:b/>
          <w:sz w:val="40"/>
          <w:szCs w:val="40"/>
        </w:rPr>
      </w:pPr>
    </w:p>
    <w:p w14:paraId="79D2B1FB" w14:textId="77777777" w:rsidR="00240731" w:rsidRDefault="00240731" w:rsidP="00955F9B">
      <w:pPr>
        <w:rPr>
          <w:rFonts w:asciiTheme="majorHAnsi" w:hAnsiTheme="majorHAnsi"/>
          <w:b/>
          <w:sz w:val="40"/>
          <w:szCs w:val="40"/>
        </w:rPr>
      </w:pPr>
    </w:p>
    <w:p w14:paraId="2302DB1A" w14:textId="77777777" w:rsidR="00240731" w:rsidRDefault="00240731" w:rsidP="00955F9B">
      <w:pPr>
        <w:rPr>
          <w:rFonts w:asciiTheme="majorHAnsi" w:hAnsiTheme="majorHAnsi"/>
          <w:b/>
          <w:sz w:val="40"/>
          <w:szCs w:val="40"/>
        </w:rPr>
      </w:pPr>
    </w:p>
    <w:p w14:paraId="3F9C4418" w14:textId="77777777" w:rsidR="00240731" w:rsidRDefault="00240731" w:rsidP="00955F9B">
      <w:pPr>
        <w:rPr>
          <w:rFonts w:asciiTheme="majorHAnsi" w:hAnsiTheme="majorHAnsi"/>
          <w:b/>
          <w:sz w:val="40"/>
          <w:szCs w:val="40"/>
        </w:rPr>
      </w:pPr>
    </w:p>
    <w:p w14:paraId="68ED29C7" w14:textId="77777777" w:rsidR="00240731" w:rsidRDefault="00240731" w:rsidP="00955F9B">
      <w:pPr>
        <w:rPr>
          <w:rFonts w:asciiTheme="majorHAnsi" w:hAnsiTheme="majorHAnsi"/>
          <w:b/>
          <w:sz w:val="40"/>
          <w:szCs w:val="40"/>
        </w:rPr>
      </w:pPr>
    </w:p>
    <w:p w14:paraId="6D68A80F" w14:textId="77777777" w:rsidR="00240731" w:rsidRDefault="00240731" w:rsidP="00955F9B">
      <w:pPr>
        <w:rPr>
          <w:rFonts w:asciiTheme="majorHAnsi" w:hAnsiTheme="majorHAnsi"/>
          <w:b/>
          <w:sz w:val="40"/>
          <w:szCs w:val="40"/>
        </w:rPr>
      </w:pPr>
    </w:p>
    <w:p w14:paraId="63042F73" w14:textId="77777777" w:rsidR="00240731" w:rsidRDefault="00240731" w:rsidP="00955F9B">
      <w:pPr>
        <w:rPr>
          <w:rFonts w:asciiTheme="majorHAnsi" w:hAnsiTheme="majorHAnsi"/>
          <w:b/>
          <w:sz w:val="40"/>
          <w:szCs w:val="40"/>
        </w:rPr>
      </w:pPr>
    </w:p>
    <w:p w14:paraId="329D2D1D" w14:textId="77777777" w:rsidR="00240731" w:rsidRDefault="00240731" w:rsidP="00955F9B">
      <w:pPr>
        <w:rPr>
          <w:rFonts w:asciiTheme="majorHAnsi" w:hAnsiTheme="majorHAnsi"/>
          <w:b/>
          <w:sz w:val="40"/>
          <w:szCs w:val="40"/>
        </w:rPr>
      </w:pPr>
    </w:p>
    <w:p w14:paraId="52D87F4F" w14:textId="77777777" w:rsidR="00240731" w:rsidRDefault="00240731" w:rsidP="00955F9B">
      <w:pPr>
        <w:rPr>
          <w:rFonts w:asciiTheme="majorHAnsi" w:hAnsiTheme="majorHAnsi"/>
          <w:b/>
          <w:sz w:val="40"/>
          <w:szCs w:val="40"/>
        </w:rPr>
      </w:pPr>
    </w:p>
    <w:p w14:paraId="5698E85E" w14:textId="77777777" w:rsidR="00240731" w:rsidRDefault="00240731" w:rsidP="00955F9B">
      <w:pPr>
        <w:rPr>
          <w:rFonts w:asciiTheme="majorHAnsi" w:hAnsiTheme="majorHAnsi"/>
          <w:b/>
          <w:sz w:val="40"/>
          <w:szCs w:val="40"/>
        </w:rPr>
      </w:pPr>
    </w:p>
    <w:p w14:paraId="431742DA" w14:textId="77777777" w:rsidR="00240731" w:rsidRDefault="00240731" w:rsidP="00955F9B">
      <w:pPr>
        <w:rPr>
          <w:rFonts w:asciiTheme="majorHAnsi" w:hAnsiTheme="majorHAnsi"/>
          <w:b/>
          <w:sz w:val="40"/>
          <w:szCs w:val="40"/>
        </w:rPr>
      </w:pPr>
    </w:p>
    <w:p w14:paraId="1F27C884" w14:textId="77777777" w:rsidR="00B35596" w:rsidRDefault="00B35596" w:rsidP="00A20EA4">
      <w:pPr>
        <w:rPr>
          <w:rFonts w:asciiTheme="majorHAnsi" w:hAnsiTheme="majorHAnsi"/>
          <w:b/>
          <w:sz w:val="40"/>
          <w:szCs w:val="40"/>
        </w:rPr>
      </w:pPr>
    </w:p>
    <w:p w14:paraId="4EF352B0" w14:textId="77777777" w:rsidR="00A20EA4" w:rsidRDefault="00A20EA4" w:rsidP="00A20EA4">
      <w:pPr>
        <w:rPr>
          <w:rFonts w:asciiTheme="majorHAnsi" w:hAnsiTheme="majorHAnsi"/>
          <w:b/>
          <w:sz w:val="40"/>
          <w:szCs w:val="40"/>
        </w:rPr>
      </w:pPr>
    </w:p>
    <w:p w14:paraId="6D34D8A9" w14:textId="77777777" w:rsidR="004819E0" w:rsidRDefault="004819E0" w:rsidP="00602BC0">
      <w:pPr>
        <w:jc w:val="center"/>
        <w:rPr>
          <w:rFonts w:asciiTheme="majorHAnsi" w:hAnsiTheme="majorHAnsi"/>
          <w:b/>
          <w:sz w:val="40"/>
          <w:szCs w:val="40"/>
        </w:rPr>
      </w:pPr>
    </w:p>
    <w:p w14:paraId="126E7D4C" w14:textId="77777777" w:rsidR="004819E0" w:rsidRDefault="004819E0" w:rsidP="008B118D">
      <w:pPr>
        <w:rPr>
          <w:rFonts w:asciiTheme="majorHAnsi" w:hAnsiTheme="majorHAnsi"/>
          <w:b/>
          <w:sz w:val="40"/>
          <w:szCs w:val="40"/>
        </w:rPr>
      </w:pPr>
    </w:p>
    <w:p w14:paraId="74A0CE48" w14:textId="60E08D7C" w:rsidR="00C12A0F" w:rsidRDefault="00C12A0F" w:rsidP="008B118D">
      <w:pPr>
        <w:jc w:val="center"/>
        <w:rPr>
          <w:rFonts w:asciiTheme="majorHAnsi" w:hAnsiTheme="majorHAnsi"/>
          <w:b/>
          <w:sz w:val="40"/>
          <w:szCs w:val="40"/>
        </w:rPr>
      </w:pPr>
      <w:r>
        <w:rPr>
          <w:rFonts w:asciiTheme="majorHAnsi" w:hAnsiTheme="majorHAnsi"/>
          <w:b/>
          <w:sz w:val="40"/>
          <w:szCs w:val="40"/>
        </w:rPr>
        <w:lastRenderedPageBreak/>
        <w:t>CHAPTER THREE</w:t>
      </w:r>
      <w:r>
        <w:rPr>
          <w:rFonts w:asciiTheme="majorHAnsi" w:hAnsiTheme="majorHAnsi"/>
          <w:b/>
          <w:sz w:val="40"/>
          <w:szCs w:val="40"/>
        </w:rPr>
        <w:br/>
        <w:t>The distribution of public c</w:t>
      </w:r>
      <w:r w:rsidR="008B118D">
        <w:rPr>
          <w:rFonts w:asciiTheme="majorHAnsi" w:hAnsiTheme="majorHAnsi"/>
          <w:b/>
          <w:sz w:val="40"/>
          <w:szCs w:val="40"/>
        </w:rPr>
        <w:t>ontracts</w:t>
      </w:r>
      <w:r w:rsidR="008B118D">
        <w:rPr>
          <w:rFonts w:asciiTheme="majorHAnsi" w:hAnsiTheme="majorHAnsi"/>
          <w:b/>
          <w:sz w:val="40"/>
          <w:szCs w:val="40"/>
        </w:rPr>
        <w:br/>
      </w:r>
    </w:p>
    <w:p w14:paraId="58168C0E" w14:textId="77777777" w:rsidR="00C12A0F" w:rsidRDefault="00C12A0F" w:rsidP="00602BC0">
      <w:pPr>
        <w:jc w:val="center"/>
      </w:pPr>
      <w:r>
        <w:rPr>
          <w:rFonts w:asciiTheme="majorHAnsi" w:hAnsiTheme="majorHAnsi"/>
          <w:b/>
          <w:sz w:val="32"/>
          <w:szCs w:val="32"/>
        </w:rPr>
        <w:t>The comparative histories of Pietrarsa and Ansaldo during the first pre-unitary and post-unitary decades.</w:t>
      </w:r>
      <w:r w:rsidRPr="0030437F">
        <w:t xml:space="preserve"> </w:t>
      </w:r>
    </w:p>
    <w:p w14:paraId="7407D537" w14:textId="0574FDD4" w:rsidR="00C12A0F" w:rsidRDefault="00B8313B">
      <w:pPr>
        <w:rPr>
          <w:b/>
        </w:rPr>
      </w:pPr>
      <w:r>
        <w:rPr>
          <w:rFonts w:asciiTheme="majorHAnsi" w:hAnsiTheme="majorHAnsi"/>
          <w:b/>
          <w:noProof/>
          <w:sz w:val="32"/>
          <w:szCs w:val="32"/>
          <w:lang w:eastAsia="it-IT"/>
        </w:rPr>
        <w:drawing>
          <wp:anchor distT="0" distB="0" distL="114300" distR="114300" simplePos="0" relativeHeight="251670528" behindDoc="0" locked="0" layoutInCell="1" allowOverlap="1" wp14:anchorId="35D7679F" wp14:editId="56B5AC91">
            <wp:simplePos x="0" y="0"/>
            <wp:positionH relativeFrom="column">
              <wp:posOffset>146685</wp:posOffset>
            </wp:positionH>
            <wp:positionV relativeFrom="paragraph">
              <wp:posOffset>36830</wp:posOffset>
            </wp:positionV>
            <wp:extent cx="5686425" cy="3710305"/>
            <wp:effectExtent l="0" t="0" r="9525" b="4445"/>
            <wp:wrapNone/>
            <wp:docPr id="6" name="Picture 6" descr="D:\A - Università\A - Tesi\Pietra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 Università\A - Tesi\Pietrars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371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953E5" w14:textId="331D488C" w:rsidR="00C12A0F" w:rsidRDefault="00C12A0F" w:rsidP="00602BC0">
      <w:pPr>
        <w:rPr>
          <w:rFonts w:asciiTheme="majorHAnsi" w:hAnsiTheme="majorHAnsi"/>
          <w:b/>
          <w:sz w:val="32"/>
          <w:szCs w:val="32"/>
        </w:rPr>
      </w:pPr>
    </w:p>
    <w:p w14:paraId="79C4304F" w14:textId="77777777" w:rsidR="00C12A0F" w:rsidRDefault="00C12A0F" w:rsidP="00602BC0">
      <w:pPr>
        <w:rPr>
          <w:rFonts w:asciiTheme="majorHAnsi" w:hAnsiTheme="majorHAnsi"/>
          <w:b/>
          <w:sz w:val="32"/>
          <w:szCs w:val="32"/>
        </w:rPr>
      </w:pPr>
    </w:p>
    <w:p w14:paraId="2B016197" w14:textId="77777777" w:rsidR="00F878CD" w:rsidRDefault="00F878CD" w:rsidP="00602BC0">
      <w:pPr>
        <w:rPr>
          <w:rFonts w:asciiTheme="majorHAnsi" w:hAnsiTheme="majorHAnsi"/>
          <w:b/>
          <w:sz w:val="32"/>
          <w:szCs w:val="32"/>
        </w:rPr>
      </w:pPr>
    </w:p>
    <w:p w14:paraId="6F09B3CC" w14:textId="77777777" w:rsidR="00F878CD" w:rsidRDefault="00F878CD" w:rsidP="00602BC0">
      <w:pPr>
        <w:rPr>
          <w:rFonts w:asciiTheme="majorHAnsi" w:hAnsiTheme="majorHAnsi"/>
          <w:b/>
          <w:sz w:val="32"/>
          <w:szCs w:val="32"/>
        </w:rPr>
      </w:pPr>
    </w:p>
    <w:p w14:paraId="41FED286" w14:textId="77777777" w:rsidR="00A743E7" w:rsidRDefault="00A743E7" w:rsidP="00602BC0">
      <w:pPr>
        <w:rPr>
          <w:rFonts w:asciiTheme="majorHAnsi" w:hAnsiTheme="majorHAnsi"/>
          <w:b/>
          <w:sz w:val="32"/>
          <w:szCs w:val="32"/>
        </w:rPr>
      </w:pPr>
    </w:p>
    <w:p w14:paraId="67DF38F7" w14:textId="77777777" w:rsidR="00A743E7" w:rsidRDefault="00A743E7" w:rsidP="00602BC0">
      <w:pPr>
        <w:rPr>
          <w:rFonts w:asciiTheme="majorHAnsi" w:hAnsiTheme="majorHAnsi"/>
          <w:b/>
          <w:sz w:val="32"/>
          <w:szCs w:val="32"/>
        </w:rPr>
      </w:pPr>
    </w:p>
    <w:p w14:paraId="79995736" w14:textId="77777777" w:rsidR="00A743E7" w:rsidRDefault="00A743E7" w:rsidP="00602BC0">
      <w:pPr>
        <w:rPr>
          <w:rFonts w:asciiTheme="majorHAnsi" w:hAnsiTheme="majorHAnsi"/>
          <w:b/>
          <w:sz w:val="32"/>
          <w:szCs w:val="32"/>
        </w:rPr>
      </w:pPr>
    </w:p>
    <w:p w14:paraId="0AB399A6" w14:textId="77777777" w:rsidR="00A743E7" w:rsidRDefault="00A743E7" w:rsidP="00602BC0">
      <w:pPr>
        <w:rPr>
          <w:rFonts w:asciiTheme="majorHAnsi" w:hAnsiTheme="majorHAnsi"/>
          <w:b/>
          <w:sz w:val="32"/>
          <w:szCs w:val="32"/>
        </w:rPr>
      </w:pPr>
    </w:p>
    <w:p w14:paraId="4496EF77" w14:textId="77777777" w:rsidR="00A743E7" w:rsidRDefault="00A743E7" w:rsidP="00602BC0">
      <w:pPr>
        <w:rPr>
          <w:rFonts w:asciiTheme="majorHAnsi" w:hAnsiTheme="majorHAnsi"/>
          <w:b/>
          <w:sz w:val="32"/>
          <w:szCs w:val="32"/>
        </w:rPr>
      </w:pPr>
    </w:p>
    <w:p w14:paraId="66EC7B9B" w14:textId="3C7EDEDE" w:rsidR="000B0E83" w:rsidRPr="008B118D" w:rsidRDefault="002F63DE" w:rsidP="00602BC0">
      <w:pPr>
        <w:rPr>
          <w:rFonts w:asciiTheme="majorHAnsi" w:hAnsiTheme="majorHAnsi"/>
          <w:b/>
          <w:sz w:val="32"/>
          <w:szCs w:val="32"/>
        </w:rPr>
      </w:pPr>
      <w:r>
        <w:rPr>
          <w:rFonts w:asciiTheme="majorHAnsi" w:hAnsiTheme="majorHAnsi"/>
          <w:b/>
          <w:sz w:val="26"/>
          <w:szCs w:val="26"/>
        </w:rPr>
        <w:br/>
      </w:r>
      <w:r w:rsidR="000B0E83" w:rsidRPr="008B118D">
        <w:rPr>
          <w:rFonts w:asciiTheme="majorHAnsi" w:hAnsiTheme="majorHAnsi"/>
          <w:b/>
          <w:sz w:val="32"/>
          <w:szCs w:val="32"/>
        </w:rPr>
        <w:t>Was the productive capacity of Pietrarsa and Ansaldo on the same level?</w:t>
      </w:r>
    </w:p>
    <w:p w14:paraId="767E48C6" w14:textId="23819005" w:rsidR="00C12A0F" w:rsidRPr="002F63DE" w:rsidRDefault="000B0E83" w:rsidP="00602BC0">
      <w:pPr>
        <w:rPr>
          <w:rFonts w:asciiTheme="majorHAnsi" w:hAnsiTheme="majorHAnsi"/>
          <w:b/>
          <w:sz w:val="26"/>
          <w:szCs w:val="26"/>
        </w:rPr>
      </w:pPr>
      <w:r w:rsidRPr="008B118D">
        <w:rPr>
          <w:rFonts w:asciiTheme="majorHAnsi" w:hAnsiTheme="majorHAnsi"/>
          <w:b/>
          <w:sz w:val="32"/>
          <w:szCs w:val="32"/>
        </w:rPr>
        <w:t>How did political continuities influence the assignation of public contracts?</w:t>
      </w:r>
      <w:r w:rsidR="00287D23" w:rsidRPr="008B118D">
        <w:rPr>
          <w:rFonts w:asciiTheme="majorHAnsi" w:hAnsiTheme="majorHAnsi"/>
          <w:b/>
          <w:sz w:val="32"/>
          <w:szCs w:val="32"/>
        </w:rPr>
        <w:br/>
      </w:r>
      <w:r w:rsidR="002F63DE">
        <w:rPr>
          <w:rFonts w:asciiTheme="majorHAnsi" w:hAnsiTheme="majorHAnsi"/>
          <w:b/>
          <w:sz w:val="32"/>
          <w:szCs w:val="32"/>
        </w:rPr>
        <w:br/>
      </w:r>
      <w:r w:rsidR="00C12A0F" w:rsidRPr="00600EF5">
        <w:rPr>
          <w:rFonts w:asciiTheme="majorHAnsi" w:hAnsiTheme="majorHAnsi"/>
          <w:b/>
          <w:sz w:val="32"/>
          <w:szCs w:val="32"/>
        </w:rPr>
        <w:t>Chapter outline</w:t>
      </w:r>
    </w:p>
    <w:p w14:paraId="65BABA5B" w14:textId="2E8208C7" w:rsidR="00C12A0F" w:rsidRPr="00401A90" w:rsidRDefault="00C12A0F" w:rsidP="00C12A0F">
      <w:pPr>
        <w:pStyle w:val="ListParagraph"/>
        <w:numPr>
          <w:ilvl w:val="0"/>
          <w:numId w:val="2"/>
        </w:numPr>
        <w:rPr>
          <w:rFonts w:asciiTheme="majorHAnsi" w:hAnsiTheme="majorHAnsi"/>
          <w:b/>
          <w:sz w:val="26"/>
          <w:szCs w:val="26"/>
          <w:lang w:val="en-GB"/>
        </w:rPr>
      </w:pPr>
      <w:r w:rsidRPr="00401A90">
        <w:rPr>
          <w:rFonts w:asciiTheme="majorHAnsi" w:hAnsiTheme="majorHAnsi"/>
          <w:b/>
          <w:sz w:val="26"/>
          <w:szCs w:val="26"/>
          <w:lang w:val="en-GB"/>
        </w:rPr>
        <w:t>The role of public contracts and the comparison of productive c</w:t>
      </w:r>
      <w:r w:rsidR="00A0542F">
        <w:rPr>
          <w:rFonts w:asciiTheme="majorHAnsi" w:hAnsiTheme="majorHAnsi"/>
          <w:b/>
          <w:sz w:val="26"/>
          <w:szCs w:val="26"/>
          <w:lang w:val="en-GB"/>
        </w:rPr>
        <w:t>apacities</w:t>
      </w:r>
      <w:r w:rsidRPr="00401A90">
        <w:rPr>
          <w:rFonts w:asciiTheme="majorHAnsi" w:hAnsiTheme="majorHAnsi"/>
          <w:b/>
          <w:sz w:val="26"/>
          <w:szCs w:val="26"/>
          <w:lang w:val="en-GB"/>
        </w:rPr>
        <w:t xml:space="preserve"> </w:t>
      </w:r>
    </w:p>
    <w:p w14:paraId="478C1A96" w14:textId="77777777" w:rsidR="00C12A0F" w:rsidRPr="00401A90" w:rsidRDefault="00C12A0F" w:rsidP="00C12A0F">
      <w:pPr>
        <w:pStyle w:val="ListParagraph"/>
        <w:numPr>
          <w:ilvl w:val="0"/>
          <w:numId w:val="2"/>
        </w:numPr>
        <w:rPr>
          <w:rFonts w:asciiTheme="majorHAnsi" w:hAnsiTheme="majorHAnsi"/>
          <w:b/>
          <w:sz w:val="26"/>
          <w:szCs w:val="26"/>
          <w:lang w:val="en-GB"/>
        </w:rPr>
      </w:pPr>
      <w:r w:rsidRPr="00401A90">
        <w:rPr>
          <w:rFonts w:asciiTheme="majorHAnsi" w:hAnsiTheme="majorHAnsi"/>
          <w:b/>
          <w:sz w:val="26"/>
          <w:szCs w:val="26"/>
          <w:lang w:val="en-GB"/>
        </w:rPr>
        <w:t xml:space="preserve">Railways construction, Royal Navy and political continuities </w:t>
      </w:r>
    </w:p>
    <w:p w14:paraId="64E4CB0D" w14:textId="77777777" w:rsidR="00C12A0F" w:rsidRPr="00401A90" w:rsidRDefault="00C12A0F" w:rsidP="00C12A0F">
      <w:pPr>
        <w:pStyle w:val="ListParagraph"/>
        <w:numPr>
          <w:ilvl w:val="0"/>
          <w:numId w:val="2"/>
        </w:numPr>
        <w:rPr>
          <w:rFonts w:asciiTheme="majorHAnsi" w:hAnsiTheme="majorHAnsi"/>
          <w:b/>
          <w:sz w:val="26"/>
          <w:szCs w:val="26"/>
          <w:lang w:val="en-GB"/>
        </w:rPr>
      </w:pPr>
      <w:r w:rsidRPr="00401A90">
        <w:rPr>
          <w:rFonts w:asciiTheme="majorHAnsi" w:hAnsiTheme="majorHAnsi"/>
          <w:b/>
          <w:sz w:val="26"/>
          <w:szCs w:val="26"/>
          <w:lang w:val="en-GB"/>
        </w:rPr>
        <w:t>Public contracts and Pietrarsa’s output</w:t>
      </w:r>
    </w:p>
    <w:p w14:paraId="39A015B9" w14:textId="65AB103B" w:rsidR="00C12A0F" w:rsidRDefault="00C12A0F" w:rsidP="004960F0">
      <w:pPr>
        <w:pStyle w:val="ListParagraph"/>
        <w:numPr>
          <w:ilvl w:val="0"/>
          <w:numId w:val="2"/>
        </w:numPr>
        <w:rPr>
          <w:rFonts w:asciiTheme="majorHAnsi" w:hAnsiTheme="majorHAnsi"/>
          <w:b/>
          <w:sz w:val="26"/>
          <w:szCs w:val="26"/>
          <w:lang w:val="en-GB"/>
        </w:rPr>
      </w:pPr>
      <w:r w:rsidRPr="00401A90">
        <w:rPr>
          <w:rFonts w:asciiTheme="majorHAnsi" w:hAnsiTheme="majorHAnsi"/>
          <w:b/>
          <w:sz w:val="26"/>
          <w:szCs w:val="26"/>
          <w:lang w:val="en-GB"/>
        </w:rPr>
        <w:t xml:space="preserve">Public contracts and </w:t>
      </w:r>
      <w:r>
        <w:rPr>
          <w:rFonts w:asciiTheme="majorHAnsi" w:hAnsiTheme="majorHAnsi"/>
          <w:b/>
          <w:sz w:val="26"/>
          <w:szCs w:val="26"/>
          <w:lang w:val="en-GB"/>
        </w:rPr>
        <w:t>Ansaldo’s</w:t>
      </w:r>
      <w:r w:rsidR="004960F0">
        <w:rPr>
          <w:rFonts w:asciiTheme="majorHAnsi" w:hAnsiTheme="majorHAnsi"/>
          <w:b/>
          <w:sz w:val="26"/>
          <w:szCs w:val="26"/>
          <w:lang w:val="en-GB"/>
        </w:rPr>
        <w:t xml:space="preserve"> output</w:t>
      </w:r>
    </w:p>
    <w:p w14:paraId="1A55B91B" w14:textId="6E9A95F3" w:rsidR="004960F0" w:rsidRPr="004960F0" w:rsidRDefault="004960F0" w:rsidP="004960F0">
      <w:pPr>
        <w:pStyle w:val="ListParagraph"/>
        <w:numPr>
          <w:ilvl w:val="0"/>
          <w:numId w:val="2"/>
        </w:numPr>
        <w:rPr>
          <w:rFonts w:asciiTheme="majorHAnsi" w:hAnsiTheme="majorHAnsi"/>
          <w:b/>
          <w:sz w:val="26"/>
          <w:szCs w:val="26"/>
          <w:lang w:val="en-GB"/>
        </w:rPr>
      </w:pPr>
      <w:r>
        <w:rPr>
          <w:rFonts w:asciiTheme="majorHAnsi" w:hAnsiTheme="majorHAnsi"/>
          <w:b/>
          <w:sz w:val="26"/>
          <w:szCs w:val="26"/>
          <w:lang w:val="en-GB"/>
        </w:rPr>
        <w:t>The final confrontation</w:t>
      </w:r>
    </w:p>
    <w:p w14:paraId="7ABE74CC" w14:textId="3FD332BE" w:rsidR="00C12A0F" w:rsidRDefault="00BD3F6C">
      <w:pPr>
        <w:rPr>
          <w:rFonts w:asciiTheme="majorHAnsi" w:hAnsiTheme="majorHAnsi"/>
          <w:b/>
          <w:sz w:val="26"/>
          <w:szCs w:val="26"/>
          <w:lang w:val="en-GB"/>
        </w:rPr>
      </w:pPr>
      <w:r>
        <w:rPr>
          <w:rFonts w:asciiTheme="majorHAnsi" w:hAnsiTheme="majorHAnsi"/>
          <w:b/>
          <w:sz w:val="26"/>
          <w:szCs w:val="26"/>
          <w:lang w:val="en-GB"/>
        </w:rPr>
        <w:lastRenderedPageBreak/>
        <w:t>The industrial Enquiries of 1864 and 1870-1874: Assessing productive potential</w:t>
      </w:r>
    </w:p>
    <w:p w14:paraId="7793C046" w14:textId="77777777" w:rsidR="00C12A0F" w:rsidRPr="00B11E73" w:rsidRDefault="00C12A0F">
      <w:pPr>
        <w:rPr>
          <w:rFonts w:asciiTheme="majorHAnsi" w:hAnsiTheme="majorHAnsi"/>
          <w:b/>
          <w:sz w:val="24"/>
          <w:szCs w:val="24"/>
          <w:lang w:val="en-GB"/>
        </w:rPr>
      </w:pPr>
      <w:r>
        <w:rPr>
          <w:rFonts w:asciiTheme="majorHAnsi" w:hAnsiTheme="majorHAnsi"/>
          <w:b/>
          <w:sz w:val="24"/>
          <w:szCs w:val="24"/>
          <w:lang w:val="en-GB"/>
        </w:rPr>
        <w:t>The stunted survival of engineering firms and the industrial enquiries</w:t>
      </w:r>
    </w:p>
    <w:p w14:paraId="7A443B88" w14:textId="6CB7049A" w:rsidR="00C12A0F" w:rsidRPr="0026326C" w:rsidRDefault="00C12A0F">
      <w:pPr>
        <w:rPr>
          <w:rFonts w:asciiTheme="majorHAnsi" w:hAnsiTheme="majorHAnsi"/>
          <w:sz w:val="26"/>
          <w:szCs w:val="26"/>
          <w:lang w:val="en-GB"/>
        </w:rPr>
      </w:pPr>
      <w:r w:rsidRPr="0026326C">
        <w:rPr>
          <w:rFonts w:asciiTheme="majorHAnsi" w:hAnsiTheme="majorHAnsi"/>
          <w:sz w:val="26"/>
          <w:szCs w:val="26"/>
          <w:lang w:val="en-GB"/>
        </w:rPr>
        <w:t>As mentioned in the introduction, public contracts were of crucial importance in the post-unitary engineering industry; they were practically the main so</w:t>
      </w:r>
      <w:r w:rsidR="006B7DB2">
        <w:rPr>
          <w:rFonts w:asciiTheme="majorHAnsi" w:hAnsiTheme="majorHAnsi"/>
          <w:sz w:val="26"/>
          <w:szCs w:val="26"/>
          <w:lang w:val="en-GB"/>
        </w:rPr>
        <w:t>urce of demand for their output, which granted a stunted survival to engineering firms.</w:t>
      </w:r>
      <w:r w:rsidRPr="0026326C">
        <w:rPr>
          <w:rStyle w:val="FootnoteReference"/>
          <w:rFonts w:asciiTheme="majorHAnsi" w:hAnsiTheme="majorHAnsi"/>
          <w:sz w:val="26"/>
          <w:szCs w:val="26"/>
          <w:lang w:val="en-GB"/>
        </w:rPr>
        <w:footnoteReference w:id="124"/>
      </w:r>
      <w:r w:rsidRPr="0026326C">
        <w:rPr>
          <w:rFonts w:asciiTheme="majorHAnsi" w:hAnsiTheme="majorHAnsi"/>
          <w:sz w:val="26"/>
          <w:szCs w:val="26"/>
          <w:lang w:val="en-GB"/>
        </w:rPr>
        <w:t xml:space="preserve"> This aspect is observed by Fenoaltea’s cyclical model of growth, in which industrial output of investment industries, including engineering, was directly correlated to its demand, remaining unstable in post-unitary decades and finally “taking off” during the 1880s, when the state started to entrust its needs to national firms.</w:t>
      </w:r>
      <w:r w:rsidRPr="0026326C">
        <w:rPr>
          <w:rStyle w:val="FootnoteReference"/>
          <w:rFonts w:asciiTheme="majorHAnsi" w:hAnsiTheme="majorHAnsi"/>
          <w:sz w:val="26"/>
          <w:szCs w:val="26"/>
          <w:lang w:val="en-GB"/>
        </w:rPr>
        <w:footnoteReference w:id="125"/>
      </w:r>
      <w:r w:rsidRPr="0026326C">
        <w:rPr>
          <w:rFonts w:asciiTheme="majorHAnsi" w:hAnsiTheme="majorHAnsi"/>
          <w:sz w:val="26"/>
          <w:szCs w:val="26"/>
          <w:lang w:val="en-GB"/>
        </w:rPr>
        <w:t xml:space="preserve"> </w:t>
      </w:r>
      <w:r w:rsidR="006B7DB2">
        <w:rPr>
          <w:rFonts w:asciiTheme="majorHAnsi" w:hAnsiTheme="majorHAnsi"/>
          <w:sz w:val="26"/>
          <w:szCs w:val="26"/>
          <w:lang w:val="en-GB"/>
        </w:rPr>
        <w:t>Before that,</w:t>
      </w:r>
      <w:r w:rsidRPr="0026326C">
        <w:rPr>
          <w:rFonts w:asciiTheme="majorHAnsi" w:hAnsiTheme="majorHAnsi"/>
          <w:sz w:val="26"/>
          <w:szCs w:val="26"/>
          <w:lang w:val="en-GB"/>
        </w:rPr>
        <w:t xml:space="preserve"> industrials from South and North alike were not happy with the low tariff barriers and limited institutional support they received, and soon took action in the development of two important industrial enquiries that analysed in detail the state of Italian industri</w:t>
      </w:r>
      <w:r w:rsidR="003A0BEF">
        <w:rPr>
          <w:rFonts w:asciiTheme="majorHAnsi" w:hAnsiTheme="majorHAnsi"/>
          <w:sz w:val="26"/>
          <w:szCs w:val="26"/>
          <w:lang w:val="en-GB"/>
        </w:rPr>
        <w:t xml:space="preserve">es, coming up with a plan for </w:t>
      </w:r>
      <w:r w:rsidRPr="0026326C">
        <w:rPr>
          <w:rFonts w:asciiTheme="majorHAnsi" w:hAnsiTheme="majorHAnsi"/>
          <w:sz w:val="26"/>
          <w:szCs w:val="26"/>
          <w:lang w:val="en-GB"/>
        </w:rPr>
        <w:t>state support that would foster their growth.</w:t>
      </w:r>
      <w:r w:rsidRPr="0026326C">
        <w:rPr>
          <w:rStyle w:val="FootnoteReference"/>
          <w:rFonts w:asciiTheme="majorHAnsi" w:hAnsiTheme="majorHAnsi"/>
          <w:sz w:val="26"/>
          <w:szCs w:val="26"/>
          <w:lang w:val="en-GB"/>
        </w:rPr>
        <w:footnoteReference w:id="126"/>
      </w:r>
      <w:r w:rsidRPr="0026326C">
        <w:rPr>
          <w:rFonts w:asciiTheme="majorHAnsi" w:hAnsiTheme="majorHAnsi"/>
          <w:sz w:val="26"/>
          <w:szCs w:val="26"/>
          <w:lang w:val="en-GB"/>
        </w:rPr>
        <w:t xml:space="preserve"> Those enquiries are here used to assess the productive capabilit</w:t>
      </w:r>
      <w:r w:rsidR="006B7DB2">
        <w:rPr>
          <w:rFonts w:asciiTheme="majorHAnsi" w:hAnsiTheme="majorHAnsi"/>
          <w:sz w:val="26"/>
          <w:szCs w:val="26"/>
          <w:lang w:val="en-GB"/>
        </w:rPr>
        <w:t xml:space="preserve">ies of Pietrarsa and Ansaldo, a </w:t>
      </w:r>
      <w:r w:rsidRPr="0026326C">
        <w:rPr>
          <w:rFonts w:asciiTheme="majorHAnsi" w:hAnsiTheme="majorHAnsi"/>
          <w:sz w:val="26"/>
          <w:szCs w:val="26"/>
          <w:lang w:val="en-GB"/>
        </w:rPr>
        <w:t>preliminary step</w:t>
      </w:r>
      <w:r w:rsidR="006B7DB2">
        <w:rPr>
          <w:rFonts w:asciiTheme="majorHAnsi" w:hAnsiTheme="majorHAnsi"/>
          <w:sz w:val="26"/>
          <w:szCs w:val="26"/>
          <w:lang w:val="en-GB"/>
        </w:rPr>
        <w:t xml:space="preserve"> in their comparison</w:t>
      </w:r>
      <w:r w:rsidRPr="0026326C">
        <w:rPr>
          <w:rFonts w:asciiTheme="majorHAnsi" w:hAnsiTheme="majorHAnsi"/>
          <w:sz w:val="26"/>
          <w:szCs w:val="26"/>
          <w:lang w:val="en-GB"/>
        </w:rPr>
        <w:t xml:space="preserve">. </w:t>
      </w:r>
      <w:r w:rsidR="006B7DB2">
        <w:rPr>
          <w:rFonts w:asciiTheme="majorHAnsi" w:hAnsiTheme="majorHAnsi"/>
          <w:sz w:val="26"/>
          <w:szCs w:val="26"/>
          <w:lang w:val="en-GB"/>
        </w:rPr>
        <w:br/>
      </w:r>
      <w:r w:rsidR="006B7DB2">
        <w:rPr>
          <w:rFonts w:asciiTheme="majorHAnsi" w:hAnsiTheme="majorHAnsi"/>
          <w:sz w:val="26"/>
          <w:szCs w:val="26"/>
          <w:lang w:val="en-GB"/>
        </w:rPr>
        <w:tab/>
      </w:r>
      <w:r w:rsidRPr="0026326C">
        <w:rPr>
          <w:rFonts w:asciiTheme="majorHAnsi" w:hAnsiTheme="majorHAnsi"/>
          <w:sz w:val="26"/>
          <w:szCs w:val="26"/>
          <w:lang w:val="en-GB"/>
        </w:rPr>
        <w:t>The primary sources that hold the most value in that regard are the Industrial Enquiry made in 1864 by the engineer Felice Giordano and the subsequent enquiry of the years 1870-1874, encompassing the whole Italian industrial environment, including comments from its most eminent personalities.</w:t>
      </w:r>
      <w:r w:rsidRPr="0026326C">
        <w:rPr>
          <w:rStyle w:val="FootnoteReference"/>
          <w:rFonts w:asciiTheme="majorHAnsi" w:hAnsiTheme="majorHAnsi"/>
          <w:sz w:val="26"/>
          <w:szCs w:val="26"/>
          <w:lang w:val="en-GB"/>
        </w:rPr>
        <w:footnoteReference w:id="127"/>
      </w:r>
      <w:r w:rsidRPr="0026326C">
        <w:rPr>
          <w:rFonts w:asciiTheme="majorHAnsi" w:hAnsiTheme="majorHAnsi"/>
          <w:sz w:val="26"/>
          <w:szCs w:val="26"/>
          <w:lang w:val="en-GB"/>
        </w:rPr>
        <w:t xml:space="preserve"> The industrial report of Felice Giordano emerges in the context of preoccupations of metal-making industrials that were sacrificed by free trade in the immediate post-unification, since the state aimed at a timid engineering development based on the importation of foreign metals.</w:t>
      </w:r>
      <w:r w:rsidRPr="0026326C">
        <w:rPr>
          <w:rStyle w:val="FootnoteReference"/>
          <w:rFonts w:asciiTheme="majorHAnsi" w:hAnsiTheme="majorHAnsi"/>
          <w:sz w:val="26"/>
          <w:szCs w:val="26"/>
          <w:lang w:val="en-GB"/>
        </w:rPr>
        <w:footnoteReference w:id="128"/>
      </w:r>
      <w:r w:rsidRPr="0026326C">
        <w:rPr>
          <w:rFonts w:asciiTheme="majorHAnsi" w:hAnsiTheme="majorHAnsi"/>
          <w:sz w:val="26"/>
          <w:szCs w:val="26"/>
          <w:lang w:val="en-GB"/>
        </w:rPr>
        <w:t xml:space="preserve"> Thus, the report was commissioned in 1861 by the navy, the only official entity sensible to the issues of the metal-making industries, because of military preoccupations concerning national self-sufficiency.</w:t>
      </w:r>
      <w:r w:rsidRPr="0026326C">
        <w:rPr>
          <w:rStyle w:val="FootnoteReference"/>
          <w:rFonts w:asciiTheme="majorHAnsi" w:hAnsiTheme="majorHAnsi"/>
          <w:sz w:val="26"/>
          <w:szCs w:val="26"/>
          <w:lang w:val="en-GB"/>
        </w:rPr>
        <w:footnoteReference w:id="129"/>
      </w:r>
      <w:r w:rsidRPr="0026326C">
        <w:rPr>
          <w:rFonts w:asciiTheme="majorHAnsi" w:hAnsiTheme="majorHAnsi"/>
          <w:sz w:val="26"/>
          <w:szCs w:val="26"/>
          <w:lang w:val="en-GB"/>
        </w:rPr>
        <w:t xml:space="preserve"> The goal of such a document was to sketch a holistic industrial development plan for the Italian metal-making sector in order to supply for the needs of national engineering firms at a time in which the new state was about to expand significantly its railways network and its fleet.</w:t>
      </w:r>
      <w:r w:rsidRPr="0026326C">
        <w:rPr>
          <w:rStyle w:val="FootnoteReference"/>
          <w:rFonts w:asciiTheme="majorHAnsi" w:hAnsiTheme="majorHAnsi"/>
          <w:sz w:val="26"/>
          <w:szCs w:val="26"/>
          <w:lang w:val="en-GB"/>
        </w:rPr>
        <w:footnoteReference w:id="130"/>
      </w:r>
      <w:r w:rsidRPr="0026326C">
        <w:rPr>
          <w:rFonts w:asciiTheme="majorHAnsi" w:hAnsiTheme="majorHAnsi"/>
          <w:sz w:val="26"/>
          <w:szCs w:val="26"/>
          <w:lang w:val="en-GB"/>
        </w:rPr>
        <w:t xml:space="preserve"> This enquiry is the most reliable document up to this point to assess the state of metal-making and engineering industries immediately after 1861.</w:t>
      </w:r>
      <w:r w:rsidRPr="0026326C">
        <w:rPr>
          <w:rStyle w:val="FootnoteReference"/>
          <w:rFonts w:asciiTheme="majorHAnsi" w:hAnsiTheme="majorHAnsi"/>
          <w:sz w:val="26"/>
          <w:szCs w:val="26"/>
          <w:lang w:val="en-GB"/>
        </w:rPr>
        <w:footnoteReference w:id="131"/>
      </w:r>
      <w:r w:rsidRPr="0026326C">
        <w:rPr>
          <w:rFonts w:asciiTheme="majorHAnsi" w:hAnsiTheme="majorHAnsi"/>
          <w:sz w:val="26"/>
          <w:szCs w:val="26"/>
          <w:lang w:val="en-GB"/>
        </w:rPr>
        <w:br/>
      </w:r>
      <w:r w:rsidRPr="0026326C">
        <w:rPr>
          <w:rFonts w:asciiTheme="majorHAnsi" w:hAnsiTheme="majorHAnsi"/>
          <w:sz w:val="26"/>
          <w:szCs w:val="26"/>
          <w:lang w:val="en-GB"/>
        </w:rPr>
        <w:tab/>
        <w:t xml:space="preserve">Felice Giordano dedicated one entire chapter to the engineering industry in </w:t>
      </w:r>
      <w:r w:rsidRPr="0026326C">
        <w:rPr>
          <w:rFonts w:asciiTheme="majorHAnsi" w:hAnsiTheme="majorHAnsi"/>
          <w:sz w:val="26"/>
          <w:szCs w:val="26"/>
          <w:lang w:val="en-GB"/>
        </w:rPr>
        <w:lastRenderedPageBreak/>
        <w:t>Italy, with the goal of individuating its most promising feature in his long-term plan. He mentions that there are roughly 70 mechanic factories in Italy, two of which have a real industrial entity: Pietrarsa near Naples and Ansaldo near Genova.</w:t>
      </w:r>
      <w:r w:rsidRPr="0026326C">
        <w:rPr>
          <w:rStyle w:val="FootnoteReference"/>
          <w:rFonts w:asciiTheme="majorHAnsi" w:hAnsiTheme="majorHAnsi"/>
          <w:sz w:val="26"/>
          <w:szCs w:val="26"/>
          <w:lang w:val="en-GB"/>
        </w:rPr>
        <w:footnoteReference w:id="132"/>
      </w:r>
      <w:r w:rsidRPr="0026326C">
        <w:rPr>
          <w:rFonts w:asciiTheme="majorHAnsi" w:hAnsiTheme="majorHAnsi"/>
          <w:sz w:val="26"/>
          <w:szCs w:val="26"/>
          <w:lang w:val="en-GB"/>
        </w:rPr>
        <w:t xml:space="preserve"> Only 10 establishments could employ up to 250 workers, while only Pietrarsa and Ansaldo could employ between 700 and 1000 of them.</w:t>
      </w:r>
      <w:r w:rsidRPr="0026326C">
        <w:rPr>
          <w:rStyle w:val="FootnoteReference"/>
          <w:rFonts w:asciiTheme="majorHAnsi" w:hAnsiTheme="majorHAnsi"/>
          <w:sz w:val="26"/>
          <w:szCs w:val="26"/>
          <w:lang w:val="en-GB"/>
        </w:rPr>
        <w:footnoteReference w:id="133"/>
      </w:r>
      <w:r w:rsidRPr="0026326C">
        <w:rPr>
          <w:rFonts w:asciiTheme="majorHAnsi" w:hAnsiTheme="majorHAnsi"/>
          <w:sz w:val="26"/>
          <w:szCs w:val="26"/>
          <w:lang w:val="en-GB"/>
        </w:rPr>
        <w:t xml:space="preserve"> At the time of the publication, Pietrarsa had already been merged with the “Granili” factory of Macry constituting the SNIM, as reported in the enquiry.</w:t>
      </w:r>
      <w:r w:rsidRPr="0026326C">
        <w:rPr>
          <w:rStyle w:val="FootnoteReference"/>
          <w:rFonts w:asciiTheme="majorHAnsi" w:hAnsiTheme="majorHAnsi"/>
          <w:sz w:val="26"/>
          <w:szCs w:val="26"/>
          <w:lang w:val="en-GB"/>
        </w:rPr>
        <w:footnoteReference w:id="134"/>
      </w:r>
      <w:r w:rsidR="005A5639">
        <w:rPr>
          <w:rFonts w:asciiTheme="majorHAnsi" w:hAnsiTheme="majorHAnsi"/>
          <w:sz w:val="26"/>
          <w:szCs w:val="26"/>
          <w:lang w:val="en-GB"/>
        </w:rPr>
        <w:t xml:space="preserve"> </w:t>
      </w:r>
      <w:r w:rsidRPr="0026326C">
        <w:rPr>
          <w:rFonts w:asciiTheme="majorHAnsi" w:hAnsiTheme="majorHAnsi"/>
          <w:sz w:val="26"/>
          <w:szCs w:val="26"/>
          <w:lang w:val="en-GB"/>
        </w:rPr>
        <w:t>Concerning the railways, those two factories and another one in Venetia are mentioned for being capable of repairing and producing locomotives.</w:t>
      </w:r>
      <w:r w:rsidRPr="0026326C">
        <w:rPr>
          <w:rStyle w:val="FootnoteReference"/>
          <w:rFonts w:asciiTheme="majorHAnsi" w:hAnsiTheme="majorHAnsi"/>
          <w:sz w:val="26"/>
          <w:szCs w:val="26"/>
          <w:lang w:val="en-GB"/>
        </w:rPr>
        <w:footnoteReference w:id="135"/>
      </w:r>
      <w:r w:rsidRPr="0026326C">
        <w:rPr>
          <w:rFonts w:asciiTheme="majorHAnsi" w:hAnsiTheme="majorHAnsi"/>
          <w:sz w:val="26"/>
          <w:szCs w:val="26"/>
          <w:lang w:val="en-GB"/>
        </w:rPr>
        <w:t xml:space="preserve"> It is added how both of them offer equal or slightly higher prices than foreign rolling stock.</w:t>
      </w:r>
      <w:r w:rsidRPr="0026326C">
        <w:rPr>
          <w:rStyle w:val="FootnoteReference"/>
          <w:rFonts w:asciiTheme="majorHAnsi" w:hAnsiTheme="majorHAnsi"/>
          <w:sz w:val="26"/>
          <w:szCs w:val="26"/>
          <w:lang w:val="en-GB"/>
        </w:rPr>
        <w:footnoteReference w:id="136"/>
      </w:r>
      <w:r w:rsidRPr="0026326C">
        <w:rPr>
          <w:rFonts w:asciiTheme="majorHAnsi" w:hAnsiTheme="majorHAnsi"/>
          <w:sz w:val="26"/>
          <w:szCs w:val="26"/>
          <w:lang w:val="en-GB"/>
        </w:rPr>
        <w:t xml:space="preserve"> Then, addressing the needs of the navy, he states how Pietrarsa and Ansaldo have produced naval engines of a certain importance; however, at this stage both of them are ill-equipped to produce more powerful engines ranging from 800 to 1000 horsepower.</w:t>
      </w:r>
      <w:r w:rsidRPr="0026326C">
        <w:rPr>
          <w:rStyle w:val="FootnoteReference"/>
          <w:rFonts w:asciiTheme="majorHAnsi" w:hAnsiTheme="majorHAnsi"/>
          <w:sz w:val="26"/>
          <w:szCs w:val="26"/>
          <w:lang w:val="en-GB"/>
        </w:rPr>
        <w:footnoteReference w:id="137"/>
      </w:r>
      <w:r w:rsidRPr="0026326C">
        <w:rPr>
          <w:rFonts w:asciiTheme="majorHAnsi" w:hAnsiTheme="majorHAnsi"/>
          <w:sz w:val="26"/>
          <w:szCs w:val="26"/>
          <w:lang w:val="en-GB"/>
        </w:rPr>
        <w:t xml:space="preserve"> Nevertheless, when sketching the future of the engineering industry, Giordano is clear in portraying the two factories as the only ones capable of supplying the navy with such machines.</w:t>
      </w:r>
      <w:r w:rsidRPr="0026326C">
        <w:rPr>
          <w:rStyle w:val="FootnoteReference"/>
          <w:rFonts w:asciiTheme="majorHAnsi" w:hAnsiTheme="majorHAnsi"/>
          <w:sz w:val="26"/>
          <w:szCs w:val="26"/>
          <w:lang w:val="en-GB"/>
        </w:rPr>
        <w:footnoteReference w:id="138"/>
      </w:r>
      <w:r w:rsidRPr="0026326C">
        <w:rPr>
          <w:rFonts w:asciiTheme="majorHAnsi" w:hAnsiTheme="majorHAnsi"/>
          <w:sz w:val="26"/>
          <w:szCs w:val="26"/>
          <w:lang w:val="en-GB"/>
        </w:rPr>
        <w:t xml:space="preserve"> Therefore, at the time of unification both establishments appear to be considered equal in terms of output for railways material and naval machinery.</w:t>
      </w:r>
      <w:r w:rsidRPr="0026326C">
        <w:rPr>
          <w:rFonts w:asciiTheme="majorHAnsi" w:hAnsiTheme="majorHAnsi"/>
          <w:sz w:val="26"/>
          <w:szCs w:val="26"/>
          <w:lang w:val="en-GB"/>
        </w:rPr>
        <w:br/>
      </w:r>
      <w:r w:rsidRPr="0026326C">
        <w:rPr>
          <w:rFonts w:asciiTheme="majorHAnsi" w:hAnsiTheme="majorHAnsi"/>
          <w:sz w:val="26"/>
          <w:szCs w:val="26"/>
          <w:lang w:val="en-GB"/>
        </w:rPr>
        <w:tab/>
        <w:t>The next industrial enquiry stemmed from the discontent of Italian industrials because of their limited participation in productions related to the navy and railways.</w:t>
      </w:r>
      <w:r w:rsidRPr="0026326C">
        <w:rPr>
          <w:rStyle w:val="FootnoteReference"/>
          <w:rFonts w:asciiTheme="majorHAnsi" w:hAnsiTheme="majorHAnsi"/>
          <w:sz w:val="26"/>
          <w:szCs w:val="26"/>
          <w:lang w:val="en-GB"/>
        </w:rPr>
        <w:footnoteReference w:id="139"/>
      </w:r>
      <w:r w:rsidRPr="0026326C">
        <w:rPr>
          <w:rFonts w:asciiTheme="majorHAnsi" w:hAnsiTheme="majorHAnsi"/>
          <w:sz w:val="26"/>
          <w:szCs w:val="26"/>
          <w:lang w:val="en-GB"/>
        </w:rPr>
        <w:t xml:space="preserve"> Railways construction and contracts for the navy had relied mainly on foreign industries up to that point, which prompted representatives of industrial interests to perform a comprehensive enquiry assessing the state of Italian industries, in order to overcome prejudices affecting the decision making of the state.</w:t>
      </w:r>
      <w:r w:rsidRPr="0026326C">
        <w:rPr>
          <w:rStyle w:val="FootnoteReference"/>
          <w:rFonts w:asciiTheme="majorHAnsi" w:hAnsiTheme="majorHAnsi"/>
          <w:sz w:val="26"/>
          <w:szCs w:val="26"/>
          <w:lang w:val="en-GB"/>
        </w:rPr>
        <w:footnoteReference w:id="140"/>
      </w:r>
      <w:r w:rsidRPr="0026326C">
        <w:rPr>
          <w:rFonts w:asciiTheme="majorHAnsi" w:hAnsiTheme="majorHAnsi"/>
          <w:sz w:val="26"/>
          <w:szCs w:val="26"/>
          <w:lang w:val="en-GB"/>
        </w:rPr>
        <w:t xml:space="preserve"> In this respect, the chapter concerning shipbuilding is of particular relevance in assessing the productive capacities of Pietrarsa and Ansaldo concerning naval engines. After a brief survey of the national shipyards, the Ansaldo gets mentioned first for having produced naval machines to the navy of 400, 600 and 900 horsepower at a price inferior of 250 lire per horsepower, as well as railway rolling stock and other types of machinery.</w:t>
      </w:r>
      <w:r w:rsidRPr="0026326C">
        <w:rPr>
          <w:rStyle w:val="FootnoteReference"/>
          <w:rFonts w:asciiTheme="majorHAnsi" w:hAnsiTheme="majorHAnsi"/>
          <w:sz w:val="26"/>
          <w:szCs w:val="26"/>
          <w:lang w:val="en-GB"/>
        </w:rPr>
        <w:footnoteReference w:id="141"/>
      </w:r>
      <w:r w:rsidRPr="0026326C">
        <w:rPr>
          <w:rFonts w:asciiTheme="majorHAnsi" w:hAnsiTheme="majorHAnsi"/>
          <w:sz w:val="26"/>
          <w:szCs w:val="26"/>
          <w:lang w:val="en-GB"/>
        </w:rPr>
        <w:t xml:space="preserve"> The next paragraph states that other national factories, of which only Pietrarsa is mentioned by name, have </w:t>
      </w:r>
      <w:r w:rsidR="003A0BEF">
        <w:rPr>
          <w:rFonts w:asciiTheme="majorHAnsi" w:hAnsiTheme="majorHAnsi"/>
          <w:sz w:val="26"/>
          <w:szCs w:val="26"/>
          <w:lang w:val="en-GB"/>
        </w:rPr>
        <w:t>dedicated</w:t>
      </w:r>
      <w:r w:rsidRPr="0026326C">
        <w:rPr>
          <w:rFonts w:asciiTheme="majorHAnsi" w:hAnsiTheme="majorHAnsi"/>
          <w:sz w:val="26"/>
          <w:szCs w:val="26"/>
          <w:lang w:val="en-GB"/>
        </w:rPr>
        <w:t xml:space="preserve"> themselves to the same task with results that </w:t>
      </w:r>
      <w:r w:rsidRPr="0026326C">
        <w:rPr>
          <w:rFonts w:asciiTheme="majorHAnsi" w:hAnsiTheme="majorHAnsi"/>
          <w:sz w:val="26"/>
          <w:szCs w:val="26"/>
          <w:lang w:val="en-GB"/>
        </w:rPr>
        <w:lastRenderedPageBreak/>
        <w:t>were not less satisfactory.</w:t>
      </w:r>
      <w:r w:rsidRPr="0026326C">
        <w:rPr>
          <w:rStyle w:val="FootnoteReference"/>
          <w:rFonts w:asciiTheme="majorHAnsi" w:hAnsiTheme="majorHAnsi"/>
          <w:sz w:val="26"/>
          <w:szCs w:val="26"/>
          <w:lang w:val="en-GB"/>
        </w:rPr>
        <w:footnoteReference w:id="142"/>
      </w:r>
      <w:r w:rsidRPr="0026326C">
        <w:rPr>
          <w:rFonts w:asciiTheme="majorHAnsi" w:hAnsiTheme="majorHAnsi"/>
          <w:sz w:val="26"/>
          <w:szCs w:val="26"/>
          <w:lang w:val="en-GB"/>
        </w:rPr>
        <w:t xml:space="preserve"> </w:t>
      </w:r>
      <w:r w:rsidRPr="0026326C">
        <w:rPr>
          <w:rFonts w:asciiTheme="majorHAnsi" w:hAnsiTheme="majorHAnsi"/>
          <w:sz w:val="26"/>
          <w:szCs w:val="26"/>
          <w:lang w:val="en-GB"/>
        </w:rPr>
        <w:br/>
      </w:r>
      <w:r w:rsidRPr="0026326C">
        <w:rPr>
          <w:rFonts w:asciiTheme="majorHAnsi" w:hAnsiTheme="majorHAnsi"/>
          <w:sz w:val="26"/>
          <w:szCs w:val="26"/>
          <w:lang w:val="en-GB"/>
        </w:rPr>
        <w:tab/>
      </w:r>
      <w:r w:rsidR="006A0AEC">
        <w:rPr>
          <w:rFonts w:asciiTheme="majorHAnsi" w:hAnsiTheme="majorHAnsi"/>
          <w:sz w:val="26"/>
          <w:szCs w:val="26"/>
          <w:lang w:val="en-GB"/>
        </w:rPr>
        <w:t>The role of those enquiries</w:t>
      </w:r>
      <w:r w:rsidRPr="0026326C">
        <w:rPr>
          <w:rFonts w:asciiTheme="majorHAnsi" w:hAnsiTheme="majorHAnsi"/>
          <w:sz w:val="26"/>
          <w:szCs w:val="26"/>
          <w:lang w:val="en-GB"/>
        </w:rPr>
        <w:t xml:space="preserve"> boost state </w:t>
      </w:r>
      <w:r w:rsidR="006A0AEC">
        <w:rPr>
          <w:rFonts w:asciiTheme="majorHAnsi" w:hAnsiTheme="majorHAnsi"/>
          <w:sz w:val="26"/>
          <w:szCs w:val="26"/>
          <w:lang w:val="en-GB"/>
        </w:rPr>
        <w:t>support in favour of industries, therefore,</w:t>
      </w:r>
      <w:r w:rsidRPr="0026326C">
        <w:rPr>
          <w:rFonts w:asciiTheme="majorHAnsi" w:hAnsiTheme="majorHAnsi"/>
          <w:sz w:val="26"/>
          <w:szCs w:val="26"/>
          <w:lang w:val="en-GB"/>
        </w:rPr>
        <w:t xml:space="preserve"> some degree of bias needs to be taken into account.</w:t>
      </w:r>
      <w:r w:rsidR="006A0AEC" w:rsidRPr="006A0AEC">
        <w:rPr>
          <w:rStyle w:val="FootnoteReference"/>
          <w:rFonts w:asciiTheme="majorHAnsi" w:hAnsiTheme="majorHAnsi"/>
          <w:sz w:val="26"/>
          <w:szCs w:val="26"/>
          <w:lang w:val="en-GB"/>
        </w:rPr>
        <w:t xml:space="preserve"> </w:t>
      </w:r>
      <w:r w:rsidR="006A0AEC" w:rsidRPr="0026326C">
        <w:rPr>
          <w:rStyle w:val="FootnoteReference"/>
          <w:rFonts w:asciiTheme="majorHAnsi" w:hAnsiTheme="majorHAnsi"/>
          <w:sz w:val="26"/>
          <w:szCs w:val="26"/>
          <w:lang w:val="en-GB"/>
        </w:rPr>
        <w:footnoteReference w:id="143"/>
      </w:r>
      <w:r w:rsidR="006A0AEC" w:rsidRPr="0026326C">
        <w:rPr>
          <w:rFonts w:asciiTheme="majorHAnsi" w:hAnsiTheme="majorHAnsi"/>
          <w:sz w:val="26"/>
          <w:szCs w:val="26"/>
          <w:lang w:val="en-GB"/>
        </w:rPr>
        <w:t xml:space="preserve"> </w:t>
      </w:r>
      <w:r w:rsidRPr="0026326C">
        <w:rPr>
          <w:rFonts w:asciiTheme="majorHAnsi" w:hAnsiTheme="majorHAnsi"/>
          <w:sz w:val="26"/>
          <w:szCs w:val="26"/>
          <w:lang w:val="en-GB"/>
        </w:rPr>
        <w:t xml:space="preserve"> On the other hand, such a distortion would have expressed itself into an </w:t>
      </w:r>
      <w:r w:rsidR="006A0AEC">
        <w:rPr>
          <w:rFonts w:asciiTheme="majorHAnsi" w:hAnsiTheme="majorHAnsi"/>
          <w:sz w:val="26"/>
          <w:szCs w:val="26"/>
          <w:lang w:val="en-GB"/>
        </w:rPr>
        <w:t xml:space="preserve">overall </w:t>
      </w:r>
      <w:r w:rsidRPr="0026326C">
        <w:rPr>
          <w:rFonts w:asciiTheme="majorHAnsi" w:hAnsiTheme="majorHAnsi"/>
          <w:sz w:val="26"/>
          <w:szCs w:val="26"/>
          <w:lang w:val="en-GB"/>
        </w:rPr>
        <w:t xml:space="preserve">excessive optimism </w:t>
      </w:r>
      <w:r w:rsidR="006A0AEC">
        <w:rPr>
          <w:rFonts w:asciiTheme="majorHAnsi" w:hAnsiTheme="majorHAnsi"/>
          <w:sz w:val="26"/>
          <w:szCs w:val="26"/>
          <w:lang w:val="en-GB"/>
        </w:rPr>
        <w:t>for Italian development</w:t>
      </w:r>
      <w:r w:rsidRPr="0026326C">
        <w:rPr>
          <w:rFonts w:asciiTheme="majorHAnsi" w:hAnsiTheme="majorHAnsi"/>
          <w:sz w:val="26"/>
          <w:szCs w:val="26"/>
          <w:lang w:val="en-GB"/>
        </w:rPr>
        <w:t xml:space="preserve"> as a whole, as is mentioned for Giordano’s enquiry, for example.</w:t>
      </w:r>
      <w:r w:rsidRPr="0026326C">
        <w:rPr>
          <w:rStyle w:val="FootnoteReference"/>
          <w:rFonts w:asciiTheme="majorHAnsi" w:hAnsiTheme="majorHAnsi"/>
          <w:sz w:val="26"/>
          <w:szCs w:val="26"/>
          <w:lang w:val="en-GB"/>
        </w:rPr>
        <w:footnoteReference w:id="144"/>
      </w:r>
      <w:r w:rsidRPr="0026326C">
        <w:rPr>
          <w:rFonts w:asciiTheme="majorHAnsi" w:hAnsiTheme="majorHAnsi"/>
          <w:sz w:val="26"/>
          <w:szCs w:val="26"/>
          <w:lang w:val="en-GB"/>
        </w:rPr>
        <w:t xml:space="preserve"> Less of that bias would have affected the technical observations of individual Italian establishments, </w:t>
      </w:r>
      <w:r w:rsidR="006A0AEC">
        <w:rPr>
          <w:rFonts w:asciiTheme="majorHAnsi" w:hAnsiTheme="majorHAnsi"/>
          <w:sz w:val="26"/>
          <w:szCs w:val="26"/>
          <w:lang w:val="en-GB"/>
        </w:rPr>
        <w:t xml:space="preserve">since </w:t>
      </w:r>
      <w:r w:rsidRPr="0026326C">
        <w:rPr>
          <w:rFonts w:asciiTheme="majorHAnsi" w:hAnsiTheme="majorHAnsi"/>
          <w:sz w:val="26"/>
          <w:szCs w:val="26"/>
          <w:lang w:val="en-GB"/>
        </w:rPr>
        <w:t xml:space="preserve">the facts mentioned in the 1870-1874 enquiries, regarding the productions of naval </w:t>
      </w:r>
      <w:r w:rsidR="006A0AEC">
        <w:rPr>
          <w:rFonts w:asciiTheme="majorHAnsi" w:hAnsiTheme="majorHAnsi"/>
          <w:sz w:val="26"/>
          <w:szCs w:val="26"/>
          <w:lang w:val="en-GB"/>
        </w:rPr>
        <w:t>engines, correspond to the data relating to the production of the two factories.</w:t>
      </w:r>
      <w:r w:rsidRPr="0026326C">
        <w:rPr>
          <w:rStyle w:val="FootnoteReference"/>
          <w:rFonts w:asciiTheme="majorHAnsi" w:hAnsiTheme="majorHAnsi"/>
          <w:sz w:val="26"/>
          <w:szCs w:val="26"/>
          <w:lang w:val="en-GB"/>
        </w:rPr>
        <w:footnoteReference w:id="145"/>
      </w:r>
      <w:r w:rsidR="006A0AEC">
        <w:rPr>
          <w:rFonts w:asciiTheme="majorHAnsi" w:hAnsiTheme="majorHAnsi"/>
          <w:sz w:val="26"/>
          <w:szCs w:val="26"/>
          <w:lang w:val="en-GB"/>
        </w:rPr>
        <w:t xml:space="preserve"> </w:t>
      </w:r>
      <w:r w:rsidRPr="0026326C">
        <w:rPr>
          <w:rFonts w:asciiTheme="majorHAnsi" w:hAnsiTheme="majorHAnsi"/>
          <w:sz w:val="26"/>
          <w:szCs w:val="26"/>
          <w:lang w:val="en-GB"/>
        </w:rPr>
        <w:t>Therefore, on the basis of the industrial reports of 1864 and 1870-1874 the productive capacities of Pietrarsa and Ansaldo are ascertained to be equal, making a comparison relating the assignation of public contracts possible.</w:t>
      </w:r>
    </w:p>
    <w:p w14:paraId="26ACC539" w14:textId="77777777" w:rsidR="00C12A0F" w:rsidRDefault="00C12A0F">
      <w:pPr>
        <w:rPr>
          <w:rFonts w:asciiTheme="majorHAnsi" w:hAnsiTheme="majorHAnsi"/>
          <w:b/>
          <w:sz w:val="26"/>
          <w:szCs w:val="26"/>
          <w:lang w:val="en-GB"/>
        </w:rPr>
      </w:pPr>
      <w:r>
        <w:rPr>
          <w:rFonts w:asciiTheme="majorHAnsi" w:hAnsiTheme="majorHAnsi"/>
          <w:b/>
          <w:sz w:val="26"/>
          <w:szCs w:val="26"/>
          <w:lang w:val="en-GB"/>
        </w:rPr>
        <w:t xml:space="preserve">Railways construction, Royal Navy and political continuities </w:t>
      </w:r>
    </w:p>
    <w:p w14:paraId="4D16D613" w14:textId="3AD6A568" w:rsidR="00C12A0F" w:rsidRPr="00EB5702" w:rsidRDefault="00C12A0F">
      <w:pPr>
        <w:rPr>
          <w:rFonts w:asciiTheme="majorHAnsi" w:hAnsiTheme="majorHAnsi"/>
          <w:b/>
          <w:sz w:val="26"/>
          <w:szCs w:val="26"/>
          <w:lang w:val="en-GB"/>
        </w:rPr>
      </w:pPr>
      <w:r>
        <w:rPr>
          <w:rFonts w:asciiTheme="majorHAnsi" w:hAnsiTheme="majorHAnsi"/>
          <w:b/>
          <w:sz w:val="24"/>
          <w:szCs w:val="24"/>
          <w:lang w:val="en-GB"/>
        </w:rPr>
        <w:t>Railways construction</w:t>
      </w:r>
      <w:r w:rsidR="00EA39C7">
        <w:rPr>
          <w:rFonts w:asciiTheme="majorHAnsi" w:hAnsiTheme="majorHAnsi"/>
          <w:b/>
          <w:sz w:val="24"/>
          <w:szCs w:val="24"/>
          <w:lang w:val="en-GB"/>
        </w:rPr>
        <w:t xml:space="preserve"> and the Navy</w:t>
      </w:r>
    </w:p>
    <w:p w14:paraId="50A5D22C" w14:textId="12F58187" w:rsidR="00C12A0F" w:rsidRPr="0026326C" w:rsidRDefault="00C12A0F">
      <w:pPr>
        <w:rPr>
          <w:rFonts w:asciiTheme="majorHAnsi" w:hAnsiTheme="majorHAnsi"/>
          <w:sz w:val="26"/>
          <w:szCs w:val="26"/>
          <w:lang w:val="en-GB"/>
        </w:rPr>
      </w:pPr>
      <w:r w:rsidRPr="0026326C">
        <w:rPr>
          <w:rFonts w:asciiTheme="majorHAnsi" w:hAnsiTheme="majorHAnsi"/>
          <w:sz w:val="26"/>
          <w:szCs w:val="26"/>
          <w:lang w:val="en-GB"/>
        </w:rPr>
        <w:t>In the case of Pietrarsa and Ansaldo, the major source of public contracts came from national railways companies and the Royal Navy.</w:t>
      </w:r>
      <w:r w:rsidRPr="0026326C">
        <w:rPr>
          <w:rStyle w:val="FootnoteReference"/>
          <w:rFonts w:asciiTheme="majorHAnsi" w:hAnsiTheme="majorHAnsi"/>
          <w:sz w:val="26"/>
          <w:szCs w:val="26"/>
          <w:lang w:val="en-GB"/>
        </w:rPr>
        <w:footnoteReference w:id="146"/>
      </w:r>
      <w:r w:rsidRPr="0026326C">
        <w:rPr>
          <w:rFonts w:asciiTheme="majorHAnsi" w:hAnsiTheme="majorHAnsi"/>
          <w:sz w:val="26"/>
          <w:szCs w:val="26"/>
          <w:lang w:val="en-GB"/>
        </w:rPr>
        <w:t xml:space="preserve"> Railways at that time constituted a significant portion of the </w:t>
      </w:r>
      <w:r w:rsidR="006A0AEC">
        <w:rPr>
          <w:rFonts w:asciiTheme="majorHAnsi" w:hAnsiTheme="majorHAnsi"/>
          <w:sz w:val="26"/>
          <w:szCs w:val="26"/>
          <w:lang w:val="en-GB"/>
        </w:rPr>
        <w:t xml:space="preserve">industrial </w:t>
      </w:r>
      <w:r w:rsidRPr="0026326C">
        <w:rPr>
          <w:rFonts w:asciiTheme="majorHAnsi" w:hAnsiTheme="majorHAnsi"/>
          <w:sz w:val="26"/>
          <w:szCs w:val="26"/>
          <w:lang w:val="en-GB"/>
        </w:rPr>
        <w:t xml:space="preserve">demand only for modern engineering, </w:t>
      </w:r>
      <w:r w:rsidR="006A0AEC">
        <w:rPr>
          <w:rFonts w:asciiTheme="majorHAnsi" w:hAnsiTheme="majorHAnsi"/>
          <w:sz w:val="26"/>
          <w:szCs w:val="26"/>
          <w:lang w:val="en-GB"/>
        </w:rPr>
        <w:t>acquiring an</w:t>
      </w:r>
      <w:r w:rsidR="006A0AEC" w:rsidRPr="0026326C">
        <w:rPr>
          <w:rFonts w:asciiTheme="majorHAnsi" w:hAnsiTheme="majorHAnsi"/>
          <w:sz w:val="26"/>
          <w:szCs w:val="26"/>
          <w:lang w:val="en-GB"/>
        </w:rPr>
        <w:t xml:space="preserve"> </w:t>
      </w:r>
      <w:r w:rsidRPr="0026326C">
        <w:rPr>
          <w:rFonts w:asciiTheme="majorHAnsi" w:hAnsiTheme="majorHAnsi"/>
          <w:sz w:val="26"/>
          <w:szCs w:val="26"/>
          <w:lang w:val="en-GB"/>
        </w:rPr>
        <w:t>increasingly larger share in the total output during the 1880s.</w:t>
      </w:r>
      <w:r w:rsidRPr="0026326C">
        <w:rPr>
          <w:rStyle w:val="FootnoteReference"/>
          <w:rFonts w:asciiTheme="majorHAnsi" w:hAnsiTheme="majorHAnsi"/>
          <w:sz w:val="26"/>
          <w:szCs w:val="26"/>
          <w:lang w:val="en-GB"/>
        </w:rPr>
        <w:footnoteReference w:id="147"/>
      </w:r>
      <w:r w:rsidRPr="0026326C">
        <w:rPr>
          <w:rFonts w:asciiTheme="majorHAnsi" w:hAnsiTheme="majorHAnsi"/>
          <w:sz w:val="26"/>
          <w:szCs w:val="26"/>
          <w:lang w:val="en-GB"/>
        </w:rPr>
        <w:t xml:space="preserve"> When it came to the whole engineering sector, however</w:t>
      </w:r>
      <w:r w:rsidR="006A0AEC">
        <w:rPr>
          <w:rFonts w:asciiTheme="majorHAnsi" w:hAnsiTheme="majorHAnsi"/>
          <w:sz w:val="26"/>
          <w:szCs w:val="26"/>
          <w:lang w:val="en-GB"/>
        </w:rPr>
        <w:t>, its portion was much smaller</w:t>
      </w:r>
      <w:r w:rsidRPr="0026326C">
        <w:rPr>
          <w:rFonts w:asciiTheme="majorHAnsi" w:hAnsiTheme="majorHAnsi"/>
          <w:sz w:val="26"/>
          <w:szCs w:val="26"/>
          <w:lang w:val="en-GB"/>
        </w:rPr>
        <w:t>, since the proto-industrial state of the field was mainly occupied in the maintenance of agricultural tools at that time.</w:t>
      </w:r>
      <w:r w:rsidRPr="0026326C">
        <w:rPr>
          <w:rStyle w:val="FootnoteReference"/>
          <w:rFonts w:asciiTheme="majorHAnsi" w:hAnsiTheme="majorHAnsi"/>
          <w:sz w:val="26"/>
          <w:szCs w:val="26"/>
          <w:lang w:val="en-GB"/>
        </w:rPr>
        <w:footnoteReference w:id="148"/>
      </w:r>
      <w:r w:rsidRPr="0026326C">
        <w:rPr>
          <w:rFonts w:asciiTheme="majorHAnsi" w:hAnsiTheme="majorHAnsi"/>
          <w:sz w:val="26"/>
          <w:szCs w:val="26"/>
          <w:lang w:val="en-GB"/>
        </w:rPr>
        <w:t xml:space="preserve"> </w:t>
      </w:r>
      <w:r w:rsidR="006A0AEC">
        <w:rPr>
          <w:rFonts w:asciiTheme="majorHAnsi" w:hAnsiTheme="majorHAnsi"/>
          <w:sz w:val="26"/>
          <w:szCs w:val="26"/>
          <w:lang w:val="en-GB"/>
        </w:rPr>
        <w:t>During</w:t>
      </w:r>
      <w:r w:rsidRPr="0026326C">
        <w:rPr>
          <w:rFonts w:asciiTheme="majorHAnsi" w:hAnsiTheme="majorHAnsi"/>
          <w:sz w:val="26"/>
          <w:szCs w:val="26"/>
          <w:lang w:val="en-GB"/>
        </w:rPr>
        <w:t xml:space="preserve"> the first wave of railways construction, from the 1860s to the 1880s, Italian industries were assigned only a small percentage of related public contracts, since institutions </w:t>
      </w:r>
      <w:r w:rsidR="006A0AEC">
        <w:rPr>
          <w:rFonts w:asciiTheme="majorHAnsi" w:hAnsiTheme="majorHAnsi"/>
          <w:sz w:val="26"/>
          <w:szCs w:val="26"/>
          <w:lang w:val="en-GB"/>
        </w:rPr>
        <w:t>preferred</w:t>
      </w:r>
      <w:r w:rsidRPr="0026326C">
        <w:rPr>
          <w:rFonts w:asciiTheme="majorHAnsi" w:hAnsiTheme="majorHAnsi"/>
          <w:sz w:val="26"/>
          <w:szCs w:val="26"/>
          <w:lang w:val="en-GB"/>
        </w:rPr>
        <w:t xml:space="preserve"> foreign firms.</w:t>
      </w:r>
      <w:r w:rsidRPr="0026326C">
        <w:rPr>
          <w:rStyle w:val="FootnoteReference"/>
          <w:rFonts w:asciiTheme="majorHAnsi" w:hAnsiTheme="majorHAnsi"/>
          <w:sz w:val="26"/>
          <w:szCs w:val="26"/>
          <w:lang w:val="en-GB"/>
        </w:rPr>
        <w:footnoteReference w:id="149"/>
      </w:r>
      <w:r w:rsidRPr="0026326C">
        <w:rPr>
          <w:rFonts w:asciiTheme="majorHAnsi" w:hAnsiTheme="majorHAnsi"/>
          <w:sz w:val="26"/>
          <w:szCs w:val="26"/>
          <w:lang w:val="en-GB"/>
        </w:rPr>
        <w:t xml:space="preserve"> Despite its narrowness in the aggregate sector, public contracts related to the railways are of primary importance for the scope of this analysis, since this thesis focuses on the unstable growth of two modern engineering factories immediately preceding the industrial take-off.</w:t>
      </w:r>
      <w:r w:rsidR="006E499A" w:rsidRPr="0026326C">
        <w:rPr>
          <w:rFonts w:asciiTheme="majorHAnsi" w:hAnsiTheme="majorHAnsi"/>
          <w:sz w:val="26"/>
          <w:szCs w:val="26"/>
          <w:lang w:val="en-GB"/>
        </w:rPr>
        <w:br/>
      </w:r>
      <w:r w:rsidR="00C90D13" w:rsidRPr="0026326C">
        <w:rPr>
          <w:rFonts w:asciiTheme="majorHAnsi" w:hAnsiTheme="majorHAnsi"/>
          <w:sz w:val="26"/>
          <w:szCs w:val="26"/>
          <w:lang w:val="en-GB"/>
        </w:rPr>
        <w:t xml:space="preserve"> </w:t>
      </w:r>
      <w:r w:rsidR="00EA39C7" w:rsidRPr="0026326C">
        <w:rPr>
          <w:rFonts w:asciiTheme="majorHAnsi" w:hAnsiTheme="majorHAnsi"/>
          <w:sz w:val="26"/>
          <w:szCs w:val="26"/>
          <w:lang w:val="en-GB"/>
        </w:rPr>
        <w:tab/>
      </w:r>
      <w:r w:rsidR="006A0AEC">
        <w:rPr>
          <w:rFonts w:asciiTheme="majorHAnsi" w:hAnsiTheme="majorHAnsi"/>
          <w:sz w:val="26"/>
          <w:szCs w:val="26"/>
          <w:lang w:val="en-GB"/>
        </w:rPr>
        <w:t>Public</w:t>
      </w:r>
      <w:r w:rsidR="00EA39C7" w:rsidRPr="0026326C">
        <w:rPr>
          <w:rFonts w:asciiTheme="majorHAnsi" w:hAnsiTheme="majorHAnsi"/>
          <w:sz w:val="26"/>
          <w:szCs w:val="26"/>
          <w:lang w:val="en-GB"/>
        </w:rPr>
        <w:t xml:space="preserve"> contracts related to the N</w:t>
      </w:r>
      <w:r w:rsidRPr="0026326C">
        <w:rPr>
          <w:rFonts w:asciiTheme="majorHAnsi" w:hAnsiTheme="majorHAnsi"/>
          <w:sz w:val="26"/>
          <w:szCs w:val="26"/>
          <w:lang w:val="en-GB"/>
        </w:rPr>
        <w:t>avy appear to have been more conspicuous.</w:t>
      </w:r>
      <w:r w:rsidRPr="0026326C">
        <w:rPr>
          <w:rStyle w:val="FootnoteReference"/>
          <w:rFonts w:asciiTheme="majorHAnsi" w:hAnsiTheme="majorHAnsi"/>
          <w:sz w:val="26"/>
          <w:szCs w:val="26"/>
          <w:lang w:val="en-GB"/>
        </w:rPr>
        <w:footnoteReference w:id="150"/>
      </w:r>
      <w:r w:rsidRPr="0026326C">
        <w:rPr>
          <w:rFonts w:asciiTheme="majorHAnsi" w:hAnsiTheme="majorHAnsi"/>
          <w:sz w:val="26"/>
          <w:szCs w:val="26"/>
          <w:lang w:val="en-GB"/>
        </w:rPr>
        <w:t xml:space="preserve"> In this case as well, however, the sector of shipbuilding was affected by the resistance of </w:t>
      </w:r>
      <w:r w:rsidR="006E499A" w:rsidRPr="0026326C">
        <w:rPr>
          <w:rFonts w:asciiTheme="majorHAnsi" w:hAnsiTheme="majorHAnsi"/>
          <w:sz w:val="26"/>
          <w:szCs w:val="26"/>
          <w:lang w:val="en-GB"/>
        </w:rPr>
        <w:t xml:space="preserve">the </w:t>
      </w:r>
      <w:r w:rsidRPr="0026326C">
        <w:rPr>
          <w:rFonts w:asciiTheme="majorHAnsi" w:hAnsiTheme="majorHAnsi"/>
          <w:sz w:val="26"/>
          <w:szCs w:val="26"/>
          <w:lang w:val="en-GB"/>
        </w:rPr>
        <w:t>Navy in commissioning works to the local industries.</w:t>
      </w:r>
      <w:r w:rsidRPr="0026326C">
        <w:rPr>
          <w:rStyle w:val="FootnoteReference"/>
          <w:rFonts w:asciiTheme="majorHAnsi" w:hAnsiTheme="majorHAnsi"/>
          <w:sz w:val="26"/>
          <w:szCs w:val="26"/>
          <w:lang w:val="en-GB"/>
        </w:rPr>
        <w:footnoteReference w:id="151"/>
      </w:r>
      <w:r w:rsidRPr="0026326C">
        <w:rPr>
          <w:rFonts w:asciiTheme="majorHAnsi" w:hAnsiTheme="majorHAnsi"/>
          <w:sz w:val="26"/>
          <w:szCs w:val="26"/>
          <w:lang w:val="en-GB"/>
        </w:rPr>
        <w:t xml:space="preserve"> Nevertheless, contracts </w:t>
      </w:r>
      <w:r w:rsidRPr="0026326C">
        <w:rPr>
          <w:rFonts w:asciiTheme="majorHAnsi" w:hAnsiTheme="majorHAnsi"/>
          <w:sz w:val="26"/>
          <w:szCs w:val="26"/>
          <w:lang w:val="en-GB"/>
        </w:rPr>
        <w:lastRenderedPageBreak/>
        <w:t>for naval machines and steam boilers were assigned to</w:t>
      </w:r>
      <w:r w:rsidR="00AB135B">
        <w:rPr>
          <w:rFonts w:asciiTheme="majorHAnsi" w:hAnsiTheme="majorHAnsi"/>
          <w:sz w:val="26"/>
          <w:szCs w:val="26"/>
          <w:lang w:val="en-GB"/>
        </w:rPr>
        <w:t xml:space="preserve"> a small circle of</w:t>
      </w:r>
      <w:r w:rsidRPr="0026326C">
        <w:rPr>
          <w:rFonts w:asciiTheme="majorHAnsi" w:hAnsiTheme="majorHAnsi"/>
          <w:sz w:val="26"/>
          <w:szCs w:val="26"/>
          <w:lang w:val="en-GB"/>
        </w:rPr>
        <w:t xml:space="preserve"> engineering firms such as the</w:t>
      </w:r>
      <w:r w:rsidR="00AB135B">
        <w:rPr>
          <w:rFonts w:asciiTheme="majorHAnsi" w:hAnsiTheme="majorHAnsi"/>
          <w:sz w:val="26"/>
          <w:szCs w:val="26"/>
          <w:lang w:val="en-GB"/>
        </w:rPr>
        <w:t xml:space="preserve"> SNIM, Ansaldo, Guppy, and others</w:t>
      </w:r>
      <w:r w:rsidRPr="0026326C">
        <w:rPr>
          <w:rFonts w:asciiTheme="majorHAnsi" w:hAnsiTheme="majorHAnsi"/>
          <w:sz w:val="26"/>
          <w:szCs w:val="26"/>
          <w:lang w:val="en-GB"/>
        </w:rPr>
        <w:t>, as well as numerous maintenance works, mainly for defence purposes.</w:t>
      </w:r>
      <w:r w:rsidRPr="0026326C">
        <w:rPr>
          <w:rStyle w:val="FootnoteReference"/>
          <w:rFonts w:asciiTheme="majorHAnsi" w:hAnsiTheme="majorHAnsi"/>
          <w:sz w:val="26"/>
          <w:szCs w:val="26"/>
          <w:lang w:val="en-GB"/>
        </w:rPr>
        <w:footnoteReference w:id="152"/>
      </w:r>
      <w:r w:rsidRPr="0026326C">
        <w:rPr>
          <w:rFonts w:asciiTheme="majorHAnsi" w:hAnsiTheme="majorHAnsi"/>
          <w:sz w:val="26"/>
          <w:szCs w:val="26"/>
          <w:lang w:val="en-GB"/>
        </w:rPr>
        <w:t xml:space="preserve"> </w:t>
      </w:r>
      <w:r w:rsidR="00AB135B" w:rsidRPr="0026326C">
        <w:rPr>
          <w:rFonts w:asciiTheme="majorHAnsi" w:hAnsiTheme="majorHAnsi"/>
          <w:sz w:val="26"/>
          <w:szCs w:val="26"/>
          <w:lang w:val="en-GB"/>
        </w:rPr>
        <w:t>In the Italian post-unification climate, the prospect of further war effort in order to annex Venetia and Rome and the Southern Civil War made defence a top priority in the state’s budget.</w:t>
      </w:r>
      <w:r w:rsidR="00AB135B" w:rsidRPr="0026326C">
        <w:rPr>
          <w:rStyle w:val="FootnoteReference"/>
          <w:rFonts w:asciiTheme="majorHAnsi" w:hAnsiTheme="majorHAnsi"/>
          <w:sz w:val="26"/>
          <w:szCs w:val="26"/>
          <w:lang w:val="en-GB"/>
        </w:rPr>
        <w:footnoteReference w:id="153"/>
      </w:r>
      <w:r w:rsidR="00AB135B" w:rsidRPr="0026326C">
        <w:rPr>
          <w:rFonts w:asciiTheme="majorHAnsi" w:hAnsiTheme="majorHAnsi"/>
          <w:sz w:val="26"/>
          <w:szCs w:val="26"/>
          <w:lang w:val="en-GB"/>
        </w:rPr>
        <w:t xml:space="preserve"> </w:t>
      </w:r>
      <w:r w:rsidRPr="0026326C">
        <w:rPr>
          <w:rFonts w:asciiTheme="majorHAnsi" w:hAnsiTheme="majorHAnsi"/>
          <w:sz w:val="26"/>
          <w:szCs w:val="26"/>
          <w:lang w:val="en-GB"/>
        </w:rPr>
        <w:t>Such contracts are part of the unstable demand that characterizes the precarious growth of the engineering firms in this period.</w:t>
      </w:r>
      <w:r w:rsidR="00AB135B">
        <w:rPr>
          <w:rFonts w:asciiTheme="majorHAnsi" w:hAnsiTheme="majorHAnsi"/>
          <w:sz w:val="26"/>
          <w:szCs w:val="26"/>
          <w:lang w:val="en-GB"/>
        </w:rPr>
        <w:t xml:space="preserve"> </w:t>
      </w:r>
      <w:r w:rsidRPr="0026326C">
        <w:rPr>
          <w:rFonts w:asciiTheme="majorHAnsi" w:hAnsiTheme="majorHAnsi"/>
          <w:sz w:val="26"/>
          <w:szCs w:val="26"/>
          <w:lang w:val="en-GB"/>
        </w:rPr>
        <w:t>In such a situation it emerges how the relationship between private firms and the n</w:t>
      </w:r>
      <w:r w:rsidR="006E499A" w:rsidRPr="0026326C">
        <w:rPr>
          <w:rFonts w:asciiTheme="majorHAnsi" w:hAnsiTheme="majorHAnsi"/>
          <w:sz w:val="26"/>
          <w:szCs w:val="26"/>
          <w:lang w:val="en-GB"/>
        </w:rPr>
        <w:t>avy was essential in granting a sufficient</w:t>
      </w:r>
      <w:r w:rsidRPr="0026326C">
        <w:rPr>
          <w:rFonts w:asciiTheme="majorHAnsi" w:hAnsiTheme="majorHAnsi"/>
          <w:sz w:val="26"/>
          <w:szCs w:val="26"/>
          <w:lang w:val="en-GB"/>
        </w:rPr>
        <w:t xml:space="preserve"> inflow of state commissions that would secure the company a stunted survival.</w:t>
      </w:r>
    </w:p>
    <w:p w14:paraId="047CD168" w14:textId="5809A4C8" w:rsidR="00C12A0F" w:rsidRPr="0026326C" w:rsidRDefault="00132ACE">
      <w:pPr>
        <w:rPr>
          <w:rFonts w:asciiTheme="majorHAnsi" w:hAnsiTheme="majorHAnsi"/>
          <w:b/>
          <w:sz w:val="26"/>
          <w:szCs w:val="26"/>
          <w:lang w:val="en-GB"/>
        </w:rPr>
      </w:pPr>
      <w:r w:rsidRPr="0026326C">
        <w:rPr>
          <w:rFonts w:asciiTheme="majorHAnsi" w:hAnsiTheme="majorHAnsi"/>
          <w:b/>
          <w:sz w:val="26"/>
          <w:szCs w:val="26"/>
          <w:lang w:val="en-GB"/>
        </w:rPr>
        <w:t>Political continuities in the assignation of public contracts</w:t>
      </w:r>
    </w:p>
    <w:p w14:paraId="437A3A14" w14:textId="6AB7C793" w:rsidR="00C12A0F" w:rsidRPr="0026326C" w:rsidRDefault="00C12A0F">
      <w:pPr>
        <w:rPr>
          <w:rFonts w:asciiTheme="majorHAnsi" w:hAnsiTheme="majorHAnsi"/>
          <w:sz w:val="26"/>
          <w:szCs w:val="26"/>
          <w:lang w:val="en-GB"/>
        </w:rPr>
      </w:pPr>
      <w:r w:rsidRPr="0026326C">
        <w:rPr>
          <w:rFonts w:asciiTheme="majorHAnsi" w:hAnsiTheme="majorHAnsi"/>
          <w:sz w:val="26"/>
          <w:szCs w:val="26"/>
          <w:lang w:val="en-GB"/>
        </w:rPr>
        <w:t>It has been noted how state commissions disparities between Southern and Northern firms in the long term had been influenced by the fact that the latter found better channels of representation of their interests in political environments.</w:t>
      </w:r>
      <w:r w:rsidRPr="0026326C">
        <w:rPr>
          <w:rStyle w:val="FootnoteReference"/>
          <w:rFonts w:asciiTheme="majorHAnsi" w:hAnsiTheme="majorHAnsi"/>
          <w:sz w:val="26"/>
          <w:szCs w:val="26"/>
          <w:lang w:val="en-GB"/>
        </w:rPr>
        <w:footnoteReference w:id="154"/>
      </w:r>
      <w:r w:rsidRPr="0026326C">
        <w:rPr>
          <w:rFonts w:asciiTheme="majorHAnsi" w:hAnsiTheme="majorHAnsi"/>
          <w:sz w:val="26"/>
          <w:szCs w:val="26"/>
          <w:lang w:val="en-GB"/>
        </w:rPr>
        <w:t xml:space="preserve"> </w:t>
      </w:r>
      <w:r w:rsidR="00BE11E4">
        <w:rPr>
          <w:rFonts w:asciiTheme="majorHAnsi" w:hAnsiTheme="majorHAnsi"/>
          <w:sz w:val="26"/>
          <w:szCs w:val="26"/>
          <w:lang w:val="en-GB"/>
        </w:rPr>
        <w:t xml:space="preserve">In the railways sector, </w:t>
      </w:r>
      <w:r w:rsidR="0038502A">
        <w:rPr>
          <w:rFonts w:asciiTheme="majorHAnsi" w:hAnsiTheme="majorHAnsi"/>
          <w:sz w:val="26"/>
          <w:szCs w:val="26"/>
          <w:lang w:val="en-GB"/>
        </w:rPr>
        <w:t xml:space="preserve">however, </w:t>
      </w:r>
      <w:r w:rsidR="00BE11E4">
        <w:rPr>
          <w:rFonts w:asciiTheme="majorHAnsi" w:hAnsiTheme="majorHAnsi"/>
          <w:sz w:val="26"/>
          <w:szCs w:val="26"/>
          <w:lang w:val="en-GB"/>
        </w:rPr>
        <w:t xml:space="preserve">Pietrarsa actually owned the </w:t>
      </w:r>
      <w:r w:rsidR="007C2524">
        <w:rPr>
          <w:rFonts w:asciiTheme="majorHAnsi" w:hAnsiTheme="majorHAnsi"/>
          <w:sz w:val="26"/>
          <w:szCs w:val="26"/>
          <w:lang w:val="en-GB"/>
        </w:rPr>
        <w:t xml:space="preserve">whole </w:t>
      </w:r>
      <w:r w:rsidR="00BE11E4">
        <w:rPr>
          <w:rFonts w:asciiTheme="majorHAnsi" w:hAnsiTheme="majorHAnsi"/>
          <w:sz w:val="26"/>
          <w:szCs w:val="26"/>
          <w:lang w:val="en-GB"/>
        </w:rPr>
        <w:t xml:space="preserve">national market share, making an </w:t>
      </w:r>
      <w:r w:rsidR="00F35D9C">
        <w:rPr>
          <w:rFonts w:asciiTheme="majorHAnsi" w:hAnsiTheme="majorHAnsi"/>
          <w:sz w:val="26"/>
          <w:szCs w:val="26"/>
          <w:lang w:val="en-GB"/>
        </w:rPr>
        <w:t>investigation</w:t>
      </w:r>
      <w:r w:rsidR="00BE11E4">
        <w:rPr>
          <w:rFonts w:asciiTheme="majorHAnsi" w:hAnsiTheme="majorHAnsi"/>
          <w:sz w:val="26"/>
          <w:szCs w:val="26"/>
          <w:lang w:val="en-GB"/>
        </w:rPr>
        <w:t xml:space="preserve"> of Piedmontese continuities useless.</w:t>
      </w:r>
      <w:r w:rsidR="007C2524">
        <w:rPr>
          <w:rStyle w:val="FootnoteReference"/>
          <w:rFonts w:asciiTheme="majorHAnsi" w:hAnsiTheme="majorHAnsi"/>
          <w:sz w:val="26"/>
          <w:szCs w:val="26"/>
          <w:lang w:val="en-GB"/>
        </w:rPr>
        <w:footnoteReference w:id="155"/>
      </w:r>
      <w:r w:rsidR="00BE11E4">
        <w:rPr>
          <w:rFonts w:asciiTheme="majorHAnsi" w:hAnsiTheme="majorHAnsi"/>
          <w:sz w:val="26"/>
          <w:szCs w:val="26"/>
          <w:lang w:val="en-GB"/>
        </w:rPr>
        <w:t xml:space="preserve"> In the Navy, on the other hand, </w:t>
      </w:r>
      <w:r w:rsidR="007C2524">
        <w:rPr>
          <w:rFonts w:asciiTheme="majorHAnsi" w:hAnsiTheme="majorHAnsi"/>
          <w:sz w:val="26"/>
          <w:szCs w:val="26"/>
          <w:lang w:val="en-GB"/>
        </w:rPr>
        <w:t xml:space="preserve">political continuities might offer more </w:t>
      </w:r>
      <w:r w:rsidR="00F35D9C">
        <w:rPr>
          <w:rFonts w:asciiTheme="majorHAnsi" w:hAnsiTheme="majorHAnsi"/>
          <w:sz w:val="26"/>
          <w:szCs w:val="26"/>
          <w:lang w:val="en-GB"/>
        </w:rPr>
        <w:t xml:space="preserve">useful </w:t>
      </w:r>
      <w:r w:rsidR="007C2524">
        <w:rPr>
          <w:rFonts w:asciiTheme="majorHAnsi" w:hAnsiTheme="majorHAnsi"/>
          <w:sz w:val="26"/>
          <w:szCs w:val="26"/>
          <w:lang w:val="en-GB"/>
        </w:rPr>
        <w:t xml:space="preserve">insights. </w:t>
      </w:r>
      <w:r w:rsidR="007C2524">
        <w:rPr>
          <w:rFonts w:asciiTheme="majorHAnsi" w:hAnsiTheme="majorHAnsi"/>
          <w:sz w:val="26"/>
          <w:szCs w:val="26"/>
          <w:lang w:val="en-GB"/>
        </w:rPr>
        <w:br/>
      </w:r>
      <w:r w:rsidR="00F35D9C">
        <w:rPr>
          <w:rFonts w:asciiTheme="majorHAnsi" w:hAnsiTheme="majorHAnsi"/>
          <w:sz w:val="26"/>
          <w:szCs w:val="26"/>
          <w:lang w:val="en-GB"/>
        </w:rPr>
        <w:tab/>
        <w:t>Before 1861,</w:t>
      </w:r>
      <w:r w:rsidRPr="0026326C">
        <w:rPr>
          <w:rFonts w:asciiTheme="majorHAnsi" w:hAnsiTheme="majorHAnsi"/>
          <w:sz w:val="26"/>
          <w:szCs w:val="26"/>
          <w:lang w:val="en-GB"/>
        </w:rPr>
        <w:t xml:space="preserve"> economic strategy of the Count of Cavour, occupying among others the post of minister of the Navy, was to transform Genoa into an important commercial port and industrial pole.</w:t>
      </w:r>
      <w:r w:rsidRPr="0026326C">
        <w:rPr>
          <w:rStyle w:val="FootnoteReference"/>
          <w:rFonts w:asciiTheme="majorHAnsi" w:hAnsiTheme="majorHAnsi"/>
          <w:sz w:val="26"/>
          <w:szCs w:val="26"/>
          <w:lang w:val="en-GB"/>
        </w:rPr>
        <w:footnoteReference w:id="156"/>
      </w:r>
      <w:r w:rsidRPr="0026326C">
        <w:rPr>
          <w:rFonts w:asciiTheme="majorHAnsi" w:hAnsiTheme="majorHAnsi"/>
          <w:sz w:val="26"/>
          <w:szCs w:val="26"/>
          <w:lang w:val="en-GB"/>
        </w:rPr>
        <w:t xml:space="preserve"> </w:t>
      </w:r>
      <w:r w:rsidR="007C2524">
        <w:rPr>
          <w:rFonts w:asciiTheme="majorHAnsi" w:hAnsiTheme="majorHAnsi"/>
          <w:sz w:val="26"/>
          <w:szCs w:val="26"/>
          <w:lang w:val="en-GB"/>
        </w:rPr>
        <w:t>S</w:t>
      </w:r>
      <w:r w:rsidR="007C2524" w:rsidRPr="0026326C">
        <w:rPr>
          <w:rFonts w:asciiTheme="majorHAnsi" w:hAnsiTheme="majorHAnsi"/>
          <w:sz w:val="26"/>
          <w:szCs w:val="26"/>
          <w:lang w:val="en-GB"/>
        </w:rPr>
        <w:t>uch an initiative inserted itself in his political design to forge a closer relationship between Genoa and Turin, ancient rivals since the annexation of the former to the Kingdom of Sardinia in 1815</w:t>
      </w:r>
      <w:r w:rsidR="007C2524">
        <w:rPr>
          <w:rFonts w:asciiTheme="majorHAnsi" w:hAnsiTheme="majorHAnsi"/>
          <w:sz w:val="26"/>
          <w:szCs w:val="26"/>
          <w:lang w:val="en-GB"/>
        </w:rPr>
        <w:t>, which saw a net increase of shipbuilding activities in the city as well.</w:t>
      </w:r>
      <w:r w:rsidR="007C2524" w:rsidRPr="0026326C">
        <w:rPr>
          <w:rStyle w:val="FootnoteReference"/>
          <w:rFonts w:asciiTheme="majorHAnsi" w:hAnsiTheme="majorHAnsi"/>
          <w:sz w:val="26"/>
          <w:szCs w:val="26"/>
          <w:lang w:val="en-GB"/>
        </w:rPr>
        <w:footnoteReference w:id="157"/>
      </w:r>
      <w:r w:rsidR="007C2524">
        <w:rPr>
          <w:rFonts w:asciiTheme="majorHAnsi" w:hAnsiTheme="majorHAnsi"/>
          <w:sz w:val="26"/>
          <w:szCs w:val="26"/>
          <w:lang w:val="en-GB"/>
        </w:rPr>
        <w:t xml:space="preserve"> </w:t>
      </w:r>
      <w:r w:rsidR="007C2524">
        <w:rPr>
          <w:rFonts w:asciiTheme="majorHAnsi" w:hAnsiTheme="majorHAnsi"/>
          <w:sz w:val="26"/>
          <w:szCs w:val="26"/>
          <w:lang w:val="en-GB"/>
        </w:rPr>
        <w:br/>
      </w:r>
      <w:r w:rsidR="00F35D9C">
        <w:rPr>
          <w:rFonts w:asciiTheme="majorHAnsi" w:hAnsiTheme="majorHAnsi"/>
          <w:sz w:val="26"/>
          <w:szCs w:val="26"/>
          <w:lang w:val="en-GB"/>
        </w:rPr>
        <w:tab/>
      </w:r>
      <w:r w:rsidRPr="0026326C">
        <w:rPr>
          <w:rFonts w:asciiTheme="majorHAnsi" w:hAnsiTheme="majorHAnsi"/>
          <w:sz w:val="26"/>
          <w:szCs w:val="26"/>
          <w:lang w:val="en-GB"/>
        </w:rPr>
        <w:t>After his death, the Piedmontese nobility often maintained a continuity of its influence in the new Italian state, ensuring to aristocrats and Sardinian military officers prominent roles in key institutions.</w:t>
      </w:r>
      <w:r w:rsidRPr="0026326C">
        <w:rPr>
          <w:rStyle w:val="FootnoteReference"/>
          <w:rFonts w:asciiTheme="majorHAnsi" w:hAnsiTheme="majorHAnsi"/>
          <w:sz w:val="26"/>
          <w:szCs w:val="26"/>
          <w:lang w:val="en-GB"/>
        </w:rPr>
        <w:footnoteReference w:id="158"/>
      </w:r>
      <w:r w:rsidR="00F35D9C">
        <w:rPr>
          <w:rFonts w:asciiTheme="majorHAnsi" w:hAnsiTheme="majorHAnsi"/>
          <w:sz w:val="26"/>
          <w:szCs w:val="26"/>
          <w:lang w:val="en-GB"/>
        </w:rPr>
        <w:t xml:space="preserve"> This resulted in</w:t>
      </w:r>
      <w:r w:rsidR="007C2524">
        <w:rPr>
          <w:rFonts w:asciiTheme="majorHAnsi" w:hAnsiTheme="majorHAnsi"/>
          <w:sz w:val="26"/>
          <w:szCs w:val="26"/>
          <w:lang w:val="en-GB"/>
        </w:rPr>
        <w:t xml:space="preserve"> the nomination of </w:t>
      </w:r>
      <w:r w:rsidRPr="0026326C">
        <w:rPr>
          <w:rFonts w:asciiTheme="majorHAnsi" w:hAnsiTheme="majorHAnsi"/>
          <w:sz w:val="26"/>
          <w:szCs w:val="26"/>
          <w:lang w:val="en-GB"/>
        </w:rPr>
        <w:t xml:space="preserve">Luigi Menabrea as minister of the Navy; he was already general of the pre-unification Sardinian Navy and was assigned to the post by </w:t>
      </w:r>
      <w:r w:rsidR="007C2524">
        <w:rPr>
          <w:rFonts w:asciiTheme="majorHAnsi" w:hAnsiTheme="majorHAnsi"/>
          <w:sz w:val="26"/>
          <w:szCs w:val="26"/>
          <w:lang w:val="en-GB"/>
        </w:rPr>
        <w:t xml:space="preserve">King </w:t>
      </w:r>
      <w:r w:rsidRPr="0026326C">
        <w:rPr>
          <w:rFonts w:asciiTheme="majorHAnsi" w:hAnsiTheme="majorHAnsi"/>
          <w:sz w:val="26"/>
          <w:szCs w:val="26"/>
          <w:lang w:val="en-GB"/>
        </w:rPr>
        <w:t>Vittorio Emanuele II himself.</w:t>
      </w:r>
      <w:r w:rsidRPr="0026326C">
        <w:rPr>
          <w:rStyle w:val="FootnoteReference"/>
          <w:rFonts w:asciiTheme="majorHAnsi" w:hAnsiTheme="majorHAnsi"/>
          <w:sz w:val="26"/>
          <w:szCs w:val="26"/>
          <w:lang w:val="en-GB"/>
        </w:rPr>
        <w:footnoteReference w:id="159"/>
      </w:r>
      <w:r w:rsidRPr="0026326C">
        <w:rPr>
          <w:rFonts w:asciiTheme="majorHAnsi" w:hAnsiTheme="majorHAnsi"/>
          <w:sz w:val="26"/>
          <w:szCs w:val="26"/>
          <w:lang w:val="en-GB"/>
        </w:rPr>
        <w:t xml:space="preserve"> The new minister continued the project undertook by Cavour</w:t>
      </w:r>
      <w:r w:rsidR="008801AE">
        <w:rPr>
          <w:rFonts w:asciiTheme="majorHAnsi" w:hAnsiTheme="majorHAnsi"/>
          <w:sz w:val="26"/>
          <w:szCs w:val="26"/>
          <w:lang w:val="en-GB"/>
        </w:rPr>
        <w:t>, incrementing shipbuilding activities in that region</w:t>
      </w:r>
      <w:r w:rsidRPr="0026326C">
        <w:rPr>
          <w:rFonts w:asciiTheme="majorHAnsi" w:hAnsiTheme="majorHAnsi"/>
          <w:sz w:val="26"/>
          <w:szCs w:val="26"/>
          <w:lang w:val="en-GB"/>
        </w:rPr>
        <w:t>.</w:t>
      </w:r>
      <w:r w:rsidRPr="0026326C">
        <w:rPr>
          <w:rStyle w:val="FootnoteReference"/>
          <w:rFonts w:asciiTheme="majorHAnsi" w:hAnsiTheme="majorHAnsi"/>
          <w:sz w:val="26"/>
          <w:szCs w:val="26"/>
          <w:lang w:val="en-GB"/>
        </w:rPr>
        <w:footnoteReference w:id="160"/>
      </w:r>
      <w:r w:rsidRPr="0026326C">
        <w:rPr>
          <w:rFonts w:asciiTheme="majorHAnsi" w:hAnsiTheme="majorHAnsi"/>
          <w:sz w:val="26"/>
          <w:szCs w:val="26"/>
          <w:lang w:val="en-GB"/>
        </w:rPr>
        <w:t xml:space="preserve"> After Menabrea, 8 out 12 Navy ministers until </w:t>
      </w:r>
      <w:r w:rsidRPr="0026326C">
        <w:rPr>
          <w:rFonts w:asciiTheme="majorHAnsi" w:hAnsiTheme="majorHAnsi"/>
          <w:sz w:val="26"/>
          <w:szCs w:val="26"/>
          <w:lang w:val="en-GB"/>
        </w:rPr>
        <w:lastRenderedPageBreak/>
        <w:t>1870 originated from the seats of pre-unitary Sardinian parliament or from the ranks of the Sardinian Navy.</w:t>
      </w:r>
      <w:r w:rsidRPr="0026326C">
        <w:rPr>
          <w:rStyle w:val="FootnoteReference"/>
          <w:rFonts w:asciiTheme="majorHAnsi" w:hAnsiTheme="majorHAnsi"/>
          <w:sz w:val="26"/>
          <w:szCs w:val="26"/>
          <w:lang w:val="en-GB"/>
        </w:rPr>
        <w:footnoteReference w:id="161"/>
      </w:r>
      <w:r w:rsidRPr="0026326C">
        <w:rPr>
          <w:rFonts w:asciiTheme="majorHAnsi" w:hAnsiTheme="majorHAnsi"/>
          <w:sz w:val="26"/>
          <w:szCs w:val="26"/>
          <w:lang w:val="en-GB"/>
        </w:rPr>
        <w:t xml:space="preserve"> </w:t>
      </w:r>
      <w:r w:rsidR="00FA74D2" w:rsidRPr="0026326C">
        <w:rPr>
          <w:rFonts w:asciiTheme="majorHAnsi" w:hAnsiTheme="majorHAnsi"/>
          <w:sz w:val="26"/>
          <w:szCs w:val="26"/>
          <w:lang w:val="en-GB"/>
        </w:rPr>
        <w:br/>
      </w:r>
      <w:r w:rsidR="00FA74D2" w:rsidRPr="0026326C">
        <w:rPr>
          <w:rFonts w:asciiTheme="majorHAnsi" w:hAnsiTheme="majorHAnsi"/>
          <w:sz w:val="26"/>
          <w:szCs w:val="26"/>
          <w:lang w:val="en-GB"/>
        </w:rPr>
        <w:tab/>
      </w:r>
      <w:r w:rsidR="0038502A">
        <w:rPr>
          <w:rFonts w:asciiTheme="majorHAnsi" w:hAnsiTheme="majorHAnsi"/>
          <w:sz w:val="26"/>
          <w:szCs w:val="26"/>
          <w:lang w:val="en-GB"/>
        </w:rPr>
        <w:t>This continuity might have affect</w:t>
      </w:r>
      <w:r w:rsidR="00B8705A">
        <w:rPr>
          <w:rFonts w:asciiTheme="majorHAnsi" w:hAnsiTheme="majorHAnsi"/>
          <w:sz w:val="26"/>
          <w:szCs w:val="26"/>
          <w:lang w:val="en-GB"/>
        </w:rPr>
        <w:t>ed public contract distribution. T</w:t>
      </w:r>
      <w:r w:rsidR="00B8705A" w:rsidRPr="0026326C">
        <w:rPr>
          <w:rFonts w:asciiTheme="majorHAnsi" w:hAnsiTheme="majorHAnsi"/>
          <w:sz w:val="26"/>
          <w:szCs w:val="26"/>
          <w:lang w:val="en-GB"/>
        </w:rPr>
        <w:t>he privileged relationship of the Ansaldo with the Royal Navy has been ascertained by secondary literature</w:t>
      </w:r>
      <w:r w:rsidR="00B8705A">
        <w:rPr>
          <w:rFonts w:asciiTheme="majorHAnsi" w:hAnsiTheme="majorHAnsi"/>
          <w:sz w:val="26"/>
          <w:szCs w:val="26"/>
          <w:lang w:val="en-GB"/>
        </w:rPr>
        <w:t xml:space="preserve">, and the </w:t>
      </w:r>
      <w:r w:rsidR="00B8705A" w:rsidRPr="0026326C">
        <w:rPr>
          <w:rFonts w:asciiTheme="majorHAnsi" w:hAnsiTheme="majorHAnsi"/>
          <w:sz w:val="26"/>
          <w:szCs w:val="26"/>
          <w:lang w:val="en-GB"/>
        </w:rPr>
        <w:t xml:space="preserve">fact that from 1864 to 1869 it would be its top producer </w:t>
      </w:r>
      <w:r w:rsidR="00B8705A">
        <w:rPr>
          <w:rFonts w:asciiTheme="majorHAnsi" w:hAnsiTheme="majorHAnsi"/>
          <w:sz w:val="26"/>
          <w:szCs w:val="26"/>
          <w:lang w:val="en-GB"/>
        </w:rPr>
        <w:t>seems to confirm it</w:t>
      </w:r>
      <w:r w:rsidR="00B8705A" w:rsidRPr="0026326C">
        <w:rPr>
          <w:rFonts w:asciiTheme="majorHAnsi" w:hAnsiTheme="majorHAnsi"/>
          <w:sz w:val="26"/>
          <w:szCs w:val="26"/>
          <w:lang w:val="en-GB"/>
        </w:rPr>
        <w:t>.</w:t>
      </w:r>
      <w:r w:rsidR="00B8705A" w:rsidRPr="0026326C">
        <w:rPr>
          <w:rStyle w:val="FootnoteReference"/>
          <w:rFonts w:asciiTheme="majorHAnsi" w:hAnsiTheme="majorHAnsi"/>
          <w:sz w:val="26"/>
          <w:szCs w:val="26"/>
          <w:lang w:val="en-GB"/>
        </w:rPr>
        <w:footnoteReference w:id="162"/>
      </w:r>
      <w:r w:rsidR="00B8705A" w:rsidRPr="0026326C">
        <w:rPr>
          <w:rFonts w:asciiTheme="majorHAnsi" w:hAnsiTheme="majorHAnsi"/>
          <w:sz w:val="26"/>
          <w:szCs w:val="26"/>
          <w:lang w:val="en-GB"/>
        </w:rPr>
        <w:t xml:space="preserve"> </w:t>
      </w:r>
      <w:r w:rsidR="00B8705A">
        <w:rPr>
          <w:rFonts w:asciiTheme="majorHAnsi" w:hAnsiTheme="majorHAnsi"/>
          <w:sz w:val="26"/>
          <w:szCs w:val="26"/>
          <w:lang w:val="en-GB"/>
        </w:rPr>
        <w:t xml:space="preserve"> H</w:t>
      </w:r>
      <w:r w:rsidR="0038502A">
        <w:rPr>
          <w:rFonts w:asciiTheme="majorHAnsi" w:hAnsiTheme="majorHAnsi"/>
          <w:sz w:val="26"/>
          <w:szCs w:val="26"/>
          <w:lang w:val="en-GB"/>
        </w:rPr>
        <w:t xml:space="preserve">owever, </w:t>
      </w:r>
      <w:r w:rsidRPr="0026326C">
        <w:rPr>
          <w:rFonts w:asciiTheme="majorHAnsi" w:hAnsiTheme="majorHAnsi"/>
          <w:sz w:val="26"/>
          <w:szCs w:val="26"/>
          <w:lang w:val="en-GB"/>
        </w:rPr>
        <w:t xml:space="preserve">the impossibility to consult directly public contracts of the Navy </w:t>
      </w:r>
      <w:r w:rsidR="00FA74D2" w:rsidRPr="0026326C">
        <w:rPr>
          <w:rFonts w:asciiTheme="majorHAnsi" w:hAnsiTheme="majorHAnsi"/>
          <w:sz w:val="26"/>
          <w:szCs w:val="26"/>
          <w:lang w:val="en-GB"/>
        </w:rPr>
        <w:t>from the</w:t>
      </w:r>
      <w:r w:rsidR="00B8705A">
        <w:rPr>
          <w:rFonts w:asciiTheme="majorHAnsi" w:hAnsiTheme="majorHAnsi"/>
          <w:sz w:val="26"/>
          <w:szCs w:val="26"/>
          <w:lang w:val="en-GB"/>
        </w:rPr>
        <w:t xml:space="preserve"> Central Archive of the State</w:t>
      </w:r>
      <w:r w:rsidRPr="0026326C">
        <w:rPr>
          <w:rFonts w:asciiTheme="majorHAnsi" w:hAnsiTheme="majorHAnsi"/>
          <w:sz w:val="26"/>
          <w:szCs w:val="26"/>
          <w:lang w:val="en-GB"/>
        </w:rPr>
        <w:t xml:space="preserve"> </w:t>
      </w:r>
      <w:r w:rsidR="0038502A">
        <w:rPr>
          <w:rFonts w:asciiTheme="majorHAnsi" w:hAnsiTheme="majorHAnsi"/>
          <w:sz w:val="26"/>
          <w:szCs w:val="26"/>
          <w:lang w:val="en-GB"/>
        </w:rPr>
        <w:t xml:space="preserve">makes </w:t>
      </w:r>
      <w:r w:rsidRPr="0026326C">
        <w:rPr>
          <w:rFonts w:asciiTheme="majorHAnsi" w:hAnsiTheme="majorHAnsi"/>
          <w:sz w:val="26"/>
          <w:szCs w:val="26"/>
          <w:lang w:val="en-GB"/>
        </w:rPr>
        <w:t xml:space="preserve">a direct correlation </w:t>
      </w:r>
      <w:r w:rsidR="0038502A">
        <w:rPr>
          <w:rFonts w:asciiTheme="majorHAnsi" w:hAnsiTheme="majorHAnsi"/>
          <w:sz w:val="26"/>
          <w:szCs w:val="26"/>
          <w:lang w:val="en-GB"/>
        </w:rPr>
        <w:t>difficult to prove conclusively</w:t>
      </w:r>
      <w:r w:rsidRPr="0026326C">
        <w:rPr>
          <w:rFonts w:asciiTheme="majorHAnsi" w:hAnsiTheme="majorHAnsi"/>
          <w:sz w:val="26"/>
          <w:szCs w:val="26"/>
          <w:lang w:val="en-GB"/>
        </w:rPr>
        <w:t>.</w:t>
      </w:r>
      <w:r w:rsidR="003125EF">
        <w:rPr>
          <w:rStyle w:val="FootnoteReference"/>
          <w:rFonts w:asciiTheme="majorHAnsi" w:hAnsiTheme="majorHAnsi"/>
          <w:sz w:val="26"/>
          <w:szCs w:val="26"/>
          <w:lang w:val="en-GB"/>
        </w:rPr>
        <w:footnoteReference w:id="163"/>
      </w:r>
      <w:r w:rsidRPr="0026326C">
        <w:rPr>
          <w:rFonts w:asciiTheme="majorHAnsi" w:hAnsiTheme="majorHAnsi"/>
          <w:sz w:val="26"/>
          <w:szCs w:val="26"/>
          <w:lang w:val="en-GB"/>
        </w:rPr>
        <w:t xml:space="preserve"> </w:t>
      </w:r>
      <w:r w:rsidR="00B8705A">
        <w:rPr>
          <w:rFonts w:asciiTheme="majorHAnsi" w:hAnsiTheme="majorHAnsi"/>
          <w:sz w:val="26"/>
          <w:szCs w:val="26"/>
          <w:lang w:val="en-GB"/>
        </w:rPr>
        <w:t xml:space="preserve"> </w:t>
      </w:r>
      <w:r w:rsidRPr="0026326C">
        <w:rPr>
          <w:rFonts w:asciiTheme="majorHAnsi" w:hAnsiTheme="majorHAnsi"/>
          <w:sz w:val="26"/>
          <w:szCs w:val="26"/>
          <w:lang w:val="en-GB"/>
        </w:rPr>
        <w:t>In any case, the aggravation of the Italian budget deficit after the 1866 war against Austria saw a drastic cutback in military expenses that affected the whole sector during the 1870s, regardless of any privileged network.</w:t>
      </w:r>
      <w:r w:rsidRPr="0026326C">
        <w:rPr>
          <w:rStyle w:val="FootnoteReference"/>
          <w:rFonts w:asciiTheme="majorHAnsi" w:hAnsiTheme="majorHAnsi"/>
          <w:sz w:val="26"/>
          <w:szCs w:val="26"/>
          <w:lang w:val="en-GB"/>
        </w:rPr>
        <w:footnoteReference w:id="164"/>
      </w:r>
      <w:r w:rsidRPr="0026326C">
        <w:rPr>
          <w:rFonts w:asciiTheme="majorHAnsi" w:hAnsiTheme="majorHAnsi"/>
          <w:sz w:val="26"/>
          <w:szCs w:val="26"/>
          <w:lang w:val="en-GB"/>
        </w:rPr>
        <w:t xml:space="preserve">  </w:t>
      </w:r>
    </w:p>
    <w:p w14:paraId="4312ED0E" w14:textId="77777777" w:rsidR="00C12A0F" w:rsidRDefault="00C12A0F">
      <w:pPr>
        <w:rPr>
          <w:rFonts w:asciiTheme="majorHAnsi" w:hAnsiTheme="majorHAnsi"/>
          <w:b/>
          <w:sz w:val="26"/>
          <w:szCs w:val="26"/>
          <w:lang w:val="en-GB"/>
        </w:rPr>
      </w:pPr>
      <w:r>
        <w:rPr>
          <w:rFonts w:asciiTheme="majorHAnsi" w:hAnsiTheme="majorHAnsi"/>
          <w:b/>
          <w:sz w:val="26"/>
          <w:szCs w:val="26"/>
          <w:lang w:val="en-GB"/>
        </w:rPr>
        <w:t>Public contracts and Pietrarsa’s output</w:t>
      </w:r>
    </w:p>
    <w:p w14:paraId="31DAFEC6" w14:textId="29B0BB7A" w:rsidR="00BE69B1" w:rsidRPr="00F7176A" w:rsidRDefault="00C12A0F">
      <w:pPr>
        <w:rPr>
          <w:rFonts w:asciiTheme="majorHAnsi" w:hAnsiTheme="majorHAnsi"/>
          <w:sz w:val="26"/>
          <w:szCs w:val="26"/>
          <w:lang w:val="en-GB"/>
        </w:rPr>
      </w:pPr>
      <w:r w:rsidRPr="0026326C">
        <w:rPr>
          <w:rFonts w:asciiTheme="majorHAnsi" w:hAnsiTheme="majorHAnsi"/>
          <w:sz w:val="26"/>
          <w:szCs w:val="26"/>
          <w:lang w:val="en-GB"/>
        </w:rPr>
        <w:t>From 1864 to 1878 factory of Pietrarsa produced two naval machines of 900 and 950 horsepower and 150 locomotives; numerous reparations were performed for the railways and the Navy.</w:t>
      </w:r>
      <w:r w:rsidRPr="0026326C">
        <w:rPr>
          <w:rStyle w:val="FootnoteReference"/>
          <w:rFonts w:asciiTheme="majorHAnsi" w:hAnsiTheme="majorHAnsi"/>
          <w:sz w:val="26"/>
          <w:szCs w:val="26"/>
          <w:lang w:val="en-GB"/>
        </w:rPr>
        <w:footnoteReference w:id="165"/>
      </w:r>
      <w:r w:rsidRPr="0026326C">
        <w:rPr>
          <w:rFonts w:asciiTheme="majorHAnsi" w:hAnsiTheme="majorHAnsi"/>
          <w:sz w:val="26"/>
          <w:szCs w:val="26"/>
          <w:lang w:val="en-GB"/>
        </w:rPr>
        <w:t xml:space="preserve"> The Granili, the other factory merged with Pietrarsa, produced 1778 wagons and 291 coaches.</w:t>
      </w:r>
      <w:r w:rsidRPr="0026326C">
        <w:rPr>
          <w:rStyle w:val="FootnoteReference"/>
          <w:rFonts w:asciiTheme="majorHAnsi" w:hAnsiTheme="majorHAnsi"/>
          <w:sz w:val="26"/>
          <w:szCs w:val="26"/>
          <w:lang w:val="en-GB"/>
        </w:rPr>
        <w:footnoteReference w:id="166"/>
      </w:r>
      <w:r w:rsidRPr="0026326C">
        <w:rPr>
          <w:rFonts w:asciiTheme="majorHAnsi" w:hAnsiTheme="majorHAnsi"/>
          <w:sz w:val="26"/>
          <w:szCs w:val="26"/>
          <w:lang w:val="en-GB"/>
        </w:rPr>
        <w:t xml:space="preserve"> Given the inability to retrieve every public contract stipulated with the SNIM from the Italian Central Archive, despite the fact that an official request had been performed, it is difficult to ascertain their exact chronological distribution; however, it is possible to ascertain the highlights of indust</w:t>
      </w:r>
      <w:r w:rsidR="008801AE">
        <w:rPr>
          <w:rFonts w:asciiTheme="majorHAnsi" w:hAnsiTheme="majorHAnsi"/>
          <w:sz w:val="26"/>
          <w:szCs w:val="26"/>
          <w:lang w:val="en-GB"/>
        </w:rPr>
        <w:t>rial production of the factory.</w:t>
      </w:r>
      <w:r w:rsidRPr="0026326C">
        <w:rPr>
          <w:rFonts w:asciiTheme="majorHAnsi" w:hAnsiTheme="majorHAnsi"/>
          <w:sz w:val="26"/>
          <w:szCs w:val="26"/>
          <w:lang w:val="en-GB"/>
        </w:rPr>
        <w:br/>
      </w:r>
      <w:r w:rsidRPr="0026326C">
        <w:rPr>
          <w:rFonts w:asciiTheme="majorHAnsi" w:hAnsiTheme="majorHAnsi"/>
          <w:sz w:val="26"/>
          <w:szCs w:val="26"/>
          <w:lang w:val="en-GB"/>
        </w:rPr>
        <w:tab/>
        <w:t>In 1865 the SNIM had signed a convention with the Southern Railways, obtaining a public contract for the value of 10 million of lire of locomotives and wagons.</w:t>
      </w:r>
      <w:r w:rsidRPr="0026326C">
        <w:rPr>
          <w:rStyle w:val="FootnoteReference"/>
          <w:rFonts w:asciiTheme="majorHAnsi" w:hAnsiTheme="majorHAnsi"/>
          <w:sz w:val="26"/>
          <w:szCs w:val="26"/>
          <w:lang w:val="en-GB"/>
        </w:rPr>
        <w:footnoteReference w:id="167"/>
      </w:r>
      <w:r w:rsidRPr="0026326C">
        <w:rPr>
          <w:rFonts w:asciiTheme="majorHAnsi" w:hAnsiTheme="majorHAnsi"/>
          <w:sz w:val="26"/>
          <w:szCs w:val="26"/>
          <w:lang w:val="en-GB"/>
        </w:rPr>
        <w:t xml:space="preserve"> That contract, however, would not prove signif</w:t>
      </w:r>
      <w:r w:rsidR="00D47447">
        <w:rPr>
          <w:rFonts w:asciiTheme="majorHAnsi" w:hAnsiTheme="majorHAnsi"/>
          <w:sz w:val="26"/>
          <w:szCs w:val="26"/>
          <w:lang w:val="en-GB"/>
        </w:rPr>
        <w:t>icantly profitable because of the overall crisis that affected the sector</w:t>
      </w:r>
      <w:r w:rsidRPr="0026326C">
        <w:rPr>
          <w:rFonts w:asciiTheme="majorHAnsi" w:hAnsiTheme="majorHAnsi"/>
          <w:sz w:val="26"/>
          <w:szCs w:val="26"/>
          <w:lang w:val="en-GB"/>
        </w:rPr>
        <w:t>.</w:t>
      </w:r>
      <w:r w:rsidRPr="0026326C">
        <w:rPr>
          <w:rStyle w:val="FootnoteReference"/>
          <w:rFonts w:asciiTheme="majorHAnsi" w:hAnsiTheme="majorHAnsi"/>
          <w:sz w:val="26"/>
          <w:szCs w:val="26"/>
          <w:lang w:val="en-GB"/>
        </w:rPr>
        <w:footnoteReference w:id="168"/>
      </w:r>
      <w:r w:rsidRPr="0026326C">
        <w:rPr>
          <w:rFonts w:asciiTheme="majorHAnsi" w:hAnsiTheme="majorHAnsi"/>
          <w:sz w:val="26"/>
          <w:szCs w:val="26"/>
          <w:lang w:val="en-GB"/>
        </w:rPr>
        <w:t xml:space="preserve"> Therefore, despite the conspicuous contract, the society would start its activity with a crisis from 1864 to 1868, caused by the rising cost of materials and the absence of further contracts.</w:t>
      </w:r>
      <w:r w:rsidRPr="0026326C">
        <w:rPr>
          <w:rStyle w:val="FootnoteReference"/>
          <w:rFonts w:asciiTheme="majorHAnsi" w:hAnsiTheme="majorHAnsi"/>
          <w:sz w:val="26"/>
          <w:szCs w:val="26"/>
          <w:lang w:val="en-GB"/>
        </w:rPr>
        <w:footnoteReference w:id="169"/>
      </w:r>
      <w:r w:rsidRPr="0026326C">
        <w:rPr>
          <w:rFonts w:asciiTheme="majorHAnsi" w:hAnsiTheme="majorHAnsi"/>
          <w:sz w:val="26"/>
          <w:szCs w:val="26"/>
          <w:lang w:val="en-GB"/>
        </w:rPr>
        <w:t xml:space="preserve"> </w:t>
      </w:r>
      <w:r w:rsidRPr="0026326C">
        <w:rPr>
          <w:rFonts w:asciiTheme="majorHAnsi" w:hAnsiTheme="majorHAnsi"/>
          <w:sz w:val="26"/>
          <w:szCs w:val="26"/>
          <w:lang w:val="en-GB"/>
        </w:rPr>
        <w:br/>
      </w:r>
      <w:r w:rsidRPr="0026326C">
        <w:rPr>
          <w:rFonts w:asciiTheme="majorHAnsi" w:hAnsiTheme="majorHAnsi"/>
          <w:sz w:val="26"/>
          <w:szCs w:val="26"/>
          <w:lang w:val="en-GB"/>
        </w:rPr>
        <w:tab/>
        <w:t>In 1869</w:t>
      </w:r>
      <w:r w:rsidR="00D47447">
        <w:rPr>
          <w:rFonts w:asciiTheme="majorHAnsi" w:hAnsiTheme="majorHAnsi"/>
          <w:sz w:val="26"/>
          <w:szCs w:val="26"/>
          <w:lang w:val="en-GB"/>
        </w:rPr>
        <w:t>, however,</w:t>
      </w:r>
      <w:r w:rsidRPr="0026326C">
        <w:rPr>
          <w:rFonts w:asciiTheme="majorHAnsi" w:hAnsiTheme="majorHAnsi"/>
          <w:sz w:val="26"/>
          <w:szCs w:val="26"/>
          <w:lang w:val="en-GB"/>
        </w:rPr>
        <w:t xml:space="preserve"> the SNIM performed works for 3 million lire, and during the next five years the value of the received commissions would stay above 4 million.</w:t>
      </w:r>
      <w:r w:rsidRPr="0026326C">
        <w:rPr>
          <w:rStyle w:val="FootnoteReference"/>
          <w:rFonts w:asciiTheme="majorHAnsi" w:hAnsiTheme="majorHAnsi"/>
          <w:sz w:val="26"/>
          <w:szCs w:val="26"/>
          <w:lang w:val="en-GB"/>
        </w:rPr>
        <w:footnoteReference w:id="170"/>
      </w:r>
      <w:r w:rsidRPr="0026326C">
        <w:rPr>
          <w:rFonts w:asciiTheme="majorHAnsi" w:hAnsiTheme="majorHAnsi"/>
          <w:sz w:val="26"/>
          <w:szCs w:val="26"/>
          <w:lang w:val="en-GB"/>
        </w:rPr>
        <w:t xml:space="preserve"> The peak was reached in the financial exercise of 1870-1874, when it amounted to 6 million lire.</w:t>
      </w:r>
      <w:r w:rsidRPr="0026326C">
        <w:rPr>
          <w:rStyle w:val="FootnoteReference"/>
          <w:rFonts w:asciiTheme="majorHAnsi" w:hAnsiTheme="majorHAnsi"/>
          <w:sz w:val="26"/>
          <w:szCs w:val="26"/>
          <w:lang w:val="en-GB"/>
        </w:rPr>
        <w:footnoteReference w:id="171"/>
      </w:r>
      <w:r w:rsidRPr="0026326C">
        <w:rPr>
          <w:rFonts w:asciiTheme="majorHAnsi" w:hAnsiTheme="majorHAnsi"/>
          <w:sz w:val="26"/>
          <w:szCs w:val="26"/>
          <w:lang w:val="en-GB"/>
        </w:rPr>
        <w:t xml:space="preserve"> </w:t>
      </w:r>
      <w:r w:rsidR="008A382F">
        <w:rPr>
          <w:rFonts w:asciiTheme="majorHAnsi" w:hAnsiTheme="majorHAnsi"/>
          <w:sz w:val="26"/>
          <w:szCs w:val="26"/>
          <w:lang w:val="en-GB"/>
        </w:rPr>
        <w:t>The public budget crisis of the mid-1870s, however, resulted in the bankruptcy of</w:t>
      </w:r>
      <w:r w:rsidRPr="0026326C">
        <w:rPr>
          <w:rFonts w:asciiTheme="majorHAnsi" w:hAnsiTheme="majorHAnsi"/>
          <w:sz w:val="26"/>
          <w:szCs w:val="26"/>
          <w:lang w:val="en-GB"/>
        </w:rPr>
        <w:t xml:space="preserve"> the society</w:t>
      </w:r>
      <w:r w:rsidR="008A382F">
        <w:rPr>
          <w:rFonts w:asciiTheme="majorHAnsi" w:hAnsiTheme="majorHAnsi"/>
          <w:sz w:val="26"/>
          <w:szCs w:val="26"/>
          <w:lang w:val="en-GB"/>
        </w:rPr>
        <w:t xml:space="preserve"> in 1878, caused by the</w:t>
      </w:r>
      <w:r w:rsidRPr="0026326C">
        <w:rPr>
          <w:rFonts w:asciiTheme="majorHAnsi" w:hAnsiTheme="majorHAnsi"/>
          <w:sz w:val="26"/>
          <w:szCs w:val="26"/>
          <w:lang w:val="en-GB"/>
        </w:rPr>
        <w:t xml:space="preserve"> sudden demand of repayment by all </w:t>
      </w:r>
      <w:r w:rsidRPr="0026326C">
        <w:rPr>
          <w:rFonts w:asciiTheme="majorHAnsi" w:hAnsiTheme="majorHAnsi"/>
          <w:sz w:val="26"/>
          <w:szCs w:val="26"/>
          <w:lang w:val="en-GB"/>
        </w:rPr>
        <w:lastRenderedPageBreak/>
        <w:t>of its creditors, to which the Bank of Naples added itself.</w:t>
      </w:r>
      <w:r w:rsidRPr="0026326C">
        <w:rPr>
          <w:rStyle w:val="FootnoteReference"/>
          <w:rFonts w:asciiTheme="majorHAnsi" w:hAnsiTheme="majorHAnsi"/>
          <w:sz w:val="26"/>
          <w:szCs w:val="26"/>
          <w:lang w:val="en-GB"/>
        </w:rPr>
        <w:footnoteReference w:id="172"/>
      </w:r>
      <w:r w:rsidRPr="0026326C">
        <w:rPr>
          <w:rFonts w:asciiTheme="majorHAnsi" w:hAnsiTheme="majorHAnsi"/>
          <w:sz w:val="26"/>
          <w:szCs w:val="26"/>
          <w:lang w:val="en-GB"/>
        </w:rPr>
        <w:t xml:space="preserve"> The crisis started when one of the main shareholders, engaged in the construction of a hotel, had issued bills endorsed by Macry, which, however, he could not honour.</w:t>
      </w:r>
      <w:r w:rsidRPr="0026326C">
        <w:rPr>
          <w:rStyle w:val="FootnoteReference"/>
          <w:rFonts w:asciiTheme="majorHAnsi" w:hAnsiTheme="majorHAnsi"/>
          <w:sz w:val="26"/>
          <w:szCs w:val="26"/>
          <w:lang w:val="en-GB"/>
        </w:rPr>
        <w:footnoteReference w:id="173"/>
      </w:r>
      <w:r w:rsidRPr="0026326C">
        <w:rPr>
          <w:rFonts w:asciiTheme="majorHAnsi" w:hAnsiTheme="majorHAnsi"/>
          <w:sz w:val="26"/>
          <w:szCs w:val="26"/>
          <w:lang w:val="en-GB"/>
        </w:rPr>
        <w:t xml:space="preserve"> This event sparked a rush of creditors to the society, similar to bank run, which found itself in no position to honour the debts it had accumulated up to that point, and was forced to be declared bankrupt, thus terminating its industrial production.</w:t>
      </w:r>
      <w:r w:rsidRPr="0026326C">
        <w:rPr>
          <w:rStyle w:val="FootnoteReference"/>
          <w:rFonts w:asciiTheme="majorHAnsi" w:hAnsiTheme="majorHAnsi"/>
          <w:sz w:val="26"/>
          <w:szCs w:val="26"/>
          <w:lang w:val="en-GB"/>
        </w:rPr>
        <w:footnoteReference w:id="174"/>
      </w:r>
      <w:r w:rsidR="00FA74D2" w:rsidRPr="0026326C">
        <w:rPr>
          <w:rFonts w:asciiTheme="majorHAnsi" w:hAnsiTheme="majorHAnsi"/>
          <w:sz w:val="26"/>
          <w:szCs w:val="26"/>
          <w:lang w:val="en-GB"/>
        </w:rPr>
        <w:t xml:space="preserve"> </w:t>
      </w:r>
      <w:r w:rsidRPr="0026326C">
        <w:rPr>
          <w:rFonts w:asciiTheme="majorHAnsi" w:hAnsiTheme="majorHAnsi"/>
          <w:sz w:val="26"/>
          <w:szCs w:val="26"/>
          <w:lang w:val="en-GB"/>
        </w:rPr>
        <w:t>Up to that point, the total value of its production was of 42 million lire.</w:t>
      </w:r>
      <w:r w:rsidRPr="0026326C">
        <w:rPr>
          <w:rStyle w:val="FootnoteReference"/>
          <w:rFonts w:asciiTheme="majorHAnsi" w:hAnsiTheme="majorHAnsi"/>
          <w:sz w:val="26"/>
          <w:szCs w:val="26"/>
          <w:lang w:val="en-GB"/>
        </w:rPr>
        <w:footnoteReference w:id="175"/>
      </w:r>
      <w:r w:rsidRPr="0026326C">
        <w:rPr>
          <w:rFonts w:asciiTheme="majorHAnsi" w:hAnsiTheme="majorHAnsi"/>
          <w:sz w:val="26"/>
          <w:szCs w:val="26"/>
          <w:lang w:val="en-GB"/>
        </w:rPr>
        <w:t xml:space="preserve"> Of those, 9 million were for the navy, 7 million for the Ministry of War, 16 for the railways and 10 for privates.</w:t>
      </w:r>
      <w:r w:rsidRPr="0026326C">
        <w:rPr>
          <w:rStyle w:val="FootnoteReference"/>
          <w:rFonts w:asciiTheme="majorHAnsi" w:hAnsiTheme="majorHAnsi"/>
          <w:sz w:val="26"/>
          <w:szCs w:val="26"/>
          <w:lang w:val="en-GB"/>
        </w:rPr>
        <w:footnoteReference w:id="176"/>
      </w:r>
    </w:p>
    <w:p w14:paraId="4E3A1066" w14:textId="77777777" w:rsidR="00C12A0F" w:rsidRDefault="00C12A0F">
      <w:pPr>
        <w:rPr>
          <w:rFonts w:asciiTheme="majorHAnsi" w:hAnsiTheme="majorHAnsi"/>
          <w:b/>
          <w:sz w:val="26"/>
          <w:szCs w:val="26"/>
          <w:lang w:val="en-GB"/>
        </w:rPr>
      </w:pPr>
      <w:r w:rsidRPr="00D06295">
        <w:rPr>
          <w:rFonts w:asciiTheme="majorHAnsi" w:hAnsiTheme="majorHAnsi"/>
          <w:b/>
          <w:sz w:val="26"/>
          <w:szCs w:val="26"/>
          <w:lang w:val="en-GB"/>
        </w:rPr>
        <w:t>Public contracts and Ansaldo’s output</w:t>
      </w:r>
    </w:p>
    <w:p w14:paraId="5C443C91" w14:textId="37143DBB" w:rsidR="00C12A0F" w:rsidRPr="00BE69B1" w:rsidRDefault="00C12A0F">
      <w:pPr>
        <w:rPr>
          <w:rFonts w:asciiTheme="majorHAnsi" w:hAnsiTheme="majorHAnsi"/>
          <w:b/>
          <w:sz w:val="26"/>
          <w:szCs w:val="26"/>
          <w:lang w:val="en-GB"/>
        </w:rPr>
      </w:pPr>
      <w:proofErr w:type="gramStart"/>
      <w:r w:rsidRPr="00BE69B1">
        <w:rPr>
          <w:rFonts w:asciiTheme="majorHAnsi" w:hAnsiTheme="majorHAnsi"/>
          <w:sz w:val="26"/>
          <w:szCs w:val="26"/>
          <w:lang w:val="en-GB"/>
        </w:rPr>
        <w:t>The Gio.</w:t>
      </w:r>
      <w:proofErr w:type="gramEnd"/>
      <w:r w:rsidRPr="00BE69B1">
        <w:rPr>
          <w:rFonts w:asciiTheme="majorHAnsi" w:hAnsiTheme="majorHAnsi"/>
          <w:sz w:val="26"/>
          <w:szCs w:val="26"/>
          <w:lang w:val="en-GB"/>
        </w:rPr>
        <w:t xml:space="preserve"> Ansaldo e co. from 1861 to 1882 had performed numerous works for the Navy, such as naval engines and a broad range of military commissions, as well as 68 locomotives for the railways.</w:t>
      </w:r>
      <w:r w:rsidRPr="00BE69B1">
        <w:rPr>
          <w:rStyle w:val="FootnoteReference"/>
          <w:rFonts w:asciiTheme="majorHAnsi" w:hAnsiTheme="majorHAnsi"/>
          <w:sz w:val="26"/>
          <w:szCs w:val="26"/>
          <w:lang w:val="en-GB"/>
        </w:rPr>
        <w:footnoteReference w:id="177"/>
      </w:r>
      <w:r w:rsidRPr="00BE69B1">
        <w:rPr>
          <w:rFonts w:asciiTheme="majorHAnsi" w:hAnsiTheme="majorHAnsi"/>
          <w:sz w:val="26"/>
          <w:szCs w:val="26"/>
          <w:lang w:val="en-GB"/>
        </w:rPr>
        <w:t xml:space="preserve"> To those are added 20 locomotives of the pre-unitary period, starting from 1853, as well as commissions in occasion of the First Italian War of Independence in 1859 of rifled cannons, grenades and various ammunitions.</w:t>
      </w:r>
      <w:r w:rsidRPr="00BE69B1">
        <w:rPr>
          <w:rStyle w:val="FootnoteReference"/>
          <w:rFonts w:asciiTheme="majorHAnsi" w:hAnsiTheme="majorHAnsi"/>
          <w:sz w:val="26"/>
          <w:szCs w:val="26"/>
          <w:lang w:val="en-GB"/>
        </w:rPr>
        <w:footnoteReference w:id="178"/>
      </w:r>
      <w:r w:rsidRPr="00BE69B1">
        <w:rPr>
          <w:rFonts w:asciiTheme="majorHAnsi" w:hAnsiTheme="majorHAnsi"/>
          <w:sz w:val="26"/>
          <w:szCs w:val="26"/>
          <w:lang w:val="en-GB"/>
        </w:rPr>
        <w:t xml:space="preserve"> </w:t>
      </w:r>
      <w:r w:rsidRPr="00BE69B1">
        <w:rPr>
          <w:rFonts w:asciiTheme="majorHAnsi" w:hAnsiTheme="majorHAnsi"/>
          <w:sz w:val="26"/>
          <w:szCs w:val="26"/>
          <w:lang w:val="en-GB"/>
        </w:rPr>
        <w:br/>
      </w:r>
      <w:r w:rsidRPr="00BE69B1">
        <w:rPr>
          <w:rFonts w:asciiTheme="majorHAnsi" w:hAnsiTheme="majorHAnsi"/>
          <w:sz w:val="26"/>
          <w:szCs w:val="26"/>
          <w:lang w:val="en-GB"/>
        </w:rPr>
        <w:tab/>
        <w:t>From the start of the enterprise in 1853, the Ansaldo found itself in economic difficulty because of the scarcity of public contracts.</w:t>
      </w:r>
      <w:r w:rsidRPr="00BE69B1">
        <w:rPr>
          <w:rStyle w:val="FootnoteReference"/>
          <w:rFonts w:asciiTheme="majorHAnsi" w:hAnsiTheme="majorHAnsi"/>
          <w:sz w:val="26"/>
          <w:szCs w:val="26"/>
          <w:lang w:val="en-GB"/>
        </w:rPr>
        <w:footnoteReference w:id="179"/>
      </w:r>
      <w:r w:rsidRPr="00BE69B1">
        <w:rPr>
          <w:rFonts w:asciiTheme="majorHAnsi" w:hAnsiTheme="majorHAnsi"/>
          <w:sz w:val="26"/>
          <w:szCs w:val="26"/>
          <w:lang w:val="en-GB"/>
        </w:rPr>
        <w:t xml:space="preserve"> Despite that, 20 locomotives were commissioned till 1858 because of Cavour’s influence.</w:t>
      </w:r>
      <w:r w:rsidRPr="00BE69B1">
        <w:rPr>
          <w:rStyle w:val="FootnoteReference"/>
          <w:rFonts w:asciiTheme="majorHAnsi" w:hAnsiTheme="majorHAnsi"/>
          <w:sz w:val="26"/>
          <w:szCs w:val="26"/>
          <w:lang w:val="en-GB"/>
        </w:rPr>
        <w:footnoteReference w:id="180"/>
      </w:r>
      <w:r w:rsidRPr="00BE69B1">
        <w:rPr>
          <w:rFonts w:asciiTheme="majorHAnsi" w:hAnsiTheme="majorHAnsi"/>
          <w:sz w:val="26"/>
          <w:szCs w:val="26"/>
          <w:lang w:val="en-GB"/>
        </w:rPr>
        <w:t xml:space="preserve"> Up until 1859 the factory would undergo a period of crisis, resolved by the sudden inflow of public contracts of the Second War of Independence against Austria, consisting in rifled cannons, arms and ammunitions and two small gunboats.</w:t>
      </w:r>
      <w:r w:rsidRPr="00BE69B1">
        <w:rPr>
          <w:rStyle w:val="FootnoteReference"/>
          <w:rFonts w:asciiTheme="majorHAnsi" w:hAnsiTheme="majorHAnsi"/>
          <w:sz w:val="26"/>
          <w:szCs w:val="26"/>
          <w:lang w:val="en-GB"/>
        </w:rPr>
        <w:footnoteReference w:id="181"/>
      </w:r>
      <w:r w:rsidRPr="00BE69B1">
        <w:rPr>
          <w:rFonts w:asciiTheme="majorHAnsi" w:hAnsiTheme="majorHAnsi"/>
          <w:sz w:val="26"/>
          <w:szCs w:val="26"/>
          <w:lang w:val="en-GB"/>
        </w:rPr>
        <w:t xml:space="preserve"> In 1862 a set of armour plates for a frigate were commissioned.</w:t>
      </w:r>
      <w:r w:rsidRPr="00BE69B1">
        <w:rPr>
          <w:rStyle w:val="FootnoteReference"/>
          <w:rFonts w:asciiTheme="majorHAnsi" w:hAnsiTheme="majorHAnsi"/>
          <w:sz w:val="26"/>
          <w:szCs w:val="26"/>
          <w:lang w:val="en-GB"/>
        </w:rPr>
        <w:footnoteReference w:id="182"/>
      </w:r>
      <w:r w:rsidR="00F7176A">
        <w:rPr>
          <w:rFonts w:asciiTheme="majorHAnsi" w:hAnsiTheme="majorHAnsi"/>
          <w:sz w:val="26"/>
          <w:szCs w:val="26"/>
          <w:lang w:val="en-GB"/>
        </w:rPr>
        <w:br/>
      </w:r>
      <w:r w:rsidR="00F7176A">
        <w:rPr>
          <w:rFonts w:asciiTheme="majorHAnsi" w:hAnsiTheme="majorHAnsi"/>
          <w:sz w:val="26"/>
          <w:szCs w:val="26"/>
          <w:lang w:val="en-GB"/>
        </w:rPr>
        <w:tab/>
        <w:t>Starting from 1861, the N</w:t>
      </w:r>
      <w:r w:rsidRPr="00BE69B1">
        <w:rPr>
          <w:rFonts w:asciiTheme="majorHAnsi" w:hAnsiTheme="majorHAnsi"/>
          <w:sz w:val="26"/>
          <w:szCs w:val="26"/>
          <w:lang w:val="en-GB"/>
        </w:rPr>
        <w:t>avy would regularly commission the production of steam boilers and naval engines</w:t>
      </w:r>
      <w:r w:rsidR="00F7176A">
        <w:rPr>
          <w:rFonts w:asciiTheme="majorHAnsi" w:hAnsiTheme="majorHAnsi"/>
          <w:sz w:val="26"/>
          <w:szCs w:val="26"/>
          <w:lang w:val="en-GB"/>
        </w:rPr>
        <w:t>, obtaining some prestigious results</w:t>
      </w:r>
      <w:r w:rsidRPr="00BE69B1">
        <w:rPr>
          <w:rFonts w:asciiTheme="majorHAnsi" w:hAnsiTheme="majorHAnsi"/>
          <w:sz w:val="26"/>
          <w:szCs w:val="26"/>
          <w:lang w:val="en-GB"/>
        </w:rPr>
        <w:t xml:space="preserve">; despite that, </w:t>
      </w:r>
      <w:r w:rsidR="00F7176A">
        <w:rPr>
          <w:rFonts w:asciiTheme="majorHAnsi" w:hAnsiTheme="majorHAnsi"/>
          <w:sz w:val="26"/>
          <w:szCs w:val="26"/>
          <w:lang w:val="en-GB"/>
        </w:rPr>
        <w:t>institutions</w:t>
      </w:r>
      <w:r w:rsidRPr="00BE69B1">
        <w:rPr>
          <w:rFonts w:asciiTheme="majorHAnsi" w:hAnsiTheme="majorHAnsi"/>
          <w:sz w:val="26"/>
          <w:szCs w:val="26"/>
          <w:lang w:val="en-GB"/>
        </w:rPr>
        <w:t xml:space="preserve"> still relied mostly on foreign industries, which kept the factory in a constant precarious state.</w:t>
      </w:r>
      <w:r w:rsidRPr="00BE69B1">
        <w:rPr>
          <w:rStyle w:val="FootnoteReference"/>
          <w:rFonts w:asciiTheme="majorHAnsi" w:hAnsiTheme="majorHAnsi"/>
          <w:sz w:val="26"/>
          <w:szCs w:val="26"/>
          <w:lang w:val="en-GB"/>
        </w:rPr>
        <w:footnoteReference w:id="183"/>
      </w:r>
      <w:r w:rsidRPr="00BE69B1">
        <w:rPr>
          <w:rFonts w:asciiTheme="majorHAnsi" w:hAnsiTheme="majorHAnsi"/>
          <w:sz w:val="26"/>
          <w:szCs w:val="26"/>
          <w:lang w:val="en-GB"/>
        </w:rPr>
        <w:t xml:space="preserve"> The fact that the navy did not rely majorly on national industry was in fact lamented in the industrial enquiry of 1870-1874, which would be the first step in a change of attitude of the Italian political class.</w:t>
      </w:r>
      <w:r w:rsidRPr="00BE69B1">
        <w:rPr>
          <w:rStyle w:val="FootnoteReference"/>
          <w:rFonts w:asciiTheme="majorHAnsi" w:hAnsiTheme="majorHAnsi"/>
          <w:sz w:val="26"/>
          <w:szCs w:val="26"/>
          <w:lang w:val="en-GB"/>
        </w:rPr>
        <w:footnoteReference w:id="184"/>
      </w:r>
      <w:r w:rsidR="00FF27B5">
        <w:rPr>
          <w:rFonts w:asciiTheme="majorHAnsi" w:hAnsiTheme="majorHAnsi"/>
          <w:sz w:val="26"/>
          <w:szCs w:val="26"/>
          <w:lang w:val="en-GB"/>
        </w:rPr>
        <w:t xml:space="preserve"> As a result ever </w:t>
      </w:r>
      <w:r w:rsidR="00FF27B5">
        <w:rPr>
          <w:rFonts w:asciiTheme="majorHAnsi" w:hAnsiTheme="majorHAnsi"/>
          <w:sz w:val="26"/>
          <w:szCs w:val="26"/>
          <w:lang w:val="en-GB"/>
        </w:rPr>
        <w:lastRenderedPageBreak/>
        <w:t>since 1863 losses started to ensue</w:t>
      </w:r>
      <w:r w:rsidRPr="00BE69B1">
        <w:rPr>
          <w:rFonts w:asciiTheme="majorHAnsi" w:hAnsiTheme="majorHAnsi"/>
          <w:sz w:val="26"/>
          <w:szCs w:val="26"/>
          <w:lang w:val="en-GB"/>
        </w:rPr>
        <w:t>.</w:t>
      </w:r>
      <w:r w:rsidRPr="00BE69B1">
        <w:rPr>
          <w:rStyle w:val="FootnoteReference"/>
          <w:rFonts w:asciiTheme="majorHAnsi" w:hAnsiTheme="majorHAnsi"/>
          <w:sz w:val="26"/>
          <w:szCs w:val="26"/>
          <w:lang w:val="en-GB"/>
        </w:rPr>
        <w:footnoteReference w:id="185"/>
      </w:r>
      <w:r w:rsidRPr="00BE69B1">
        <w:rPr>
          <w:rFonts w:asciiTheme="majorHAnsi" w:hAnsiTheme="majorHAnsi"/>
          <w:sz w:val="26"/>
          <w:szCs w:val="26"/>
          <w:lang w:val="en-GB"/>
        </w:rPr>
        <w:br/>
      </w:r>
      <w:r w:rsidRPr="00BE69B1">
        <w:rPr>
          <w:rFonts w:asciiTheme="majorHAnsi" w:hAnsiTheme="majorHAnsi"/>
          <w:sz w:val="26"/>
          <w:szCs w:val="26"/>
          <w:lang w:val="en-GB"/>
        </w:rPr>
        <w:tab/>
        <w:t>At that point production of railways material started to slow down, to stop in 1865; it would resume only in 1879.</w:t>
      </w:r>
      <w:r w:rsidRPr="00BE69B1">
        <w:rPr>
          <w:rStyle w:val="FootnoteReference"/>
          <w:rFonts w:asciiTheme="majorHAnsi" w:hAnsiTheme="majorHAnsi"/>
          <w:sz w:val="26"/>
          <w:szCs w:val="26"/>
          <w:lang w:val="en-GB"/>
        </w:rPr>
        <w:footnoteReference w:id="186"/>
      </w:r>
      <w:r w:rsidRPr="00BE69B1">
        <w:rPr>
          <w:rFonts w:asciiTheme="majorHAnsi" w:hAnsiTheme="majorHAnsi"/>
          <w:sz w:val="26"/>
          <w:szCs w:val="26"/>
          <w:lang w:val="en-GB"/>
        </w:rPr>
        <w:t xml:space="preserve"> The total number of locomotives produced to by the Ansaldo, considering the pre-unitary years, amount to 88. Overall, in the period from 1853 to 1882 the factory had produced works for the value of 45-50 million lire, mainly composed of public contracts from the railways companies and the navy.</w:t>
      </w:r>
      <w:r w:rsidRPr="00BE69B1">
        <w:rPr>
          <w:rStyle w:val="FootnoteReference"/>
          <w:rFonts w:asciiTheme="majorHAnsi" w:hAnsiTheme="majorHAnsi"/>
          <w:sz w:val="26"/>
          <w:szCs w:val="26"/>
          <w:lang w:val="en-GB"/>
        </w:rPr>
        <w:footnoteReference w:id="187"/>
      </w:r>
      <w:r w:rsidRPr="00BE69B1">
        <w:rPr>
          <w:rFonts w:asciiTheme="majorHAnsi" w:hAnsiTheme="majorHAnsi"/>
          <w:sz w:val="26"/>
          <w:szCs w:val="26"/>
          <w:lang w:val="en-GB"/>
        </w:rPr>
        <w:t xml:space="preserve"> The railways production amounted roughly to 14 million lire, while the navy 17 million, which consisted principally in the production of naval engines and steam boilers.</w:t>
      </w:r>
      <w:r w:rsidRPr="00BE69B1">
        <w:rPr>
          <w:rStyle w:val="FootnoteReference"/>
          <w:rFonts w:asciiTheme="majorHAnsi" w:hAnsiTheme="majorHAnsi"/>
          <w:sz w:val="26"/>
          <w:szCs w:val="26"/>
          <w:lang w:val="en-GB"/>
        </w:rPr>
        <w:footnoteReference w:id="188"/>
      </w:r>
      <w:r w:rsidRPr="00BE69B1">
        <w:rPr>
          <w:rFonts w:asciiTheme="majorHAnsi" w:hAnsiTheme="majorHAnsi"/>
          <w:b/>
          <w:sz w:val="26"/>
          <w:szCs w:val="26"/>
          <w:lang w:val="en-GB"/>
        </w:rPr>
        <w:tab/>
      </w:r>
    </w:p>
    <w:p w14:paraId="40D471E6" w14:textId="77777777" w:rsidR="00C12A0F" w:rsidRPr="00997FA1" w:rsidRDefault="00C12A0F">
      <w:pPr>
        <w:rPr>
          <w:rFonts w:asciiTheme="majorHAnsi" w:hAnsiTheme="majorHAnsi"/>
          <w:b/>
          <w:sz w:val="24"/>
          <w:szCs w:val="24"/>
          <w:lang w:val="en-GB"/>
        </w:rPr>
      </w:pPr>
      <w:r w:rsidRPr="00997FA1">
        <w:rPr>
          <w:rFonts w:asciiTheme="majorHAnsi" w:hAnsiTheme="majorHAnsi"/>
          <w:b/>
          <w:sz w:val="26"/>
          <w:szCs w:val="26"/>
          <w:lang w:val="en-GB"/>
        </w:rPr>
        <w:t>Pietrarsa v</w:t>
      </w:r>
      <w:r>
        <w:rPr>
          <w:rFonts w:asciiTheme="majorHAnsi" w:hAnsiTheme="majorHAnsi"/>
          <w:b/>
          <w:sz w:val="26"/>
          <w:szCs w:val="26"/>
          <w:lang w:val="en-GB"/>
        </w:rPr>
        <w:t>er</w:t>
      </w:r>
      <w:r w:rsidRPr="00997FA1">
        <w:rPr>
          <w:rFonts w:asciiTheme="majorHAnsi" w:hAnsiTheme="majorHAnsi"/>
          <w:b/>
          <w:sz w:val="26"/>
          <w:szCs w:val="26"/>
          <w:lang w:val="en-GB"/>
        </w:rPr>
        <w:t>s</w:t>
      </w:r>
      <w:r>
        <w:rPr>
          <w:rFonts w:asciiTheme="majorHAnsi" w:hAnsiTheme="majorHAnsi"/>
          <w:b/>
          <w:sz w:val="26"/>
          <w:szCs w:val="26"/>
          <w:lang w:val="en-GB"/>
        </w:rPr>
        <w:t>us</w:t>
      </w:r>
      <w:r w:rsidRPr="00997FA1">
        <w:rPr>
          <w:rFonts w:asciiTheme="majorHAnsi" w:hAnsiTheme="majorHAnsi"/>
          <w:b/>
          <w:sz w:val="26"/>
          <w:szCs w:val="26"/>
          <w:lang w:val="en-GB"/>
        </w:rPr>
        <w:t xml:space="preserve"> Ansaldo: the comparison</w:t>
      </w:r>
      <w:r>
        <w:rPr>
          <w:rFonts w:asciiTheme="majorHAnsi" w:hAnsiTheme="majorHAnsi"/>
          <w:b/>
          <w:sz w:val="26"/>
          <w:szCs w:val="26"/>
          <w:lang w:val="en-GB"/>
        </w:rPr>
        <w:br/>
      </w:r>
      <w:proofErr w:type="gramStart"/>
      <w:r>
        <w:rPr>
          <w:rFonts w:asciiTheme="majorHAnsi" w:hAnsiTheme="majorHAnsi"/>
          <w:b/>
          <w:sz w:val="24"/>
          <w:szCs w:val="24"/>
          <w:lang w:val="en-GB"/>
        </w:rPr>
        <w:t>Which</w:t>
      </w:r>
      <w:proofErr w:type="gramEnd"/>
      <w:r>
        <w:rPr>
          <w:rFonts w:asciiTheme="majorHAnsi" w:hAnsiTheme="majorHAnsi"/>
          <w:b/>
          <w:sz w:val="24"/>
          <w:szCs w:val="24"/>
          <w:lang w:val="en-GB"/>
        </w:rPr>
        <w:t xml:space="preserve"> role did political ties play from 1864 to 1878?</w:t>
      </w:r>
    </w:p>
    <w:p w14:paraId="31225B9F" w14:textId="32426AE5" w:rsidR="00C12A0F" w:rsidRDefault="00107F97">
      <w:pPr>
        <w:rPr>
          <w:rFonts w:asciiTheme="majorHAnsi" w:hAnsiTheme="majorHAnsi"/>
          <w:sz w:val="26"/>
          <w:szCs w:val="26"/>
          <w:lang w:val="en-GB"/>
        </w:rPr>
      </w:pPr>
      <w:r>
        <w:rPr>
          <w:rFonts w:asciiTheme="majorHAnsi" w:hAnsiTheme="majorHAnsi"/>
          <w:sz w:val="26"/>
          <w:szCs w:val="26"/>
          <w:lang w:val="en-GB"/>
        </w:rPr>
        <w:t>The comparison in the assignation of public contracts will be made</w:t>
      </w:r>
      <w:r w:rsidR="00B23F15">
        <w:rPr>
          <w:rFonts w:asciiTheme="majorHAnsi" w:hAnsiTheme="majorHAnsi"/>
          <w:sz w:val="26"/>
          <w:szCs w:val="26"/>
          <w:lang w:val="en-GB"/>
        </w:rPr>
        <w:t xml:space="preserve"> e</w:t>
      </w:r>
      <w:r w:rsidR="00C12A0F" w:rsidRPr="00BE69B1">
        <w:rPr>
          <w:rFonts w:asciiTheme="majorHAnsi" w:hAnsiTheme="majorHAnsi"/>
          <w:sz w:val="26"/>
          <w:szCs w:val="26"/>
          <w:lang w:val="en-GB"/>
        </w:rPr>
        <w:t xml:space="preserve">ssentially on the grounds of secondary literature, </w:t>
      </w:r>
      <w:r>
        <w:rPr>
          <w:rFonts w:asciiTheme="majorHAnsi" w:hAnsiTheme="majorHAnsi"/>
          <w:sz w:val="26"/>
          <w:szCs w:val="26"/>
          <w:lang w:val="en-GB"/>
        </w:rPr>
        <w:t xml:space="preserve">because of the inability to consult archival documents. It will concern </w:t>
      </w:r>
      <w:r w:rsidR="00C12A0F" w:rsidRPr="00BE69B1">
        <w:rPr>
          <w:rFonts w:asciiTheme="majorHAnsi" w:hAnsiTheme="majorHAnsi"/>
          <w:sz w:val="26"/>
          <w:szCs w:val="26"/>
          <w:lang w:val="en-GB"/>
        </w:rPr>
        <w:t>the total amounts of public contracts</w:t>
      </w:r>
      <w:r w:rsidR="00D47447">
        <w:rPr>
          <w:rFonts w:asciiTheme="majorHAnsi" w:hAnsiTheme="majorHAnsi"/>
          <w:sz w:val="26"/>
          <w:szCs w:val="26"/>
          <w:lang w:val="en-GB"/>
        </w:rPr>
        <w:t xml:space="preserve"> from the railways and the navy, coupled with a few chronological insights of the Ansaldo.</w:t>
      </w:r>
      <w:r w:rsidR="00C12A0F" w:rsidRPr="00BE69B1">
        <w:rPr>
          <w:rFonts w:asciiTheme="majorHAnsi" w:hAnsiTheme="majorHAnsi"/>
          <w:sz w:val="26"/>
          <w:szCs w:val="26"/>
          <w:lang w:val="en-GB"/>
        </w:rPr>
        <w:br/>
      </w:r>
      <w:r w:rsidR="00C12A0F" w:rsidRPr="00BE69B1">
        <w:rPr>
          <w:rFonts w:asciiTheme="majorHAnsi" w:hAnsiTheme="majorHAnsi"/>
          <w:sz w:val="26"/>
          <w:szCs w:val="26"/>
          <w:lang w:val="en-GB"/>
        </w:rPr>
        <w:tab/>
        <w:t>Between 1853 and 1883 the Ansaldo performed works that, according to various sources, amounted to a range of 45-50 million lire.</w:t>
      </w:r>
      <w:r w:rsidR="00C12A0F" w:rsidRPr="00BE69B1">
        <w:rPr>
          <w:rStyle w:val="FootnoteReference"/>
          <w:rFonts w:asciiTheme="majorHAnsi" w:hAnsiTheme="majorHAnsi"/>
          <w:sz w:val="26"/>
          <w:szCs w:val="26"/>
          <w:lang w:val="en-GB"/>
        </w:rPr>
        <w:footnoteReference w:id="189"/>
      </w:r>
      <w:r w:rsidR="00C12A0F" w:rsidRPr="00BE69B1">
        <w:rPr>
          <w:rFonts w:asciiTheme="majorHAnsi" w:hAnsiTheme="majorHAnsi"/>
          <w:sz w:val="26"/>
          <w:szCs w:val="26"/>
          <w:lang w:val="en-GB"/>
        </w:rPr>
        <w:t xml:space="preserve"> Of those, 17 million were commissioned from the navy and 14 million for the railways.</w:t>
      </w:r>
      <w:r w:rsidR="00C12A0F" w:rsidRPr="00BE69B1">
        <w:rPr>
          <w:rStyle w:val="FootnoteReference"/>
          <w:rFonts w:asciiTheme="majorHAnsi" w:hAnsiTheme="majorHAnsi"/>
          <w:sz w:val="26"/>
          <w:szCs w:val="26"/>
          <w:lang w:val="en-GB"/>
        </w:rPr>
        <w:footnoteReference w:id="190"/>
      </w:r>
      <w:r w:rsidR="00C12A0F" w:rsidRPr="00BE69B1">
        <w:rPr>
          <w:rFonts w:asciiTheme="majorHAnsi" w:hAnsiTheme="majorHAnsi"/>
          <w:sz w:val="26"/>
          <w:szCs w:val="26"/>
          <w:lang w:val="en-GB"/>
        </w:rPr>
        <w:t xml:space="preserve"> Pietrarsa, on the other hand, from 1864 to 1878 performed works of 42 million lire.</w:t>
      </w:r>
      <w:r w:rsidR="00C12A0F" w:rsidRPr="00BE69B1">
        <w:rPr>
          <w:rStyle w:val="FootnoteReference"/>
          <w:rFonts w:asciiTheme="majorHAnsi" w:hAnsiTheme="majorHAnsi"/>
          <w:sz w:val="26"/>
          <w:szCs w:val="26"/>
          <w:lang w:val="en-GB"/>
        </w:rPr>
        <w:footnoteReference w:id="191"/>
      </w:r>
      <w:r w:rsidR="00C12A0F" w:rsidRPr="00BE69B1">
        <w:rPr>
          <w:rFonts w:asciiTheme="majorHAnsi" w:hAnsiTheme="majorHAnsi"/>
          <w:sz w:val="26"/>
          <w:szCs w:val="26"/>
          <w:lang w:val="en-GB"/>
        </w:rPr>
        <w:t xml:space="preserve"> 9 million were commissioned from the navy and 16 for the railways.</w:t>
      </w:r>
      <w:r w:rsidR="00C12A0F" w:rsidRPr="00BE69B1">
        <w:rPr>
          <w:rStyle w:val="FootnoteReference"/>
          <w:rFonts w:asciiTheme="majorHAnsi" w:hAnsiTheme="majorHAnsi"/>
          <w:sz w:val="26"/>
          <w:szCs w:val="26"/>
          <w:lang w:val="en-GB"/>
        </w:rPr>
        <w:footnoteReference w:id="192"/>
      </w:r>
      <w:r w:rsidR="00C12A0F" w:rsidRPr="00BE69B1">
        <w:rPr>
          <w:rFonts w:asciiTheme="majorHAnsi" w:hAnsiTheme="majorHAnsi"/>
          <w:sz w:val="26"/>
          <w:szCs w:val="26"/>
          <w:lang w:val="en-GB"/>
        </w:rPr>
        <w:t xml:space="preserve"> </w:t>
      </w:r>
      <w:r w:rsidR="00D47447">
        <w:rPr>
          <w:rFonts w:asciiTheme="majorHAnsi" w:hAnsiTheme="majorHAnsi"/>
          <w:sz w:val="26"/>
          <w:szCs w:val="26"/>
          <w:lang w:val="en-GB"/>
        </w:rPr>
        <w:t>Since the</w:t>
      </w:r>
      <w:r w:rsidR="00C12A0F" w:rsidRPr="00BE69B1">
        <w:rPr>
          <w:rFonts w:asciiTheme="majorHAnsi" w:hAnsiTheme="majorHAnsi"/>
          <w:sz w:val="26"/>
          <w:szCs w:val="26"/>
          <w:lang w:val="en-GB"/>
        </w:rPr>
        <w:t xml:space="preserve"> secondary literature treating the Ansaldo has considered a longer time-frame</w:t>
      </w:r>
      <w:r w:rsidR="00D47447">
        <w:rPr>
          <w:rFonts w:asciiTheme="majorHAnsi" w:hAnsiTheme="majorHAnsi"/>
          <w:sz w:val="26"/>
          <w:szCs w:val="26"/>
          <w:lang w:val="en-GB"/>
        </w:rPr>
        <w:t xml:space="preserve"> than Pietrarsa, </w:t>
      </w:r>
      <w:r w:rsidR="00C12A0F" w:rsidRPr="00BE69B1">
        <w:rPr>
          <w:rFonts w:asciiTheme="majorHAnsi" w:hAnsiTheme="majorHAnsi"/>
          <w:sz w:val="26"/>
          <w:szCs w:val="26"/>
          <w:lang w:val="en-GB"/>
        </w:rPr>
        <w:t xml:space="preserve">some adjustments need to </w:t>
      </w:r>
      <w:r>
        <w:rPr>
          <w:rFonts w:asciiTheme="majorHAnsi" w:hAnsiTheme="majorHAnsi"/>
          <w:sz w:val="26"/>
          <w:szCs w:val="26"/>
          <w:lang w:val="en-GB"/>
        </w:rPr>
        <w:t xml:space="preserve">be made for a fair comparison. </w:t>
      </w:r>
      <w:r w:rsidR="00C12A0F" w:rsidRPr="00BE69B1">
        <w:rPr>
          <w:rFonts w:asciiTheme="majorHAnsi" w:hAnsiTheme="majorHAnsi"/>
          <w:sz w:val="26"/>
          <w:szCs w:val="26"/>
          <w:lang w:val="en-GB"/>
        </w:rPr>
        <w:t>In total, before the foundation of t</w:t>
      </w:r>
      <w:r>
        <w:rPr>
          <w:rFonts w:asciiTheme="majorHAnsi" w:hAnsiTheme="majorHAnsi"/>
          <w:sz w:val="26"/>
          <w:szCs w:val="26"/>
          <w:lang w:val="en-GB"/>
        </w:rPr>
        <w:t>he SNIM and after its failure until</w:t>
      </w:r>
      <w:r w:rsidR="00C12A0F" w:rsidRPr="00BE69B1">
        <w:rPr>
          <w:rFonts w:asciiTheme="majorHAnsi" w:hAnsiTheme="majorHAnsi"/>
          <w:sz w:val="26"/>
          <w:szCs w:val="26"/>
          <w:lang w:val="en-GB"/>
        </w:rPr>
        <w:t xml:space="preserve"> 1882, roughly 10 million lire worth of public contracts were commissioned from the navy to the Ansaldo, which need to be deducted from the total. The result in the period ranging from 1864 to 1878, therefore, sees the Ansaldo performing 7 million worth of works for the n</w:t>
      </w:r>
      <w:r>
        <w:rPr>
          <w:rFonts w:asciiTheme="majorHAnsi" w:hAnsiTheme="majorHAnsi"/>
          <w:sz w:val="26"/>
          <w:szCs w:val="26"/>
          <w:lang w:val="en-GB"/>
        </w:rPr>
        <w:t>avy, while Pietrarsa performed 9</w:t>
      </w:r>
      <w:r w:rsidR="00F7176A">
        <w:rPr>
          <w:rFonts w:asciiTheme="majorHAnsi" w:hAnsiTheme="majorHAnsi"/>
          <w:sz w:val="26"/>
          <w:szCs w:val="26"/>
          <w:lang w:val="en-GB"/>
        </w:rPr>
        <w:t>.</w:t>
      </w:r>
      <w:r w:rsidR="00BD544B">
        <w:rPr>
          <w:rFonts w:asciiTheme="majorHAnsi" w:hAnsiTheme="majorHAnsi"/>
          <w:sz w:val="26"/>
          <w:szCs w:val="26"/>
          <w:lang w:val="en-GB"/>
        </w:rPr>
        <w:t xml:space="preserve"> </w:t>
      </w:r>
      <w:r w:rsidR="00F7176A">
        <w:rPr>
          <w:rFonts w:asciiTheme="majorHAnsi" w:hAnsiTheme="majorHAnsi"/>
          <w:sz w:val="26"/>
          <w:szCs w:val="26"/>
          <w:lang w:val="en-GB"/>
        </w:rPr>
        <w:t>Concerning the railways</w:t>
      </w:r>
      <w:r w:rsidR="00C12A0F" w:rsidRPr="00BE69B1">
        <w:rPr>
          <w:rFonts w:asciiTheme="majorHAnsi" w:hAnsiTheme="majorHAnsi"/>
          <w:sz w:val="26"/>
          <w:szCs w:val="26"/>
          <w:lang w:val="en-GB"/>
        </w:rPr>
        <w:t xml:space="preserve"> </w:t>
      </w:r>
      <w:r w:rsidR="00F7176A">
        <w:rPr>
          <w:rFonts w:asciiTheme="majorHAnsi" w:hAnsiTheme="majorHAnsi"/>
          <w:sz w:val="26"/>
          <w:szCs w:val="26"/>
          <w:lang w:val="en-GB"/>
        </w:rPr>
        <w:t>as well</w:t>
      </w:r>
      <w:r w:rsidR="00C12A0F" w:rsidRPr="00BE69B1">
        <w:rPr>
          <w:rFonts w:asciiTheme="majorHAnsi" w:hAnsiTheme="majorHAnsi"/>
          <w:sz w:val="26"/>
          <w:szCs w:val="26"/>
          <w:lang w:val="en-GB"/>
        </w:rPr>
        <w:t xml:space="preserve">, Pietrarsa surprisingly emerges </w:t>
      </w:r>
      <w:r>
        <w:rPr>
          <w:rFonts w:asciiTheme="majorHAnsi" w:hAnsiTheme="majorHAnsi"/>
          <w:sz w:val="26"/>
          <w:szCs w:val="26"/>
          <w:lang w:val="en-GB"/>
        </w:rPr>
        <w:t>on top,</w:t>
      </w:r>
      <w:r w:rsidR="00C12A0F" w:rsidRPr="00BE69B1">
        <w:rPr>
          <w:rFonts w:asciiTheme="majorHAnsi" w:hAnsiTheme="majorHAnsi"/>
          <w:sz w:val="26"/>
          <w:szCs w:val="26"/>
          <w:lang w:val="en-GB"/>
        </w:rPr>
        <w:t xml:space="preserve"> even in a shorter time-frame than Ansaldo. </w:t>
      </w:r>
      <w:r w:rsidR="006B7DB2">
        <w:rPr>
          <w:rFonts w:asciiTheme="majorHAnsi" w:hAnsiTheme="majorHAnsi"/>
          <w:sz w:val="26"/>
          <w:szCs w:val="26"/>
          <w:lang w:val="en-GB"/>
        </w:rPr>
        <w:t xml:space="preserve">In fact, </w:t>
      </w:r>
      <w:r w:rsidR="00C12A0F" w:rsidRPr="00BE69B1">
        <w:rPr>
          <w:rFonts w:asciiTheme="majorHAnsi" w:hAnsiTheme="majorHAnsi"/>
          <w:sz w:val="26"/>
          <w:szCs w:val="26"/>
          <w:lang w:val="en-GB"/>
        </w:rPr>
        <w:t>the foundation of the SNIM saw its appropriation of the whole national share in railways rolling stock, previously owned by the Ansaldo.</w:t>
      </w:r>
      <w:r w:rsidR="00C12A0F" w:rsidRPr="00BE69B1">
        <w:rPr>
          <w:rStyle w:val="FootnoteReference"/>
          <w:rFonts w:asciiTheme="majorHAnsi" w:hAnsiTheme="majorHAnsi"/>
          <w:sz w:val="26"/>
          <w:szCs w:val="26"/>
          <w:lang w:val="en-GB"/>
        </w:rPr>
        <w:footnoteReference w:id="193"/>
      </w:r>
      <w:r w:rsidR="00C12A0F" w:rsidRPr="00BE69B1">
        <w:rPr>
          <w:rFonts w:asciiTheme="majorHAnsi" w:hAnsiTheme="majorHAnsi"/>
          <w:sz w:val="26"/>
          <w:szCs w:val="26"/>
          <w:lang w:val="en-GB"/>
        </w:rPr>
        <w:t xml:space="preserve"> Not by accident, the latter’s railways production stopped in 1865, shortly after the SNIM’s entrance in the market, to resume only in 1875.</w:t>
      </w:r>
      <w:r w:rsidR="00C12A0F" w:rsidRPr="00BE69B1">
        <w:rPr>
          <w:rStyle w:val="FootnoteReference"/>
          <w:rFonts w:asciiTheme="majorHAnsi" w:hAnsiTheme="majorHAnsi"/>
          <w:sz w:val="26"/>
          <w:szCs w:val="26"/>
          <w:lang w:val="en-GB"/>
        </w:rPr>
        <w:footnoteReference w:id="194"/>
      </w:r>
      <w:r w:rsidR="00D47447">
        <w:rPr>
          <w:rFonts w:asciiTheme="majorHAnsi" w:hAnsiTheme="majorHAnsi"/>
          <w:sz w:val="26"/>
          <w:szCs w:val="26"/>
          <w:lang w:val="en-GB"/>
        </w:rPr>
        <w:t xml:space="preserve"> </w:t>
      </w:r>
      <w:r w:rsidR="00BD544B">
        <w:rPr>
          <w:rFonts w:asciiTheme="majorHAnsi" w:hAnsiTheme="majorHAnsi"/>
          <w:sz w:val="26"/>
          <w:szCs w:val="26"/>
          <w:lang w:val="en-GB"/>
        </w:rPr>
        <w:br/>
      </w:r>
      <w:r w:rsidR="00BD544B">
        <w:rPr>
          <w:rFonts w:asciiTheme="majorHAnsi" w:hAnsiTheme="majorHAnsi"/>
          <w:sz w:val="26"/>
          <w:szCs w:val="26"/>
          <w:lang w:val="en-GB"/>
        </w:rPr>
        <w:tab/>
        <w:t xml:space="preserve">The prevalence of Pietrarsa in both sectors </w:t>
      </w:r>
      <w:r w:rsidR="00C12A0F" w:rsidRPr="00BE69B1">
        <w:rPr>
          <w:rFonts w:asciiTheme="majorHAnsi" w:hAnsiTheme="majorHAnsi"/>
          <w:sz w:val="26"/>
          <w:szCs w:val="26"/>
          <w:lang w:val="en-GB"/>
        </w:rPr>
        <w:t>comes at a surprise, given the</w:t>
      </w:r>
      <w:r>
        <w:rPr>
          <w:rFonts w:asciiTheme="majorHAnsi" w:hAnsiTheme="majorHAnsi"/>
          <w:sz w:val="26"/>
          <w:szCs w:val="26"/>
          <w:lang w:val="en-GB"/>
        </w:rPr>
        <w:t xml:space="preserve"> </w:t>
      </w:r>
      <w:r>
        <w:rPr>
          <w:rFonts w:asciiTheme="majorHAnsi" w:hAnsiTheme="majorHAnsi"/>
          <w:sz w:val="26"/>
          <w:szCs w:val="26"/>
          <w:lang w:val="en-GB"/>
        </w:rPr>
        <w:lastRenderedPageBreak/>
        <w:t>ascertained</w:t>
      </w:r>
      <w:r w:rsidR="00C12A0F" w:rsidRPr="00BE69B1">
        <w:rPr>
          <w:rFonts w:asciiTheme="majorHAnsi" w:hAnsiTheme="majorHAnsi"/>
          <w:sz w:val="26"/>
          <w:szCs w:val="26"/>
          <w:lang w:val="en-GB"/>
        </w:rPr>
        <w:t xml:space="preserve"> tighter political con</w:t>
      </w:r>
      <w:r>
        <w:rPr>
          <w:rFonts w:asciiTheme="majorHAnsi" w:hAnsiTheme="majorHAnsi"/>
          <w:sz w:val="26"/>
          <w:szCs w:val="26"/>
          <w:lang w:val="en-GB"/>
        </w:rPr>
        <w:t>nections of the Ansaldo to the Navy.</w:t>
      </w:r>
      <w:r>
        <w:rPr>
          <w:rStyle w:val="FootnoteReference"/>
          <w:rFonts w:asciiTheme="majorHAnsi" w:hAnsiTheme="majorHAnsi"/>
          <w:sz w:val="26"/>
          <w:szCs w:val="26"/>
          <w:lang w:val="en-GB"/>
        </w:rPr>
        <w:footnoteReference w:id="195"/>
      </w:r>
      <w:r w:rsidR="00C12A0F" w:rsidRPr="00BE69B1">
        <w:rPr>
          <w:rFonts w:asciiTheme="majorHAnsi" w:hAnsiTheme="majorHAnsi"/>
          <w:sz w:val="26"/>
          <w:szCs w:val="26"/>
          <w:lang w:val="en-GB"/>
        </w:rPr>
        <w:t xml:space="preserve"> </w:t>
      </w:r>
      <w:r w:rsidR="002F4CA6">
        <w:rPr>
          <w:rFonts w:asciiTheme="majorHAnsi" w:hAnsiTheme="majorHAnsi"/>
          <w:sz w:val="26"/>
          <w:szCs w:val="26"/>
          <w:lang w:val="en-GB"/>
        </w:rPr>
        <w:t>H</w:t>
      </w:r>
      <w:r>
        <w:rPr>
          <w:rFonts w:asciiTheme="majorHAnsi" w:hAnsiTheme="majorHAnsi"/>
          <w:sz w:val="26"/>
          <w:szCs w:val="26"/>
          <w:lang w:val="en-GB"/>
        </w:rPr>
        <w:t>owever,</w:t>
      </w:r>
      <w:r w:rsidR="00C12A0F" w:rsidRPr="00BE69B1">
        <w:rPr>
          <w:rFonts w:asciiTheme="majorHAnsi" w:hAnsiTheme="majorHAnsi"/>
          <w:sz w:val="26"/>
          <w:szCs w:val="26"/>
          <w:lang w:val="en-GB"/>
        </w:rPr>
        <w:t xml:space="preserve"> </w:t>
      </w:r>
      <w:r w:rsidR="00BD544B">
        <w:rPr>
          <w:rFonts w:asciiTheme="majorHAnsi" w:hAnsiTheme="majorHAnsi"/>
          <w:sz w:val="26"/>
          <w:szCs w:val="26"/>
          <w:lang w:val="en-GB"/>
        </w:rPr>
        <w:t xml:space="preserve">the result </w:t>
      </w:r>
      <w:r w:rsidR="00C12A0F" w:rsidRPr="00BE69B1">
        <w:rPr>
          <w:rFonts w:asciiTheme="majorHAnsi" w:hAnsiTheme="majorHAnsi"/>
          <w:sz w:val="26"/>
          <w:szCs w:val="26"/>
          <w:lang w:val="en-GB"/>
        </w:rPr>
        <w:t>was heavily influenced by the budget crisis that affected the Italian government during the 1870s, period in which political ties would have been reduced in their impact.</w:t>
      </w:r>
      <w:r w:rsidR="00C12A0F" w:rsidRPr="00BE69B1">
        <w:rPr>
          <w:rStyle w:val="FootnoteReference"/>
          <w:rFonts w:asciiTheme="majorHAnsi" w:hAnsiTheme="majorHAnsi"/>
          <w:sz w:val="26"/>
          <w:szCs w:val="26"/>
          <w:lang w:val="en-GB"/>
        </w:rPr>
        <w:footnoteReference w:id="196"/>
      </w:r>
      <w:r w:rsidR="00C12A0F" w:rsidRPr="00BE69B1">
        <w:rPr>
          <w:rFonts w:asciiTheme="majorHAnsi" w:hAnsiTheme="majorHAnsi"/>
          <w:sz w:val="26"/>
          <w:szCs w:val="26"/>
          <w:lang w:val="en-GB"/>
        </w:rPr>
        <w:t xml:space="preserve"> In fact between 1864 and 1869, it was Ansaldo in the lead of national productions related to the Navy, followed by Guppy and Pietrarsa.</w:t>
      </w:r>
      <w:r w:rsidR="00C12A0F" w:rsidRPr="00BE69B1">
        <w:rPr>
          <w:rStyle w:val="FootnoteReference"/>
          <w:rFonts w:asciiTheme="majorHAnsi" w:hAnsiTheme="majorHAnsi"/>
          <w:sz w:val="26"/>
          <w:szCs w:val="26"/>
          <w:lang w:val="en-GB"/>
        </w:rPr>
        <w:footnoteReference w:id="197"/>
      </w:r>
      <w:r w:rsidR="00C12A0F" w:rsidRPr="00BE69B1">
        <w:rPr>
          <w:rFonts w:asciiTheme="majorHAnsi" w:hAnsiTheme="majorHAnsi"/>
          <w:sz w:val="26"/>
          <w:szCs w:val="26"/>
          <w:lang w:val="en-GB"/>
        </w:rPr>
        <w:t xml:space="preserve"> Between 1868 and 1876, however, public spending for defence purposes went from 30% of the previous period to 19%, which resulted in a great crisis for Pietrarsa and Ansaldo, in which both underwent a net reduction of their workforce, given the overall lack of public contracts.</w:t>
      </w:r>
      <w:r w:rsidR="00C12A0F" w:rsidRPr="00BE69B1">
        <w:rPr>
          <w:rStyle w:val="FootnoteReference"/>
          <w:rFonts w:asciiTheme="majorHAnsi" w:hAnsiTheme="majorHAnsi"/>
          <w:sz w:val="26"/>
          <w:szCs w:val="26"/>
          <w:lang w:val="en-GB"/>
        </w:rPr>
        <w:footnoteReference w:id="198"/>
      </w:r>
      <w:r w:rsidR="00C12A0F" w:rsidRPr="00BE69B1">
        <w:rPr>
          <w:rFonts w:asciiTheme="majorHAnsi" w:hAnsiTheme="majorHAnsi"/>
          <w:sz w:val="26"/>
          <w:szCs w:val="26"/>
          <w:lang w:val="en-GB"/>
        </w:rPr>
        <w:br/>
      </w:r>
      <w:r w:rsidR="00C12A0F" w:rsidRPr="00BE69B1">
        <w:rPr>
          <w:rFonts w:asciiTheme="majorHAnsi" w:hAnsiTheme="majorHAnsi"/>
          <w:sz w:val="26"/>
          <w:szCs w:val="26"/>
          <w:lang w:val="en-GB"/>
        </w:rPr>
        <w:tab/>
        <w:t>Therefore, while political ties might have favoured the Ansaldo during the years 1864-1869, the subsequent budget crisis of the 1870s caused by the war on Austria in 1866 would have cancelled the effects of such a privileged relationship, affecting the whole engineering sector. In other words, the supposed fixed capital characterized by the political ties between the Ansaldo and the Royal Navy could not exercise its pull on mobile capitals such as public contracts during the 1870s because of cutbacks on public spending caused by external events. Concerning railways, immobile</w:t>
      </w:r>
      <w:r w:rsidR="00BD544B">
        <w:rPr>
          <w:rFonts w:asciiTheme="majorHAnsi" w:hAnsiTheme="majorHAnsi"/>
          <w:sz w:val="26"/>
          <w:szCs w:val="26"/>
          <w:lang w:val="en-GB"/>
        </w:rPr>
        <w:t xml:space="preserve"> capitals such as political continuities</w:t>
      </w:r>
      <w:r w:rsidR="00C12A0F" w:rsidRPr="00BE69B1">
        <w:rPr>
          <w:rFonts w:asciiTheme="majorHAnsi" w:hAnsiTheme="majorHAnsi"/>
          <w:sz w:val="26"/>
          <w:szCs w:val="26"/>
          <w:lang w:val="en-GB"/>
        </w:rPr>
        <w:t xml:space="preserve"> do not appear to have played a role in attracting mobile capi</w:t>
      </w:r>
      <w:r w:rsidR="006B7DB2">
        <w:rPr>
          <w:rFonts w:asciiTheme="majorHAnsi" w:hAnsiTheme="majorHAnsi"/>
          <w:sz w:val="26"/>
          <w:szCs w:val="26"/>
          <w:lang w:val="en-GB"/>
        </w:rPr>
        <w:t>tals such as public contracts</w:t>
      </w:r>
      <w:r w:rsidR="00C12A0F" w:rsidRPr="00BE69B1">
        <w:rPr>
          <w:rFonts w:asciiTheme="majorHAnsi" w:hAnsiTheme="majorHAnsi"/>
          <w:sz w:val="26"/>
          <w:szCs w:val="26"/>
          <w:lang w:val="en-GB"/>
        </w:rPr>
        <w:t>. Following Mill’s framework, therefore, the cause of failure of Pietrarsa is to be looked for elsewhere. The next chapter will examin</w:t>
      </w:r>
      <w:r w:rsidR="009B6E61" w:rsidRPr="00BE69B1">
        <w:rPr>
          <w:rFonts w:asciiTheme="majorHAnsi" w:hAnsiTheme="majorHAnsi"/>
          <w:sz w:val="26"/>
          <w:szCs w:val="26"/>
          <w:lang w:val="en-GB"/>
        </w:rPr>
        <w:t>e the most obvious controversy concerning</w:t>
      </w:r>
      <w:r w:rsidR="00C12A0F" w:rsidRPr="00BE69B1">
        <w:rPr>
          <w:rFonts w:asciiTheme="majorHAnsi" w:hAnsiTheme="majorHAnsi"/>
          <w:sz w:val="26"/>
          <w:szCs w:val="26"/>
          <w:lang w:val="en-GB"/>
        </w:rPr>
        <w:t xml:space="preserve"> uneven distribution: credit. </w:t>
      </w:r>
    </w:p>
    <w:p w14:paraId="1E81D6E0" w14:textId="0BF6065F" w:rsidR="00BD544B" w:rsidRDefault="00BD544B" w:rsidP="00955F9B">
      <w:pPr>
        <w:rPr>
          <w:rFonts w:asciiTheme="majorHAnsi" w:hAnsiTheme="majorHAnsi"/>
          <w:sz w:val="24"/>
          <w:szCs w:val="24"/>
          <w:lang w:val="en-GB"/>
        </w:rPr>
      </w:pPr>
    </w:p>
    <w:p w14:paraId="761D0FCF" w14:textId="77777777" w:rsidR="00BD544B" w:rsidRDefault="00BD544B" w:rsidP="00955F9B">
      <w:pPr>
        <w:rPr>
          <w:rFonts w:asciiTheme="majorHAnsi" w:hAnsiTheme="majorHAnsi"/>
          <w:sz w:val="24"/>
          <w:szCs w:val="24"/>
          <w:lang w:val="en-GB"/>
        </w:rPr>
      </w:pPr>
    </w:p>
    <w:p w14:paraId="53F4807E" w14:textId="77777777" w:rsidR="00BD544B" w:rsidRDefault="00BD544B" w:rsidP="00955F9B">
      <w:pPr>
        <w:rPr>
          <w:rFonts w:asciiTheme="majorHAnsi" w:hAnsiTheme="majorHAnsi"/>
          <w:sz w:val="24"/>
          <w:szCs w:val="24"/>
          <w:lang w:val="en-GB"/>
        </w:rPr>
      </w:pPr>
    </w:p>
    <w:p w14:paraId="623D0814" w14:textId="77777777" w:rsidR="00763729" w:rsidRDefault="00763729" w:rsidP="003D58E5">
      <w:pPr>
        <w:rPr>
          <w:rFonts w:asciiTheme="majorHAnsi" w:hAnsiTheme="majorHAnsi"/>
          <w:b/>
          <w:sz w:val="40"/>
          <w:szCs w:val="40"/>
        </w:rPr>
      </w:pPr>
    </w:p>
    <w:p w14:paraId="5A6BD0FD" w14:textId="77777777" w:rsidR="00763729" w:rsidRDefault="00763729" w:rsidP="006C6ED9">
      <w:pPr>
        <w:jc w:val="center"/>
        <w:rPr>
          <w:rFonts w:asciiTheme="majorHAnsi" w:hAnsiTheme="majorHAnsi"/>
          <w:b/>
          <w:sz w:val="40"/>
          <w:szCs w:val="40"/>
        </w:rPr>
      </w:pPr>
    </w:p>
    <w:p w14:paraId="3C0A192C" w14:textId="77777777" w:rsidR="00B17452" w:rsidRDefault="00B17452" w:rsidP="006C6ED9">
      <w:pPr>
        <w:jc w:val="center"/>
        <w:rPr>
          <w:rFonts w:asciiTheme="majorHAnsi" w:hAnsiTheme="majorHAnsi"/>
          <w:b/>
          <w:sz w:val="40"/>
          <w:szCs w:val="40"/>
        </w:rPr>
      </w:pPr>
    </w:p>
    <w:p w14:paraId="6A7492A9" w14:textId="77777777" w:rsidR="00B17452" w:rsidRDefault="00B17452" w:rsidP="006C6ED9">
      <w:pPr>
        <w:jc w:val="center"/>
        <w:rPr>
          <w:rFonts w:asciiTheme="majorHAnsi" w:hAnsiTheme="majorHAnsi"/>
          <w:b/>
          <w:sz w:val="40"/>
          <w:szCs w:val="40"/>
        </w:rPr>
      </w:pPr>
    </w:p>
    <w:p w14:paraId="152B49E5" w14:textId="77777777" w:rsidR="00B17452" w:rsidRDefault="00B17452" w:rsidP="006C6ED9">
      <w:pPr>
        <w:jc w:val="center"/>
        <w:rPr>
          <w:rFonts w:asciiTheme="majorHAnsi" w:hAnsiTheme="majorHAnsi"/>
          <w:b/>
          <w:sz w:val="40"/>
          <w:szCs w:val="40"/>
        </w:rPr>
      </w:pPr>
    </w:p>
    <w:p w14:paraId="38BE8A44" w14:textId="77777777" w:rsidR="00B17452" w:rsidRDefault="00B17452" w:rsidP="006C6ED9">
      <w:pPr>
        <w:jc w:val="center"/>
        <w:rPr>
          <w:rFonts w:asciiTheme="majorHAnsi" w:hAnsiTheme="majorHAnsi"/>
          <w:b/>
          <w:sz w:val="40"/>
          <w:szCs w:val="40"/>
        </w:rPr>
      </w:pPr>
    </w:p>
    <w:p w14:paraId="363AABC6" w14:textId="0B482586" w:rsidR="00EB0B63" w:rsidRPr="006C6ED9" w:rsidRDefault="00EB0B63" w:rsidP="006C6ED9">
      <w:pPr>
        <w:jc w:val="center"/>
        <w:rPr>
          <w:rFonts w:asciiTheme="majorHAnsi" w:hAnsiTheme="majorHAnsi"/>
          <w:b/>
          <w:sz w:val="40"/>
          <w:szCs w:val="40"/>
        </w:rPr>
      </w:pPr>
      <w:r w:rsidRPr="00184509">
        <w:rPr>
          <w:rFonts w:asciiTheme="majorHAnsi" w:hAnsiTheme="majorHAnsi"/>
          <w:b/>
          <w:sz w:val="40"/>
          <w:szCs w:val="40"/>
        </w:rPr>
        <w:lastRenderedPageBreak/>
        <w:t>CHAPTER FOUR</w:t>
      </w:r>
      <w:r>
        <w:rPr>
          <w:rFonts w:asciiTheme="majorHAnsi" w:hAnsiTheme="majorHAnsi"/>
          <w:b/>
          <w:sz w:val="40"/>
          <w:szCs w:val="40"/>
        </w:rPr>
        <w:br/>
      </w:r>
      <w:r w:rsidRPr="00184509">
        <w:rPr>
          <w:rFonts w:asciiTheme="majorHAnsi" w:hAnsiTheme="majorHAnsi"/>
          <w:b/>
          <w:sz w:val="40"/>
          <w:szCs w:val="40"/>
        </w:rPr>
        <w:t>Credit – The ultimate discriminating factor</w:t>
      </w:r>
    </w:p>
    <w:p w14:paraId="36883D88" w14:textId="5A0FE34E" w:rsidR="004A5951" w:rsidRDefault="0069740A" w:rsidP="00602BC0">
      <w:pPr>
        <w:jc w:val="center"/>
        <w:rPr>
          <w:rFonts w:asciiTheme="majorHAnsi" w:hAnsiTheme="majorHAnsi"/>
          <w:sz w:val="30"/>
          <w:szCs w:val="30"/>
        </w:rPr>
      </w:pPr>
      <w:r>
        <w:rPr>
          <w:noProof/>
          <w:lang w:eastAsia="it-IT"/>
        </w:rPr>
        <w:drawing>
          <wp:anchor distT="0" distB="0" distL="114300" distR="114300" simplePos="0" relativeHeight="251671552" behindDoc="0" locked="0" layoutInCell="1" allowOverlap="1" wp14:anchorId="0A40C75B" wp14:editId="28B9E0FF">
            <wp:simplePos x="0" y="0"/>
            <wp:positionH relativeFrom="column">
              <wp:posOffset>365760</wp:posOffset>
            </wp:positionH>
            <wp:positionV relativeFrom="paragraph">
              <wp:posOffset>200025</wp:posOffset>
            </wp:positionV>
            <wp:extent cx="5334000" cy="3008421"/>
            <wp:effectExtent l="0" t="0" r="0" b="1905"/>
            <wp:wrapNone/>
            <wp:docPr id="7" name="Picture 7" descr="Lotto 1707 | Aste Bolaf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tto 1707 | Aste Bolaff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0" cy="30084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03D72" w14:textId="77777777" w:rsidR="0069740A" w:rsidRDefault="0069740A" w:rsidP="0069740A">
      <w:pPr>
        <w:rPr>
          <w:rFonts w:asciiTheme="majorHAnsi" w:hAnsiTheme="majorHAnsi"/>
          <w:b/>
          <w:sz w:val="30"/>
          <w:szCs w:val="30"/>
        </w:rPr>
      </w:pPr>
    </w:p>
    <w:p w14:paraId="5DA224D7" w14:textId="77777777" w:rsidR="0069740A" w:rsidRDefault="0069740A" w:rsidP="0069740A">
      <w:pPr>
        <w:rPr>
          <w:rFonts w:asciiTheme="majorHAnsi" w:hAnsiTheme="majorHAnsi"/>
          <w:b/>
          <w:sz w:val="30"/>
          <w:szCs w:val="30"/>
        </w:rPr>
      </w:pPr>
    </w:p>
    <w:p w14:paraId="306C318F" w14:textId="77777777" w:rsidR="0069740A" w:rsidRDefault="0069740A" w:rsidP="0069740A">
      <w:pPr>
        <w:rPr>
          <w:rFonts w:asciiTheme="majorHAnsi" w:hAnsiTheme="majorHAnsi"/>
          <w:b/>
          <w:sz w:val="30"/>
          <w:szCs w:val="30"/>
        </w:rPr>
      </w:pPr>
    </w:p>
    <w:p w14:paraId="41B6128A" w14:textId="77777777" w:rsidR="0069740A" w:rsidRDefault="0069740A" w:rsidP="0069740A">
      <w:pPr>
        <w:rPr>
          <w:rFonts w:asciiTheme="majorHAnsi" w:hAnsiTheme="majorHAnsi"/>
          <w:b/>
          <w:sz w:val="30"/>
          <w:szCs w:val="30"/>
        </w:rPr>
      </w:pPr>
    </w:p>
    <w:p w14:paraId="67E871BB" w14:textId="77777777" w:rsidR="0069740A" w:rsidRDefault="0069740A" w:rsidP="0069740A">
      <w:pPr>
        <w:rPr>
          <w:rFonts w:asciiTheme="majorHAnsi" w:hAnsiTheme="majorHAnsi"/>
          <w:b/>
          <w:sz w:val="30"/>
          <w:szCs w:val="30"/>
        </w:rPr>
      </w:pPr>
    </w:p>
    <w:p w14:paraId="5B5FF922" w14:textId="77777777" w:rsidR="0069740A" w:rsidRDefault="0069740A" w:rsidP="0069740A">
      <w:pPr>
        <w:rPr>
          <w:rFonts w:asciiTheme="majorHAnsi" w:hAnsiTheme="majorHAnsi"/>
          <w:b/>
          <w:sz w:val="30"/>
          <w:szCs w:val="30"/>
        </w:rPr>
      </w:pPr>
    </w:p>
    <w:p w14:paraId="0BE58444" w14:textId="77777777" w:rsidR="0069740A" w:rsidRDefault="0069740A" w:rsidP="0069740A">
      <w:pPr>
        <w:rPr>
          <w:rFonts w:asciiTheme="majorHAnsi" w:hAnsiTheme="majorHAnsi"/>
          <w:b/>
          <w:sz w:val="30"/>
          <w:szCs w:val="30"/>
        </w:rPr>
      </w:pPr>
    </w:p>
    <w:p w14:paraId="5965C1DB" w14:textId="77777777" w:rsidR="00D24519" w:rsidRPr="0069740A" w:rsidRDefault="00D24519" w:rsidP="00D24519">
      <w:pPr>
        <w:rPr>
          <w:rFonts w:asciiTheme="majorHAnsi" w:hAnsiTheme="majorHAnsi"/>
          <w:sz w:val="30"/>
          <w:szCs w:val="30"/>
        </w:rPr>
      </w:pPr>
    </w:p>
    <w:p w14:paraId="36217331" w14:textId="77777777" w:rsidR="006739F2" w:rsidRDefault="006739F2" w:rsidP="00D24519">
      <w:pPr>
        <w:rPr>
          <w:rFonts w:asciiTheme="majorHAnsi" w:hAnsiTheme="majorHAnsi"/>
          <w:b/>
          <w:sz w:val="30"/>
          <w:szCs w:val="30"/>
        </w:rPr>
      </w:pPr>
    </w:p>
    <w:p w14:paraId="2FCADBCE" w14:textId="77777777" w:rsidR="00D24519" w:rsidRPr="00B17452" w:rsidRDefault="00D24519" w:rsidP="00D24519">
      <w:pPr>
        <w:rPr>
          <w:rFonts w:asciiTheme="majorHAnsi" w:hAnsiTheme="majorHAnsi"/>
          <w:b/>
          <w:sz w:val="32"/>
          <w:szCs w:val="32"/>
        </w:rPr>
      </w:pPr>
      <w:r w:rsidRPr="00B17452">
        <w:rPr>
          <w:rFonts w:asciiTheme="majorHAnsi" w:hAnsiTheme="majorHAnsi"/>
          <w:b/>
          <w:sz w:val="32"/>
          <w:szCs w:val="32"/>
        </w:rPr>
        <w:t>To what extent did Pietrarsa and Ansaldo differ regarding their availability of credit?</w:t>
      </w:r>
    </w:p>
    <w:p w14:paraId="7C6D28B9" w14:textId="7BF9FA1B" w:rsidR="0069740A" w:rsidRPr="00B17452" w:rsidRDefault="00D24519" w:rsidP="0069740A">
      <w:pPr>
        <w:rPr>
          <w:rFonts w:asciiTheme="majorHAnsi" w:hAnsiTheme="majorHAnsi"/>
          <w:b/>
          <w:sz w:val="32"/>
          <w:szCs w:val="32"/>
        </w:rPr>
      </w:pPr>
      <w:r w:rsidRPr="00B17452">
        <w:rPr>
          <w:rFonts w:asciiTheme="majorHAnsi" w:hAnsiTheme="majorHAnsi"/>
          <w:b/>
          <w:sz w:val="32"/>
          <w:szCs w:val="32"/>
        </w:rPr>
        <w:t>To what extent was that difference linked to a Sardinian political continuity?</w:t>
      </w:r>
    </w:p>
    <w:p w14:paraId="37078260" w14:textId="77777777" w:rsidR="006739F2" w:rsidRDefault="006739F2" w:rsidP="0069740A">
      <w:pPr>
        <w:rPr>
          <w:rFonts w:asciiTheme="majorHAnsi" w:hAnsiTheme="majorHAnsi"/>
          <w:b/>
          <w:sz w:val="30"/>
          <w:szCs w:val="30"/>
        </w:rPr>
      </w:pPr>
    </w:p>
    <w:p w14:paraId="23AD5DBB" w14:textId="5A27DBED" w:rsidR="004A5951" w:rsidRPr="006C6ED9" w:rsidRDefault="0069740A" w:rsidP="0069740A">
      <w:pPr>
        <w:rPr>
          <w:rFonts w:asciiTheme="majorHAnsi" w:hAnsiTheme="majorHAnsi"/>
          <w:b/>
          <w:sz w:val="36"/>
          <w:szCs w:val="36"/>
        </w:rPr>
      </w:pPr>
      <w:r w:rsidRPr="006C6ED9">
        <w:rPr>
          <w:rFonts w:asciiTheme="majorHAnsi" w:hAnsiTheme="majorHAnsi"/>
          <w:b/>
          <w:sz w:val="36"/>
          <w:szCs w:val="36"/>
        </w:rPr>
        <w:t>Chapter Outline</w:t>
      </w:r>
    </w:p>
    <w:p w14:paraId="7EB68AB7" w14:textId="2B22C5B6" w:rsidR="0069740A" w:rsidRPr="0069740A" w:rsidRDefault="0069740A" w:rsidP="0069740A">
      <w:pPr>
        <w:pStyle w:val="ListParagraph"/>
        <w:numPr>
          <w:ilvl w:val="0"/>
          <w:numId w:val="3"/>
        </w:numPr>
        <w:rPr>
          <w:rFonts w:asciiTheme="majorHAnsi" w:hAnsiTheme="majorHAnsi"/>
          <w:b/>
          <w:sz w:val="30"/>
          <w:szCs w:val="30"/>
        </w:rPr>
      </w:pPr>
      <w:r w:rsidRPr="0069740A">
        <w:rPr>
          <w:rFonts w:asciiTheme="majorHAnsi" w:hAnsiTheme="majorHAnsi"/>
          <w:b/>
          <w:sz w:val="30"/>
          <w:szCs w:val="30"/>
        </w:rPr>
        <w:t>Pietrarsa’s use of credit</w:t>
      </w:r>
    </w:p>
    <w:p w14:paraId="451AAB19" w14:textId="31C2EB09" w:rsidR="0069740A" w:rsidRPr="0069740A" w:rsidRDefault="0069740A" w:rsidP="0069740A">
      <w:pPr>
        <w:pStyle w:val="ListParagraph"/>
        <w:numPr>
          <w:ilvl w:val="0"/>
          <w:numId w:val="3"/>
        </w:numPr>
        <w:rPr>
          <w:rFonts w:asciiTheme="majorHAnsi" w:hAnsiTheme="majorHAnsi"/>
          <w:b/>
          <w:sz w:val="30"/>
          <w:szCs w:val="30"/>
        </w:rPr>
      </w:pPr>
      <w:r w:rsidRPr="0069740A">
        <w:rPr>
          <w:rFonts w:asciiTheme="majorHAnsi" w:hAnsiTheme="majorHAnsi"/>
          <w:b/>
          <w:sz w:val="30"/>
          <w:szCs w:val="30"/>
        </w:rPr>
        <w:t>Ansaldo’s use of credit</w:t>
      </w:r>
    </w:p>
    <w:p w14:paraId="26CA1636" w14:textId="59BC8930" w:rsidR="0069740A" w:rsidRPr="0069740A" w:rsidRDefault="0069740A" w:rsidP="0069740A">
      <w:pPr>
        <w:pStyle w:val="ListParagraph"/>
        <w:numPr>
          <w:ilvl w:val="0"/>
          <w:numId w:val="3"/>
        </w:numPr>
        <w:rPr>
          <w:rFonts w:asciiTheme="majorHAnsi" w:hAnsiTheme="majorHAnsi"/>
          <w:b/>
          <w:sz w:val="30"/>
          <w:szCs w:val="30"/>
        </w:rPr>
      </w:pPr>
      <w:r w:rsidRPr="0069740A">
        <w:rPr>
          <w:rFonts w:asciiTheme="majorHAnsi" w:hAnsiTheme="majorHAnsi"/>
          <w:b/>
          <w:sz w:val="30"/>
          <w:szCs w:val="30"/>
        </w:rPr>
        <w:t>The final confrontation</w:t>
      </w:r>
    </w:p>
    <w:p w14:paraId="58142AF7" w14:textId="322CC9B3" w:rsidR="0069740A" w:rsidRPr="0069740A" w:rsidRDefault="0069740A" w:rsidP="004A5951">
      <w:pPr>
        <w:pStyle w:val="ListParagraph"/>
        <w:numPr>
          <w:ilvl w:val="0"/>
          <w:numId w:val="3"/>
        </w:numPr>
        <w:rPr>
          <w:rFonts w:asciiTheme="majorHAnsi" w:hAnsiTheme="majorHAnsi"/>
          <w:b/>
          <w:sz w:val="30"/>
          <w:szCs w:val="30"/>
        </w:rPr>
      </w:pPr>
      <w:r w:rsidRPr="0069740A">
        <w:rPr>
          <w:rFonts w:asciiTheme="majorHAnsi" w:hAnsiTheme="majorHAnsi"/>
          <w:b/>
          <w:sz w:val="30"/>
          <w:szCs w:val="30"/>
        </w:rPr>
        <w:t xml:space="preserve">Institutional continuities and the National Bank </w:t>
      </w:r>
    </w:p>
    <w:p w14:paraId="12DB0B12" w14:textId="77777777" w:rsidR="0069740A" w:rsidRPr="0069740A" w:rsidRDefault="0069740A" w:rsidP="00602BC0">
      <w:pPr>
        <w:rPr>
          <w:rFonts w:asciiTheme="majorHAnsi" w:hAnsiTheme="majorHAnsi"/>
          <w:sz w:val="30"/>
          <w:szCs w:val="30"/>
        </w:rPr>
      </w:pPr>
    </w:p>
    <w:p w14:paraId="3FFCD88B" w14:textId="77777777" w:rsidR="00D24519" w:rsidRDefault="00D24519" w:rsidP="00602BC0">
      <w:pPr>
        <w:rPr>
          <w:rFonts w:asciiTheme="majorHAnsi" w:hAnsiTheme="majorHAnsi"/>
          <w:b/>
          <w:sz w:val="26"/>
          <w:szCs w:val="26"/>
          <w:lang w:val="en-GB"/>
        </w:rPr>
      </w:pPr>
    </w:p>
    <w:p w14:paraId="10746C2D" w14:textId="77777777" w:rsidR="005A0BBA" w:rsidRDefault="005A0BBA" w:rsidP="00602BC0">
      <w:pPr>
        <w:rPr>
          <w:rFonts w:asciiTheme="majorHAnsi" w:hAnsiTheme="majorHAnsi"/>
          <w:b/>
          <w:sz w:val="26"/>
          <w:szCs w:val="26"/>
          <w:lang w:val="en-GB"/>
        </w:rPr>
      </w:pPr>
    </w:p>
    <w:p w14:paraId="0968EB30" w14:textId="77777777" w:rsidR="00EB0B63" w:rsidRPr="00633B3B" w:rsidRDefault="00EB0B63" w:rsidP="00602BC0">
      <w:pPr>
        <w:rPr>
          <w:rFonts w:asciiTheme="majorHAnsi" w:hAnsiTheme="majorHAnsi"/>
          <w:b/>
          <w:sz w:val="26"/>
          <w:szCs w:val="26"/>
          <w:lang w:val="en-GB"/>
        </w:rPr>
      </w:pPr>
      <w:r w:rsidRPr="00633B3B">
        <w:rPr>
          <w:rFonts w:asciiTheme="majorHAnsi" w:hAnsiTheme="majorHAnsi"/>
          <w:b/>
          <w:sz w:val="26"/>
          <w:szCs w:val="26"/>
          <w:lang w:val="en-GB"/>
        </w:rPr>
        <w:lastRenderedPageBreak/>
        <w:t>Pietrarsa’s use of credit</w:t>
      </w:r>
    </w:p>
    <w:p w14:paraId="19134E08" w14:textId="7BF666C8" w:rsidR="00EB0B63" w:rsidRDefault="00EB0B63" w:rsidP="00602BC0">
      <w:pPr>
        <w:rPr>
          <w:rFonts w:asciiTheme="majorHAnsi" w:hAnsiTheme="majorHAnsi"/>
          <w:sz w:val="26"/>
          <w:szCs w:val="26"/>
          <w:lang w:val="en-GB"/>
        </w:rPr>
      </w:pPr>
      <w:r w:rsidRPr="00633B3B">
        <w:rPr>
          <w:rFonts w:asciiTheme="majorHAnsi" w:hAnsiTheme="majorHAnsi"/>
          <w:sz w:val="26"/>
          <w:szCs w:val="26"/>
          <w:lang w:val="en-GB"/>
        </w:rPr>
        <w:t>From the onset of the company, the experience of the SNIM was characterized by a deficit of capitals which kept its finances in a precarious state.</w:t>
      </w:r>
      <w:r w:rsidRPr="00633B3B">
        <w:rPr>
          <w:rStyle w:val="FootnoteReference"/>
          <w:rFonts w:asciiTheme="majorHAnsi" w:hAnsiTheme="majorHAnsi"/>
          <w:sz w:val="26"/>
          <w:szCs w:val="26"/>
          <w:lang w:val="en-GB"/>
        </w:rPr>
        <w:footnoteReference w:id="199"/>
      </w:r>
      <w:r w:rsidRPr="00633B3B">
        <w:rPr>
          <w:rFonts w:asciiTheme="majorHAnsi" w:hAnsiTheme="majorHAnsi"/>
          <w:sz w:val="26"/>
          <w:szCs w:val="26"/>
          <w:lang w:val="en-GB"/>
        </w:rPr>
        <w:t xml:space="preserve"> Such a state of affairs resulted in multiple loans from banks, as well as personal loans from Macry, to keep the company afloat.</w:t>
      </w:r>
      <w:r w:rsidRPr="00633B3B">
        <w:rPr>
          <w:rStyle w:val="FootnoteReference"/>
          <w:rFonts w:asciiTheme="majorHAnsi" w:hAnsiTheme="majorHAnsi"/>
          <w:sz w:val="26"/>
          <w:szCs w:val="26"/>
          <w:lang w:val="en-GB"/>
        </w:rPr>
        <w:footnoteReference w:id="200"/>
      </w:r>
      <w:r w:rsidRPr="00633B3B">
        <w:rPr>
          <w:rFonts w:asciiTheme="majorHAnsi" w:hAnsiTheme="majorHAnsi"/>
          <w:sz w:val="26"/>
          <w:szCs w:val="26"/>
          <w:lang w:val="en-GB"/>
        </w:rPr>
        <w:t xml:space="preserve"> After the first big public contract from the Southern Railways, for the value of 10 million lire, the necessary maintenance works of the establishment in order to perform such works, as we</w:t>
      </w:r>
      <w:r>
        <w:rPr>
          <w:rFonts w:asciiTheme="majorHAnsi" w:hAnsiTheme="majorHAnsi"/>
          <w:sz w:val="26"/>
          <w:szCs w:val="26"/>
          <w:lang w:val="en-GB"/>
        </w:rPr>
        <w:t>ll as operating expenses, led to</w:t>
      </w:r>
      <w:r w:rsidRPr="00633B3B">
        <w:rPr>
          <w:rFonts w:asciiTheme="majorHAnsi" w:hAnsiTheme="majorHAnsi"/>
          <w:sz w:val="26"/>
          <w:szCs w:val="26"/>
          <w:lang w:val="en-GB"/>
        </w:rPr>
        <w:t xml:space="preserve"> negotiations for a loan of 600.000 with the Credito Italiano (Italian Credit), which, however, </w:t>
      </w:r>
      <w:r>
        <w:rPr>
          <w:rFonts w:asciiTheme="majorHAnsi" w:hAnsiTheme="majorHAnsi"/>
          <w:sz w:val="26"/>
          <w:szCs w:val="26"/>
          <w:lang w:val="en-GB"/>
        </w:rPr>
        <w:t>did not succeed</w:t>
      </w:r>
      <w:r w:rsidRPr="00633B3B">
        <w:rPr>
          <w:rFonts w:asciiTheme="majorHAnsi" w:hAnsiTheme="majorHAnsi"/>
          <w:sz w:val="26"/>
          <w:szCs w:val="26"/>
          <w:lang w:val="en-GB"/>
        </w:rPr>
        <w:t xml:space="preserve"> because of the unfavourable conditions set by the credit institute.</w:t>
      </w:r>
      <w:r w:rsidRPr="00633B3B">
        <w:rPr>
          <w:rStyle w:val="FootnoteReference"/>
          <w:rFonts w:asciiTheme="majorHAnsi" w:hAnsiTheme="majorHAnsi"/>
          <w:sz w:val="26"/>
          <w:szCs w:val="26"/>
          <w:lang w:val="en-GB"/>
        </w:rPr>
        <w:footnoteReference w:id="201"/>
      </w:r>
      <w:r w:rsidRPr="00633B3B">
        <w:rPr>
          <w:rFonts w:asciiTheme="majorHAnsi" w:hAnsiTheme="majorHAnsi"/>
          <w:sz w:val="26"/>
          <w:szCs w:val="26"/>
          <w:lang w:val="en-GB"/>
        </w:rPr>
        <w:t xml:space="preserve"> </w:t>
      </w:r>
      <w:r w:rsidR="00A31E84">
        <w:rPr>
          <w:rFonts w:asciiTheme="majorHAnsi" w:hAnsiTheme="majorHAnsi"/>
          <w:sz w:val="26"/>
          <w:szCs w:val="26"/>
          <w:lang w:val="en-GB"/>
        </w:rPr>
        <w:br/>
      </w:r>
      <w:r w:rsidR="00A31E84">
        <w:rPr>
          <w:rFonts w:asciiTheme="majorHAnsi" w:hAnsiTheme="majorHAnsi"/>
          <w:sz w:val="26"/>
          <w:szCs w:val="26"/>
          <w:lang w:val="en-GB"/>
        </w:rPr>
        <w:tab/>
      </w:r>
      <w:r w:rsidRPr="00633B3B">
        <w:rPr>
          <w:rFonts w:asciiTheme="majorHAnsi" w:hAnsiTheme="majorHAnsi"/>
          <w:sz w:val="26"/>
          <w:szCs w:val="26"/>
          <w:lang w:val="en-GB"/>
        </w:rPr>
        <w:t xml:space="preserve">In 1866, a loan of the same amount </w:t>
      </w:r>
      <w:r w:rsidR="000F55D9">
        <w:rPr>
          <w:rFonts w:asciiTheme="majorHAnsi" w:hAnsiTheme="majorHAnsi"/>
          <w:sz w:val="26"/>
          <w:szCs w:val="26"/>
          <w:lang w:val="en-GB"/>
        </w:rPr>
        <w:t>was obtained from</w:t>
      </w:r>
      <w:r w:rsidRPr="00633B3B">
        <w:rPr>
          <w:rFonts w:asciiTheme="majorHAnsi" w:hAnsiTheme="majorHAnsi"/>
          <w:sz w:val="26"/>
          <w:szCs w:val="26"/>
          <w:lang w:val="en-GB"/>
        </w:rPr>
        <w:t xml:space="preserve"> the Bank of Naples with an interest rate of 7%.</w:t>
      </w:r>
      <w:r w:rsidRPr="00633B3B">
        <w:rPr>
          <w:rStyle w:val="FootnoteReference"/>
          <w:rFonts w:asciiTheme="majorHAnsi" w:hAnsiTheme="majorHAnsi"/>
          <w:sz w:val="26"/>
          <w:szCs w:val="26"/>
          <w:lang w:val="en-GB"/>
        </w:rPr>
        <w:footnoteReference w:id="202"/>
      </w:r>
      <w:r w:rsidRPr="00633B3B">
        <w:rPr>
          <w:rFonts w:asciiTheme="majorHAnsi" w:hAnsiTheme="majorHAnsi"/>
          <w:sz w:val="26"/>
          <w:szCs w:val="26"/>
          <w:lang w:val="en-GB"/>
        </w:rPr>
        <w:t xml:space="preserve"> Macry had exposed himself again in the same year, for an unspecified amount, setting an interest rate of 5%.</w:t>
      </w:r>
      <w:r w:rsidRPr="00633B3B">
        <w:rPr>
          <w:rStyle w:val="FootnoteReference"/>
          <w:rFonts w:asciiTheme="majorHAnsi" w:hAnsiTheme="majorHAnsi"/>
          <w:sz w:val="26"/>
          <w:szCs w:val="26"/>
          <w:lang w:val="en-GB"/>
        </w:rPr>
        <w:footnoteReference w:id="203"/>
      </w:r>
      <w:r w:rsidR="00A31E84">
        <w:rPr>
          <w:rFonts w:asciiTheme="majorHAnsi" w:hAnsiTheme="majorHAnsi"/>
          <w:sz w:val="26"/>
          <w:szCs w:val="26"/>
          <w:lang w:val="en-GB"/>
        </w:rPr>
        <w:t xml:space="preserve"> </w:t>
      </w:r>
      <w:r>
        <w:rPr>
          <w:rFonts w:asciiTheme="majorHAnsi" w:hAnsiTheme="majorHAnsi"/>
          <w:sz w:val="26"/>
          <w:szCs w:val="26"/>
          <w:lang w:val="en-GB"/>
        </w:rPr>
        <w:t xml:space="preserve">In the same year, Pietrarsa </w:t>
      </w:r>
      <w:r w:rsidR="000F55D9">
        <w:rPr>
          <w:rFonts w:asciiTheme="majorHAnsi" w:hAnsiTheme="majorHAnsi"/>
          <w:sz w:val="26"/>
          <w:szCs w:val="26"/>
          <w:lang w:val="en-GB"/>
        </w:rPr>
        <w:t>obtained</w:t>
      </w:r>
      <w:r>
        <w:rPr>
          <w:rFonts w:asciiTheme="majorHAnsi" w:hAnsiTheme="majorHAnsi"/>
          <w:sz w:val="26"/>
          <w:szCs w:val="26"/>
          <w:lang w:val="en-GB"/>
        </w:rPr>
        <w:t xml:space="preserve"> another loan of 1 million lire from the Bank of Naples with the same interest rate; the latter, however, would then be reduced of one point due to the factory’s repayment difficulties.</w:t>
      </w:r>
      <w:r>
        <w:rPr>
          <w:rStyle w:val="FootnoteReference"/>
          <w:rFonts w:asciiTheme="majorHAnsi" w:hAnsiTheme="majorHAnsi"/>
          <w:sz w:val="26"/>
          <w:szCs w:val="26"/>
          <w:lang w:val="en-GB"/>
        </w:rPr>
        <w:footnoteReference w:id="204"/>
      </w:r>
      <w:r>
        <w:rPr>
          <w:rFonts w:asciiTheme="majorHAnsi" w:hAnsiTheme="majorHAnsi"/>
          <w:sz w:val="26"/>
          <w:szCs w:val="26"/>
          <w:lang w:val="en-GB"/>
        </w:rPr>
        <w:t xml:space="preserve"> In that same period, given the scarcity of capitals, Macry anticipated another half million to the company between 1866 and 1867.</w:t>
      </w:r>
      <w:r>
        <w:rPr>
          <w:rStyle w:val="FootnoteReference"/>
          <w:rFonts w:asciiTheme="majorHAnsi" w:hAnsiTheme="majorHAnsi"/>
          <w:sz w:val="26"/>
          <w:szCs w:val="26"/>
          <w:lang w:val="en-GB"/>
        </w:rPr>
        <w:footnoteReference w:id="205"/>
      </w:r>
      <w:r>
        <w:rPr>
          <w:rFonts w:asciiTheme="majorHAnsi" w:hAnsiTheme="majorHAnsi"/>
          <w:sz w:val="26"/>
          <w:szCs w:val="26"/>
          <w:lang w:val="en-GB"/>
        </w:rPr>
        <w:t xml:space="preserve"> Already from the foundation of the company, its debt amounted to almost 3 million lire.</w:t>
      </w:r>
      <w:r>
        <w:rPr>
          <w:rFonts w:asciiTheme="majorHAnsi" w:hAnsiTheme="majorHAnsi"/>
          <w:sz w:val="26"/>
          <w:szCs w:val="26"/>
          <w:lang w:val="en-GB"/>
        </w:rPr>
        <w:br/>
      </w:r>
      <w:r>
        <w:rPr>
          <w:rFonts w:asciiTheme="majorHAnsi" w:hAnsiTheme="majorHAnsi"/>
          <w:sz w:val="26"/>
          <w:szCs w:val="26"/>
          <w:lang w:val="en-GB"/>
        </w:rPr>
        <w:tab/>
        <w:t>Two years later the SNIM would open two new lines of credit with the Bank of Naples: one for discounts, accounting for a further debt of 1.282.879</w:t>
      </w:r>
      <w:proofErr w:type="gramStart"/>
      <w:r>
        <w:rPr>
          <w:rFonts w:asciiTheme="majorHAnsi" w:hAnsiTheme="majorHAnsi"/>
          <w:sz w:val="26"/>
          <w:szCs w:val="26"/>
          <w:lang w:val="en-GB"/>
        </w:rPr>
        <w:t>,59</w:t>
      </w:r>
      <w:proofErr w:type="gramEnd"/>
      <w:r>
        <w:rPr>
          <w:rFonts w:asciiTheme="majorHAnsi" w:hAnsiTheme="majorHAnsi"/>
          <w:sz w:val="26"/>
          <w:szCs w:val="26"/>
          <w:lang w:val="en-GB"/>
        </w:rPr>
        <w:t xml:space="preserve"> lire, and the other for financial anticipations.</w:t>
      </w:r>
      <w:r>
        <w:rPr>
          <w:rStyle w:val="FootnoteReference"/>
          <w:rFonts w:asciiTheme="majorHAnsi" w:hAnsiTheme="majorHAnsi"/>
          <w:sz w:val="26"/>
          <w:szCs w:val="26"/>
          <w:lang w:val="en-GB"/>
        </w:rPr>
        <w:footnoteReference w:id="206"/>
      </w:r>
      <w:r>
        <w:rPr>
          <w:rFonts w:asciiTheme="majorHAnsi" w:hAnsiTheme="majorHAnsi"/>
          <w:sz w:val="26"/>
          <w:szCs w:val="26"/>
          <w:lang w:val="en-GB"/>
        </w:rPr>
        <w:t xml:space="preserve"> In 1878 the total debt amounted to 4 million lire.</w:t>
      </w:r>
      <w:r>
        <w:rPr>
          <w:rStyle w:val="FootnoteReference"/>
          <w:rFonts w:asciiTheme="majorHAnsi" w:hAnsiTheme="majorHAnsi"/>
          <w:sz w:val="26"/>
          <w:szCs w:val="26"/>
          <w:lang w:val="en-GB"/>
        </w:rPr>
        <w:footnoteReference w:id="207"/>
      </w:r>
      <w:r>
        <w:rPr>
          <w:rFonts w:asciiTheme="majorHAnsi" w:hAnsiTheme="majorHAnsi"/>
          <w:sz w:val="26"/>
          <w:szCs w:val="26"/>
          <w:lang w:val="en-GB"/>
        </w:rPr>
        <w:t xml:space="preserve"> Shortly after, the society would b</w:t>
      </w:r>
      <w:r w:rsidR="000F55D9">
        <w:rPr>
          <w:rFonts w:asciiTheme="majorHAnsi" w:hAnsiTheme="majorHAnsi"/>
          <w:sz w:val="26"/>
          <w:szCs w:val="26"/>
          <w:lang w:val="en-GB"/>
        </w:rPr>
        <w:t>e declared bankrupt because of the already mentioned incident of</w:t>
      </w:r>
      <w:r>
        <w:rPr>
          <w:rFonts w:asciiTheme="majorHAnsi" w:hAnsiTheme="majorHAnsi"/>
          <w:sz w:val="26"/>
          <w:szCs w:val="26"/>
          <w:lang w:val="en-GB"/>
        </w:rPr>
        <w:t xml:space="preserve"> </w:t>
      </w:r>
      <w:proofErr w:type="spellStart"/>
      <w:r>
        <w:rPr>
          <w:rFonts w:asciiTheme="majorHAnsi" w:hAnsiTheme="majorHAnsi"/>
          <w:sz w:val="26"/>
          <w:szCs w:val="26"/>
          <w:lang w:val="en-GB"/>
        </w:rPr>
        <w:t>Mr.</w:t>
      </w:r>
      <w:proofErr w:type="spellEnd"/>
      <w:r>
        <w:rPr>
          <w:rFonts w:asciiTheme="majorHAnsi" w:hAnsiTheme="majorHAnsi"/>
          <w:sz w:val="26"/>
          <w:szCs w:val="26"/>
          <w:lang w:val="en-GB"/>
        </w:rPr>
        <w:t xml:space="preserve"> Fiocca.</w:t>
      </w:r>
      <w:r>
        <w:rPr>
          <w:rStyle w:val="FootnoteReference"/>
          <w:rFonts w:asciiTheme="majorHAnsi" w:hAnsiTheme="majorHAnsi"/>
          <w:sz w:val="26"/>
          <w:szCs w:val="26"/>
          <w:lang w:val="en-GB"/>
        </w:rPr>
        <w:footnoteReference w:id="208"/>
      </w:r>
      <w:r>
        <w:rPr>
          <w:rFonts w:asciiTheme="majorHAnsi" w:hAnsiTheme="majorHAnsi"/>
          <w:sz w:val="26"/>
          <w:szCs w:val="26"/>
          <w:lang w:val="en-GB"/>
        </w:rPr>
        <w:t xml:space="preserve"> The businessman was involved on the side in a hotel construction, issuing bills endorsed by Macry worth of 72.000 lire, which, however, he could not honour.</w:t>
      </w:r>
      <w:r>
        <w:rPr>
          <w:rStyle w:val="FootnoteReference"/>
          <w:rFonts w:asciiTheme="majorHAnsi" w:hAnsiTheme="majorHAnsi"/>
          <w:sz w:val="26"/>
          <w:szCs w:val="26"/>
          <w:lang w:val="en-GB"/>
        </w:rPr>
        <w:footnoteReference w:id="209"/>
      </w:r>
      <w:r>
        <w:rPr>
          <w:rFonts w:asciiTheme="majorHAnsi" w:hAnsiTheme="majorHAnsi"/>
          <w:sz w:val="26"/>
          <w:szCs w:val="26"/>
          <w:lang w:val="en-GB"/>
        </w:rPr>
        <w:t xml:space="preserve"> The issue resolved itself in a tragedy, with the suicide of </w:t>
      </w:r>
      <w:proofErr w:type="spellStart"/>
      <w:r>
        <w:rPr>
          <w:rFonts w:asciiTheme="majorHAnsi" w:hAnsiTheme="majorHAnsi"/>
          <w:sz w:val="26"/>
          <w:szCs w:val="26"/>
          <w:lang w:val="en-GB"/>
        </w:rPr>
        <w:t>Mr.</w:t>
      </w:r>
      <w:proofErr w:type="spellEnd"/>
      <w:r>
        <w:rPr>
          <w:rFonts w:asciiTheme="majorHAnsi" w:hAnsiTheme="majorHAnsi"/>
          <w:sz w:val="26"/>
          <w:szCs w:val="26"/>
          <w:lang w:val="en-GB"/>
        </w:rPr>
        <w:t xml:space="preserve"> Fiocca; Macry, as his endorser, found himself unable to repay his debts.</w:t>
      </w:r>
      <w:r>
        <w:rPr>
          <w:rStyle w:val="FootnoteReference"/>
          <w:rFonts w:asciiTheme="majorHAnsi" w:hAnsiTheme="majorHAnsi"/>
          <w:sz w:val="26"/>
          <w:szCs w:val="26"/>
          <w:lang w:val="en-GB"/>
        </w:rPr>
        <w:footnoteReference w:id="210"/>
      </w:r>
      <w:r>
        <w:rPr>
          <w:rFonts w:asciiTheme="majorHAnsi" w:hAnsiTheme="majorHAnsi"/>
          <w:sz w:val="26"/>
          <w:szCs w:val="26"/>
          <w:lang w:val="en-GB"/>
        </w:rPr>
        <w:t xml:space="preserve"> This event caused a chain reaction from personal creditors of Fiocca and Macry, including the Bank of Naples, which pressured Macry to repay instantly every debt.</w:t>
      </w:r>
      <w:r>
        <w:rPr>
          <w:rStyle w:val="FootnoteReference"/>
          <w:rFonts w:asciiTheme="majorHAnsi" w:hAnsiTheme="majorHAnsi"/>
          <w:sz w:val="26"/>
          <w:szCs w:val="26"/>
          <w:lang w:val="en-GB"/>
        </w:rPr>
        <w:footnoteReference w:id="211"/>
      </w:r>
      <w:r>
        <w:rPr>
          <w:rFonts w:asciiTheme="majorHAnsi" w:hAnsiTheme="majorHAnsi"/>
          <w:sz w:val="26"/>
          <w:szCs w:val="26"/>
          <w:lang w:val="en-GB"/>
        </w:rPr>
        <w:t xml:space="preserve"> Having his back against the wall, Macry was forced to file for bankruptcy.</w:t>
      </w:r>
      <w:r>
        <w:rPr>
          <w:rStyle w:val="FootnoteReference"/>
          <w:rFonts w:asciiTheme="majorHAnsi" w:hAnsiTheme="majorHAnsi"/>
          <w:sz w:val="26"/>
          <w:szCs w:val="26"/>
          <w:lang w:val="en-GB"/>
        </w:rPr>
        <w:footnoteReference w:id="212"/>
      </w:r>
      <w:r>
        <w:rPr>
          <w:rFonts w:asciiTheme="majorHAnsi" w:hAnsiTheme="majorHAnsi"/>
          <w:sz w:val="26"/>
          <w:szCs w:val="26"/>
          <w:lang w:val="en-GB"/>
        </w:rPr>
        <w:t xml:space="preserve"> </w:t>
      </w:r>
    </w:p>
    <w:p w14:paraId="36D204C3" w14:textId="77777777" w:rsidR="000F55D9" w:rsidRDefault="000F55D9" w:rsidP="00602BC0">
      <w:pPr>
        <w:rPr>
          <w:rFonts w:asciiTheme="majorHAnsi" w:hAnsiTheme="majorHAnsi"/>
          <w:b/>
          <w:sz w:val="26"/>
          <w:szCs w:val="26"/>
          <w:lang w:val="en-GB"/>
        </w:rPr>
      </w:pPr>
    </w:p>
    <w:p w14:paraId="14A54839" w14:textId="77777777" w:rsidR="00EB0B63" w:rsidRDefault="00EB0B63" w:rsidP="00602BC0">
      <w:pPr>
        <w:rPr>
          <w:rFonts w:asciiTheme="majorHAnsi" w:hAnsiTheme="majorHAnsi"/>
          <w:b/>
          <w:sz w:val="26"/>
          <w:szCs w:val="26"/>
          <w:lang w:val="en-GB"/>
        </w:rPr>
      </w:pPr>
      <w:r w:rsidRPr="00843074">
        <w:rPr>
          <w:rFonts w:asciiTheme="majorHAnsi" w:hAnsiTheme="majorHAnsi"/>
          <w:b/>
          <w:sz w:val="26"/>
          <w:szCs w:val="26"/>
          <w:lang w:val="en-GB"/>
        </w:rPr>
        <w:lastRenderedPageBreak/>
        <w:t>Ansaldo’s use of credit</w:t>
      </w:r>
    </w:p>
    <w:p w14:paraId="23D078D8" w14:textId="18A677EA" w:rsidR="00EB0B63" w:rsidRDefault="00EB0B63" w:rsidP="00602BC0">
      <w:pPr>
        <w:rPr>
          <w:rFonts w:asciiTheme="majorHAnsi" w:hAnsiTheme="majorHAnsi"/>
          <w:sz w:val="26"/>
          <w:szCs w:val="26"/>
          <w:lang w:val="en-GB"/>
        </w:rPr>
      </w:pPr>
      <w:r>
        <w:rPr>
          <w:rFonts w:asciiTheme="majorHAnsi" w:hAnsiTheme="majorHAnsi"/>
          <w:sz w:val="26"/>
          <w:szCs w:val="26"/>
          <w:lang w:val="en-GB"/>
        </w:rPr>
        <w:t>As in the case of Pietrarsa, much of the early history of the Ansaldo would be characterized by constant budget deficit resulting in multiple bank loans.</w:t>
      </w:r>
      <w:r>
        <w:rPr>
          <w:rStyle w:val="FootnoteReference"/>
          <w:rFonts w:asciiTheme="majorHAnsi" w:hAnsiTheme="majorHAnsi"/>
          <w:sz w:val="26"/>
          <w:szCs w:val="26"/>
          <w:lang w:val="en-GB"/>
        </w:rPr>
        <w:footnoteReference w:id="213"/>
      </w:r>
      <w:r>
        <w:rPr>
          <w:rFonts w:asciiTheme="majorHAnsi" w:hAnsiTheme="majorHAnsi"/>
          <w:sz w:val="26"/>
          <w:szCs w:val="26"/>
          <w:lang w:val="en-GB"/>
        </w:rPr>
        <w:t xml:space="preserve"> For credit, the Ansaldo enjoyed a privileged relationship with the National Bank of the Italian Kingdom, presided by Carlo Bombrini himself; prior to unification the banking institution was called National Bank of Sardinian States, and was founded in 1848.</w:t>
      </w:r>
      <w:r>
        <w:rPr>
          <w:rStyle w:val="FootnoteReference"/>
          <w:rFonts w:asciiTheme="majorHAnsi" w:hAnsiTheme="majorHAnsi"/>
          <w:sz w:val="26"/>
          <w:szCs w:val="26"/>
          <w:lang w:val="en-GB"/>
        </w:rPr>
        <w:footnoteReference w:id="214"/>
      </w:r>
      <w:r>
        <w:rPr>
          <w:rFonts w:asciiTheme="majorHAnsi" w:hAnsiTheme="majorHAnsi"/>
          <w:sz w:val="26"/>
          <w:szCs w:val="26"/>
          <w:lang w:val="en-GB"/>
        </w:rPr>
        <w:t xml:space="preserve"> On top of that, Bombrini was one of the three founders of the Ansaldo in 1853.</w:t>
      </w:r>
      <w:r>
        <w:rPr>
          <w:rStyle w:val="FootnoteReference"/>
          <w:rFonts w:asciiTheme="majorHAnsi" w:hAnsiTheme="majorHAnsi"/>
          <w:sz w:val="26"/>
          <w:szCs w:val="26"/>
          <w:lang w:val="en-GB"/>
        </w:rPr>
        <w:footnoteReference w:id="215"/>
      </w:r>
      <w:r w:rsidR="000A43EF">
        <w:rPr>
          <w:rFonts w:asciiTheme="majorHAnsi" w:hAnsiTheme="majorHAnsi"/>
          <w:sz w:val="26"/>
          <w:szCs w:val="26"/>
          <w:lang w:val="en-GB"/>
        </w:rPr>
        <w:t xml:space="preserve"> </w:t>
      </w:r>
      <w:r>
        <w:rPr>
          <w:rFonts w:asciiTheme="majorHAnsi" w:hAnsiTheme="majorHAnsi"/>
          <w:sz w:val="26"/>
          <w:szCs w:val="26"/>
          <w:lang w:val="en-GB"/>
        </w:rPr>
        <w:t xml:space="preserve">Unfortunately, the exact chronology of banking loans emitted to the Ansaldo is not treated in the available secondary literature; what is known is the total amount of debts accumulated towards the National Bank, as well as a roughly the timing of those financial interventions when they coincided with particularly difficult situations of the company. </w:t>
      </w:r>
      <w:r w:rsidR="000A43EF">
        <w:rPr>
          <w:rFonts w:asciiTheme="majorHAnsi" w:hAnsiTheme="majorHAnsi"/>
          <w:sz w:val="26"/>
          <w:szCs w:val="26"/>
          <w:lang w:val="en-GB"/>
        </w:rPr>
        <w:br/>
      </w:r>
      <w:r w:rsidR="000A43EF">
        <w:rPr>
          <w:rFonts w:asciiTheme="majorHAnsi" w:hAnsiTheme="majorHAnsi"/>
          <w:sz w:val="26"/>
          <w:szCs w:val="26"/>
          <w:lang w:val="en-GB"/>
        </w:rPr>
        <w:tab/>
      </w:r>
      <w:r>
        <w:rPr>
          <w:rFonts w:asciiTheme="majorHAnsi" w:hAnsiTheme="majorHAnsi"/>
          <w:sz w:val="26"/>
          <w:szCs w:val="26"/>
          <w:lang w:val="en-GB"/>
        </w:rPr>
        <w:t xml:space="preserve">The first period of crisis of the Ansaldo went from its creation in 1853 to 1859, period in which </w:t>
      </w:r>
      <w:r w:rsidR="00CD15BE">
        <w:rPr>
          <w:rFonts w:asciiTheme="majorHAnsi" w:hAnsiTheme="majorHAnsi"/>
          <w:sz w:val="26"/>
          <w:szCs w:val="26"/>
          <w:lang w:val="en-GB"/>
        </w:rPr>
        <w:t>public contracts were particularly scarce</w:t>
      </w:r>
      <w:r>
        <w:rPr>
          <w:rFonts w:asciiTheme="majorHAnsi" w:hAnsiTheme="majorHAnsi"/>
          <w:sz w:val="26"/>
          <w:szCs w:val="26"/>
          <w:lang w:val="en-GB"/>
        </w:rPr>
        <w:t>.</w:t>
      </w:r>
      <w:r>
        <w:rPr>
          <w:rStyle w:val="FootnoteReference"/>
          <w:rFonts w:asciiTheme="majorHAnsi" w:hAnsiTheme="majorHAnsi"/>
          <w:sz w:val="26"/>
          <w:szCs w:val="26"/>
          <w:lang w:val="en-GB"/>
        </w:rPr>
        <w:footnoteReference w:id="216"/>
      </w:r>
      <w:r>
        <w:rPr>
          <w:rFonts w:asciiTheme="majorHAnsi" w:hAnsiTheme="majorHAnsi"/>
          <w:sz w:val="26"/>
          <w:szCs w:val="26"/>
          <w:lang w:val="en-GB"/>
        </w:rPr>
        <w:t xml:space="preserve"> In 1858, therefore, a major source of vital injection of capitals came from the discount of foreign bills performed by Bombrini as president of the National Bank: such bills could not have been discounted in foreign countries, given the lack of foreign funds of the Ansaldo, and therefore always required the special powers of the director to perform the operation.</w:t>
      </w:r>
      <w:r>
        <w:rPr>
          <w:rStyle w:val="FootnoteReference"/>
          <w:rFonts w:asciiTheme="majorHAnsi" w:hAnsiTheme="majorHAnsi"/>
          <w:sz w:val="26"/>
          <w:szCs w:val="26"/>
          <w:lang w:val="en-GB"/>
        </w:rPr>
        <w:footnoteReference w:id="217"/>
      </w:r>
      <w:r>
        <w:rPr>
          <w:rFonts w:asciiTheme="majorHAnsi" w:hAnsiTheme="majorHAnsi"/>
          <w:sz w:val="26"/>
          <w:szCs w:val="26"/>
          <w:lang w:val="en-GB"/>
        </w:rPr>
        <w:t xml:space="preserve"> Furthermore, the director of the bank after Bombrini’s death would accuse such operations to be performed for fake bills, or bills coming from failed enterprises.</w:t>
      </w:r>
      <w:r>
        <w:rPr>
          <w:rStyle w:val="FootnoteReference"/>
          <w:rFonts w:asciiTheme="majorHAnsi" w:hAnsiTheme="majorHAnsi"/>
          <w:sz w:val="26"/>
          <w:szCs w:val="26"/>
          <w:lang w:val="en-GB"/>
        </w:rPr>
        <w:footnoteReference w:id="218"/>
      </w:r>
      <w:r>
        <w:rPr>
          <w:rFonts w:asciiTheme="majorHAnsi" w:hAnsiTheme="majorHAnsi"/>
          <w:sz w:val="26"/>
          <w:szCs w:val="26"/>
          <w:lang w:val="en-GB"/>
        </w:rPr>
        <w:t xml:space="preserve"> Also, any interest to be paid for those titles was not collected.</w:t>
      </w:r>
      <w:r>
        <w:rPr>
          <w:rStyle w:val="FootnoteReference"/>
          <w:rFonts w:asciiTheme="majorHAnsi" w:hAnsiTheme="majorHAnsi"/>
          <w:sz w:val="26"/>
          <w:szCs w:val="26"/>
          <w:lang w:val="en-GB"/>
        </w:rPr>
        <w:footnoteReference w:id="219"/>
      </w:r>
      <w:r>
        <w:rPr>
          <w:rFonts w:asciiTheme="majorHAnsi" w:hAnsiTheme="majorHAnsi"/>
          <w:sz w:val="26"/>
          <w:szCs w:val="26"/>
          <w:lang w:val="en-GB"/>
        </w:rPr>
        <w:t xml:space="preserve"> In 1858, the debt of the company amounted to roughly 1 million lire.</w:t>
      </w:r>
      <w:r>
        <w:rPr>
          <w:rStyle w:val="FootnoteReference"/>
          <w:rFonts w:asciiTheme="majorHAnsi" w:hAnsiTheme="majorHAnsi"/>
          <w:sz w:val="26"/>
          <w:szCs w:val="26"/>
          <w:lang w:val="en-GB"/>
        </w:rPr>
        <w:footnoteReference w:id="220"/>
      </w:r>
      <w:r>
        <w:rPr>
          <w:rFonts w:asciiTheme="majorHAnsi" w:hAnsiTheme="majorHAnsi"/>
          <w:sz w:val="26"/>
          <w:szCs w:val="26"/>
          <w:lang w:val="en-GB"/>
        </w:rPr>
        <w:br/>
      </w:r>
      <w:r>
        <w:rPr>
          <w:rFonts w:asciiTheme="majorHAnsi" w:hAnsiTheme="majorHAnsi"/>
          <w:sz w:val="26"/>
          <w:szCs w:val="26"/>
          <w:lang w:val="en-GB"/>
        </w:rPr>
        <w:tab/>
        <w:t>After the good season following the Second War of Independence in 1859, from 1863 onwards the Ansaldo began to accumulate losses, and in 1872 its debts towards the National Bank amounted to 4 million lire.</w:t>
      </w:r>
      <w:r>
        <w:rPr>
          <w:rStyle w:val="FootnoteReference"/>
          <w:rFonts w:asciiTheme="majorHAnsi" w:hAnsiTheme="majorHAnsi"/>
          <w:sz w:val="26"/>
          <w:szCs w:val="26"/>
          <w:lang w:val="en-GB"/>
        </w:rPr>
        <w:footnoteReference w:id="221"/>
      </w:r>
      <w:r>
        <w:rPr>
          <w:rFonts w:asciiTheme="majorHAnsi" w:hAnsiTheme="majorHAnsi"/>
          <w:sz w:val="26"/>
          <w:szCs w:val="26"/>
          <w:lang w:val="en-GB"/>
        </w:rPr>
        <w:t xml:space="preserve"> This financial situation coincides with the budget cuts of the state that occurred during the 1870s, already mentioned in the previous chapter, which saw a drastic decrease in public contracts from the Navy.</w:t>
      </w:r>
      <w:r>
        <w:rPr>
          <w:rStyle w:val="FootnoteReference"/>
          <w:rFonts w:asciiTheme="majorHAnsi" w:hAnsiTheme="majorHAnsi"/>
          <w:sz w:val="26"/>
          <w:szCs w:val="26"/>
          <w:lang w:val="en-GB"/>
        </w:rPr>
        <w:footnoteReference w:id="222"/>
      </w:r>
      <w:r>
        <w:rPr>
          <w:rFonts w:asciiTheme="majorHAnsi" w:hAnsiTheme="majorHAnsi"/>
          <w:sz w:val="26"/>
          <w:szCs w:val="26"/>
          <w:lang w:val="en-GB"/>
        </w:rPr>
        <w:t xml:space="preserve"> The decrease of profits from commissions is further confirmed by the proportions to which this debt would amount in the following years: in 1876 it reached 9 million lire.</w:t>
      </w:r>
      <w:r>
        <w:rPr>
          <w:rStyle w:val="FootnoteReference"/>
          <w:rFonts w:asciiTheme="majorHAnsi" w:hAnsiTheme="majorHAnsi"/>
          <w:sz w:val="26"/>
          <w:szCs w:val="26"/>
          <w:lang w:val="en-GB"/>
        </w:rPr>
        <w:footnoteReference w:id="223"/>
      </w:r>
      <w:r>
        <w:rPr>
          <w:rFonts w:asciiTheme="majorHAnsi" w:hAnsiTheme="majorHAnsi"/>
          <w:sz w:val="26"/>
          <w:szCs w:val="26"/>
          <w:lang w:val="en-GB"/>
        </w:rPr>
        <w:br/>
      </w:r>
      <w:r>
        <w:rPr>
          <w:rFonts w:asciiTheme="majorHAnsi" w:hAnsiTheme="majorHAnsi"/>
          <w:sz w:val="26"/>
          <w:szCs w:val="26"/>
          <w:lang w:val="en-GB"/>
        </w:rPr>
        <w:tab/>
        <w:t xml:space="preserve">Overall, in 1882 the society </w:t>
      </w:r>
      <w:r w:rsidR="000F55D9">
        <w:rPr>
          <w:rFonts w:asciiTheme="majorHAnsi" w:hAnsiTheme="majorHAnsi"/>
          <w:sz w:val="26"/>
          <w:szCs w:val="26"/>
          <w:lang w:val="en-GB"/>
        </w:rPr>
        <w:t>owed</w:t>
      </w:r>
      <w:r>
        <w:rPr>
          <w:rFonts w:asciiTheme="majorHAnsi" w:hAnsiTheme="majorHAnsi"/>
          <w:sz w:val="26"/>
          <w:szCs w:val="26"/>
          <w:lang w:val="en-GB"/>
        </w:rPr>
        <w:t xml:space="preserve"> 7.484.000 milli</w:t>
      </w:r>
      <w:r w:rsidR="000F55D9">
        <w:rPr>
          <w:rFonts w:asciiTheme="majorHAnsi" w:hAnsiTheme="majorHAnsi"/>
          <w:sz w:val="26"/>
          <w:szCs w:val="26"/>
          <w:lang w:val="en-GB"/>
        </w:rPr>
        <w:t>on lire to the National Bank, to</w:t>
      </w:r>
      <w:r>
        <w:rPr>
          <w:rFonts w:asciiTheme="majorHAnsi" w:hAnsiTheme="majorHAnsi"/>
          <w:sz w:val="26"/>
          <w:szCs w:val="26"/>
          <w:lang w:val="en-GB"/>
        </w:rPr>
        <w:t xml:space="preserve"> </w:t>
      </w:r>
      <w:r>
        <w:rPr>
          <w:rFonts w:asciiTheme="majorHAnsi" w:hAnsiTheme="majorHAnsi"/>
          <w:sz w:val="26"/>
          <w:szCs w:val="26"/>
          <w:lang w:val="en-GB"/>
        </w:rPr>
        <w:lastRenderedPageBreak/>
        <w:t>which 3.471.783 million lire of non-repaid interests must be added, for a total sum that exceeded 11 million.</w:t>
      </w:r>
      <w:r>
        <w:rPr>
          <w:rStyle w:val="FootnoteReference"/>
          <w:rFonts w:asciiTheme="majorHAnsi" w:hAnsiTheme="majorHAnsi"/>
          <w:sz w:val="26"/>
          <w:szCs w:val="26"/>
          <w:lang w:val="en-GB"/>
        </w:rPr>
        <w:footnoteReference w:id="224"/>
      </w:r>
      <w:r>
        <w:rPr>
          <w:rFonts w:asciiTheme="majorHAnsi" w:hAnsiTheme="majorHAnsi"/>
          <w:sz w:val="26"/>
          <w:szCs w:val="26"/>
          <w:lang w:val="en-GB"/>
        </w:rPr>
        <w:t xml:space="preserve"> Furthermore, Bombrini himself had anticipated a total of 2.708.000 to the Ansaldo without interests.</w:t>
      </w:r>
      <w:r>
        <w:rPr>
          <w:rStyle w:val="FootnoteReference"/>
          <w:rFonts w:asciiTheme="majorHAnsi" w:hAnsiTheme="majorHAnsi"/>
          <w:sz w:val="26"/>
          <w:szCs w:val="26"/>
          <w:lang w:val="en-GB"/>
        </w:rPr>
        <w:footnoteReference w:id="225"/>
      </w:r>
      <w:r>
        <w:rPr>
          <w:rFonts w:asciiTheme="majorHAnsi" w:hAnsiTheme="majorHAnsi"/>
          <w:sz w:val="26"/>
          <w:szCs w:val="26"/>
          <w:lang w:val="en-GB"/>
        </w:rPr>
        <w:t xml:space="preserve"> The disbursement of credit from the National Bank to the Ansaldo stemmed essentially from personal decisions of Bombrini.</w:t>
      </w:r>
      <w:r>
        <w:rPr>
          <w:rStyle w:val="FootnoteReference"/>
          <w:rFonts w:asciiTheme="majorHAnsi" w:hAnsiTheme="majorHAnsi"/>
          <w:sz w:val="26"/>
          <w:szCs w:val="26"/>
          <w:lang w:val="en-GB"/>
        </w:rPr>
        <w:footnoteReference w:id="226"/>
      </w:r>
      <w:r>
        <w:rPr>
          <w:rFonts w:asciiTheme="majorHAnsi" w:hAnsiTheme="majorHAnsi"/>
          <w:sz w:val="26"/>
          <w:szCs w:val="26"/>
          <w:lang w:val="en-GB"/>
        </w:rPr>
        <w:t xml:space="preserve"> Therefore, such loans were given without any regular form of guarantee, due to the coincidence of the Administrative Council of the Bank and the company embodied by Bombrini.</w:t>
      </w:r>
      <w:r>
        <w:rPr>
          <w:rStyle w:val="FootnoteReference"/>
          <w:rFonts w:asciiTheme="majorHAnsi" w:hAnsiTheme="majorHAnsi"/>
          <w:sz w:val="26"/>
          <w:szCs w:val="26"/>
          <w:lang w:val="en-GB"/>
        </w:rPr>
        <w:footnoteReference w:id="227"/>
      </w:r>
      <w:r>
        <w:rPr>
          <w:rFonts w:asciiTheme="majorHAnsi" w:hAnsiTheme="majorHAnsi"/>
          <w:sz w:val="26"/>
          <w:szCs w:val="26"/>
          <w:lang w:val="en-GB"/>
        </w:rPr>
        <w:t xml:space="preserve"> In short, credit had been given to the Ansaldo until 1882 on a purely clientelist basis.</w:t>
      </w:r>
      <w:r>
        <w:rPr>
          <w:rStyle w:val="FootnoteReference"/>
          <w:rFonts w:asciiTheme="majorHAnsi" w:hAnsiTheme="majorHAnsi"/>
          <w:sz w:val="26"/>
          <w:szCs w:val="26"/>
          <w:lang w:val="en-GB"/>
        </w:rPr>
        <w:footnoteReference w:id="228"/>
      </w:r>
    </w:p>
    <w:p w14:paraId="0FB8AA8C" w14:textId="77777777" w:rsidR="00EB0B63" w:rsidRDefault="00EB0B63" w:rsidP="00602BC0">
      <w:pPr>
        <w:rPr>
          <w:rFonts w:asciiTheme="majorHAnsi" w:hAnsiTheme="majorHAnsi"/>
          <w:b/>
          <w:sz w:val="26"/>
          <w:szCs w:val="26"/>
          <w:lang w:val="en-GB"/>
        </w:rPr>
      </w:pPr>
      <w:r>
        <w:rPr>
          <w:rFonts w:asciiTheme="majorHAnsi" w:hAnsiTheme="majorHAnsi"/>
          <w:b/>
          <w:sz w:val="26"/>
          <w:szCs w:val="26"/>
          <w:lang w:val="en-GB"/>
        </w:rPr>
        <w:t>The comparison of c</w:t>
      </w:r>
      <w:r w:rsidRPr="0064216D">
        <w:rPr>
          <w:rFonts w:asciiTheme="majorHAnsi" w:hAnsiTheme="majorHAnsi"/>
          <w:b/>
          <w:sz w:val="26"/>
          <w:szCs w:val="26"/>
          <w:lang w:val="en-GB"/>
        </w:rPr>
        <w:t>redit</w:t>
      </w:r>
      <w:r>
        <w:rPr>
          <w:rFonts w:asciiTheme="majorHAnsi" w:hAnsiTheme="majorHAnsi"/>
          <w:b/>
          <w:sz w:val="26"/>
          <w:szCs w:val="26"/>
          <w:lang w:val="en-GB"/>
        </w:rPr>
        <w:t xml:space="preserve"> usage between Pietrarsa and Ansaldo</w:t>
      </w:r>
    </w:p>
    <w:p w14:paraId="3A73798D" w14:textId="7230C657" w:rsidR="00EB0B63" w:rsidRPr="006B7DB2" w:rsidRDefault="00EB0B63" w:rsidP="00602BC0">
      <w:pPr>
        <w:rPr>
          <w:rFonts w:asciiTheme="majorHAnsi" w:hAnsiTheme="majorHAnsi"/>
          <w:sz w:val="26"/>
          <w:szCs w:val="26"/>
          <w:lang w:val="en-GB"/>
        </w:rPr>
      </w:pPr>
      <w:r w:rsidRPr="006B7DB2">
        <w:rPr>
          <w:rFonts w:asciiTheme="majorHAnsi" w:hAnsiTheme="majorHAnsi"/>
          <w:sz w:val="26"/>
          <w:szCs w:val="26"/>
          <w:lang w:val="en-GB"/>
        </w:rPr>
        <w:t xml:space="preserve">In one way Pietrarsa and Ansaldo had experienced very similar situations when it came to the circumstances that led to their compulsive use of credit. It cannot be said that either of them had ever enjoyed a stable financial situation up to this point, let alone regular profits, and resort to credit characterized an essential feature of survival at this stage. What differed greatly, however, was the amount of credit that each factory could </w:t>
      </w:r>
      <w:r w:rsidR="000F55D9">
        <w:rPr>
          <w:rFonts w:asciiTheme="majorHAnsi" w:hAnsiTheme="majorHAnsi"/>
          <w:sz w:val="26"/>
          <w:szCs w:val="26"/>
          <w:lang w:val="en-GB"/>
        </w:rPr>
        <w:t>benefit from.</w:t>
      </w:r>
      <w:r w:rsidRPr="006B7DB2">
        <w:rPr>
          <w:rFonts w:asciiTheme="majorHAnsi" w:hAnsiTheme="majorHAnsi"/>
          <w:sz w:val="26"/>
          <w:szCs w:val="26"/>
          <w:lang w:val="en-GB"/>
        </w:rPr>
        <w:t xml:space="preserve"> As mentioned above, Pietrarsa had declared bankruptcy with an accumulated debt of 4 million lire, while the Ansaldo could go on to receive credit for 11 million lire worth, because of its privileged relationship with the National Bank. In that regard, the role of Carlo Bombrini as president of the banking institution as well as a major shareholder of the Ansaldo was the element that characterized such a difference. </w:t>
      </w:r>
      <w:r w:rsidRPr="006B7DB2">
        <w:rPr>
          <w:rFonts w:asciiTheme="majorHAnsi" w:hAnsiTheme="majorHAnsi"/>
          <w:sz w:val="26"/>
          <w:szCs w:val="26"/>
          <w:lang w:val="en-GB"/>
        </w:rPr>
        <w:br/>
      </w:r>
      <w:r w:rsidRPr="006B7DB2">
        <w:rPr>
          <w:rFonts w:asciiTheme="majorHAnsi" w:hAnsiTheme="majorHAnsi"/>
          <w:sz w:val="26"/>
          <w:szCs w:val="26"/>
          <w:lang w:val="en-GB"/>
        </w:rPr>
        <w:tab/>
      </w:r>
      <w:r w:rsidR="000F55D9">
        <w:rPr>
          <w:rFonts w:asciiTheme="majorHAnsi" w:hAnsiTheme="majorHAnsi"/>
          <w:sz w:val="26"/>
          <w:szCs w:val="26"/>
          <w:lang w:val="en-GB"/>
        </w:rPr>
        <w:t xml:space="preserve">When </w:t>
      </w:r>
      <w:r w:rsidRPr="006B7DB2">
        <w:rPr>
          <w:rFonts w:asciiTheme="majorHAnsi" w:hAnsiTheme="majorHAnsi"/>
          <w:sz w:val="26"/>
          <w:szCs w:val="26"/>
          <w:lang w:val="en-GB"/>
        </w:rPr>
        <w:t xml:space="preserve">it comes to credit, </w:t>
      </w:r>
      <w:r w:rsidR="000F55D9">
        <w:rPr>
          <w:rFonts w:asciiTheme="majorHAnsi" w:hAnsiTheme="majorHAnsi"/>
          <w:sz w:val="26"/>
          <w:szCs w:val="26"/>
          <w:lang w:val="en-GB"/>
        </w:rPr>
        <w:t>therefore</w:t>
      </w:r>
      <w:r w:rsidRPr="006B7DB2">
        <w:rPr>
          <w:rFonts w:asciiTheme="majorHAnsi" w:hAnsiTheme="majorHAnsi"/>
          <w:sz w:val="26"/>
          <w:szCs w:val="26"/>
          <w:lang w:val="en-GB"/>
        </w:rPr>
        <w:t xml:space="preserve">, the Ansaldo benefited of an amount three times superior to the accumulated debt of Pietrarsa, considering interests. On the basis of such a major difference, it is safe to say that according to Mill’s method of difference the cause of failure of Pietrarsa and success of the Ansaldo, up to this point in time, can be attributed to the </w:t>
      </w:r>
      <w:r w:rsidR="000F55D9">
        <w:rPr>
          <w:rFonts w:asciiTheme="majorHAnsi" w:hAnsiTheme="majorHAnsi"/>
          <w:sz w:val="26"/>
          <w:szCs w:val="26"/>
          <w:lang w:val="en-GB"/>
        </w:rPr>
        <w:t>difference</w:t>
      </w:r>
      <w:r w:rsidRPr="006B7DB2">
        <w:rPr>
          <w:rFonts w:asciiTheme="majorHAnsi" w:hAnsiTheme="majorHAnsi"/>
          <w:sz w:val="26"/>
          <w:szCs w:val="26"/>
          <w:lang w:val="en-GB"/>
        </w:rPr>
        <w:t xml:space="preserve"> </w:t>
      </w:r>
      <w:proofErr w:type="spellStart"/>
      <w:r w:rsidRPr="006B7DB2">
        <w:rPr>
          <w:rFonts w:asciiTheme="majorHAnsi" w:hAnsiTheme="majorHAnsi"/>
          <w:sz w:val="26"/>
          <w:szCs w:val="26"/>
          <w:lang w:val="en-GB"/>
        </w:rPr>
        <w:t>difference</w:t>
      </w:r>
      <w:proofErr w:type="spellEnd"/>
      <w:r w:rsidRPr="006B7DB2">
        <w:rPr>
          <w:rFonts w:asciiTheme="majorHAnsi" w:hAnsiTheme="majorHAnsi"/>
          <w:sz w:val="26"/>
          <w:szCs w:val="26"/>
          <w:lang w:val="en-GB"/>
        </w:rPr>
        <w:t xml:space="preserve"> in the amount of credit that each factory </w:t>
      </w:r>
      <w:r w:rsidR="000F55D9">
        <w:rPr>
          <w:rFonts w:asciiTheme="majorHAnsi" w:hAnsiTheme="majorHAnsi"/>
          <w:sz w:val="26"/>
          <w:szCs w:val="26"/>
          <w:lang w:val="en-GB"/>
        </w:rPr>
        <w:t>benefitted from</w:t>
      </w:r>
      <w:r w:rsidRPr="006B7DB2">
        <w:rPr>
          <w:rFonts w:asciiTheme="majorHAnsi" w:hAnsiTheme="majorHAnsi"/>
          <w:sz w:val="26"/>
          <w:szCs w:val="26"/>
          <w:lang w:val="en-GB"/>
        </w:rPr>
        <w:t>, in favour of the Ansaldo. Credit was the discriminating factor that marked the selection of the Ansaldo over Pietrarsa. In light of this conclusion, the next question is how was this clientelist network related to the Italian political continuity with the pre-unitary Kingdom of Sardinia?</w:t>
      </w:r>
    </w:p>
    <w:p w14:paraId="7B0AF501" w14:textId="77777777" w:rsidR="00EB0B63" w:rsidRPr="006B7DB2" w:rsidRDefault="00EB0B63" w:rsidP="00602BC0">
      <w:pPr>
        <w:rPr>
          <w:rFonts w:asciiTheme="majorHAnsi" w:hAnsiTheme="majorHAnsi"/>
          <w:b/>
          <w:sz w:val="26"/>
          <w:szCs w:val="26"/>
          <w:lang w:val="en-GB"/>
        </w:rPr>
      </w:pPr>
      <w:r w:rsidRPr="006B7DB2">
        <w:rPr>
          <w:rFonts w:asciiTheme="majorHAnsi" w:hAnsiTheme="majorHAnsi"/>
          <w:b/>
          <w:sz w:val="26"/>
          <w:szCs w:val="26"/>
          <w:lang w:val="en-GB"/>
        </w:rPr>
        <w:t>Political continuities and credit</w:t>
      </w:r>
    </w:p>
    <w:p w14:paraId="64AEE076" w14:textId="72C8CB2F" w:rsidR="00955F9B" w:rsidRPr="00317005" w:rsidRDefault="00EB0B63" w:rsidP="005616CA">
      <w:pPr>
        <w:rPr>
          <w:rFonts w:asciiTheme="majorHAnsi" w:hAnsiTheme="majorHAnsi"/>
          <w:sz w:val="26"/>
          <w:szCs w:val="26"/>
          <w:lang w:val="en-GB"/>
        </w:rPr>
      </w:pPr>
      <w:r w:rsidRPr="006B7DB2">
        <w:rPr>
          <w:rFonts w:asciiTheme="majorHAnsi" w:hAnsiTheme="majorHAnsi"/>
          <w:sz w:val="26"/>
          <w:szCs w:val="26"/>
          <w:lang w:val="en-GB"/>
        </w:rPr>
        <w:t xml:space="preserve">The privileged relationship between the National Bank and the state is linked to the faculty of emitting credit by one essential feature: the recurrent practice to abandon the gold standard exclusively for that issuing bank during strategic periods, in order </w:t>
      </w:r>
      <w:r w:rsidRPr="006B7DB2">
        <w:rPr>
          <w:rFonts w:asciiTheme="majorHAnsi" w:hAnsiTheme="majorHAnsi"/>
          <w:sz w:val="26"/>
          <w:szCs w:val="26"/>
          <w:lang w:val="en-GB"/>
        </w:rPr>
        <w:lastRenderedPageBreak/>
        <w:t>for the state to benefit from massive loans in times of difficulty.</w:t>
      </w:r>
      <w:r w:rsidRPr="006B7DB2">
        <w:rPr>
          <w:rStyle w:val="FootnoteReference"/>
          <w:rFonts w:asciiTheme="majorHAnsi" w:hAnsiTheme="majorHAnsi"/>
          <w:sz w:val="26"/>
          <w:szCs w:val="26"/>
          <w:lang w:val="en-GB"/>
        </w:rPr>
        <w:footnoteReference w:id="229"/>
      </w:r>
      <w:r w:rsidRPr="006B7DB2">
        <w:rPr>
          <w:rFonts w:asciiTheme="majorHAnsi" w:hAnsiTheme="majorHAnsi"/>
          <w:sz w:val="26"/>
          <w:szCs w:val="26"/>
          <w:lang w:val="en-GB"/>
        </w:rPr>
        <w:t xml:space="preserve"> This practice had started already in 1848 and would continue in post-unitary Italy, resulting in the active state support of the National Bank of Sardinia, which meanwhile had renamed itself National Bank of the Kingdom of Italy and expanded its state-assisted monopoly through-out the peninsula.</w:t>
      </w:r>
      <w:r w:rsidRPr="006B7DB2">
        <w:rPr>
          <w:rStyle w:val="FootnoteReference"/>
          <w:rFonts w:asciiTheme="majorHAnsi" w:hAnsiTheme="majorHAnsi"/>
          <w:sz w:val="26"/>
          <w:szCs w:val="26"/>
          <w:lang w:val="en-GB"/>
        </w:rPr>
        <w:footnoteReference w:id="230"/>
      </w:r>
      <w:r w:rsidRPr="006B7DB2">
        <w:rPr>
          <w:rFonts w:asciiTheme="majorHAnsi" w:hAnsiTheme="majorHAnsi"/>
          <w:sz w:val="26"/>
          <w:szCs w:val="26"/>
          <w:lang w:val="en-GB"/>
        </w:rPr>
        <w:t xml:space="preserve"> This exclusive right given to the National Bank would naturally give the institution the possibility of covering its own credit operations thanks to emission autonomy from the gold standard.</w:t>
      </w:r>
      <w:r w:rsidRPr="006B7DB2">
        <w:rPr>
          <w:rStyle w:val="FootnoteReference"/>
          <w:rFonts w:asciiTheme="majorHAnsi" w:hAnsiTheme="majorHAnsi"/>
          <w:sz w:val="26"/>
          <w:szCs w:val="26"/>
          <w:lang w:val="en-GB"/>
        </w:rPr>
        <w:footnoteReference w:id="231"/>
      </w:r>
      <w:r w:rsidRPr="006B7DB2">
        <w:rPr>
          <w:rFonts w:asciiTheme="majorHAnsi" w:hAnsiTheme="majorHAnsi"/>
          <w:sz w:val="26"/>
          <w:szCs w:val="26"/>
          <w:lang w:val="en-GB"/>
        </w:rPr>
        <w:t xml:space="preserve"> In turn, this aspect is linked to this comparative case study because of the modalities through which industries in post-unitary decades were supported by credit institutions.</w:t>
      </w:r>
      <w:r w:rsidRPr="006B7DB2">
        <w:rPr>
          <w:rFonts w:asciiTheme="majorHAnsi" w:hAnsiTheme="majorHAnsi"/>
          <w:sz w:val="26"/>
          <w:szCs w:val="26"/>
          <w:lang w:val="en-GB"/>
        </w:rPr>
        <w:br/>
      </w:r>
      <w:r w:rsidRPr="006B7DB2">
        <w:rPr>
          <w:rFonts w:asciiTheme="majorHAnsi" w:hAnsiTheme="majorHAnsi"/>
          <w:sz w:val="26"/>
          <w:szCs w:val="26"/>
          <w:lang w:val="en-GB"/>
        </w:rPr>
        <w:tab/>
        <w:t>In the aftermath of Unification Italy inherited a primitive credit system consisting in a few major issuing institutions, coupled with a small number of savings and popular banks.</w:t>
      </w:r>
      <w:r w:rsidRPr="006B7DB2">
        <w:rPr>
          <w:rStyle w:val="FootnoteReference"/>
          <w:rFonts w:asciiTheme="majorHAnsi" w:hAnsiTheme="majorHAnsi"/>
          <w:sz w:val="26"/>
          <w:szCs w:val="26"/>
          <w:lang w:val="en-GB"/>
        </w:rPr>
        <w:footnoteReference w:id="232"/>
      </w:r>
      <w:r w:rsidRPr="006B7DB2">
        <w:rPr>
          <w:rFonts w:asciiTheme="majorHAnsi" w:hAnsiTheme="majorHAnsi"/>
          <w:sz w:val="26"/>
          <w:szCs w:val="26"/>
          <w:lang w:val="en-GB"/>
        </w:rPr>
        <w:t xml:space="preserve"> The issuing banks, deriving from pre-unitary kingdoms, were the National Bank of Sardinian States, the National Bank of Tuscany, the Credit Bank of Tuscany, the Bank of Naples, the Bank of Sicily and the Bank of Rome.</w:t>
      </w:r>
      <w:r w:rsidRPr="006B7DB2">
        <w:rPr>
          <w:rStyle w:val="FootnoteReference"/>
          <w:rFonts w:asciiTheme="majorHAnsi" w:hAnsiTheme="majorHAnsi"/>
          <w:sz w:val="26"/>
          <w:szCs w:val="26"/>
          <w:lang w:val="en-GB"/>
        </w:rPr>
        <w:footnoteReference w:id="233"/>
      </w:r>
      <w:r w:rsidRPr="006B7DB2">
        <w:rPr>
          <w:rFonts w:asciiTheme="majorHAnsi" w:hAnsiTheme="majorHAnsi"/>
          <w:sz w:val="26"/>
          <w:szCs w:val="26"/>
          <w:lang w:val="en-GB"/>
        </w:rPr>
        <w:t xml:space="preserve"> The only institutions that invested in the industrial sector at that time were the National Bank, the other issuing banks on a smaller scale, and the Banca Generale and Credito Mobiliare; the two latter were important branches of the National Bank.</w:t>
      </w:r>
      <w:r w:rsidRPr="006B7DB2">
        <w:rPr>
          <w:rStyle w:val="FootnoteReference"/>
          <w:rFonts w:asciiTheme="majorHAnsi" w:hAnsiTheme="majorHAnsi"/>
          <w:sz w:val="26"/>
          <w:szCs w:val="26"/>
          <w:lang w:val="en-GB"/>
        </w:rPr>
        <w:t xml:space="preserve"> </w:t>
      </w:r>
      <w:r w:rsidRPr="006B7DB2">
        <w:rPr>
          <w:rStyle w:val="FootnoteReference"/>
          <w:rFonts w:asciiTheme="majorHAnsi" w:hAnsiTheme="majorHAnsi"/>
          <w:sz w:val="26"/>
          <w:szCs w:val="26"/>
          <w:lang w:val="en-GB"/>
        </w:rPr>
        <w:footnoteReference w:id="234"/>
      </w:r>
      <w:r w:rsidRPr="006B7DB2">
        <w:rPr>
          <w:rFonts w:asciiTheme="majorHAnsi" w:hAnsiTheme="majorHAnsi"/>
          <w:sz w:val="26"/>
          <w:szCs w:val="26"/>
          <w:lang w:val="en-GB"/>
        </w:rPr>
        <w:t xml:space="preserve"> From the start, there was an asymmetric dynamic due to the privileged relationship that the National Bank of Sardinian States enjoyed with the Italian government.</w:t>
      </w:r>
      <w:r w:rsidRPr="006B7DB2">
        <w:rPr>
          <w:rStyle w:val="FootnoteReference"/>
          <w:rFonts w:asciiTheme="majorHAnsi" w:hAnsiTheme="majorHAnsi"/>
          <w:sz w:val="26"/>
          <w:szCs w:val="26"/>
          <w:lang w:val="en-GB"/>
        </w:rPr>
        <w:footnoteReference w:id="235"/>
      </w:r>
      <w:r w:rsidRPr="006B7DB2">
        <w:rPr>
          <w:rFonts w:asciiTheme="majorHAnsi" w:hAnsiTheme="majorHAnsi"/>
          <w:sz w:val="26"/>
          <w:szCs w:val="26"/>
          <w:lang w:val="en-GB"/>
        </w:rPr>
        <w:t xml:space="preserve"> In that regard, the bank had maintained a continuity of its relationship with the state that had started already with Cavour in pre-unitary Piedmont.</w:t>
      </w:r>
      <w:r w:rsidRPr="006B7DB2">
        <w:rPr>
          <w:rStyle w:val="FootnoteReference"/>
          <w:rFonts w:asciiTheme="majorHAnsi" w:hAnsiTheme="majorHAnsi"/>
          <w:sz w:val="26"/>
          <w:szCs w:val="26"/>
          <w:lang w:val="en-GB"/>
        </w:rPr>
        <w:footnoteReference w:id="236"/>
      </w:r>
      <w:r w:rsidRPr="006B7DB2">
        <w:rPr>
          <w:rFonts w:asciiTheme="majorHAnsi" w:hAnsiTheme="majorHAnsi"/>
          <w:sz w:val="26"/>
          <w:szCs w:val="26"/>
          <w:lang w:val="en-GB"/>
        </w:rPr>
        <w:t xml:space="preserve"> In fact, already from 1848 to 1851 the Bank of Genova (future National Bank of Italy) was given the right to abandon the gold standard, in order for the state to profit of a loan of 20 million lire at a low interest rate.</w:t>
      </w:r>
      <w:r w:rsidRPr="006B7DB2">
        <w:rPr>
          <w:rStyle w:val="FootnoteReference"/>
          <w:rFonts w:asciiTheme="majorHAnsi" w:hAnsiTheme="majorHAnsi"/>
          <w:sz w:val="26"/>
          <w:szCs w:val="26"/>
          <w:lang w:val="en-GB"/>
        </w:rPr>
        <w:footnoteReference w:id="237"/>
      </w:r>
      <w:r w:rsidRPr="006B7DB2">
        <w:rPr>
          <w:rFonts w:asciiTheme="majorHAnsi" w:hAnsiTheme="majorHAnsi"/>
          <w:sz w:val="26"/>
          <w:szCs w:val="26"/>
          <w:lang w:val="en-GB"/>
        </w:rPr>
        <w:t xml:space="preserve"> The same happened in 1859-1860.</w:t>
      </w:r>
      <w:r w:rsidRPr="006B7DB2">
        <w:rPr>
          <w:rStyle w:val="FootnoteReference"/>
          <w:rFonts w:asciiTheme="majorHAnsi" w:hAnsiTheme="majorHAnsi"/>
          <w:sz w:val="26"/>
          <w:szCs w:val="26"/>
          <w:lang w:val="en-GB"/>
        </w:rPr>
        <w:footnoteReference w:id="238"/>
      </w:r>
      <w:r w:rsidR="0017559E" w:rsidRPr="006B7DB2">
        <w:rPr>
          <w:rFonts w:asciiTheme="majorHAnsi" w:hAnsiTheme="majorHAnsi"/>
          <w:sz w:val="26"/>
          <w:szCs w:val="26"/>
          <w:lang w:val="en-GB"/>
        </w:rPr>
        <w:t xml:space="preserve"> Also, i</w:t>
      </w:r>
      <w:r w:rsidRPr="006B7DB2">
        <w:rPr>
          <w:rFonts w:asciiTheme="majorHAnsi" w:hAnsiTheme="majorHAnsi"/>
          <w:sz w:val="26"/>
          <w:szCs w:val="26"/>
          <w:lang w:val="en-GB"/>
        </w:rPr>
        <w:t>n 1853, the Bank was assigned by Cavour the treasury of the state, naturally kept intact after unification due to the legislative continuity, putting the institution in the informal position of a central bank, while de facto continuing to act as a private institution.</w:t>
      </w:r>
      <w:r w:rsidRPr="006B7DB2">
        <w:rPr>
          <w:rStyle w:val="FootnoteReference"/>
          <w:rFonts w:asciiTheme="majorHAnsi" w:hAnsiTheme="majorHAnsi"/>
          <w:sz w:val="26"/>
          <w:szCs w:val="26"/>
          <w:lang w:val="en-GB"/>
        </w:rPr>
        <w:footnoteReference w:id="239"/>
      </w:r>
      <w:r w:rsidRPr="006B7DB2">
        <w:rPr>
          <w:rFonts w:asciiTheme="majorHAnsi" w:hAnsiTheme="majorHAnsi"/>
          <w:sz w:val="26"/>
          <w:szCs w:val="26"/>
          <w:lang w:val="en-GB"/>
        </w:rPr>
        <w:br/>
      </w:r>
      <w:r w:rsidRPr="006B7DB2">
        <w:rPr>
          <w:rFonts w:asciiTheme="majorHAnsi" w:hAnsiTheme="majorHAnsi"/>
          <w:sz w:val="26"/>
          <w:szCs w:val="26"/>
          <w:lang w:val="en-GB"/>
        </w:rPr>
        <w:tab/>
        <w:t xml:space="preserve">During the unification of Italy, the National Bank would follow a state supported policy of expansion, which was linked to the political annexation of Piedmont of other </w:t>
      </w:r>
      <w:r w:rsidRPr="006B7DB2">
        <w:rPr>
          <w:rFonts w:asciiTheme="majorHAnsi" w:hAnsiTheme="majorHAnsi"/>
          <w:sz w:val="26"/>
          <w:szCs w:val="26"/>
          <w:lang w:val="en-GB"/>
        </w:rPr>
        <w:lastRenderedPageBreak/>
        <w:t>pre-unitary states; Cavour and Bombrini were very open in their pursuit to of the monopoly of the faculty of emission by the National Bank already in 1853.</w:t>
      </w:r>
      <w:r w:rsidRPr="006B7DB2">
        <w:rPr>
          <w:rStyle w:val="FootnoteReference"/>
          <w:rFonts w:asciiTheme="majorHAnsi" w:hAnsiTheme="majorHAnsi"/>
          <w:sz w:val="26"/>
          <w:szCs w:val="26"/>
          <w:lang w:val="en-GB"/>
        </w:rPr>
        <w:footnoteReference w:id="240"/>
      </w:r>
      <w:r w:rsidRPr="006B7DB2">
        <w:rPr>
          <w:rFonts w:asciiTheme="majorHAnsi" w:hAnsiTheme="majorHAnsi"/>
          <w:sz w:val="26"/>
          <w:szCs w:val="26"/>
          <w:lang w:val="en-GB"/>
        </w:rPr>
        <w:t xml:space="preserve"> Its dominant position, however, did not result only through the opening of new branches. In 1866, the government issued the abolition of the gold standard exclusively for the National Bank, characterizing an asymmetrical relationship with other issuing banks; the National Bank had now the advantage of overissuing, operation in which other banks were restrained from because of convertibility costs.</w:t>
      </w:r>
      <w:r w:rsidRPr="006B7DB2">
        <w:rPr>
          <w:rStyle w:val="FootnoteReference"/>
          <w:rFonts w:asciiTheme="majorHAnsi" w:hAnsiTheme="majorHAnsi"/>
          <w:sz w:val="26"/>
          <w:szCs w:val="26"/>
          <w:lang w:val="en-GB"/>
        </w:rPr>
        <w:footnoteReference w:id="241"/>
      </w:r>
      <w:r w:rsidRPr="006B7DB2">
        <w:rPr>
          <w:rFonts w:asciiTheme="majorHAnsi" w:hAnsiTheme="majorHAnsi"/>
          <w:sz w:val="26"/>
          <w:szCs w:val="26"/>
          <w:lang w:val="en-GB"/>
        </w:rPr>
        <w:t xml:space="preserve"> On the one hand, naturally, this manifested into a greater credit emission capacity for the bank, since its possibilities for covering its own operations were illimited thanks to that level of autonomy in the emission of notes.</w:t>
      </w:r>
      <w:r w:rsidRPr="006B7DB2">
        <w:rPr>
          <w:rStyle w:val="FootnoteReference"/>
          <w:rFonts w:asciiTheme="majorHAnsi" w:hAnsiTheme="majorHAnsi"/>
          <w:sz w:val="26"/>
          <w:szCs w:val="26"/>
          <w:lang w:val="en-GB"/>
        </w:rPr>
        <w:footnoteReference w:id="242"/>
      </w:r>
      <w:r w:rsidRPr="006B7DB2">
        <w:rPr>
          <w:rFonts w:asciiTheme="majorHAnsi" w:hAnsiTheme="majorHAnsi"/>
          <w:sz w:val="26"/>
          <w:szCs w:val="26"/>
          <w:lang w:val="en-GB"/>
        </w:rPr>
        <w:t xml:space="preserve"> The political decision of this course of action was tied to the government’s need of a new loan with low interest rates; in that regard, the accumulated debt of the state towards the bank amounted to one billion in 1874.</w:t>
      </w:r>
      <w:r w:rsidRPr="006B7DB2">
        <w:rPr>
          <w:rStyle w:val="FootnoteReference"/>
          <w:rFonts w:asciiTheme="majorHAnsi" w:hAnsiTheme="majorHAnsi"/>
          <w:sz w:val="26"/>
          <w:szCs w:val="26"/>
          <w:lang w:val="en-GB"/>
        </w:rPr>
        <w:footnoteReference w:id="243"/>
      </w:r>
      <w:r w:rsidRPr="006B7DB2">
        <w:rPr>
          <w:rFonts w:asciiTheme="majorHAnsi" w:hAnsiTheme="majorHAnsi"/>
          <w:sz w:val="26"/>
          <w:szCs w:val="26"/>
          <w:lang w:val="en-GB"/>
        </w:rPr>
        <w:br/>
      </w:r>
      <w:r w:rsidRPr="006B7DB2">
        <w:rPr>
          <w:rFonts w:asciiTheme="majorHAnsi" w:hAnsiTheme="majorHAnsi"/>
          <w:sz w:val="26"/>
          <w:szCs w:val="26"/>
          <w:lang w:val="en-GB"/>
        </w:rPr>
        <w:tab/>
        <w:t>On the other hand, the abolition of the gold standard marked the absolute dominion of the National Bank in terms of emission, which in two years had already augmented its circulation from 152 million to 475 million.</w:t>
      </w:r>
      <w:r w:rsidRPr="006B7DB2">
        <w:rPr>
          <w:rStyle w:val="FootnoteReference"/>
          <w:rFonts w:asciiTheme="majorHAnsi" w:hAnsiTheme="majorHAnsi"/>
          <w:sz w:val="26"/>
          <w:szCs w:val="26"/>
          <w:lang w:val="en-GB"/>
        </w:rPr>
        <w:footnoteReference w:id="244"/>
      </w:r>
      <w:r w:rsidRPr="006B7DB2">
        <w:rPr>
          <w:rFonts w:asciiTheme="majorHAnsi" w:hAnsiTheme="majorHAnsi"/>
          <w:sz w:val="26"/>
          <w:szCs w:val="26"/>
          <w:lang w:val="en-GB"/>
        </w:rPr>
        <w:t xml:space="preserve"> In an attempt to redress the situation, the government had issued a consortium in 1874 between the major issuing banks in the emission of common notes, not subject to convertibility in gold; however, that law as well sanctioned the net superiority of the bank of Bombrini in terms of money creation.</w:t>
      </w:r>
      <w:r w:rsidRPr="006B7DB2">
        <w:rPr>
          <w:rStyle w:val="FootnoteReference"/>
          <w:rFonts w:asciiTheme="majorHAnsi" w:hAnsiTheme="majorHAnsi"/>
          <w:sz w:val="26"/>
          <w:szCs w:val="26"/>
          <w:lang w:val="en-GB"/>
        </w:rPr>
        <w:footnoteReference w:id="245"/>
      </w:r>
      <w:r w:rsidRPr="006B7DB2">
        <w:rPr>
          <w:rFonts w:asciiTheme="majorHAnsi" w:hAnsiTheme="majorHAnsi"/>
          <w:sz w:val="26"/>
          <w:szCs w:val="26"/>
          <w:lang w:val="en-GB"/>
        </w:rPr>
        <w:t xml:space="preserve"> The National Bank had been given a limit of 450 million, compared to the 146 million of the Bank of Naples and the 63 million of the Bank of Tuscany.</w:t>
      </w:r>
      <w:r w:rsidRPr="006B7DB2">
        <w:rPr>
          <w:rStyle w:val="FootnoteReference"/>
          <w:rFonts w:asciiTheme="majorHAnsi" w:hAnsiTheme="majorHAnsi"/>
          <w:sz w:val="26"/>
          <w:szCs w:val="26"/>
          <w:lang w:val="en-GB"/>
        </w:rPr>
        <w:footnoteReference w:id="246"/>
      </w:r>
      <w:r w:rsidRPr="006B7DB2">
        <w:rPr>
          <w:rFonts w:asciiTheme="majorHAnsi" w:hAnsiTheme="majorHAnsi"/>
          <w:sz w:val="26"/>
          <w:szCs w:val="26"/>
          <w:lang w:val="en-GB"/>
        </w:rPr>
        <w:t xml:space="preserve"> These measures were taken by the Italian government because of its goal to eventually entrust money emission to a single institution, trying multiple times to unite the major issuing banks after unification.</w:t>
      </w:r>
      <w:r w:rsidRPr="006B7DB2">
        <w:rPr>
          <w:rStyle w:val="FootnoteReference"/>
          <w:rFonts w:asciiTheme="majorHAnsi" w:hAnsiTheme="majorHAnsi"/>
          <w:sz w:val="26"/>
          <w:szCs w:val="26"/>
          <w:lang w:val="en-GB"/>
        </w:rPr>
        <w:footnoteReference w:id="247"/>
      </w:r>
      <w:r w:rsidRPr="006B7DB2">
        <w:rPr>
          <w:rFonts w:asciiTheme="majorHAnsi" w:hAnsiTheme="majorHAnsi"/>
          <w:sz w:val="26"/>
          <w:szCs w:val="26"/>
          <w:lang w:val="en-GB"/>
        </w:rPr>
        <w:t xml:space="preserve"> However, such a project was stai</w:t>
      </w:r>
      <w:r w:rsidR="0017559E" w:rsidRPr="006B7DB2">
        <w:rPr>
          <w:rFonts w:asciiTheme="majorHAnsi" w:hAnsiTheme="majorHAnsi"/>
          <w:sz w:val="26"/>
          <w:szCs w:val="26"/>
          <w:lang w:val="en-GB"/>
        </w:rPr>
        <w:t>ned by the obvious continuity of</w:t>
      </w:r>
      <w:r w:rsidRPr="006B7DB2">
        <w:rPr>
          <w:rFonts w:asciiTheme="majorHAnsi" w:hAnsiTheme="majorHAnsi"/>
          <w:sz w:val="26"/>
          <w:szCs w:val="26"/>
          <w:lang w:val="en-GB"/>
        </w:rPr>
        <w:t xml:space="preserve"> the privileged relationship between the National Bank and the state which originated in pre-unitary Piedmont; not surprisingly, therefore, the effort to unite those institutions failed numerous times because of the relentless resistance from the Banks of Tuscany and the Banks of Naples and Sicily, since the terms of such a project were in net favour of the Genoese institution.</w:t>
      </w:r>
      <w:r w:rsidRPr="006B7DB2">
        <w:rPr>
          <w:rStyle w:val="FootnoteReference"/>
          <w:rFonts w:asciiTheme="majorHAnsi" w:hAnsiTheme="majorHAnsi"/>
          <w:sz w:val="26"/>
          <w:szCs w:val="26"/>
          <w:lang w:val="en-GB"/>
        </w:rPr>
        <w:footnoteReference w:id="248"/>
      </w:r>
      <w:r w:rsidRPr="006B7DB2">
        <w:rPr>
          <w:rFonts w:asciiTheme="majorHAnsi" w:hAnsiTheme="majorHAnsi"/>
          <w:sz w:val="26"/>
          <w:szCs w:val="26"/>
          <w:lang w:val="en-GB"/>
        </w:rPr>
        <w:t xml:space="preserve"> </w:t>
      </w:r>
      <w:r w:rsidRPr="006B7DB2">
        <w:rPr>
          <w:rFonts w:asciiTheme="majorHAnsi" w:hAnsiTheme="majorHAnsi"/>
          <w:sz w:val="26"/>
          <w:szCs w:val="26"/>
          <w:lang w:val="en-GB"/>
        </w:rPr>
        <w:br/>
      </w:r>
      <w:r w:rsidRPr="006B7DB2">
        <w:rPr>
          <w:rFonts w:asciiTheme="majorHAnsi" w:hAnsiTheme="majorHAnsi"/>
          <w:sz w:val="26"/>
          <w:szCs w:val="26"/>
          <w:lang w:val="en-GB"/>
        </w:rPr>
        <w:lastRenderedPageBreak/>
        <w:tab/>
        <w:t>Therefore, the continuity of the privileged relationship between the National Bank and the state from the post-unitary period characterized an immobile capital that manifested itself in a significant greater availability of credit emission, enjoyed by the</w:t>
      </w:r>
      <w:r w:rsidR="00AB65D4">
        <w:rPr>
          <w:rFonts w:asciiTheme="majorHAnsi" w:hAnsiTheme="majorHAnsi"/>
          <w:sz w:val="26"/>
          <w:szCs w:val="26"/>
          <w:lang w:val="en-GB"/>
        </w:rPr>
        <w:t xml:space="preserve"> Ansaldo on a clientelist basis.</w:t>
      </w:r>
      <w:r w:rsidRPr="006B7DB2">
        <w:rPr>
          <w:rFonts w:asciiTheme="majorHAnsi" w:hAnsiTheme="majorHAnsi"/>
          <w:sz w:val="26"/>
          <w:szCs w:val="26"/>
          <w:lang w:val="en-GB"/>
        </w:rPr>
        <w:t xml:space="preserve"> In short, following Fenoaltea’s framework, credit as a mobile capital was attracted from the Ansaldo in light of the Piedmontese political continuities that gave the National Bank the possibility of over issuing in light of its exclusivity in the abolition of the gold standard, giving the factory a greater </w:t>
      </w:r>
      <w:r w:rsidR="00AB65D4">
        <w:rPr>
          <w:rFonts w:asciiTheme="majorHAnsi" w:hAnsiTheme="majorHAnsi"/>
          <w:sz w:val="26"/>
          <w:szCs w:val="26"/>
          <w:lang w:val="en-GB"/>
        </w:rPr>
        <w:t>availability</w:t>
      </w:r>
      <w:r w:rsidRPr="006B7DB2">
        <w:rPr>
          <w:rFonts w:asciiTheme="majorHAnsi" w:hAnsiTheme="majorHAnsi"/>
          <w:sz w:val="26"/>
          <w:szCs w:val="26"/>
          <w:lang w:val="en-GB"/>
        </w:rPr>
        <w:t xml:space="preserve"> of credit which Pietrarsa could not enjoy, since the Bank of Naples was tied to the gold standard until 1874, and after that could over-issue on a much smaller level compared to the National Bank.</w:t>
      </w:r>
      <w:r w:rsidRPr="006B7DB2">
        <w:rPr>
          <w:rStyle w:val="FootnoteReference"/>
          <w:rFonts w:asciiTheme="majorHAnsi" w:hAnsiTheme="majorHAnsi"/>
          <w:sz w:val="26"/>
          <w:szCs w:val="26"/>
          <w:lang w:val="en-GB"/>
        </w:rPr>
        <w:footnoteReference w:id="249"/>
      </w:r>
      <w:r w:rsidR="00AB65D4">
        <w:rPr>
          <w:rFonts w:asciiTheme="majorHAnsi" w:hAnsiTheme="majorHAnsi"/>
          <w:sz w:val="26"/>
          <w:szCs w:val="26"/>
          <w:lang w:val="en-GB"/>
        </w:rPr>
        <w:t xml:space="preserve"> In conclusion, the major difference that resulted in the failure of Pietrarsa and success of the Ansaldo was tied to the institution continuity between pre-unitary Piedmont and the Italian state.</w:t>
      </w:r>
      <w:r w:rsidR="00575D45">
        <w:rPr>
          <w:rFonts w:asciiTheme="majorHAnsi" w:hAnsiTheme="majorHAnsi"/>
          <w:sz w:val="26"/>
          <w:szCs w:val="26"/>
          <w:lang w:val="en-GB"/>
        </w:rPr>
        <w:br/>
      </w:r>
    </w:p>
    <w:p w14:paraId="4B2D69E6" w14:textId="77777777" w:rsidR="00A25BA8" w:rsidRPr="00763943" w:rsidRDefault="00A25BA8" w:rsidP="00602BC0">
      <w:pPr>
        <w:jc w:val="center"/>
        <w:rPr>
          <w:rFonts w:asciiTheme="majorHAnsi" w:hAnsiTheme="majorHAnsi"/>
          <w:b/>
          <w:sz w:val="40"/>
          <w:szCs w:val="40"/>
          <w:lang w:val="en-GB"/>
        </w:rPr>
      </w:pPr>
      <w:r w:rsidRPr="00763943">
        <w:rPr>
          <w:rFonts w:asciiTheme="majorHAnsi" w:hAnsiTheme="majorHAnsi"/>
          <w:b/>
          <w:sz w:val="40"/>
          <w:szCs w:val="40"/>
          <w:lang w:val="en-GB"/>
        </w:rPr>
        <w:t>Conclusion</w:t>
      </w:r>
    </w:p>
    <w:p w14:paraId="28446C6E" w14:textId="16C57F85" w:rsidR="00A25BA8" w:rsidRPr="00BD3F6C" w:rsidRDefault="00EB6360" w:rsidP="00602BC0">
      <w:pPr>
        <w:rPr>
          <w:rFonts w:asciiTheme="majorHAnsi" w:hAnsiTheme="majorHAnsi"/>
          <w:sz w:val="26"/>
          <w:szCs w:val="26"/>
          <w:lang w:val="en-GB"/>
        </w:rPr>
      </w:pPr>
      <w:r w:rsidRPr="00BD3F6C">
        <w:rPr>
          <w:rFonts w:asciiTheme="majorHAnsi" w:hAnsiTheme="majorHAnsi"/>
          <w:sz w:val="26"/>
          <w:szCs w:val="26"/>
          <w:lang w:val="en-GB"/>
        </w:rPr>
        <w:t xml:space="preserve">This qualitative </w:t>
      </w:r>
      <w:r w:rsidR="00A25BA8" w:rsidRPr="00BD3F6C">
        <w:rPr>
          <w:rFonts w:asciiTheme="majorHAnsi" w:hAnsiTheme="majorHAnsi"/>
          <w:sz w:val="26"/>
          <w:szCs w:val="26"/>
          <w:lang w:val="en-GB"/>
        </w:rPr>
        <w:t xml:space="preserve">case study has compared privatization contracts, public contracts and credit </w:t>
      </w:r>
      <w:r w:rsidR="007B3D2D">
        <w:rPr>
          <w:rFonts w:asciiTheme="majorHAnsi" w:hAnsiTheme="majorHAnsi"/>
          <w:sz w:val="26"/>
          <w:szCs w:val="26"/>
          <w:lang w:val="en-GB"/>
        </w:rPr>
        <w:t xml:space="preserve">availability </w:t>
      </w:r>
      <w:r w:rsidRPr="00BD3F6C">
        <w:rPr>
          <w:rFonts w:asciiTheme="majorHAnsi" w:hAnsiTheme="majorHAnsi"/>
          <w:sz w:val="26"/>
          <w:szCs w:val="26"/>
          <w:lang w:val="en-GB"/>
        </w:rPr>
        <w:t xml:space="preserve">of Pietrarsa and Ansaldo </w:t>
      </w:r>
      <w:r w:rsidR="00A25BA8" w:rsidRPr="00BD3F6C">
        <w:rPr>
          <w:rFonts w:asciiTheme="majorHAnsi" w:hAnsiTheme="majorHAnsi"/>
          <w:sz w:val="26"/>
          <w:szCs w:val="26"/>
          <w:lang w:val="en-GB"/>
        </w:rPr>
        <w:t xml:space="preserve">using Mill’s method of difference in order to identity the cause that determined Pietrarsa’s failure and Ansaldo’s success. These elements have been tied to the role of three main aspects of political continuity in the Italian state-building process: the extension of Sardinian legislation, continuity of Sardinian nobility and military ranks in the cabinet of the Royal Navy, and the continuation of the pre-unitary relationship between government and the </w:t>
      </w:r>
      <w:r w:rsidRPr="00BD3F6C">
        <w:rPr>
          <w:rFonts w:asciiTheme="majorHAnsi" w:hAnsiTheme="majorHAnsi"/>
          <w:sz w:val="26"/>
          <w:szCs w:val="26"/>
          <w:lang w:val="en-GB"/>
        </w:rPr>
        <w:t>National Bank in the new state.</w:t>
      </w:r>
      <w:r w:rsidR="00A25BA8" w:rsidRPr="00BD3F6C">
        <w:rPr>
          <w:rFonts w:asciiTheme="majorHAnsi" w:hAnsiTheme="majorHAnsi"/>
          <w:sz w:val="26"/>
          <w:szCs w:val="26"/>
          <w:lang w:val="en-GB"/>
        </w:rPr>
        <w:br/>
      </w:r>
      <w:r w:rsidR="00A25BA8" w:rsidRPr="00BD3F6C">
        <w:rPr>
          <w:rFonts w:asciiTheme="majorHAnsi" w:hAnsiTheme="majorHAnsi"/>
          <w:sz w:val="26"/>
          <w:szCs w:val="26"/>
          <w:lang w:val="en-GB"/>
        </w:rPr>
        <w:tab/>
        <w:t>Legislative continuity with Piedmont has determined an advantage of the Ansaldo deriving from pre-unitary relationship with Sardinian institutions: the responsibility of the state in covering t</w:t>
      </w:r>
      <w:r w:rsidR="00AD5BD5">
        <w:rPr>
          <w:rFonts w:asciiTheme="majorHAnsi" w:hAnsiTheme="majorHAnsi"/>
          <w:sz w:val="26"/>
          <w:szCs w:val="26"/>
          <w:lang w:val="en-GB"/>
        </w:rPr>
        <w:t xml:space="preserve">he Ansaldo’s maintenance costs. </w:t>
      </w:r>
      <w:r w:rsidR="00A25BA8" w:rsidRPr="00BD3F6C">
        <w:rPr>
          <w:rFonts w:asciiTheme="majorHAnsi" w:hAnsiTheme="majorHAnsi"/>
          <w:sz w:val="26"/>
          <w:szCs w:val="26"/>
          <w:lang w:val="en-GB"/>
        </w:rPr>
        <w:t>This aspect has most likely played a marginal role, since it did not appear to have significantly advantaged the financial situation of the Ansaldo, which remained tragic like in the case of Pietrarsa. Concerning public contracts, surprisingly, between 1864 and 1878 Piedmontese political continuities have not caused disparities in their assignation; on the contrary, Pietrarsa appeared to have performed sli</w:t>
      </w:r>
      <w:r w:rsidR="00AF145B">
        <w:rPr>
          <w:rFonts w:asciiTheme="majorHAnsi" w:hAnsiTheme="majorHAnsi"/>
          <w:sz w:val="26"/>
          <w:szCs w:val="26"/>
          <w:lang w:val="en-GB"/>
        </w:rPr>
        <w:t>ghtly more works for the N</w:t>
      </w:r>
      <w:r w:rsidR="00A25BA8" w:rsidRPr="00BD3F6C">
        <w:rPr>
          <w:rFonts w:asciiTheme="majorHAnsi" w:hAnsiTheme="majorHAnsi"/>
          <w:sz w:val="26"/>
          <w:szCs w:val="26"/>
          <w:lang w:val="en-GB"/>
        </w:rPr>
        <w:t>avy</w:t>
      </w:r>
      <w:r w:rsidR="00AB65D4">
        <w:rPr>
          <w:rFonts w:asciiTheme="majorHAnsi" w:hAnsiTheme="majorHAnsi"/>
          <w:sz w:val="26"/>
          <w:szCs w:val="26"/>
          <w:lang w:val="en-GB"/>
        </w:rPr>
        <w:t xml:space="preserve"> and the railways</w:t>
      </w:r>
      <w:r w:rsidR="00A25BA8" w:rsidRPr="00BD3F6C">
        <w:rPr>
          <w:rFonts w:asciiTheme="majorHAnsi" w:hAnsiTheme="majorHAnsi"/>
          <w:sz w:val="26"/>
          <w:szCs w:val="26"/>
          <w:lang w:val="en-GB"/>
        </w:rPr>
        <w:t>. Such a result, however, was influenced by the budget crisis that invested the government during the 1870s: between 1865 and 1869 Ansaldo was the privileged factory of the Royal Navy.</w:t>
      </w:r>
      <w:r w:rsidR="00AB65D4">
        <w:rPr>
          <w:rFonts w:asciiTheme="majorHAnsi" w:hAnsiTheme="majorHAnsi"/>
          <w:sz w:val="26"/>
          <w:szCs w:val="26"/>
          <w:lang w:val="en-GB"/>
        </w:rPr>
        <w:br/>
      </w:r>
      <w:r w:rsidR="00AB65D4">
        <w:rPr>
          <w:rFonts w:asciiTheme="majorHAnsi" w:hAnsiTheme="majorHAnsi"/>
          <w:sz w:val="26"/>
          <w:szCs w:val="26"/>
          <w:lang w:val="en-GB"/>
        </w:rPr>
        <w:tab/>
      </w:r>
      <w:r w:rsidR="00A25BA8" w:rsidRPr="00BD3F6C">
        <w:rPr>
          <w:rFonts w:asciiTheme="majorHAnsi" w:hAnsiTheme="majorHAnsi"/>
          <w:sz w:val="26"/>
          <w:szCs w:val="26"/>
          <w:lang w:val="en-GB"/>
        </w:rPr>
        <w:t xml:space="preserve">Ultimately, the factor in which institutional continuities played the greatest role </w:t>
      </w:r>
      <w:r w:rsidRPr="00BD3F6C">
        <w:rPr>
          <w:rFonts w:asciiTheme="majorHAnsi" w:hAnsiTheme="majorHAnsi"/>
          <w:sz w:val="26"/>
          <w:szCs w:val="26"/>
          <w:lang w:val="en-GB"/>
        </w:rPr>
        <w:t>was</w:t>
      </w:r>
      <w:r w:rsidR="00A25BA8" w:rsidRPr="00BD3F6C">
        <w:rPr>
          <w:rFonts w:asciiTheme="majorHAnsi" w:hAnsiTheme="majorHAnsi"/>
          <w:sz w:val="26"/>
          <w:szCs w:val="26"/>
          <w:lang w:val="en-GB"/>
        </w:rPr>
        <w:t xml:space="preserve"> credit</w:t>
      </w:r>
      <w:r w:rsidR="00211EDD">
        <w:rPr>
          <w:rFonts w:asciiTheme="majorHAnsi" w:hAnsiTheme="majorHAnsi"/>
          <w:sz w:val="26"/>
          <w:szCs w:val="26"/>
          <w:lang w:val="en-GB"/>
        </w:rPr>
        <w:t xml:space="preserve"> availability</w:t>
      </w:r>
      <w:r w:rsidR="00A25BA8" w:rsidRPr="00BD3F6C">
        <w:rPr>
          <w:rFonts w:asciiTheme="majorHAnsi" w:hAnsiTheme="majorHAnsi"/>
          <w:sz w:val="26"/>
          <w:szCs w:val="26"/>
          <w:lang w:val="en-GB"/>
        </w:rPr>
        <w:t xml:space="preserve">. The continuity of the pre-unitary relationship between the National Bank of Sardinian States and the government manifested itself after unification into an asymmetrical system of money issuing; the National Bank benefited </w:t>
      </w:r>
      <w:r w:rsidR="00A25BA8" w:rsidRPr="00BD3F6C">
        <w:rPr>
          <w:rFonts w:asciiTheme="majorHAnsi" w:hAnsiTheme="majorHAnsi"/>
          <w:sz w:val="26"/>
          <w:szCs w:val="26"/>
          <w:lang w:val="en-GB"/>
        </w:rPr>
        <w:lastRenderedPageBreak/>
        <w:t xml:space="preserve">from the exclusivity of the golden standard abolition from 1866 to 1874, as well as a comparatively much higher issuing limit after that date until 1882, which led to its conquest of the highest emission power in the state. This led to its capacity to grant credit up to 11 million lire to the Ansaldo without any form of guarantee on a purely clientelist basis, since its director Carlo Bombrini was also coincidentally one of the main shareholders of the factory. Pietrarsa, on the other hand, could benefit of an amount of credit up to 4 million lire from the Bank of Naples and Credito Italiano, before a lack of confidence from its creditors generated by an incident of Fiocca led to a credit run which gave no choice than to file for bankruptcy. </w:t>
      </w:r>
      <w:r w:rsidR="00AF145B">
        <w:rPr>
          <w:rFonts w:asciiTheme="majorHAnsi" w:hAnsiTheme="majorHAnsi"/>
          <w:sz w:val="26"/>
          <w:szCs w:val="26"/>
          <w:lang w:val="en-GB"/>
        </w:rPr>
        <w:t>This means that</w:t>
      </w:r>
      <w:r w:rsidR="000906F7">
        <w:rPr>
          <w:rFonts w:asciiTheme="majorHAnsi" w:hAnsiTheme="majorHAnsi"/>
          <w:sz w:val="26"/>
          <w:szCs w:val="26"/>
          <w:lang w:val="en-GB"/>
        </w:rPr>
        <w:t xml:space="preserve"> the</w:t>
      </w:r>
      <w:r w:rsidR="00A25BA8" w:rsidRPr="00BD3F6C">
        <w:rPr>
          <w:rFonts w:asciiTheme="majorHAnsi" w:hAnsiTheme="majorHAnsi"/>
          <w:sz w:val="26"/>
          <w:szCs w:val="26"/>
          <w:lang w:val="en-GB"/>
        </w:rPr>
        <w:t xml:space="preserve"> institutional continuity between the Italian state and the Kingdom of Sardinia characterized a fixed capital that manifested itself into significantly greater credit availability for the Ansaldo, a factor which, according to Mill’s framework, was important enough to determine the failure of Pietrarsa and the success of Ansaldo during the</w:t>
      </w:r>
      <w:r w:rsidR="00AF145B">
        <w:rPr>
          <w:rFonts w:asciiTheme="majorHAnsi" w:hAnsiTheme="majorHAnsi"/>
          <w:sz w:val="26"/>
          <w:szCs w:val="26"/>
          <w:lang w:val="en-GB"/>
        </w:rPr>
        <w:t xml:space="preserve"> first two post-unitary decades, since it was the only major difference in their comparative histories.</w:t>
      </w:r>
      <w:r w:rsidR="00A25BA8" w:rsidRPr="00BD3F6C">
        <w:rPr>
          <w:rFonts w:asciiTheme="majorHAnsi" w:hAnsiTheme="majorHAnsi"/>
          <w:sz w:val="26"/>
          <w:szCs w:val="26"/>
          <w:lang w:val="en-GB"/>
        </w:rPr>
        <w:t xml:space="preserve"> This type of fixed capital, therefore, is likely to have played a role in the geographical concentration of Italian industries in the North</w:t>
      </w:r>
      <w:r w:rsidR="00EF2A57" w:rsidRPr="00BD3F6C">
        <w:rPr>
          <w:rFonts w:asciiTheme="majorHAnsi" w:hAnsiTheme="majorHAnsi"/>
          <w:sz w:val="26"/>
          <w:szCs w:val="26"/>
          <w:lang w:val="en-GB"/>
        </w:rPr>
        <w:t xml:space="preserve"> during the first post-unitary decades</w:t>
      </w:r>
      <w:r w:rsidR="000906F7">
        <w:rPr>
          <w:rFonts w:asciiTheme="majorHAnsi" w:hAnsiTheme="majorHAnsi"/>
          <w:sz w:val="26"/>
          <w:szCs w:val="26"/>
          <w:lang w:val="en-GB"/>
        </w:rPr>
        <w:t>.</w:t>
      </w:r>
      <w:r w:rsidR="00A25BA8" w:rsidRPr="00BD3F6C">
        <w:rPr>
          <w:rFonts w:asciiTheme="majorHAnsi" w:hAnsiTheme="majorHAnsi"/>
          <w:sz w:val="26"/>
          <w:szCs w:val="26"/>
          <w:lang w:val="en-GB"/>
        </w:rPr>
        <w:br/>
      </w:r>
      <w:r w:rsidR="00A25BA8" w:rsidRPr="00BD3F6C">
        <w:rPr>
          <w:rFonts w:asciiTheme="majorHAnsi" w:hAnsiTheme="majorHAnsi"/>
          <w:sz w:val="26"/>
          <w:szCs w:val="26"/>
          <w:lang w:val="en-GB"/>
        </w:rPr>
        <w:tab/>
        <w:t xml:space="preserve">This thesis </w:t>
      </w:r>
      <w:r w:rsidR="000906F7">
        <w:rPr>
          <w:rFonts w:asciiTheme="majorHAnsi" w:hAnsiTheme="majorHAnsi"/>
          <w:sz w:val="26"/>
          <w:szCs w:val="26"/>
          <w:lang w:val="en-GB"/>
        </w:rPr>
        <w:t xml:space="preserve">is meant </w:t>
      </w:r>
      <w:r w:rsidR="000906F7" w:rsidRPr="00BD3F6C">
        <w:rPr>
          <w:rFonts w:asciiTheme="majorHAnsi" w:hAnsiTheme="majorHAnsi"/>
          <w:sz w:val="26"/>
          <w:szCs w:val="26"/>
          <w:lang w:val="en-GB"/>
        </w:rPr>
        <w:t>to initiate a new direction of comparative research</w:t>
      </w:r>
      <w:r w:rsidR="00A25BA8" w:rsidRPr="00BD3F6C">
        <w:rPr>
          <w:rFonts w:asciiTheme="majorHAnsi" w:hAnsiTheme="majorHAnsi"/>
          <w:sz w:val="26"/>
          <w:szCs w:val="26"/>
          <w:lang w:val="en-GB"/>
        </w:rPr>
        <w:t xml:space="preserve"> between Southern and Northern firms in post-unitary Italy to consider how political continuity with Piedmont might have affected credit </w:t>
      </w:r>
      <w:r w:rsidR="00211EDD">
        <w:rPr>
          <w:rFonts w:asciiTheme="majorHAnsi" w:hAnsiTheme="majorHAnsi"/>
          <w:sz w:val="26"/>
          <w:szCs w:val="26"/>
          <w:lang w:val="en-GB"/>
        </w:rPr>
        <w:t>availability</w:t>
      </w:r>
      <w:r w:rsidR="00A25BA8" w:rsidRPr="00BD3F6C">
        <w:rPr>
          <w:rFonts w:asciiTheme="majorHAnsi" w:hAnsiTheme="majorHAnsi"/>
          <w:sz w:val="26"/>
          <w:szCs w:val="26"/>
          <w:lang w:val="en-GB"/>
        </w:rPr>
        <w:t xml:space="preserve"> disparities in Italy in light of the privileged relationship between </w:t>
      </w:r>
      <w:r w:rsidR="000906F7">
        <w:rPr>
          <w:rFonts w:asciiTheme="majorHAnsi" w:hAnsiTheme="majorHAnsi"/>
          <w:sz w:val="26"/>
          <w:szCs w:val="26"/>
          <w:lang w:val="en-GB"/>
        </w:rPr>
        <w:t>the National Bank and the state</w:t>
      </w:r>
      <w:r w:rsidR="00A25BA8" w:rsidRPr="00BD3F6C">
        <w:rPr>
          <w:rFonts w:asciiTheme="majorHAnsi" w:hAnsiTheme="majorHAnsi"/>
          <w:sz w:val="26"/>
          <w:szCs w:val="26"/>
          <w:lang w:val="en-GB"/>
        </w:rPr>
        <w:t xml:space="preserve">. This alternative framework finds its relevance in the heavily debated issue of the Southern Question, in which scholars have focused until now either on geographical and social advantages of Northern Italy, or on the deleterious effects of free trade and tariff barriers on Southern economy. The post-unitary disparities in credit availability, </w:t>
      </w:r>
      <w:r w:rsidR="00211EDD">
        <w:rPr>
          <w:rFonts w:asciiTheme="majorHAnsi" w:hAnsiTheme="majorHAnsi"/>
          <w:sz w:val="26"/>
          <w:szCs w:val="26"/>
          <w:lang w:val="en-GB"/>
        </w:rPr>
        <w:t>have</w:t>
      </w:r>
      <w:r w:rsidR="00A25BA8" w:rsidRPr="00BD3F6C">
        <w:rPr>
          <w:rFonts w:asciiTheme="majorHAnsi" w:hAnsiTheme="majorHAnsi"/>
          <w:sz w:val="26"/>
          <w:szCs w:val="26"/>
          <w:lang w:val="en-GB"/>
        </w:rPr>
        <w:t xml:space="preserve"> somehow been neglected, and </w:t>
      </w:r>
      <w:r w:rsidR="00211EDD">
        <w:rPr>
          <w:rFonts w:asciiTheme="majorHAnsi" w:hAnsiTheme="majorHAnsi"/>
          <w:sz w:val="26"/>
          <w:szCs w:val="26"/>
          <w:lang w:val="en-GB"/>
        </w:rPr>
        <w:t>are</w:t>
      </w:r>
      <w:r w:rsidR="00A25BA8" w:rsidRPr="00BD3F6C">
        <w:rPr>
          <w:rFonts w:asciiTheme="majorHAnsi" w:hAnsiTheme="majorHAnsi"/>
          <w:sz w:val="26"/>
          <w:szCs w:val="26"/>
          <w:lang w:val="en-GB"/>
        </w:rPr>
        <w:t xml:space="preserve"> bound to yield new and original results that might </w:t>
      </w:r>
      <w:r w:rsidR="00EF2A57" w:rsidRPr="00BD3F6C">
        <w:rPr>
          <w:rFonts w:asciiTheme="majorHAnsi" w:hAnsiTheme="majorHAnsi"/>
          <w:sz w:val="26"/>
          <w:szCs w:val="26"/>
          <w:lang w:val="en-GB"/>
        </w:rPr>
        <w:t>bring new conclusions to the table concerning</w:t>
      </w:r>
      <w:r w:rsidR="00A25BA8" w:rsidRPr="00BD3F6C">
        <w:rPr>
          <w:rFonts w:asciiTheme="majorHAnsi" w:hAnsiTheme="majorHAnsi"/>
          <w:sz w:val="26"/>
          <w:szCs w:val="26"/>
          <w:lang w:val="en-GB"/>
        </w:rPr>
        <w:t xml:space="preserve"> the origins of the South – North divergence.</w:t>
      </w:r>
    </w:p>
    <w:p w14:paraId="59C73AF3" w14:textId="77777777" w:rsidR="00A25BA8" w:rsidRPr="00B535FB" w:rsidRDefault="00A25BA8" w:rsidP="005616CA">
      <w:pPr>
        <w:rPr>
          <w:rFonts w:asciiTheme="majorHAnsi" w:hAnsiTheme="majorHAnsi"/>
          <w:sz w:val="24"/>
          <w:szCs w:val="24"/>
          <w:lang w:val="en-US"/>
        </w:rPr>
      </w:pPr>
    </w:p>
    <w:p w14:paraId="460A4E96" w14:textId="77777777" w:rsidR="002237AE" w:rsidRPr="00151621" w:rsidRDefault="002237AE">
      <w:pPr>
        <w:rPr>
          <w:rFonts w:ascii="Cambria" w:hAnsi="Cambria"/>
          <w:b/>
          <w:sz w:val="26"/>
          <w:szCs w:val="26"/>
          <w:lang w:val="en-GB"/>
        </w:rPr>
      </w:pPr>
      <w:r w:rsidRPr="00151621">
        <w:rPr>
          <w:rFonts w:ascii="Cambria" w:hAnsi="Cambria"/>
          <w:b/>
          <w:sz w:val="26"/>
          <w:szCs w:val="26"/>
          <w:lang w:val="en-GB"/>
        </w:rPr>
        <w:t>Bibliography</w:t>
      </w:r>
    </w:p>
    <w:p w14:paraId="1475A696" w14:textId="77777777" w:rsidR="008E7759" w:rsidRPr="00FA3F27" w:rsidRDefault="008E7759" w:rsidP="008E7759">
      <w:pPr>
        <w:pStyle w:val="FootnoteText"/>
        <w:rPr>
          <w:rFonts w:asciiTheme="majorHAnsi" w:hAnsiTheme="majorHAnsi"/>
        </w:rPr>
      </w:pPr>
      <w:r w:rsidRPr="00FA3F27">
        <w:rPr>
          <w:rFonts w:asciiTheme="majorHAnsi" w:hAnsiTheme="majorHAnsi"/>
        </w:rPr>
        <w:t xml:space="preserve">A. Glazier, Ira. Review of </w:t>
      </w:r>
      <w:r w:rsidRPr="00FA3F27">
        <w:rPr>
          <w:rFonts w:asciiTheme="majorHAnsi" w:hAnsiTheme="majorHAnsi"/>
          <w:i/>
        </w:rPr>
        <w:t>Iniziativa e capitale straniero nell’industria metalmeccanica del Mezzogiorno</w:t>
      </w:r>
      <w:r w:rsidRPr="00FA3F27">
        <w:rPr>
          <w:rFonts w:asciiTheme="majorHAnsi" w:hAnsiTheme="majorHAnsi"/>
        </w:rPr>
        <w:t>,</w:t>
      </w:r>
      <w:r w:rsidRPr="00FA3F27">
        <w:rPr>
          <w:rFonts w:asciiTheme="majorHAnsi" w:hAnsiTheme="majorHAnsi"/>
          <w:i/>
        </w:rPr>
        <w:t xml:space="preserve"> 1840 – </w:t>
      </w:r>
      <w:r w:rsidRPr="00FA3F27">
        <w:rPr>
          <w:rFonts w:asciiTheme="majorHAnsi" w:hAnsiTheme="majorHAnsi"/>
        </w:rPr>
        <w:t xml:space="preserve">1904 by Luigi De Rosa, </w:t>
      </w:r>
      <w:r w:rsidRPr="00FA3F27">
        <w:rPr>
          <w:rFonts w:asciiTheme="majorHAnsi" w:hAnsiTheme="majorHAnsi"/>
          <w:i/>
        </w:rPr>
        <w:t>The Journal of Economic History,</w:t>
      </w:r>
      <w:r w:rsidRPr="00FA3F27">
        <w:rPr>
          <w:rFonts w:asciiTheme="majorHAnsi" w:hAnsiTheme="majorHAnsi"/>
        </w:rPr>
        <w:t xml:space="preserve"> Vol. 29, No. 3 (September 1969):</w:t>
      </w:r>
      <w:r w:rsidRPr="00FA3F27">
        <w:rPr>
          <w:rFonts w:asciiTheme="majorHAnsi" w:hAnsiTheme="majorHAnsi"/>
          <w:i/>
        </w:rPr>
        <w:t xml:space="preserve"> </w:t>
      </w:r>
      <w:r w:rsidRPr="00FA3F27">
        <w:rPr>
          <w:rFonts w:asciiTheme="majorHAnsi" w:hAnsiTheme="majorHAnsi"/>
        </w:rPr>
        <w:t>558-560.</w:t>
      </w:r>
    </w:p>
    <w:p w14:paraId="00849705" w14:textId="77777777" w:rsidR="008E7759" w:rsidRPr="00FA3F27" w:rsidRDefault="008E7759" w:rsidP="008E7759">
      <w:pPr>
        <w:pStyle w:val="FootnoteText"/>
        <w:rPr>
          <w:rFonts w:asciiTheme="majorHAnsi" w:hAnsiTheme="majorHAnsi"/>
        </w:rPr>
      </w:pPr>
    </w:p>
    <w:p w14:paraId="4D3E89F8" w14:textId="1B1C0D09" w:rsidR="00C6522E" w:rsidRPr="008F6900" w:rsidRDefault="00C6522E" w:rsidP="00DA546E">
      <w:pPr>
        <w:rPr>
          <w:rFonts w:asciiTheme="majorHAnsi" w:hAnsiTheme="majorHAnsi"/>
          <w:sz w:val="20"/>
          <w:szCs w:val="20"/>
        </w:rPr>
      </w:pPr>
      <w:r w:rsidRPr="008F6900">
        <w:rPr>
          <w:rFonts w:asciiTheme="majorHAnsi" w:hAnsiTheme="majorHAnsi"/>
          <w:sz w:val="20"/>
          <w:szCs w:val="20"/>
        </w:rPr>
        <w:t xml:space="preserve">Are, Giuseppe (1965). </w:t>
      </w:r>
      <w:r w:rsidRPr="008F6900">
        <w:rPr>
          <w:rFonts w:asciiTheme="majorHAnsi" w:hAnsiTheme="majorHAnsi"/>
          <w:i/>
          <w:sz w:val="20"/>
          <w:szCs w:val="20"/>
        </w:rPr>
        <w:t xml:space="preserve">Il problema dello sviluppo industrial nell’età della Destra. </w:t>
      </w:r>
      <w:r w:rsidRPr="008F6900">
        <w:rPr>
          <w:rFonts w:asciiTheme="majorHAnsi" w:hAnsiTheme="majorHAnsi"/>
          <w:sz w:val="20"/>
          <w:szCs w:val="20"/>
        </w:rPr>
        <w:t>Pisa: Nistri – Lischi.</w:t>
      </w:r>
    </w:p>
    <w:p w14:paraId="64B34D1F" w14:textId="77777777" w:rsidR="00DA546E" w:rsidRPr="008F6900" w:rsidRDefault="00DA546E" w:rsidP="00DA546E">
      <w:pPr>
        <w:rPr>
          <w:rFonts w:asciiTheme="majorHAnsi" w:hAnsiTheme="majorHAnsi"/>
          <w:sz w:val="20"/>
          <w:szCs w:val="20"/>
        </w:rPr>
      </w:pPr>
      <w:r w:rsidRPr="008F6900">
        <w:rPr>
          <w:rFonts w:asciiTheme="majorHAnsi" w:hAnsiTheme="majorHAnsi"/>
          <w:sz w:val="20"/>
          <w:szCs w:val="20"/>
        </w:rPr>
        <w:t xml:space="preserve">Bevilacqua, Piero (1993). </w:t>
      </w:r>
      <w:r w:rsidRPr="008F6900">
        <w:rPr>
          <w:rFonts w:asciiTheme="majorHAnsi" w:hAnsiTheme="majorHAnsi"/>
          <w:i/>
          <w:sz w:val="20"/>
          <w:szCs w:val="20"/>
        </w:rPr>
        <w:t>Breve Storia dell’Italia Meridionale.</w:t>
      </w:r>
      <w:r w:rsidRPr="008F6900">
        <w:rPr>
          <w:rFonts w:asciiTheme="majorHAnsi" w:hAnsiTheme="majorHAnsi"/>
          <w:sz w:val="20"/>
          <w:szCs w:val="20"/>
        </w:rPr>
        <w:t xml:space="preserve"> Roma: Donzelli Editore.</w:t>
      </w:r>
    </w:p>
    <w:p w14:paraId="556CDC21" w14:textId="77777777" w:rsidR="00AF145B" w:rsidRDefault="00AF145B" w:rsidP="00AF145B">
      <w:pPr>
        <w:rPr>
          <w:rFonts w:asciiTheme="majorHAnsi" w:hAnsiTheme="majorHAnsi"/>
          <w:sz w:val="20"/>
          <w:szCs w:val="20"/>
        </w:rPr>
      </w:pPr>
      <w:r w:rsidRPr="00AF145B">
        <w:rPr>
          <w:rFonts w:asciiTheme="majorHAnsi" w:hAnsiTheme="majorHAnsi"/>
          <w:sz w:val="20"/>
          <w:szCs w:val="20"/>
        </w:rPr>
        <w:t>Cardoza, Anthony. Aristocrats in Burgeois Italy: The Piedmontese Nobility, 1861-1930. Cambridge: Cambridge University Press, 1997.</w:t>
      </w:r>
    </w:p>
    <w:p w14:paraId="002CC852" w14:textId="2636A6E9" w:rsidR="00412884" w:rsidRDefault="00412884" w:rsidP="00AF145B">
      <w:pPr>
        <w:rPr>
          <w:rFonts w:asciiTheme="majorHAnsi" w:hAnsiTheme="majorHAnsi"/>
          <w:sz w:val="20"/>
          <w:szCs w:val="20"/>
        </w:rPr>
      </w:pPr>
      <w:r>
        <w:rPr>
          <w:rFonts w:asciiTheme="majorHAnsi" w:hAnsiTheme="majorHAnsi"/>
          <w:sz w:val="20"/>
          <w:szCs w:val="20"/>
        </w:rPr>
        <w:t xml:space="preserve">Castronovo, Valerio (1994). </w:t>
      </w:r>
      <w:r>
        <w:rPr>
          <w:rFonts w:asciiTheme="majorHAnsi" w:hAnsiTheme="majorHAnsi"/>
          <w:i/>
          <w:sz w:val="20"/>
          <w:szCs w:val="20"/>
        </w:rPr>
        <w:t>Storia dell’Ansaldo. 1. Le origini1 1853-1882</w:t>
      </w:r>
      <w:r>
        <w:rPr>
          <w:rFonts w:asciiTheme="majorHAnsi" w:hAnsiTheme="majorHAnsi"/>
          <w:sz w:val="20"/>
          <w:szCs w:val="20"/>
        </w:rPr>
        <w:t>. Roma-Bari: Laterza.</w:t>
      </w:r>
    </w:p>
    <w:p w14:paraId="63150E05" w14:textId="28AC96BF" w:rsidR="006D40C0" w:rsidRPr="006D40C0" w:rsidRDefault="006D40C0" w:rsidP="00AF145B">
      <w:pPr>
        <w:rPr>
          <w:rFonts w:asciiTheme="majorHAnsi" w:hAnsiTheme="majorHAnsi"/>
          <w:sz w:val="20"/>
          <w:szCs w:val="20"/>
        </w:rPr>
      </w:pPr>
      <w:r>
        <w:rPr>
          <w:rFonts w:asciiTheme="majorHAnsi" w:hAnsiTheme="majorHAnsi"/>
          <w:sz w:val="20"/>
          <w:szCs w:val="20"/>
        </w:rPr>
        <w:t xml:space="preserve">Colajanni, Napoleone (1995). </w:t>
      </w:r>
      <w:r>
        <w:rPr>
          <w:rFonts w:asciiTheme="majorHAnsi" w:hAnsiTheme="majorHAnsi"/>
          <w:i/>
          <w:sz w:val="20"/>
          <w:szCs w:val="20"/>
        </w:rPr>
        <w:t>Storia della banca in Italia: da Cavour a Ciampi.</w:t>
      </w:r>
    </w:p>
    <w:p w14:paraId="4DA28C2E" w14:textId="77777777" w:rsidR="008D490B" w:rsidRPr="00FA3F27" w:rsidRDefault="008D490B" w:rsidP="008D490B">
      <w:pPr>
        <w:pStyle w:val="FootnoteText"/>
        <w:rPr>
          <w:rFonts w:asciiTheme="majorHAnsi" w:hAnsiTheme="majorHAnsi"/>
        </w:rPr>
      </w:pPr>
      <w:r w:rsidRPr="00FA3F27">
        <w:rPr>
          <w:rFonts w:asciiTheme="majorHAnsi" w:hAnsiTheme="majorHAnsi"/>
        </w:rPr>
        <w:lastRenderedPageBreak/>
        <w:t>Cipolla, Carlo. Review of</w:t>
      </w:r>
      <w:r w:rsidRPr="00FA3F27">
        <w:rPr>
          <w:rFonts w:asciiTheme="majorHAnsi" w:hAnsiTheme="majorHAnsi"/>
          <w:i/>
        </w:rPr>
        <w:t xml:space="preserve"> Iniziativa e capitale straniero nell’industria metalmeccanica del Mezzogiorno</w:t>
      </w:r>
      <w:r w:rsidRPr="00FA3F27">
        <w:rPr>
          <w:rFonts w:asciiTheme="majorHAnsi" w:hAnsiTheme="majorHAnsi"/>
        </w:rPr>
        <w:t>,</w:t>
      </w:r>
      <w:r w:rsidRPr="00FA3F27">
        <w:rPr>
          <w:rFonts w:asciiTheme="majorHAnsi" w:hAnsiTheme="majorHAnsi"/>
          <w:i/>
        </w:rPr>
        <w:t xml:space="preserve"> 1840 – 1904, </w:t>
      </w:r>
      <w:r w:rsidRPr="00FA3F27">
        <w:rPr>
          <w:rFonts w:asciiTheme="majorHAnsi" w:hAnsiTheme="majorHAnsi"/>
        </w:rPr>
        <w:t xml:space="preserve">by Luigi De Rosa, </w:t>
      </w:r>
      <w:r w:rsidRPr="00FA3F27">
        <w:rPr>
          <w:rFonts w:asciiTheme="majorHAnsi" w:hAnsiTheme="majorHAnsi"/>
          <w:i/>
        </w:rPr>
        <w:t xml:space="preserve">The Economic History Review, </w:t>
      </w:r>
      <w:r w:rsidRPr="00FA3F27">
        <w:rPr>
          <w:rFonts w:asciiTheme="majorHAnsi" w:hAnsiTheme="majorHAnsi"/>
        </w:rPr>
        <w:t>Vol. 23, No. 1 (April 1970): 199</w:t>
      </w:r>
      <w:r w:rsidR="00760D49" w:rsidRPr="00FA3F27">
        <w:rPr>
          <w:rFonts w:asciiTheme="majorHAnsi" w:hAnsiTheme="majorHAnsi"/>
        </w:rPr>
        <w:t>-200</w:t>
      </w:r>
      <w:r w:rsidRPr="00FA3F27">
        <w:rPr>
          <w:rFonts w:asciiTheme="majorHAnsi" w:hAnsiTheme="majorHAnsi"/>
        </w:rPr>
        <w:t>.</w:t>
      </w:r>
    </w:p>
    <w:p w14:paraId="6FE8AC75" w14:textId="77777777" w:rsidR="008D490B" w:rsidRPr="00FA3F27" w:rsidRDefault="008D490B" w:rsidP="008D490B">
      <w:pPr>
        <w:pStyle w:val="FootnoteText"/>
        <w:rPr>
          <w:rFonts w:asciiTheme="majorHAnsi" w:hAnsiTheme="majorHAnsi"/>
          <w:lang w:val="en-GB"/>
        </w:rPr>
      </w:pPr>
    </w:p>
    <w:p w14:paraId="4C2CE5FC" w14:textId="77777777" w:rsidR="002B01A1" w:rsidRPr="008F6900" w:rsidRDefault="00DA546E" w:rsidP="002B01A1">
      <w:pPr>
        <w:pStyle w:val="FootnoteText"/>
        <w:rPr>
          <w:rFonts w:asciiTheme="majorHAnsi" w:hAnsiTheme="majorHAnsi"/>
        </w:rPr>
      </w:pPr>
      <w:r w:rsidRPr="008F6900">
        <w:rPr>
          <w:rFonts w:asciiTheme="majorHAnsi" w:hAnsiTheme="majorHAnsi"/>
        </w:rPr>
        <w:t xml:space="preserve">De Rosa, Luigi (1993). </w:t>
      </w:r>
      <w:r w:rsidRPr="008F6900">
        <w:rPr>
          <w:rFonts w:asciiTheme="majorHAnsi" w:hAnsiTheme="majorHAnsi"/>
          <w:i/>
        </w:rPr>
        <w:t>Il Mezzogiorno agli inizi della Restaurazione</w:t>
      </w:r>
      <w:r w:rsidRPr="008F6900">
        <w:rPr>
          <w:rFonts w:asciiTheme="majorHAnsi" w:hAnsiTheme="majorHAnsi"/>
        </w:rPr>
        <w:t xml:space="preserve">. Bari: Laterza. </w:t>
      </w:r>
    </w:p>
    <w:p w14:paraId="01F8B1E5" w14:textId="77777777" w:rsidR="00DC3194" w:rsidRPr="008F6900" w:rsidRDefault="00DC3194" w:rsidP="002B01A1">
      <w:pPr>
        <w:pStyle w:val="FootnoteText"/>
        <w:rPr>
          <w:rFonts w:asciiTheme="majorHAnsi" w:hAnsiTheme="majorHAnsi"/>
        </w:rPr>
      </w:pPr>
    </w:p>
    <w:p w14:paraId="678F6060" w14:textId="26BD7502" w:rsidR="00C6522E" w:rsidRDefault="00DC3194" w:rsidP="00C6522E">
      <w:pPr>
        <w:pStyle w:val="FootnoteText"/>
        <w:rPr>
          <w:rFonts w:asciiTheme="majorHAnsi" w:hAnsiTheme="majorHAnsi"/>
        </w:rPr>
      </w:pPr>
      <w:r>
        <w:rPr>
          <w:rFonts w:asciiTheme="majorHAnsi" w:hAnsiTheme="majorHAnsi"/>
        </w:rPr>
        <w:t>Fenoaltea, Stefano</w:t>
      </w:r>
      <w:r w:rsidRPr="00DC3194">
        <w:rPr>
          <w:rFonts w:asciiTheme="majorHAnsi" w:hAnsiTheme="majorHAnsi"/>
        </w:rPr>
        <w:t>. </w:t>
      </w:r>
      <w:r w:rsidRPr="00DC3194">
        <w:rPr>
          <w:rFonts w:asciiTheme="majorHAnsi" w:hAnsiTheme="majorHAnsi"/>
          <w:i/>
        </w:rPr>
        <w:t>The Reinterpretation of Italian Economic History : From Unification to the Great War.</w:t>
      </w:r>
      <w:r w:rsidRPr="00DC3194">
        <w:rPr>
          <w:rFonts w:asciiTheme="majorHAnsi" w:hAnsiTheme="majorHAnsi"/>
        </w:rPr>
        <w:t xml:space="preserve"> Cambridge: Camb</w:t>
      </w:r>
      <w:r w:rsidR="00C6522E">
        <w:rPr>
          <w:rFonts w:asciiTheme="majorHAnsi" w:hAnsiTheme="majorHAnsi"/>
        </w:rPr>
        <w:t xml:space="preserve">ridge University Press, 2010.  </w:t>
      </w:r>
      <w:r w:rsidR="00C6522E">
        <w:rPr>
          <w:rFonts w:asciiTheme="majorHAnsi" w:hAnsiTheme="majorHAnsi"/>
        </w:rPr>
        <w:br/>
      </w:r>
    </w:p>
    <w:p w14:paraId="64EF6BE0" w14:textId="02713226" w:rsidR="00CC1B19" w:rsidRPr="00AD6C06" w:rsidRDefault="00CC1B19" w:rsidP="00CC1B19">
      <w:pPr>
        <w:rPr>
          <w:rFonts w:asciiTheme="majorHAnsi" w:hAnsiTheme="majorHAnsi"/>
          <w:sz w:val="20"/>
          <w:szCs w:val="20"/>
        </w:rPr>
      </w:pPr>
      <w:r w:rsidRPr="00CC1B19">
        <w:rPr>
          <w:rFonts w:asciiTheme="majorHAnsi" w:hAnsiTheme="majorHAnsi"/>
          <w:sz w:val="20"/>
          <w:szCs w:val="20"/>
        </w:rPr>
        <w:t>Gazzo</w:t>
      </w:r>
      <w:r>
        <w:rPr>
          <w:rFonts w:asciiTheme="majorHAnsi" w:hAnsiTheme="majorHAnsi"/>
          <w:sz w:val="20"/>
          <w:szCs w:val="20"/>
        </w:rPr>
        <w:t>,</w:t>
      </w:r>
      <w:r w:rsidRPr="00CC1B19">
        <w:rPr>
          <w:rFonts w:asciiTheme="majorHAnsi" w:hAnsiTheme="majorHAnsi"/>
          <w:sz w:val="20"/>
          <w:szCs w:val="20"/>
        </w:rPr>
        <w:t xml:space="preserve"> Emanuele</w:t>
      </w:r>
      <w:r>
        <w:rPr>
          <w:rFonts w:asciiTheme="majorHAnsi" w:hAnsiTheme="majorHAnsi"/>
          <w:sz w:val="20"/>
          <w:szCs w:val="20"/>
        </w:rPr>
        <w:t xml:space="preserve"> (1953).</w:t>
      </w:r>
      <w:r w:rsidRPr="00CC1B19">
        <w:rPr>
          <w:rFonts w:asciiTheme="majorHAnsi" w:hAnsiTheme="majorHAnsi"/>
          <w:sz w:val="20"/>
          <w:szCs w:val="20"/>
        </w:rPr>
        <w:t xml:space="preserve"> </w:t>
      </w:r>
      <w:r>
        <w:rPr>
          <w:rFonts w:asciiTheme="majorHAnsi" w:hAnsiTheme="majorHAnsi"/>
          <w:i/>
          <w:sz w:val="20"/>
          <w:szCs w:val="20"/>
        </w:rPr>
        <w:t xml:space="preserve">I cento anni dell’Ansaldo. </w:t>
      </w:r>
      <w:r>
        <w:rPr>
          <w:rFonts w:asciiTheme="majorHAnsi" w:hAnsiTheme="majorHAnsi"/>
          <w:sz w:val="20"/>
          <w:szCs w:val="20"/>
        </w:rPr>
        <w:t>Industria Grafica.</w:t>
      </w:r>
    </w:p>
    <w:p w14:paraId="09190549" w14:textId="4EDDDA76" w:rsidR="00AF145B" w:rsidRPr="00AF145B" w:rsidRDefault="00AF145B" w:rsidP="00AF145B">
      <w:pPr>
        <w:rPr>
          <w:rFonts w:asciiTheme="majorHAnsi" w:hAnsiTheme="majorHAnsi"/>
          <w:sz w:val="20"/>
          <w:szCs w:val="20"/>
        </w:rPr>
      </w:pPr>
      <w:r w:rsidRPr="00AF145B">
        <w:rPr>
          <w:rFonts w:asciiTheme="majorHAnsi" w:hAnsiTheme="majorHAnsi"/>
          <w:sz w:val="20"/>
          <w:szCs w:val="20"/>
        </w:rPr>
        <w:t xml:space="preserve">Gianfreda, Giuseppina, and Fabrizio Mattesini. “Adverse Clearings in a Monetary System with Multiple Note Issuers: The Case of Italy (1861–1893).” Cliometrica 9, no. 1 (January 2015): 1–25. </w:t>
      </w:r>
      <w:r w:rsidR="00D62592">
        <w:fldChar w:fldCharType="begin"/>
      </w:r>
      <w:r w:rsidR="00D62592">
        <w:instrText xml:space="preserve"> HYPERLINK "https://doi.org/10.1007/s11698-014-0106-x" </w:instrText>
      </w:r>
      <w:r w:rsidR="00D62592">
        <w:fldChar w:fldCharType="separate"/>
      </w:r>
      <w:r w:rsidRPr="00AF145B">
        <w:rPr>
          <w:rFonts w:asciiTheme="majorHAnsi" w:hAnsiTheme="majorHAnsi"/>
          <w:sz w:val="20"/>
          <w:szCs w:val="20"/>
        </w:rPr>
        <w:t>https://doi.org/10.1007/s11698-014-0106-x</w:t>
      </w:r>
      <w:r w:rsidR="00D62592">
        <w:rPr>
          <w:rFonts w:asciiTheme="majorHAnsi" w:hAnsiTheme="majorHAnsi"/>
          <w:sz w:val="20"/>
          <w:szCs w:val="20"/>
        </w:rPr>
        <w:fldChar w:fldCharType="end"/>
      </w:r>
      <w:r>
        <w:rPr>
          <w:rFonts w:asciiTheme="majorHAnsi" w:hAnsiTheme="majorHAnsi"/>
          <w:sz w:val="20"/>
          <w:szCs w:val="20"/>
        </w:rPr>
        <w:t>.</w:t>
      </w:r>
    </w:p>
    <w:p w14:paraId="64F91280" w14:textId="77777777" w:rsidR="00DD647D" w:rsidRPr="00FA3F27" w:rsidRDefault="00DD647D" w:rsidP="00DD647D">
      <w:pPr>
        <w:rPr>
          <w:rFonts w:asciiTheme="majorHAnsi" w:hAnsiTheme="majorHAnsi"/>
          <w:sz w:val="20"/>
          <w:szCs w:val="20"/>
          <w:lang w:val="en-GB"/>
        </w:rPr>
      </w:pPr>
      <w:r w:rsidRPr="00FA3F27">
        <w:rPr>
          <w:rFonts w:asciiTheme="majorHAnsi" w:hAnsiTheme="majorHAnsi"/>
          <w:sz w:val="20"/>
          <w:szCs w:val="20"/>
        </w:rPr>
        <w:t xml:space="preserve">Iuzzolino, Giovanni; Pellegrini, Guido; Viesti, Gianfranco (2011). </w:t>
      </w:r>
      <w:r w:rsidRPr="00FA3F27">
        <w:rPr>
          <w:rFonts w:asciiTheme="majorHAnsi" w:hAnsiTheme="majorHAnsi"/>
          <w:i/>
          <w:sz w:val="20"/>
          <w:szCs w:val="20"/>
        </w:rPr>
        <w:t>Quaderni di Storia Economica (Economic Working Papers): Convergence among Italian Regions, 1861-2011</w:t>
      </w:r>
      <w:r w:rsidRPr="00FA3F27">
        <w:rPr>
          <w:rFonts w:asciiTheme="majorHAnsi" w:hAnsiTheme="majorHAnsi"/>
          <w:sz w:val="20"/>
          <w:szCs w:val="20"/>
        </w:rPr>
        <w:t>. Banca d’Italia.</w:t>
      </w:r>
    </w:p>
    <w:p w14:paraId="4247B22F" w14:textId="77777777" w:rsidR="00D51956" w:rsidRPr="00FA3F27" w:rsidRDefault="00DB0C44" w:rsidP="002B01A1">
      <w:pPr>
        <w:pStyle w:val="FootnoteText"/>
        <w:rPr>
          <w:rFonts w:asciiTheme="majorHAnsi" w:hAnsiTheme="majorHAnsi"/>
          <w:lang w:val="en-GB"/>
        </w:rPr>
      </w:pPr>
      <w:r w:rsidRPr="00FA3F27">
        <w:rPr>
          <w:rFonts w:asciiTheme="majorHAnsi" w:hAnsiTheme="majorHAnsi"/>
        </w:rPr>
        <w:t xml:space="preserve">Lupo, Salvatore (1998). “Storia del Mezzogiorno, questione meridionale, meridionalismo” in </w:t>
      </w:r>
      <w:r w:rsidRPr="00FA3F27">
        <w:rPr>
          <w:rFonts w:asciiTheme="majorHAnsi" w:hAnsiTheme="majorHAnsi"/>
          <w:i/>
        </w:rPr>
        <w:t>Meridiana</w:t>
      </w:r>
      <w:r w:rsidRPr="00FA3F27">
        <w:rPr>
          <w:rFonts w:asciiTheme="majorHAnsi" w:hAnsiTheme="majorHAnsi"/>
        </w:rPr>
        <w:t>, no. 32.</w:t>
      </w:r>
    </w:p>
    <w:p w14:paraId="538B8E50" w14:textId="77777777" w:rsidR="002B01A1" w:rsidRPr="00FA3F27" w:rsidRDefault="002B01A1" w:rsidP="002B01A1">
      <w:pPr>
        <w:pStyle w:val="FootnoteText"/>
        <w:rPr>
          <w:rFonts w:asciiTheme="majorHAnsi" w:hAnsiTheme="majorHAnsi"/>
          <w:lang w:val="en-GB"/>
        </w:rPr>
      </w:pPr>
    </w:p>
    <w:p w14:paraId="46E82616" w14:textId="3E12A6D1" w:rsidR="006D40C0" w:rsidRPr="006D40C0" w:rsidRDefault="008027A9" w:rsidP="00FA5FB2">
      <w:pPr>
        <w:pStyle w:val="FootnoteText"/>
        <w:rPr>
          <w:rFonts w:asciiTheme="majorHAnsi" w:hAnsiTheme="majorHAnsi"/>
          <w:lang w:val="en-GB"/>
        </w:rPr>
      </w:pPr>
      <w:r w:rsidRPr="00695635">
        <w:rPr>
          <w:rFonts w:asciiTheme="majorHAnsi" w:hAnsiTheme="majorHAnsi"/>
          <w:lang w:val="en-GB"/>
        </w:rPr>
        <w:t xml:space="preserve">Mill, John Stuart. A System of Logic, </w:t>
      </w:r>
      <w:proofErr w:type="spellStart"/>
      <w:r w:rsidRPr="00695635">
        <w:rPr>
          <w:rFonts w:asciiTheme="majorHAnsi" w:hAnsiTheme="majorHAnsi"/>
          <w:lang w:val="en-GB"/>
        </w:rPr>
        <w:t>Ratiocinative</w:t>
      </w:r>
      <w:proofErr w:type="spellEnd"/>
      <w:r w:rsidRPr="00695635">
        <w:rPr>
          <w:rFonts w:asciiTheme="majorHAnsi" w:hAnsiTheme="majorHAnsi"/>
          <w:lang w:val="en-GB"/>
        </w:rPr>
        <w:t xml:space="preserve"> and Inductive, Being a Connected View of the Principles of Evidence, and the Methods of Scientific Investigation. New York: Harper &amp; Brothers, 1882.</w:t>
      </w:r>
    </w:p>
    <w:p w14:paraId="42854567" w14:textId="77777777" w:rsidR="006D40C0" w:rsidRDefault="006D40C0" w:rsidP="00FA5FB2">
      <w:pPr>
        <w:pStyle w:val="FootnoteText"/>
        <w:rPr>
          <w:rFonts w:asciiTheme="majorHAnsi" w:hAnsiTheme="majorHAnsi"/>
        </w:rPr>
      </w:pPr>
    </w:p>
    <w:p w14:paraId="2BDF79B7" w14:textId="530A0597" w:rsidR="00FA5FB2" w:rsidRPr="00FA3F27" w:rsidRDefault="00FA5FB2" w:rsidP="00FA5FB2">
      <w:pPr>
        <w:pStyle w:val="FootnoteText"/>
        <w:rPr>
          <w:rFonts w:asciiTheme="majorHAnsi" w:hAnsiTheme="majorHAnsi"/>
        </w:rPr>
      </w:pPr>
      <w:r w:rsidRPr="00FA3F27">
        <w:rPr>
          <w:rFonts w:asciiTheme="majorHAnsi" w:hAnsiTheme="majorHAnsi"/>
        </w:rPr>
        <w:t xml:space="preserve">Picci, Lucio (2002). “Le opere pubbliche dall’Unità d’Italia” in </w:t>
      </w:r>
      <w:r w:rsidRPr="00FA3F27">
        <w:rPr>
          <w:rFonts w:asciiTheme="majorHAnsi" w:hAnsiTheme="majorHAnsi"/>
          <w:i/>
        </w:rPr>
        <w:t>Rivista di politica economica</w:t>
      </w:r>
      <w:r w:rsidRPr="00FA3F27">
        <w:rPr>
          <w:rFonts w:asciiTheme="majorHAnsi" w:hAnsiTheme="majorHAnsi"/>
        </w:rPr>
        <w:t>.</w:t>
      </w:r>
    </w:p>
    <w:p w14:paraId="374D357A" w14:textId="77777777" w:rsidR="00FA5FB2" w:rsidRPr="00FA3F27" w:rsidRDefault="00FA5FB2" w:rsidP="00FA5FB2">
      <w:pPr>
        <w:pStyle w:val="FootnoteText"/>
        <w:rPr>
          <w:rFonts w:asciiTheme="majorHAnsi" w:hAnsiTheme="majorHAnsi"/>
        </w:rPr>
      </w:pPr>
    </w:p>
    <w:p w14:paraId="48DBC78A" w14:textId="06C337F7" w:rsidR="008F6900" w:rsidRPr="008F6900" w:rsidRDefault="008F6900" w:rsidP="008F6900">
      <w:pPr>
        <w:pStyle w:val="FootnoteText"/>
        <w:rPr>
          <w:rFonts w:asciiTheme="majorHAnsi" w:hAnsiTheme="majorHAnsi"/>
        </w:rPr>
      </w:pPr>
      <w:r>
        <w:rPr>
          <w:rFonts w:asciiTheme="majorHAnsi" w:hAnsiTheme="majorHAnsi"/>
        </w:rPr>
        <w:t>S</w:t>
      </w:r>
      <w:r w:rsidRPr="008F6900">
        <w:rPr>
          <w:rFonts w:asciiTheme="majorHAnsi" w:hAnsiTheme="majorHAnsi"/>
        </w:rPr>
        <w:t>Puca, Antonio. Alle origini di Minerva trionfante. 3: L’ impossibile modernizzazione: l’industria di base meridionale tra liberismo e protezionismo: il caso Pietrarsa (1840- 1882). Pubblicazioni degli archivi di stato Saggi 99. Roma: Ministero per i Beni e le Attività Culturali, 2011.</w:t>
      </w:r>
      <w:r>
        <w:rPr>
          <w:rFonts w:asciiTheme="majorHAnsi" w:hAnsiTheme="majorHAnsi"/>
        </w:rPr>
        <w:br/>
      </w:r>
    </w:p>
    <w:p w14:paraId="2EBFA4F8" w14:textId="3282DD03" w:rsidR="008027A9" w:rsidRPr="00B769EA" w:rsidRDefault="008F6900" w:rsidP="008F6900">
      <w:pPr>
        <w:pStyle w:val="FootnoteText"/>
        <w:rPr>
          <w:rFonts w:asciiTheme="majorHAnsi" w:hAnsiTheme="majorHAnsi"/>
        </w:rPr>
      </w:pPr>
      <w:r w:rsidRPr="00B769EA">
        <w:rPr>
          <w:rFonts w:asciiTheme="majorHAnsi" w:hAnsiTheme="majorHAnsi"/>
          <w:lang w:val="en-GB"/>
        </w:rPr>
        <w:t xml:space="preserve"> </w:t>
      </w:r>
      <w:r w:rsidR="008027A9" w:rsidRPr="00B769EA">
        <w:rPr>
          <w:rFonts w:asciiTheme="majorHAnsi" w:hAnsiTheme="majorHAnsi"/>
        </w:rPr>
        <w:t>Randaccio, Carlo. Storia Delle Marine Militari Italiane Dal 1750 Al 1860, e Della Marina Militare Italiana Dal 1860 Al 1870. Vol. II. Roma: Forzani E. C. Tipografi del Senato Editori, 1886.</w:t>
      </w:r>
      <w:r w:rsidR="008027A9" w:rsidRPr="008F6900">
        <w:rPr>
          <w:rFonts w:asciiTheme="majorHAnsi" w:hAnsiTheme="majorHAnsi"/>
        </w:rPr>
        <w:br/>
      </w:r>
    </w:p>
    <w:p w14:paraId="7C5D0462" w14:textId="77777777" w:rsidR="002B01A1" w:rsidRPr="008F6900" w:rsidRDefault="002237AE" w:rsidP="002B01A1">
      <w:pPr>
        <w:pStyle w:val="FootnoteText"/>
        <w:rPr>
          <w:rFonts w:asciiTheme="majorHAnsi" w:hAnsiTheme="majorHAnsi"/>
        </w:rPr>
      </w:pPr>
      <w:r w:rsidRPr="008F6900">
        <w:rPr>
          <w:rFonts w:asciiTheme="majorHAnsi" w:hAnsiTheme="majorHAnsi"/>
        </w:rPr>
        <w:t xml:space="preserve">Salvadori, Massimo (2018). </w:t>
      </w:r>
      <w:r w:rsidRPr="008F6900">
        <w:rPr>
          <w:rFonts w:asciiTheme="majorHAnsi" w:hAnsiTheme="majorHAnsi"/>
          <w:i/>
        </w:rPr>
        <w:t xml:space="preserve">Storia d’Italia. Il Cammino Tormentato di una Nazione. </w:t>
      </w:r>
      <w:r w:rsidR="002B01A1" w:rsidRPr="008F6900">
        <w:rPr>
          <w:rFonts w:asciiTheme="majorHAnsi" w:hAnsiTheme="majorHAnsi"/>
        </w:rPr>
        <w:t>Torino: Einaudi</w:t>
      </w:r>
    </w:p>
    <w:p w14:paraId="177E1BDD" w14:textId="77777777" w:rsidR="0034155B" w:rsidRPr="008F6900" w:rsidRDefault="0034155B" w:rsidP="002B01A1">
      <w:pPr>
        <w:pStyle w:val="FootnoteText"/>
        <w:rPr>
          <w:rFonts w:asciiTheme="majorHAnsi" w:hAnsiTheme="majorHAnsi"/>
        </w:rPr>
      </w:pPr>
    </w:p>
    <w:p w14:paraId="5BFFB54A" w14:textId="77777777" w:rsidR="0034155B" w:rsidRPr="00FA3F27" w:rsidRDefault="0034155B" w:rsidP="002B01A1">
      <w:pPr>
        <w:pStyle w:val="FootnoteText"/>
        <w:rPr>
          <w:rFonts w:asciiTheme="majorHAnsi" w:hAnsiTheme="majorHAnsi"/>
          <w:lang w:val="en-GB"/>
        </w:rPr>
      </w:pPr>
      <w:r w:rsidRPr="00FA3F27">
        <w:rPr>
          <w:rFonts w:asciiTheme="majorHAnsi" w:hAnsiTheme="majorHAnsi"/>
        </w:rPr>
        <w:t xml:space="preserve">Saverio Nitti, Francesco (1900).  </w:t>
      </w:r>
      <w:r w:rsidRPr="00FA3F27">
        <w:rPr>
          <w:rFonts w:asciiTheme="majorHAnsi" w:hAnsiTheme="majorHAnsi"/>
          <w:i/>
        </w:rPr>
        <w:t>Nord e Sud. Prime linee di un inchiesta sulla ripartizione territoriale delle entrate e delle spese dello stato in Italia.</w:t>
      </w:r>
      <w:r w:rsidRPr="00FA3F27">
        <w:rPr>
          <w:rFonts w:asciiTheme="majorHAnsi" w:hAnsiTheme="majorHAnsi"/>
        </w:rPr>
        <w:t xml:space="preserve"> Torino: Viarengo e Roux.</w:t>
      </w:r>
    </w:p>
    <w:p w14:paraId="7BDAC713" w14:textId="77777777" w:rsidR="002B01A1" w:rsidRPr="00FA3F27" w:rsidRDefault="002B01A1" w:rsidP="002B01A1">
      <w:pPr>
        <w:pStyle w:val="FootnoteText"/>
        <w:rPr>
          <w:rFonts w:asciiTheme="majorHAnsi" w:hAnsiTheme="majorHAnsi"/>
          <w:lang w:val="en-GB"/>
        </w:rPr>
      </w:pPr>
    </w:p>
    <w:p w14:paraId="13141306" w14:textId="77777777" w:rsidR="002B01A1" w:rsidRPr="00FA3F27" w:rsidRDefault="00EB1086" w:rsidP="002B01A1">
      <w:pPr>
        <w:pStyle w:val="FootnoteText"/>
        <w:rPr>
          <w:rFonts w:asciiTheme="majorHAnsi" w:hAnsiTheme="majorHAnsi"/>
          <w:lang w:val="en-GB"/>
        </w:rPr>
      </w:pPr>
      <w:r w:rsidRPr="00FA3F27">
        <w:rPr>
          <w:rFonts w:asciiTheme="majorHAnsi" w:hAnsiTheme="majorHAnsi"/>
          <w:lang w:val="en-GB"/>
        </w:rPr>
        <w:t xml:space="preserve">Schneider, Jane (1998). </w:t>
      </w:r>
      <w:r w:rsidRPr="00FA3F27">
        <w:rPr>
          <w:rFonts w:asciiTheme="majorHAnsi" w:hAnsiTheme="majorHAnsi"/>
          <w:i/>
          <w:lang w:val="en-GB"/>
        </w:rPr>
        <w:t xml:space="preserve">Italy’s “Southern Question”: Orientalism in one Country. </w:t>
      </w:r>
      <w:r w:rsidRPr="00FA3F27">
        <w:rPr>
          <w:rFonts w:asciiTheme="majorHAnsi" w:hAnsiTheme="majorHAnsi"/>
          <w:lang w:val="en-GB"/>
        </w:rPr>
        <w:t>Oxford: Berg.</w:t>
      </w:r>
    </w:p>
    <w:p w14:paraId="042A8F0C" w14:textId="77777777" w:rsidR="002B01A1" w:rsidRPr="00FA3F27" w:rsidRDefault="002B01A1" w:rsidP="002B01A1">
      <w:pPr>
        <w:pStyle w:val="FootnoteText"/>
        <w:rPr>
          <w:rFonts w:asciiTheme="majorHAnsi" w:hAnsiTheme="majorHAnsi"/>
          <w:lang w:val="en-GB"/>
        </w:rPr>
      </w:pPr>
    </w:p>
    <w:p w14:paraId="6FBE65DF" w14:textId="77777777" w:rsidR="00DA546E" w:rsidRPr="008F6900" w:rsidRDefault="00DA546E" w:rsidP="002B01A1">
      <w:pPr>
        <w:pStyle w:val="FootnoteText"/>
        <w:rPr>
          <w:rFonts w:asciiTheme="majorHAnsi" w:hAnsiTheme="majorHAnsi"/>
        </w:rPr>
      </w:pPr>
      <w:r w:rsidRPr="008F6900">
        <w:rPr>
          <w:rFonts w:asciiTheme="majorHAnsi" w:hAnsiTheme="majorHAnsi"/>
        </w:rPr>
        <w:t xml:space="preserve">Sereni, Emilio (1974). </w:t>
      </w:r>
      <w:r w:rsidRPr="008F6900">
        <w:rPr>
          <w:rFonts w:asciiTheme="majorHAnsi" w:hAnsiTheme="majorHAnsi"/>
          <w:i/>
        </w:rPr>
        <w:t>Capitalismo e Mercato Nazionale in Italia</w:t>
      </w:r>
      <w:r w:rsidRPr="008F6900">
        <w:rPr>
          <w:rFonts w:asciiTheme="majorHAnsi" w:hAnsiTheme="majorHAnsi"/>
        </w:rPr>
        <w:t xml:space="preserve">. Roma: Editori Riuniti. </w:t>
      </w:r>
    </w:p>
    <w:p w14:paraId="765703C9" w14:textId="77777777" w:rsidR="00A36572" w:rsidRDefault="00A36572" w:rsidP="00695635">
      <w:pPr>
        <w:pStyle w:val="FootnoteText"/>
        <w:rPr>
          <w:rFonts w:asciiTheme="majorHAnsi" w:hAnsiTheme="majorHAnsi"/>
          <w:lang w:val="en-GB"/>
        </w:rPr>
      </w:pPr>
    </w:p>
    <w:p w14:paraId="078037BA" w14:textId="0BB08236" w:rsidR="00695635" w:rsidRPr="00FA3F27" w:rsidRDefault="00695635" w:rsidP="00695635">
      <w:pPr>
        <w:pStyle w:val="FootnoteText"/>
        <w:rPr>
          <w:rFonts w:asciiTheme="majorHAnsi" w:hAnsiTheme="majorHAnsi"/>
          <w:lang w:val="en-GB"/>
        </w:rPr>
      </w:pPr>
    </w:p>
    <w:p w14:paraId="033925E4" w14:textId="77777777" w:rsidR="00D328CA" w:rsidRPr="00AD6C06" w:rsidRDefault="00D328CA" w:rsidP="00D328CA">
      <w:pPr>
        <w:rPr>
          <w:rFonts w:asciiTheme="majorHAnsi" w:hAnsiTheme="majorHAnsi"/>
          <w:sz w:val="20"/>
          <w:szCs w:val="20"/>
        </w:rPr>
      </w:pPr>
      <w:r w:rsidRPr="00FA3F27">
        <w:rPr>
          <w:rFonts w:asciiTheme="majorHAnsi" w:hAnsiTheme="majorHAnsi"/>
          <w:sz w:val="20"/>
          <w:szCs w:val="20"/>
        </w:rPr>
        <w:t xml:space="preserve">Staderini, Alessandra and Vadalà,Emilio (2021). </w:t>
      </w:r>
      <w:r w:rsidRPr="00FA3F27">
        <w:rPr>
          <w:rFonts w:asciiTheme="majorHAnsi" w:hAnsiTheme="majorHAnsi"/>
          <w:i/>
          <w:sz w:val="20"/>
          <w:szCs w:val="20"/>
        </w:rPr>
        <w:t>Bilancio Pubblico e Flussi Redistributivi Interregionali: Ricostruzione e Analisi dei Residui Fiscali nelle Regioni Italiane</w:t>
      </w:r>
      <w:r w:rsidRPr="00FA3F27">
        <w:rPr>
          <w:rFonts w:asciiTheme="majorHAnsi" w:hAnsiTheme="majorHAnsi"/>
          <w:sz w:val="20"/>
          <w:szCs w:val="20"/>
        </w:rPr>
        <w:t>, Banca d’Italia.</w:t>
      </w:r>
    </w:p>
    <w:p w14:paraId="426F56A6" w14:textId="77777777" w:rsidR="00A36572" w:rsidRDefault="00A36572" w:rsidP="00C4067C">
      <w:pPr>
        <w:rPr>
          <w:rFonts w:asciiTheme="majorHAnsi" w:hAnsiTheme="majorHAnsi"/>
          <w:sz w:val="20"/>
          <w:szCs w:val="20"/>
        </w:rPr>
      </w:pPr>
      <w:r w:rsidRPr="00FA3F27">
        <w:rPr>
          <w:rFonts w:asciiTheme="majorHAnsi" w:hAnsiTheme="majorHAnsi"/>
          <w:sz w:val="20"/>
          <w:szCs w:val="20"/>
        </w:rPr>
        <w:t xml:space="preserve">Zangheri, Renato (1963). ““Dualismo” e sviluppo nell’industria dell’Italia moderna” in </w:t>
      </w:r>
      <w:r w:rsidRPr="00FA3F27">
        <w:rPr>
          <w:rFonts w:asciiTheme="majorHAnsi" w:hAnsiTheme="majorHAnsi"/>
          <w:i/>
          <w:sz w:val="20"/>
          <w:szCs w:val="20"/>
        </w:rPr>
        <w:t xml:space="preserve">Studi Storici, </w:t>
      </w:r>
      <w:r w:rsidRPr="00FA3F27">
        <w:rPr>
          <w:rFonts w:asciiTheme="majorHAnsi" w:hAnsiTheme="majorHAnsi"/>
          <w:sz w:val="20"/>
          <w:szCs w:val="20"/>
        </w:rPr>
        <w:t>Anno, 4, No. 2, 315-325.</w:t>
      </w:r>
    </w:p>
    <w:p w14:paraId="445BE856" w14:textId="6B85094F" w:rsidR="00D328CA" w:rsidRPr="00013163" w:rsidRDefault="00013163">
      <w:pPr>
        <w:rPr>
          <w:rFonts w:asciiTheme="majorHAnsi" w:hAnsiTheme="majorHAnsi"/>
          <w:b/>
          <w:sz w:val="30"/>
          <w:szCs w:val="30"/>
        </w:rPr>
      </w:pPr>
      <w:r w:rsidRPr="00013163">
        <w:rPr>
          <w:rFonts w:asciiTheme="majorHAnsi" w:hAnsiTheme="majorHAnsi"/>
          <w:b/>
          <w:sz w:val="30"/>
          <w:szCs w:val="30"/>
        </w:rPr>
        <w:t>Primary sources</w:t>
      </w:r>
    </w:p>
    <w:p w14:paraId="69C30E43" w14:textId="241F0F8D" w:rsidR="00013163" w:rsidRDefault="00013163">
      <w:r w:rsidRPr="0092752A">
        <w:t xml:space="preserve">Giordano, </w:t>
      </w:r>
      <w:r>
        <w:t xml:space="preserve">Felice (1864). </w:t>
      </w:r>
      <w:r w:rsidRPr="0092752A">
        <w:rPr>
          <w:i/>
        </w:rPr>
        <w:t>Industria del ferro in Italia: Relazione dell’ingegnere Felice Giordano per la commissione delle ferriere is</w:t>
      </w:r>
      <w:r w:rsidR="008B1D06">
        <w:rPr>
          <w:i/>
        </w:rPr>
        <w:t xml:space="preserve">tituita dal Ministero di Marina. </w:t>
      </w:r>
      <w:r w:rsidRPr="0092752A">
        <w:t>Torino: Ti</w:t>
      </w:r>
      <w:r w:rsidR="008B1D06">
        <w:t>pografia Cotta e Capellino.</w:t>
      </w:r>
    </w:p>
    <w:p w14:paraId="0A030D1D" w14:textId="3B697AB2" w:rsidR="00E521C0" w:rsidRPr="00013163" w:rsidRDefault="00106411">
      <w:pPr>
        <w:rPr>
          <w:b/>
          <w:sz w:val="30"/>
          <w:szCs w:val="30"/>
        </w:rPr>
      </w:pPr>
      <w:r w:rsidRPr="00904F6D">
        <w:rPr>
          <w:i/>
        </w:rPr>
        <w:t>Atti del Comitato dell’Inchiesta industriale (1870-1874): Riassunti delle deposizioni orali e scritte</w:t>
      </w:r>
      <w:r>
        <w:t xml:space="preserve">. Firenze: Stamperia Reale, 1874, 7. From Archivio Storico dell’Industria Italiana. Le Fonti. </w:t>
      </w:r>
      <w:r w:rsidRPr="00904F6D">
        <w:rPr>
          <w:i/>
        </w:rPr>
        <w:t>Atti del Comitato dell’Inchiesta industriale (1870-1874): Riassunti delle deposizioni orali e scritte</w:t>
      </w:r>
      <w:r>
        <w:rPr>
          <w:i/>
        </w:rPr>
        <w:t xml:space="preserve"> Vol. VI. </w:t>
      </w:r>
      <w:r>
        <w:t xml:space="preserve"> </w:t>
      </w:r>
      <w:hyperlink r:id="rId17" w:history="1">
        <w:r w:rsidRPr="00B02A04">
          <w:rPr>
            <w:rStyle w:val="Hyperlink"/>
          </w:rPr>
          <w:t>https://play.google.com/books/reader?id=ks9HAAAAYAAJ&amp;printsec=frontcover&amp;pg=GBS.PP1</w:t>
        </w:r>
      </w:hyperlink>
    </w:p>
    <w:sectPr w:rsidR="00E521C0" w:rsidRPr="00013163">
      <w:headerReference w:type="default" r:id="rId18"/>
      <w:pgSz w:w="11906" w:h="16838"/>
      <w:pgMar w:top="1417" w:right="1134" w:bottom="1134" w:left="1134"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70D783A" w15:done="0"/>
  <w15:commentEx w15:paraId="68056847" w15:done="0"/>
  <w15:commentEx w15:paraId="47AC48C4" w15:done="0"/>
  <w15:commentEx w15:paraId="0BE72254" w15:done="0"/>
  <w15:commentEx w15:paraId="19AADFEE" w15:done="0"/>
  <w15:commentEx w15:paraId="538EF704" w15:done="0"/>
  <w15:commentEx w15:paraId="1066D84C" w15:done="0"/>
  <w15:commentEx w15:paraId="49C90775" w15:done="0"/>
  <w15:commentEx w15:paraId="19DEFBC5" w15:done="0"/>
  <w15:commentEx w15:paraId="4B1E9326" w15:done="0"/>
  <w15:commentEx w15:paraId="2FD3A816" w15:done="0"/>
  <w15:commentEx w15:paraId="5BD454A1" w15:done="0"/>
  <w15:commentEx w15:paraId="7FE4035E" w15:done="0"/>
  <w15:commentEx w15:paraId="7B5E4A71" w15:done="0"/>
  <w15:commentEx w15:paraId="3BB4F696" w15:done="0"/>
  <w15:commentEx w15:paraId="00DB7B04" w15:done="0"/>
  <w15:commentEx w15:paraId="79CE8764" w15:done="0"/>
  <w15:commentEx w15:paraId="7DAD080F" w15:done="0"/>
  <w15:commentEx w15:paraId="2E7C496B" w15:done="0"/>
  <w15:commentEx w15:paraId="4A2449C8" w15:done="0"/>
  <w15:commentEx w15:paraId="34847DD4" w15:done="0"/>
  <w15:commentEx w15:paraId="334730E9" w15:done="0"/>
  <w15:commentEx w15:paraId="7DD32015" w15:done="0"/>
  <w15:commentEx w15:paraId="1451A9A3" w15:done="0"/>
  <w15:commentEx w15:paraId="6C22A55A" w15:done="0"/>
  <w15:commentEx w15:paraId="4BC974C4" w15:done="0"/>
  <w15:commentEx w15:paraId="3BBC757C" w15:done="0"/>
  <w15:commentEx w15:paraId="0C1C0C03" w15:done="0"/>
  <w15:commentEx w15:paraId="5E4AA3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26799" w16cex:dateUtc="2021-03-21T23:47:00Z"/>
  <w16cex:commentExtensible w16cex:durableId="240426D7" w16cex:dateUtc="2021-03-23T07:35:00Z"/>
  <w16cex:commentExtensible w16cex:durableId="24041BDD" w16cex:dateUtc="2021-03-23T06:48:00Z"/>
  <w16cex:commentExtensible w16cex:durableId="24041CC1" w16cex:dateUtc="2021-03-23T06:52:00Z"/>
  <w16cex:commentExtensible w16cex:durableId="24041D5A" w16cex:dateUtc="2021-03-23T06:55:00Z"/>
  <w16cex:commentExtensible w16cex:durableId="24041DD1" w16cex:dateUtc="2021-03-23T06:57:00Z"/>
  <w16cex:commentExtensible w16cex:durableId="24041A17" w16cex:dateUtc="2021-03-23T06:41:00Z"/>
  <w16cex:commentExtensible w16cex:durableId="24041A9D" w16cex:dateUtc="2021-03-23T06:43:00Z"/>
  <w16cex:commentExtensible w16cex:durableId="24041AEE" w16cex:dateUtc="2021-03-23T06:44:00Z"/>
  <w16cex:commentExtensible w16cex:durableId="24041ADD" w16cex:dateUtc="2021-03-23T06:44:00Z"/>
  <w16cex:commentExtensible w16cex:durableId="24041B08" w16cex:dateUtc="2021-03-23T06:45:00Z"/>
  <w16cex:commentExtensible w16cex:durableId="24041E16" w16cex:dateUtc="2021-03-23T06:58:00Z"/>
  <w16cex:commentExtensible w16cex:durableId="24041EB5" w16cex:dateUtc="2021-03-23T07:00:00Z"/>
  <w16cex:commentExtensible w16cex:durableId="24041F4B" w16cex:dateUtc="2021-03-23T07:03:00Z"/>
  <w16cex:commentExtensible w16cex:durableId="24041FC6" w16cex:dateUtc="2021-03-23T07:05:00Z"/>
  <w16cex:commentExtensible w16cex:durableId="24042023" w16cex:dateUtc="2021-03-23T07:06:00Z"/>
  <w16cex:commentExtensible w16cex:durableId="2404206B" w16cex:dateUtc="2021-03-23T07:08:00Z"/>
  <w16cex:commentExtensible w16cex:durableId="240420FF" w16cex:dateUtc="2021-03-23T07:10:00Z"/>
  <w16cex:commentExtensible w16cex:durableId="2404209C" w16cex:dateUtc="2021-03-23T07:09:00Z"/>
  <w16cex:commentExtensible w16cex:durableId="24042182" w16cex:dateUtc="2021-03-23T07:12:00Z"/>
  <w16cex:commentExtensible w16cex:durableId="2404219E" w16cex:dateUtc="2021-03-23T07:13:00Z"/>
  <w16cex:commentExtensible w16cex:durableId="24042259" w16cex:dateUtc="2021-03-23T07:16:00Z"/>
  <w16cex:commentExtensible w16cex:durableId="2404234F" w16cex:dateUtc="2021-03-23T07:20:00Z"/>
  <w16cex:commentExtensible w16cex:durableId="24042461" w16cex:dateUtc="2021-03-23T07:25:00Z"/>
  <w16cex:commentExtensible w16cex:durableId="24042451" w16cex:dateUtc="2021-03-23T07:24:00Z"/>
  <w16cex:commentExtensible w16cex:durableId="240424A2" w16cex:dateUtc="2021-03-23T07:26:00Z"/>
  <w16cex:commentExtensible w16cex:durableId="2404256B" w16cex:dateUtc="2021-03-23T07:29:00Z"/>
  <w16cex:commentExtensible w16cex:durableId="2404259B" w16cex:dateUtc="2021-03-23T07:30:00Z"/>
  <w16cex:commentExtensible w16cex:durableId="24042618" w16cex:dateUtc="2021-03-23T07: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0D783A" w16cid:durableId="24026799"/>
  <w16cid:commentId w16cid:paraId="68056847" w16cid:durableId="240426D7"/>
  <w16cid:commentId w16cid:paraId="47AC48C4" w16cid:durableId="24041BDD"/>
  <w16cid:commentId w16cid:paraId="0BE72254" w16cid:durableId="24041CC1"/>
  <w16cid:commentId w16cid:paraId="19AADFEE" w16cid:durableId="24041D5A"/>
  <w16cid:commentId w16cid:paraId="538EF704" w16cid:durableId="24041DD1"/>
  <w16cid:commentId w16cid:paraId="1066D84C" w16cid:durableId="24041A17"/>
  <w16cid:commentId w16cid:paraId="49C90775" w16cid:durableId="24041A9D"/>
  <w16cid:commentId w16cid:paraId="19DEFBC5" w16cid:durableId="24041AEE"/>
  <w16cid:commentId w16cid:paraId="4B1E9326" w16cid:durableId="24041ADD"/>
  <w16cid:commentId w16cid:paraId="2FD3A816" w16cid:durableId="24041B08"/>
  <w16cid:commentId w16cid:paraId="5BD454A1" w16cid:durableId="24041E16"/>
  <w16cid:commentId w16cid:paraId="7FE4035E" w16cid:durableId="24041EB5"/>
  <w16cid:commentId w16cid:paraId="7B5E4A71" w16cid:durableId="24041F4B"/>
  <w16cid:commentId w16cid:paraId="3BB4F696" w16cid:durableId="24041FC6"/>
  <w16cid:commentId w16cid:paraId="00DB7B04" w16cid:durableId="24042023"/>
  <w16cid:commentId w16cid:paraId="79CE8764" w16cid:durableId="2404206B"/>
  <w16cid:commentId w16cid:paraId="7DAD080F" w16cid:durableId="240420FF"/>
  <w16cid:commentId w16cid:paraId="2E7C496B" w16cid:durableId="2404209C"/>
  <w16cid:commentId w16cid:paraId="4A2449C8" w16cid:durableId="24042182"/>
  <w16cid:commentId w16cid:paraId="34847DD4" w16cid:durableId="2404219E"/>
  <w16cid:commentId w16cid:paraId="334730E9" w16cid:durableId="24042259"/>
  <w16cid:commentId w16cid:paraId="7DD32015" w16cid:durableId="2404234F"/>
  <w16cid:commentId w16cid:paraId="1451A9A3" w16cid:durableId="24042461"/>
  <w16cid:commentId w16cid:paraId="6C22A55A" w16cid:durableId="24042451"/>
  <w16cid:commentId w16cid:paraId="4BC974C4" w16cid:durableId="240424A2"/>
  <w16cid:commentId w16cid:paraId="3BBC757C" w16cid:durableId="2404256B"/>
  <w16cid:commentId w16cid:paraId="0C1C0C03" w16cid:durableId="2404259B"/>
  <w16cid:commentId w16cid:paraId="5E4AA363" w16cid:durableId="2404261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C45ED" w14:textId="77777777" w:rsidR="00FD727A" w:rsidRDefault="00FD727A" w:rsidP="00700C8A">
      <w:pPr>
        <w:spacing w:after="0" w:line="240" w:lineRule="auto"/>
      </w:pPr>
      <w:r>
        <w:separator/>
      </w:r>
    </w:p>
  </w:endnote>
  <w:endnote w:type="continuationSeparator" w:id="0">
    <w:p w14:paraId="4B507950" w14:textId="77777777" w:rsidR="00FD727A" w:rsidRDefault="00FD727A" w:rsidP="00700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567144" w14:textId="77777777" w:rsidR="00FD727A" w:rsidRDefault="00FD727A" w:rsidP="00700C8A">
      <w:pPr>
        <w:spacing w:after="0" w:line="240" w:lineRule="auto"/>
      </w:pPr>
      <w:r>
        <w:separator/>
      </w:r>
    </w:p>
  </w:footnote>
  <w:footnote w:type="continuationSeparator" w:id="0">
    <w:p w14:paraId="5D0154F8" w14:textId="77777777" w:rsidR="00FD727A" w:rsidRDefault="00FD727A" w:rsidP="00700C8A">
      <w:pPr>
        <w:spacing w:after="0" w:line="240" w:lineRule="auto"/>
      </w:pPr>
      <w:r>
        <w:continuationSeparator/>
      </w:r>
    </w:p>
  </w:footnote>
  <w:footnote w:id="1">
    <w:p w14:paraId="37CE1C0F" w14:textId="77777777" w:rsidR="00EE4B01" w:rsidRDefault="00EE4B01">
      <w:pPr>
        <w:pStyle w:val="FootnoteText"/>
      </w:pPr>
      <w:r>
        <w:rPr>
          <w:rStyle w:val="FootnoteReference"/>
        </w:rPr>
        <w:footnoteRef/>
      </w:r>
      <w:r>
        <w:t xml:space="preserve"> Massimo L. Salvadori, </w:t>
      </w:r>
      <w:r>
        <w:rPr>
          <w:i/>
        </w:rPr>
        <w:t xml:space="preserve">Storia d’Italia. Il cammino tormentato di una nazione. 1861 – 2016 </w:t>
      </w:r>
      <w:r>
        <w:t xml:space="preserve">(Torino: Einaudi 2018), XVIII. </w:t>
      </w:r>
    </w:p>
  </w:footnote>
  <w:footnote w:id="2">
    <w:p w14:paraId="79173D91" w14:textId="77777777" w:rsidR="00EE4B01" w:rsidRPr="00322658" w:rsidRDefault="00EE4B01">
      <w:pPr>
        <w:pStyle w:val="FootnoteText"/>
      </w:pPr>
      <w:r>
        <w:rPr>
          <w:rStyle w:val="FootnoteReference"/>
        </w:rPr>
        <w:footnoteRef/>
      </w:r>
      <w:r>
        <w:t xml:space="preserve"> Jane Schneider, </w:t>
      </w:r>
      <w:r>
        <w:rPr>
          <w:i/>
        </w:rPr>
        <w:t>Italy’s “Southern Question”. Orientalism in One Country</w:t>
      </w:r>
      <w:r>
        <w:t xml:space="preserve"> (Oxford: Berg 1998), 1.</w:t>
      </w:r>
    </w:p>
  </w:footnote>
  <w:footnote w:id="3">
    <w:p w14:paraId="0BA1E6E1" w14:textId="77777777" w:rsidR="00EE4B01" w:rsidRDefault="00EE4B01">
      <w:pPr>
        <w:pStyle w:val="FootnoteText"/>
      </w:pPr>
      <w:r>
        <w:rPr>
          <w:rStyle w:val="FootnoteReference"/>
        </w:rPr>
        <w:footnoteRef/>
      </w:r>
      <w:r>
        <w:t xml:space="preserve"> Ibid, 1</w:t>
      </w:r>
    </w:p>
  </w:footnote>
  <w:footnote w:id="4">
    <w:p w14:paraId="5D22FB50" w14:textId="77777777" w:rsidR="00EE4B01" w:rsidRDefault="00EE4B01">
      <w:pPr>
        <w:pStyle w:val="FootnoteText"/>
      </w:pPr>
      <w:r>
        <w:rPr>
          <w:rStyle w:val="FootnoteReference"/>
        </w:rPr>
        <w:footnoteRef/>
      </w:r>
      <w:r>
        <w:t xml:space="preserve"> Ibid, 1.</w:t>
      </w:r>
    </w:p>
  </w:footnote>
  <w:footnote w:id="5">
    <w:p w14:paraId="3B0C39DA" w14:textId="0FF82520" w:rsidR="00CF451B" w:rsidRDefault="00CF451B">
      <w:pPr>
        <w:pStyle w:val="FootnoteText"/>
      </w:pPr>
      <w:r>
        <w:rPr>
          <w:rStyle w:val="FootnoteReference"/>
        </w:rPr>
        <w:footnoteRef/>
      </w:r>
      <w:r>
        <w:t xml:space="preserve"> </w:t>
      </w:r>
      <w:r w:rsidR="00DF3674">
        <w:t xml:space="preserve">Rosario Romeo, </w:t>
      </w:r>
      <w:r w:rsidR="00DF3674">
        <w:rPr>
          <w:i/>
          <w:iCs/>
        </w:rPr>
        <w:t>Breve Storia Della Grande Industria in Italia  1861-1961</w:t>
      </w:r>
      <w:r w:rsidR="00DF3674">
        <w:t xml:space="preserve"> (Milano: Mondadori, 1988), 32-33.</w:t>
      </w:r>
    </w:p>
  </w:footnote>
  <w:footnote w:id="6">
    <w:p w14:paraId="45EC24F5" w14:textId="774B65B2" w:rsidR="00DF3674" w:rsidRDefault="00DF3674">
      <w:pPr>
        <w:pStyle w:val="FootnoteText"/>
      </w:pPr>
      <w:r>
        <w:rPr>
          <w:rStyle w:val="FootnoteReference"/>
        </w:rPr>
        <w:footnoteRef/>
      </w:r>
      <w:r>
        <w:t xml:space="preserve"> Ibid, 38-39.</w:t>
      </w:r>
    </w:p>
  </w:footnote>
  <w:footnote w:id="7">
    <w:p w14:paraId="22100109" w14:textId="77777777" w:rsidR="00EE4B01" w:rsidRPr="007A4A1B" w:rsidRDefault="00EE4B01">
      <w:pPr>
        <w:pStyle w:val="FootnoteText"/>
        <w:rPr>
          <w:rFonts w:asciiTheme="majorHAnsi" w:hAnsiTheme="majorHAnsi"/>
        </w:rPr>
      </w:pPr>
      <w:r>
        <w:rPr>
          <w:rStyle w:val="FootnoteReference"/>
        </w:rPr>
        <w:footnoteRef/>
      </w:r>
      <w:r>
        <w:t xml:space="preserve"> </w:t>
      </w:r>
      <w:r w:rsidRPr="007A4A1B">
        <w:t xml:space="preserve">Stefano Fenoaltea, </w:t>
      </w:r>
      <w:r w:rsidRPr="00DC3194">
        <w:rPr>
          <w:rFonts w:asciiTheme="majorHAnsi" w:hAnsiTheme="majorHAnsi"/>
          <w:i/>
        </w:rPr>
        <w:t>The Reinterpretation of Italian Economic History : From Unification to the Great War.</w:t>
      </w:r>
      <w:r w:rsidRPr="00DC3194">
        <w:rPr>
          <w:rFonts w:asciiTheme="majorHAnsi" w:hAnsiTheme="majorHAnsi"/>
        </w:rPr>
        <w:t xml:space="preserve"> </w:t>
      </w:r>
      <w:r>
        <w:rPr>
          <w:rFonts w:asciiTheme="majorHAnsi" w:hAnsiTheme="majorHAnsi"/>
        </w:rPr>
        <w:t>(</w:t>
      </w:r>
      <w:r w:rsidRPr="00DC3194">
        <w:rPr>
          <w:rFonts w:asciiTheme="majorHAnsi" w:hAnsiTheme="majorHAnsi"/>
        </w:rPr>
        <w:t>Cambridge: C</w:t>
      </w:r>
      <w:r>
        <w:rPr>
          <w:rFonts w:asciiTheme="majorHAnsi" w:hAnsiTheme="majorHAnsi"/>
        </w:rPr>
        <w:t>ambridge University Press, 2010), 192.</w:t>
      </w:r>
    </w:p>
  </w:footnote>
  <w:footnote w:id="8">
    <w:p w14:paraId="5B0468FF" w14:textId="77777777" w:rsidR="00EE4B01" w:rsidRDefault="00EE4B01">
      <w:pPr>
        <w:pStyle w:val="FootnoteText"/>
      </w:pPr>
      <w:r>
        <w:rPr>
          <w:rStyle w:val="FootnoteReference"/>
        </w:rPr>
        <w:footnoteRef/>
      </w:r>
      <w:r>
        <w:t xml:space="preserve"> Ibid, 194.</w:t>
      </w:r>
    </w:p>
  </w:footnote>
  <w:footnote w:id="9">
    <w:p w14:paraId="533CD75A" w14:textId="77777777" w:rsidR="00EE4B01" w:rsidRDefault="00EE4B01">
      <w:pPr>
        <w:pStyle w:val="FootnoteText"/>
      </w:pPr>
      <w:r>
        <w:rPr>
          <w:rStyle w:val="FootnoteReference"/>
        </w:rPr>
        <w:footnoteRef/>
      </w:r>
      <w:r>
        <w:t xml:space="preserve"> Ibid, 194-195.</w:t>
      </w:r>
    </w:p>
  </w:footnote>
  <w:footnote w:id="10">
    <w:p w14:paraId="601E73EE" w14:textId="77777777" w:rsidR="00EE4B01" w:rsidRDefault="00EE4B01">
      <w:pPr>
        <w:pStyle w:val="FootnoteText"/>
      </w:pPr>
      <w:r>
        <w:rPr>
          <w:rStyle w:val="FootnoteReference"/>
        </w:rPr>
        <w:footnoteRef/>
      </w:r>
      <w:r>
        <w:t xml:space="preserve"> Ibid, 20.</w:t>
      </w:r>
    </w:p>
  </w:footnote>
  <w:footnote w:id="11">
    <w:p w14:paraId="0B52624E" w14:textId="77777777" w:rsidR="00EE4B01" w:rsidRDefault="00EE4B01">
      <w:pPr>
        <w:pStyle w:val="FootnoteText"/>
      </w:pPr>
      <w:r>
        <w:rPr>
          <w:rStyle w:val="FootnoteReference"/>
        </w:rPr>
        <w:footnoteRef/>
      </w:r>
      <w:r>
        <w:t xml:space="preserve"> Ibid, </w:t>
      </w:r>
      <w:r w:rsidRPr="003163D8">
        <w:t>22-23</w:t>
      </w:r>
      <w:r w:rsidRPr="00071F81">
        <w:rPr>
          <w:color w:val="FF0000"/>
        </w:rPr>
        <w:t>.</w:t>
      </w:r>
    </w:p>
  </w:footnote>
  <w:footnote w:id="12">
    <w:p w14:paraId="729212F0" w14:textId="77777777" w:rsidR="00EE4B01" w:rsidRDefault="00EE4B01">
      <w:pPr>
        <w:pStyle w:val="FootnoteText"/>
      </w:pPr>
      <w:r>
        <w:rPr>
          <w:rStyle w:val="FootnoteReference"/>
        </w:rPr>
        <w:footnoteRef/>
      </w:r>
      <w:r>
        <w:t xml:space="preserve"> Ibid, 25-27.</w:t>
      </w:r>
    </w:p>
  </w:footnote>
  <w:footnote w:id="13">
    <w:p w14:paraId="11CBDF3A" w14:textId="77777777" w:rsidR="00132A0F" w:rsidRDefault="00132A0F" w:rsidP="00132A0F">
      <w:pPr>
        <w:pStyle w:val="FootnoteText"/>
      </w:pPr>
      <w:r>
        <w:rPr>
          <w:rStyle w:val="FootnoteReference"/>
        </w:rPr>
        <w:footnoteRef/>
      </w:r>
      <w:r>
        <w:t xml:space="preserve"> Ibid, 27.</w:t>
      </w:r>
    </w:p>
  </w:footnote>
  <w:footnote w:id="14">
    <w:p w14:paraId="35D209D8" w14:textId="77777777" w:rsidR="00EE4B01" w:rsidRDefault="00EE4B01">
      <w:pPr>
        <w:pStyle w:val="FootnoteText"/>
      </w:pPr>
      <w:r>
        <w:rPr>
          <w:rStyle w:val="FootnoteReference"/>
        </w:rPr>
        <w:footnoteRef/>
      </w:r>
      <w:r>
        <w:t xml:space="preserve"> Ibid, 197.</w:t>
      </w:r>
    </w:p>
  </w:footnote>
  <w:footnote w:id="15">
    <w:p w14:paraId="55D073B7" w14:textId="77777777" w:rsidR="00EE4B01" w:rsidRDefault="00EE4B01">
      <w:pPr>
        <w:pStyle w:val="FootnoteText"/>
      </w:pPr>
      <w:r>
        <w:rPr>
          <w:rStyle w:val="FootnoteReference"/>
        </w:rPr>
        <w:footnoteRef/>
      </w:r>
      <w:r>
        <w:t xml:space="preserve"> Ibid, 204.</w:t>
      </w:r>
    </w:p>
  </w:footnote>
  <w:footnote w:id="16">
    <w:p w14:paraId="6556A0C6" w14:textId="685B15A8" w:rsidR="005E3E0A" w:rsidRPr="00480828" w:rsidRDefault="005E3E0A" w:rsidP="005E3E0A">
      <w:pPr>
        <w:pStyle w:val="FootnoteText"/>
      </w:pPr>
      <w:r>
        <w:rPr>
          <w:rStyle w:val="FootnoteReference"/>
        </w:rPr>
        <w:footnoteRef/>
      </w:r>
      <w:r>
        <w:t xml:space="preserve"> </w:t>
      </w:r>
      <w:r w:rsidR="00CF451B">
        <w:t>Rosario Romeo,</w:t>
      </w:r>
      <w:r w:rsidR="00CF451B">
        <w:rPr>
          <w:i/>
        </w:rPr>
        <w:t xml:space="preserve"> Breve storia della grande industria, </w:t>
      </w:r>
      <w:r>
        <w:t xml:space="preserve">33; Marco Doria, “Le strategie e l’evoluzione dell’Ansaldo” in  </w:t>
      </w:r>
      <w:r>
        <w:rPr>
          <w:i/>
        </w:rPr>
        <w:t xml:space="preserve">Storia dell’Ansaldo. 1. Le origini. 1853-1882 </w:t>
      </w:r>
      <w:r>
        <w:t>ed. Valerio Castronovo (Roma-Bari: Laterza, 1994)</w:t>
      </w:r>
      <w:r>
        <w:rPr>
          <w:i/>
        </w:rPr>
        <w:t>,</w:t>
      </w:r>
      <w:r>
        <w:t xml:space="preserve"> 95.</w:t>
      </w:r>
    </w:p>
  </w:footnote>
  <w:footnote w:id="17">
    <w:p w14:paraId="2C178BD3" w14:textId="0DB3BAC5" w:rsidR="00691B0A" w:rsidRDefault="00691B0A">
      <w:pPr>
        <w:pStyle w:val="FootnoteText"/>
      </w:pPr>
      <w:r>
        <w:rPr>
          <w:rStyle w:val="FootnoteReference"/>
        </w:rPr>
        <w:footnoteRef/>
      </w:r>
      <w:r>
        <w:t xml:space="preserve"> Massimo Salvadori, </w:t>
      </w:r>
      <w:r>
        <w:rPr>
          <w:i/>
        </w:rPr>
        <w:t>Storia d’Italia,</w:t>
      </w:r>
      <w:r>
        <w:t xml:space="preserve"> 7; Anthony Cardoza, </w:t>
      </w:r>
      <w:r>
        <w:rPr>
          <w:i/>
          <w:iCs/>
        </w:rPr>
        <w:t>Aristocrats in Burgeois Italy: The Piedmontese Nobility, 1861-1930.</w:t>
      </w:r>
      <w:r>
        <w:t xml:space="preserve"> (Cambridge: Cambridge University Press, 1997), 58-59; Giuseppina Gianfreda and Fabrizio Mattesini, “Adverse Clearings in a Monetary System with Multiple Note Issuers: The Case of Italy (1861–1893),” </w:t>
      </w:r>
      <w:r>
        <w:rPr>
          <w:i/>
          <w:iCs/>
        </w:rPr>
        <w:t>Cliometrica</w:t>
      </w:r>
      <w:r>
        <w:t xml:space="preserve"> 9, no. 1 (January 2015): 1–25, 2-3.</w:t>
      </w:r>
    </w:p>
  </w:footnote>
  <w:footnote w:id="18">
    <w:p w14:paraId="06E7BF15" w14:textId="600381B1" w:rsidR="00254F67" w:rsidRPr="00254F67" w:rsidRDefault="00254F67">
      <w:pPr>
        <w:pStyle w:val="FootnoteText"/>
      </w:pPr>
      <w:r>
        <w:rPr>
          <w:rStyle w:val="FootnoteReference"/>
        </w:rPr>
        <w:footnoteRef/>
      </w:r>
      <w:r>
        <w:t xml:space="preserve"> </w:t>
      </w:r>
      <w:r w:rsidR="00B035EB">
        <w:t>Narciso Nada, “</w:t>
      </w:r>
      <w:r w:rsidR="00B035EB">
        <w:rPr>
          <w:i/>
        </w:rPr>
        <w:t>Genova e l’Ansaldo nella politica di Cavour</w:t>
      </w:r>
      <w:r w:rsidR="00DA1782">
        <w:rPr>
          <w:i/>
        </w:rPr>
        <w:t xml:space="preserve">” </w:t>
      </w:r>
      <w:r w:rsidR="00DA1782">
        <w:t xml:space="preserve">in </w:t>
      </w:r>
      <w:r w:rsidR="00DA1782">
        <w:rPr>
          <w:i/>
        </w:rPr>
        <w:t>Storia dell’Ansaldo</w:t>
      </w:r>
      <w:r w:rsidR="00B035EB">
        <w:rPr>
          <w:i/>
        </w:rPr>
        <w:t>,</w:t>
      </w:r>
      <w:r w:rsidR="00B035EB">
        <w:t xml:space="preserve"> 37-38; </w:t>
      </w:r>
      <w:r>
        <w:t xml:space="preserve">Piero Bevilacqua, </w:t>
      </w:r>
      <w:r>
        <w:rPr>
          <w:i/>
        </w:rPr>
        <w:t>Breve storia dell’Italia meridionale,</w:t>
      </w:r>
      <w:r w:rsidR="00B035EB">
        <w:t xml:space="preserve"> 79; </w:t>
      </w:r>
      <w:r w:rsidR="00B035EB" w:rsidRPr="00B04302">
        <w:t xml:space="preserve">Giovanni </w:t>
      </w:r>
      <w:r w:rsidR="00B035EB">
        <w:t>Iuzzolino,</w:t>
      </w:r>
      <w:r w:rsidR="00B035EB" w:rsidRPr="00B04302">
        <w:t xml:space="preserve"> Guido </w:t>
      </w:r>
      <w:r w:rsidR="00B035EB">
        <w:t>Pellegrini,</w:t>
      </w:r>
      <w:r w:rsidR="00B035EB" w:rsidRPr="00B04302">
        <w:t xml:space="preserve"> Gianfranco Viesti,</w:t>
      </w:r>
      <w:r w:rsidR="00B035EB">
        <w:t xml:space="preserve"> </w:t>
      </w:r>
      <w:r w:rsidR="00B035EB">
        <w:rPr>
          <w:i/>
        </w:rPr>
        <w:t xml:space="preserve">Quaderni di Storia Economica (Economic Working Papers): </w:t>
      </w:r>
      <w:r w:rsidR="00B035EB" w:rsidRPr="009950C9">
        <w:rPr>
          <w:i/>
        </w:rPr>
        <w:t>Convergence among Italian Regions, 1861-2011</w:t>
      </w:r>
      <w:r w:rsidR="00B035EB" w:rsidRPr="00B04302">
        <w:t>. (</w:t>
      </w:r>
      <w:r w:rsidR="00B035EB">
        <w:t>Banca d’Italia: 2011), 18-20.</w:t>
      </w:r>
    </w:p>
  </w:footnote>
  <w:footnote w:id="19">
    <w:p w14:paraId="052F00FB" w14:textId="6BB8F595" w:rsidR="00B035EB" w:rsidRPr="00B035EB" w:rsidRDefault="00B035EB">
      <w:pPr>
        <w:pStyle w:val="FootnoteText"/>
      </w:pPr>
      <w:r>
        <w:rPr>
          <w:rStyle w:val="FootnoteReference"/>
        </w:rPr>
        <w:footnoteRef/>
      </w:r>
      <w:r>
        <w:t xml:space="preserve"> Romano Paolo Coppini, “Carlo Bombrini finanziere e imprenditore” in </w:t>
      </w:r>
      <w:r>
        <w:rPr>
          <w:i/>
        </w:rPr>
        <w:t xml:space="preserve">Storia d’Italia, </w:t>
      </w:r>
      <w:r>
        <w:t>52-53.</w:t>
      </w:r>
    </w:p>
  </w:footnote>
  <w:footnote w:id="20">
    <w:p w14:paraId="76AA6156" w14:textId="77777777" w:rsidR="00EE4B01" w:rsidRPr="00025FC2" w:rsidRDefault="00EE4B01">
      <w:pPr>
        <w:pStyle w:val="FootnoteText"/>
      </w:pPr>
      <w:r>
        <w:rPr>
          <w:rStyle w:val="FootnoteReference"/>
        </w:rPr>
        <w:footnoteRef/>
      </w:r>
      <w:r>
        <w:t xml:space="preserve"> </w:t>
      </w:r>
      <w:r w:rsidRPr="0092752A">
        <w:t xml:space="preserve">Felice Giordano, </w:t>
      </w:r>
      <w:r w:rsidRPr="0092752A">
        <w:rPr>
          <w:i/>
        </w:rPr>
        <w:t xml:space="preserve">Industria del ferro in Italia: Relazione dell’ingegnere Felice Giordano per la commissione delle ferriere istituita dal Ministero di Marina </w:t>
      </w:r>
      <w:r w:rsidRPr="0092752A">
        <w:t>(Torino: Tipografia Cotta e Capellino 1864),</w:t>
      </w:r>
      <w:r>
        <w:t xml:space="preserve"> 347. And  </w:t>
      </w:r>
      <w:r>
        <w:rPr>
          <w:i/>
        </w:rPr>
        <w:t>Atti del Comitato dell’Inchiesta Industriale (1870-1874): Riassunti delle deposizioni orali e scritte,</w:t>
      </w:r>
      <w:r>
        <w:t xml:space="preserve"> categoria 7;2, 7.</w:t>
      </w:r>
    </w:p>
  </w:footnote>
  <w:footnote w:id="21">
    <w:p w14:paraId="01651F8D" w14:textId="4DC6D766" w:rsidR="00EE4B01" w:rsidRPr="0031467C" w:rsidRDefault="00EE4B01">
      <w:pPr>
        <w:pStyle w:val="FootnoteText"/>
      </w:pPr>
      <w:r>
        <w:rPr>
          <w:rStyle w:val="FootnoteReference"/>
        </w:rPr>
        <w:footnoteRef/>
      </w:r>
      <w:r>
        <w:t xml:space="preserve"> </w:t>
      </w:r>
      <w:r w:rsidR="00E6120F">
        <w:t xml:space="preserve">Antonio Puca, </w:t>
      </w:r>
      <w:r w:rsidR="00E6120F">
        <w:rPr>
          <w:i/>
          <w:iCs/>
        </w:rPr>
        <w:t>Alle origini di Minerva trionfante. 3: L’ impossibile modernizzazione: l’industria di base meridionale tra liberismo e protezionismo: il caso Pietrarsa (1840- 1882)</w:t>
      </w:r>
      <w:r w:rsidR="00E6120F">
        <w:t>, Pubblicazioni degli archivi di stato Saggi 99 (Roma: Ministero per i Beni e le Attività Culturali, 2011), 86, 101;</w:t>
      </w:r>
      <w:r>
        <w:t xml:space="preserve"> </w:t>
      </w:r>
      <w:r w:rsidR="00E6120F">
        <w:t>Marco Doria</w:t>
      </w:r>
      <w:r>
        <w:t>,</w:t>
      </w:r>
      <w:r>
        <w:rPr>
          <w:i/>
        </w:rPr>
        <w:t xml:space="preserve"> </w:t>
      </w:r>
      <w:r w:rsidR="00E6120F">
        <w:t xml:space="preserve">“Le strategie e l’evoluzione dell’Ansaldo” in </w:t>
      </w:r>
      <w:r w:rsidR="00E6120F">
        <w:rPr>
          <w:i/>
        </w:rPr>
        <w:t>Storia dell’Ansaldo</w:t>
      </w:r>
      <w:r>
        <w:t>, 93-95.</w:t>
      </w:r>
    </w:p>
  </w:footnote>
  <w:footnote w:id="22">
    <w:p w14:paraId="1F7808B7" w14:textId="522BE733" w:rsidR="00EE4B01" w:rsidRPr="00EE7DE8" w:rsidRDefault="00EE4B01">
      <w:pPr>
        <w:pStyle w:val="FootnoteText"/>
      </w:pPr>
      <w:r>
        <w:rPr>
          <w:rStyle w:val="FootnoteReference"/>
        </w:rPr>
        <w:footnoteRef/>
      </w:r>
      <w:r>
        <w:t xml:space="preserve"> Antonio Puca, </w:t>
      </w:r>
      <w:r>
        <w:rPr>
          <w:i/>
        </w:rPr>
        <w:t xml:space="preserve">Alle Origini di Minerva Trionfante, </w:t>
      </w:r>
      <w:r>
        <w:t xml:space="preserve">104 and </w:t>
      </w:r>
      <w:r w:rsidR="00594A1C">
        <w:t>Marco Doria,</w:t>
      </w:r>
      <w:r w:rsidR="00594A1C">
        <w:rPr>
          <w:i/>
        </w:rPr>
        <w:t xml:space="preserve"> </w:t>
      </w:r>
      <w:r w:rsidR="00594A1C">
        <w:t xml:space="preserve">“Le strategie e l’evoluzione dell’Ansaldo” in </w:t>
      </w:r>
      <w:r w:rsidR="00594A1C">
        <w:rPr>
          <w:i/>
        </w:rPr>
        <w:t>Storia dell’Ansaldo</w:t>
      </w:r>
      <w:r>
        <w:rPr>
          <w:i/>
        </w:rPr>
        <w:t xml:space="preserve">, </w:t>
      </w:r>
      <w:r>
        <w:t>96-98.</w:t>
      </w:r>
      <w:r w:rsidR="00594A1C">
        <w:t xml:space="preserve"> </w:t>
      </w:r>
    </w:p>
  </w:footnote>
  <w:footnote w:id="23">
    <w:p w14:paraId="5AF31990" w14:textId="77777777" w:rsidR="00EE4B01" w:rsidRPr="00542083" w:rsidRDefault="00EE4B01">
      <w:pPr>
        <w:pStyle w:val="FootnoteText"/>
      </w:pPr>
      <w:r>
        <w:rPr>
          <w:rStyle w:val="FootnoteReference"/>
        </w:rPr>
        <w:footnoteRef/>
      </w:r>
      <w:r>
        <w:t xml:space="preserve"> Antonio Puca, </w:t>
      </w:r>
      <w:r>
        <w:rPr>
          <w:i/>
        </w:rPr>
        <w:t>Alle Origini di Minerva Trionfante,</w:t>
      </w:r>
      <w:r>
        <w:t xml:space="preserve"> 106 and Valerio Castronovo,</w:t>
      </w:r>
      <w:r>
        <w:rPr>
          <w:i/>
        </w:rPr>
        <w:t xml:space="preserve"> Storia dell’Ansaldo, </w:t>
      </w:r>
      <w:r>
        <w:t>XI.</w:t>
      </w:r>
    </w:p>
  </w:footnote>
  <w:footnote w:id="24">
    <w:p w14:paraId="20AD1DBB" w14:textId="77777777" w:rsidR="00EE4B01" w:rsidRPr="007A7BA0" w:rsidRDefault="00EE4B01" w:rsidP="007A52C0">
      <w:pPr>
        <w:pStyle w:val="FootnoteText"/>
      </w:pPr>
      <w:r>
        <w:rPr>
          <w:rStyle w:val="FootnoteReference"/>
        </w:rPr>
        <w:footnoteRef/>
      </w:r>
      <w:r>
        <w:t xml:space="preserve"> Massimo Salvadori, </w:t>
      </w:r>
      <w:r>
        <w:rPr>
          <w:i/>
        </w:rPr>
        <w:t>Storia d’Italia</w:t>
      </w:r>
      <w:r>
        <w:t>, 7.</w:t>
      </w:r>
    </w:p>
  </w:footnote>
  <w:footnote w:id="25">
    <w:p w14:paraId="2C5A5930" w14:textId="77777777" w:rsidR="00EE4B01" w:rsidRDefault="00EE4B01">
      <w:pPr>
        <w:pStyle w:val="FootnoteText"/>
      </w:pPr>
      <w:r>
        <w:rPr>
          <w:rStyle w:val="FootnoteReference"/>
        </w:rPr>
        <w:footnoteRef/>
      </w:r>
      <w:r>
        <w:t xml:space="preserve"> </w:t>
      </w:r>
      <w:r w:rsidRPr="00B04302">
        <w:t xml:space="preserve">Giovanni </w:t>
      </w:r>
      <w:r>
        <w:t>Iuzzolino,</w:t>
      </w:r>
      <w:r w:rsidRPr="00B04302">
        <w:t xml:space="preserve"> Guido </w:t>
      </w:r>
      <w:r>
        <w:t>Pellegrini,</w:t>
      </w:r>
      <w:r w:rsidRPr="00B04302">
        <w:t xml:space="preserve"> Gianfranco Viesti,</w:t>
      </w:r>
      <w:r>
        <w:t xml:space="preserve"> </w:t>
      </w:r>
      <w:r>
        <w:rPr>
          <w:i/>
        </w:rPr>
        <w:t xml:space="preserve">Quaderni di Storia Economica (Economic Working Papers): </w:t>
      </w:r>
      <w:r w:rsidRPr="009950C9">
        <w:rPr>
          <w:i/>
        </w:rPr>
        <w:t>Convergence among Italian Regions, 1861-2011</w:t>
      </w:r>
      <w:r w:rsidRPr="00B04302">
        <w:t>. (</w:t>
      </w:r>
      <w:r>
        <w:t>Banca d’Italia: 2011), 18-20.</w:t>
      </w:r>
    </w:p>
  </w:footnote>
  <w:footnote w:id="26">
    <w:p w14:paraId="3A57AA5A" w14:textId="4260DEB6" w:rsidR="00EE4B01" w:rsidRPr="003773D4" w:rsidRDefault="00EE4B01">
      <w:pPr>
        <w:pStyle w:val="FootnoteText"/>
      </w:pPr>
      <w:r>
        <w:rPr>
          <w:rStyle w:val="FootnoteReference"/>
        </w:rPr>
        <w:footnoteRef/>
      </w:r>
      <w:r>
        <w:t xml:space="preserve"> </w:t>
      </w:r>
      <w:r w:rsidR="00F73AB2" w:rsidRPr="00F73AB2">
        <w:t xml:space="preserve">John Stuart Mill, </w:t>
      </w:r>
      <w:r w:rsidR="00F73AB2" w:rsidRPr="00F42CC1">
        <w:rPr>
          <w:i/>
        </w:rPr>
        <w:t>A System of Logic, Ratiocinative and Inductive, Being a Connected View of the Principles of Evidence, and the Methods of Scientific Investigation</w:t>
      </w:r>
      <w:r w:rsidR="00F42CC1">
        <w:t>, (New York: Harper &amp; Brothers, 1882)</w:t>
      </w:r>
      <w:r w:rsidR="00F73AB2" w:rsidRPr="00F73AB2">
        <w:t>,</w:t>
      </w:r>
      <w:r w:rsidRPr="00F73AB2">
        <w:t xml:space="preserve"> 483.</w:t>
      </w:r>
      <w:r w:rsidR="00F42CC1">
        <w:t xml:space="preserve"> </w:t>
      </w:r>
    </w:p>
  </w:footnote>
  <w:footnote w:id="27">
    <w:p w14:paraId="4FFAB7A4" w14:textId="4BB00106" w:rsidR="00EE4B01" w:rsidRPr="0074315E" w:rsidRDefault="00EE4B01">
      <w:pPr>
        <w:pStyle w:val="FootnoteText"/>
      </w:pPr>
      <w:r>
        <w:rPr>
          <w:rStyle w:val="FootnoteReference"/>
        </w:rPr>
        <w:footnoteRef/>
      </w:r>
      <w:r>
        <w:t xml:space="preserve"> </w:t>
      </w:r>
      <w:r w:rsidR="0074315E">
        <w:t xml:space="preserve">Marco Doria, “Le strategie e l’evoluzione dell’Ansaldo” in </w:t>
      </w:r>
      <w:r w:rsidR="0074315E">
        <w:rPr>
          <w:i/>
        </w:rPr>
        <w:t>Storia dell’Ansaldo</w:t>
      </w:r>
      <w:r w:rsidR="0074315E">
        <w:t xml:space="preserve">, 96-97; Antonio Puca, </w:t>
      </w:r>
      <w:r w:rsidR="0074315E">
        <w:rPr>
          <w:i/>
        </w:rPr>
        <w:t>Alle origini di Minerva trionfante,</w:t>
      </w:r>
      <w:r w:rsidR="0074315E">
        <w:t xml:space="preserve"> 104-105.</w:t>
      </w:r>
    </w:p>
  </w:footnote>
  <w:footnote w:id="28">
    <w:p w14:paraId="48DBCE5F" w14:textId="7DE1B52D" w:rsidR="00EE4B01" w:rsidRPr="000F3A7B" w:rsidRDefault="00EE4B01" w:rsidP="00B90C03">
      <w:pPr>
        <w:pStyle w:val="FootnoteText"/>
      </w:pPr>
      <w:r>
        <w:rPr>
          <w:rStyle w:val="FootnoteReference"/>
        </w:rPr>
        <w:footnoteRef/>
      </w:r>
      <w:r>
        <w:t xml:space="preserve"> Antonio Puca, </w:t>
      </w:r>
      <w:r>
        <w:rPr>
          <w:i/>
        </w:rPr>
        <w:t>Alle origini di Minerva trionfante,</w:t>
      </w:r>
      <w:r>
        <w:t xml:space="preserve"> 19-20;  Piero Bevilacqua, </w:t>
      </w:r>
      <w:r>
        <w:rPr>
          <w:i/>
        </w:rPr>
        <w:t xml:space="preserve">Breve storia dell’Italia meridionale, </w:t>
      </w:r>
      <w:r>
        <w:t xml:space="preserve">28-31, 39-40; Rosario Romeo, </w:t>
      </w:r>
      <w:r>
        <w:rPr>
          <w:i/>
        </w:rPr>
        <w:t xml:space="preserve">Breve storia della grande industria, </w:t>
      </w:r>
      <w:r>
        <w:t>15-18</w:t>
      </w:r>
    </w:p>
  </w:footnote>
  <w:footnote w:id="29">
    <w:p w14:paraId="6E8B37FB" w14:textId="1A08AC9E" w:rsidR="00EE4B01" w:rsidRPr="00800AE2" w:rsidRDefault="00EE4B01" w:rsidP="00B90C03">
      <w:pPr>
        <w:pStyle w:val="FootnoteText"/>
      </w:pPr>
      <w:r>
        <w:rPr>
          <w:rStyle w:val="FootnoteReference"/>
        </w:rPr>
        <w:footnoteRef/>
      </w:r>
      <w:r>
        <w:t xml:space="preserve"> Francesco Saverio Nitti, </w:t>
      </w:r>
      <w:r>
        <w:rPr>
          <w:i/>
        </w:rPr>
        <w:t xml:space="preserve">Nord e Sud, </w:t>
      </w:r>
      <w:r>
        <w:t xml:space="preserve">30; Rosario Romeo, </w:t>
      </w:r>
      <w:r>
        <w:rPr>
          <w:i/>
        </w:rPr>
        <w:t>Breve storia della grande industria</w:t>
      </w:r>
      <w:r>
        <w:t xml:space="preserve">, 17-18; Massimo Salvadori, </w:t>
      </w:r>
      <w:r>
        <w:rPr>
          <w:i/>
        </w:rPr>
        <w:t>Storia d’Italia</w:t>
      </w:r>
      <w:r>
        <w:t>, 15-17.</w:t>
      </w:r>
    </w:p>
  </w:footnote>
  <w:footnote w:id="30">
    <w:p w14:paraId="3DAA9838" w14:textId="77777777" w:rsidR="00056BC0" w:rsidRPr="00E35C96" w:rsidRDefault="00056BC0" w:rsidP="00056BC0">
      <w:pPr>
        <w:pStyle w:val="FootnoteText"/>
      </w:pPr>
      <w:r>
        <w:rPr>
          <w:rStyle w:val="FootnoteReference"/>
        </w:rPr>
        <w:footnoteRef/>
      </w:r>
      <w:r>
        <w:t xml:space="preserve"> </w:t>
      </w:r>
      <w:r w:rsidRPr="00E35C96">
        <w:t xml:space="preserve">A. Glazier, Ira. Review of </w:t>
      </w:r>
      <w:r w:rsidRPr="00E35C96">
        <w:rPr>
          <w:i/>
        </w:rPr>
        <w:t>Iniziativa e capitale straniero nell’industria metalmeccanica del Mezzogiorno, 1840 – 1904</w:t>
      </w:r>
      <w:r w:rsidRPr="00E35C96">
        <w:t xml:space="preserve"> by Luigi De Rosa, </w:t>
      </w:r>
      <w:r w:rsidRPr="00E35C96">
        <w:rPr>
          <w:i/>
        </w:rPr>
        <w:t>The Journal of Economic History</w:t>
      </w:r>
      <w:r w:rsidRPr="00E35C96">
        <w:t xml:space="preserve">, Vol. 29, No. 3 (September 1969): </w:t>
      </w:r>
      <w:r>
        <w:t xml:space="preserve">559; Francesco Saverio Nitti, </w:t>
      </w:r>
      <w:r>
        <w:rPr>
          <w:i/>
        </w:rPr>
        <w:t>Nord e Sud,</w:t>
      </w:r>
      <w:r>
        <w:t xml:space="preserve"> 86; Antonio Puca,</w:t>
      </w:r>
      <w:r>
        <w:rPr>
          <w:i/>
        </w:rPr>
        <w:t xml:space="preserve"> Alle origini di Minerva trionfante,</w:t>
      </w:r>
      <w:r>
        <w:t xml:space="preserve"> 22.</w:t>
      </w:r>
    </w:p>
  </w:footnote>
  <w:footnote w:id="31">
    <w:p w14:paraId="6DFC4612" w14:textId="7A08D49D" w:rsidR="00EE4B01" w:rsidRPr="00812AB1" w:rsidRDefault="00EE4B01">
      <w:pPr>
        <w:pStyle w:val="FootnoteText"/>
      </w:pPr>
      <w:r>
        <w:rPr>
          <w:rStyle w:val="FootnoteReference"/>
        </w:rPr>
        <w:footnoteRef/>
      </w:r>
      <w:r>
        <w:t xml:space="preserve"> Rosario Romeo,</w:t>
      </w:r>
      <w:r>
        <w:rPr>
          <w:i/>
        </w:rPr>
        <w:t xml:space="preserve"> Breve storia della grande industria, </w:t>
      </w:r>
      <w:r w:rsidR="00812AB1">
        <w:t>8-9.</w:t>
      </w:r>
    </w:p>
  </w:footnote>
  <w:footnote w:id="32">
    <w:p w14:paraId="6DEF9370" w14:textId="0567CBF9" w:rsidR="00EE4B01" w:rsidRPr="00800AE2" w:rsidRDefault="00EE4B01" w:rsidP="00B90C03">
      <w:pPr>
        <w:pStyle w:val="FootnoteText"/>
      </w:pPr>
      <w:r>
        <w:rPr>
          <w:rStyle w:val="FootnoteReference"/>
        </w:rPr>
        <w:footnoteRef/>
      </w:r>
      <w:r>
        <w:t xml:space="preserve"> </w:t>
      </w:r>
      <w:r w:rsidR="00812AB1">
        <w:t>Ibid</w:t>
      </w:r>
      <w:r>
        <w:rPr>
          <w:i/>
        </w:rPr>
        <w:t xml:space="preserve">, </w:t>
      </w:r>
      <w:r>
        <w:t>15-18.</w:t>
      </w:r>
    </w:p>
  </w:footnote>
  <w:footnote w:id="33">
    <w:p w14:paraId="3D2CDCC4" w14:textId="5A56EAD0" w:rsidR="00EE4B01" w:rsidRDefault="00EE4B01" w:rsidP="00B90C03">
      <w:pPr>
        <w:pStyle w:val="FootnoteText"/>
      </w:pPr>
      <w:r>
        <w:rPr>
          <w:rStyle w:val="FootnoteReference"/>
        </w:rPr>
        <w:footnoteRef/>
      </w:r>
      <w:r>
        <w:t xml:space="preserve"> Ibid, 18.</w:t>
      </w:r>
    </w:p>
  </w:footnote>
  <w:footnote w:id="34">
    <w:p w14:paraId="0A899C2A" w14:textId="77777777" w:rsidR="00EE4B01" w:rsidRPr="0000251D" w:rsidRDefault="00EE4B01" w:rsidP="00B90C03">
      <w:pPr>
        <w:pStyle w:val="FootnoteText"/>
      </w:pPr>
      <w:r>
        <w:rPr>
          <w:rStyle w:val="FootnoteReference"/>
        </w:rPr>
        <w:footnoteRef/>
      </w:r>
      <w:r>
        <w:t xml:space="preserve"> Stefano Fenoaltea, </w:t>
      </w:r>
      <w:r>
        <w:rPr>
          <w:i/>
        </w:rPr>
        <w:t xml:space="preserve">A Reinterpretation of Italian Economic History, </w:t>
      </w:r>
      <w:r>
        <w:t>211.</w:t>
      </w:r>
    </w:p>
  </w:footnote>
  <w:footnote w:id="35">
    <w:p w14:paraId="1056EDEE" w14:textId="7564266D" w:rsidR="00EE4B01" w:rsidRDefault="00EE4B01">
      <w:pPr>
        <w:pStyle w:val="FootnoteText"/>
      </w:pPr>
      <w:r>
        <w:rPr>
          <w:rStyle w:val="FootnoteReference"/>
        </w:rPr>
        <w:footnoteRef/>
      </w:r>
      <w:r>
        <w:t xml:space="preserve"> Ibid, 211.</w:t>
      </w:r>
    </w:p>
  </w:footnote>
  <w:footnote w:id="36">
    <w:p w14:paraId="002B738B" w14:textId="77777777" w:rsidR="00EE4B01" w:rsidRDefault="00EE4B01" w:rsidP="008C1037">
      <w:pPr>
        <w:pStyle w:val="FootnoteText"/>
      </w:pPr>
      <w:r>
        <w:rPr>
          <w:rStyle w:val="FootnoteReference"/>
        </w:rPr>
        <w:footnoteRef/>
      </w:r>
      <w:r>
        <w:t xml:space="preserve"> Ibid, 204.</w:t>
      </w:r>
    </w:p>
  </w:footnote>
  <w:footnote w:id="37">
    <w:p w14:paraId="1DFC4A54" w14:textId="77777777" w:rsidR="00EE4B01" w:rsidRDefault="00EE4B01" w:rsidP="008C1037">
      <w:pPr>
        <w:pStyle w:val="FootnoteText"/>
      </w:pPr>
      <w:r>
        <w:rPr>
          <w:rStyle w:val="FootnoteReference"/>
        </w:rPr>
        <w:footnoteRef/>
      </w:r>
      <w:r>
        <w:t xml:space="preserve"> Ibid, 211.</w:t>
      </w:r>
    </w:p>
  </w:footnote>
  <w:footnote w:id="38">
    <w:p w14:paraId="72BC4025" w14:textId="77777777" w:rsidR="00EE4B01" w:rsidRDefault="00EE4B01" w:rsidP="008C1037">
      <w:pPr>
        <w:pStyle w:val="FootnoteText"/>
      </w:pPr>
      <w:r>
        <w:rPr>
          <w:rStyle w:val="FootnoteReference"/>
        </w:rPr>
        <w:footnoteRef/>
      </w:r>
      <w:r>
        <w:t xml:space="preserve"> Ibid, 211.</w:t>
      </w:r>
    </w:p>
  </w:footnote>
  <w:footnote w:id="39">
    <w:p w14:paraId="5C38B140" w14:textId="77777777" w:rsidR="00EE4B01" w:rsidRDefault="00EE4B01" w:rsidP="00B90C03">
      <w:pPr>
        <w:pStyle w:val="FootnoteText"/>
      </w:pPr>
      <w:r>
        <w:rPr>
          <w:rStyle w:val="FootnoteReference"/>
        </w:rPr>
        <w:footnoteRef/>
      </w:r>
      <w:r>
        <w:t xml:space="preserve"> Ibid, 22-18, 199.</w:t>
      </w:r>
    </w:p>
  </w:footnote>
  <w:footnote w:id="40">
    <w:p w14:paraId="05F4D4B9" w14:textId="77777777" w:rsidR="00EE4B01" w:rsidRDefault="00EE4B01" w:rsidP="00B90C03">
      <w:pPr>
        <w:pStyle w:val="FootnoteText"/>
      </w:pPr>
      <w:r>
        <w:rPr>
          <w:rStyle w:val="FootnoteReference"/>
        </w:rPr>
        <w:footnoteRef/>
      </w:r>
      <w:r>
        <w:t xml:space="preserve"> Ibid, 22.</w:t>
      </w:r>
    </w:p>
  </w:footnote>
  <w:footnote w:id="41">
    <w:p w14:paraId="1C9162F9" w14:textId="77777777" w:rsidR="00EE4B01" w:rsidRDefault="00EE4B01" w:rsidP="00B90C03">
      <w:pPr>
        <w:pStyle w:val="FootnoteText"/>
      </w:pPr>
      <w:r>
        <w:rPr>
          <w:rStyle w:val="FootnoteReference"/>
        </w:rPr>
        <w:footnoteRef/>
      </w:r>
      <w:r>
        <w:t xml:space="preserve"> Ibid, 199.</w:t>
      </w:r>
    </w:p>
  </w:footnote>
  <w:footnote w:id="42">
    <w:p w14:paraId="6B846B5E" w14:textId="77777777" w:rsidR="00EE4B01" w:rsidRPr="004E73C2" w:rsidRDefault="00EE4B01" w:rsidP="002D36F4">
      <w:pPr>
        <w:pStyle w:val="FootnoteText"/>
      </w:pPr>
      <w:r>
        <w:rPr>
          <w:rStyle w:val="FootnoteReference"/>
        </w:rPr>
        <w:footnoteRef/>
      </w:r>
      <w:r>
        <w:t xml:space="preserve"> Massimo Salvadori, </w:t>
      </w:r>
      <w:r>
        <w:rPr>
          <w:i/>
        </w:rPr>
        <w:t>Storia d’Italia. Il cammino tormentato di una nazione. 1861 – 2016</w:t>
      </w:r>
      <w:r>
        <w:t>, 16.</w:t>
      </w:r>
    </w:p>
  </w:footnote>
  <w:footnote w:id="43">
    <w:p w14:paraId="3B0BD6D2" w14:textId="368D5F01" w:rsidR="00EE4B01" w:rsidRPr="00C4483C" w:rsidRDefault="00EE4B01">
      <w:pPr>
        <w:pStyle w:val="FootnoteText"/>
      </w:pPr>
      <w:r>
        <w:rPr>
          <w:rStyle w:val="FootnoteReference"/>
        </w:rPr>
        <w:footnoteRef/>
      </w:r>
      <w:r>
        <w:t xml:space="preserve"> Piero Bevilacqua, </w:t>
      </w:r>
      <w:r>
        <w:rPr>
          <w:i/>
        </w:rPr>
        <w:t>Breve storia dell’Italia meridionale,</w:t>
      </w:r>
      <w:r>
        <w:t xml:space="preserve"> 79.</w:t>
      </w:r>
    </w:p>
  </w:footnote>
  <w:footnote w:id="44">
    <w:p w14:paraId="2C5AAE16" w14:textId="6CC1C2EA" w:rsidR="00EE4B01" w:rsidRDefault="00EE4B01">
      <w:pPr>
        <w:pStyle w:val="FootnoteText"/>
      </w:pPr>
      <w:r>
        <w:rPr>
          <w:rStyle w:val="FootnoteReference"/>
        </w:rPr>
        <w:footnoteRef/>
      </w:r>
      <w:r>
        <w:t xml:space="preserve"> Ibid, 79, 83, 97.</w:t>
      </w:r>
    </w:p>
  </w:footnote>
  <w:footnote w:id="45">
    <w:p w14:paraId="5E62FA8F" w14:textId="491934C2" w:rsidR="00EE4B01" w:rsidRPr="00980FA5" w:rsidRDefault="00EE4B01" w:rsidP="002D36F4">
      <w:pPr>
        <w:pStyle w:val="FootnoteText"/>
      </w:pPr>
      <w:r>
        <w:rPr>
          <w:rStyle w:val="FootnoteReference"/>
        </w:rPr>
        <w:footnoteRef/>
      </w:r>
      <w:r>
        <w:t xml:space="preserve"> </w:t>
      </w:r>
      <w:r w:rsidR="00DA3DF9" w:rsidRPr="00DA3DF9">
        <w:t xml:space="preserve">Rosario Romeo, </w:t>
      </w:r>
      <w:r w:rsidR="00DA3DF9" w:rsidRPr="00DA3DF9">
        <w:rPr>
          <w:i/>
        </w:rPr>
        <w:t>Breve storia della grande industria,</w:t>
      </w:r>
      <w:r w:rsidR="00DA3DF9" w:rsidRPr="00DA3DF9">
        <w:t xml:space="preserve"> 21-22.</w:t>
      </w:r>
      <w:r w:rsidRPr="00DA3DF9">
        <w:t xml:space="preserve"> </w:t>
      </w:r>
    </w:p>
  </w:footnote>
  <w:footnote w:id="46">
    <w:p w14:paraId="16332315" w14:textId="77777777" w:rsidR="00EE4B01" w:rsidRPr="009E5931" w:rsidRDefault="00EE4B01" w:rsidP="002D36F4">
      <w:pPr>
        <w:pStyle w:val="FootnoteText"/>
      </w:pPr>
      <w:r>
        <w:rPr>
          <w:rStyle w:val="FootnoteReference"/>
        </w:rPr>
        <w:footnoteRef/>
      </w:r>
      <w:r>
        <w:t xml:space="preserve"> Fenoaltea, </w:t>
      </w:r>
      <w:r>
        <w:rPr>
          <w:i/>
        </w:rPr>
        <w:t>The reinterpretation of Italian Economic History,</w:t>
      </w:r>
      <w:r>
        <w:t xml:space="preserve"> 26.</w:t>
      </w:r>
    </w:p>
  </w:footnote>
  <w:footnote w:id="47">
    <w:p w14:paraId="42D59C05" w14:textId="77777777" w:rsidR="00EE4B01" w:rsidRDefault="00EE4B01" w:rsidP="002D36F4">
      <w:pPr>
        <w:pStyle w:val="FootnoteText"/>
      </w:pPr>
      <w:r>
        <w:rPr>
          <w:rStyle w:val="FootnoteReference"/>
        </w:rPr>
        <w:footnoteRef/>
      </w:r>
      <w:r>
        <w:t xml:space="preserve"> Ibid, 204.</w:t>
      </w:r>
    </w:p>
  </w:footnote>
  <w:footnote w:id="48">
    <w:p w14:paraId="17CF38EC" w14:textId="77777777" w:rsidR="00EE4B01" w:rsidRDefault="00EE4B01" w:rsidP="002D36F4">
      <w:pPr>
        <w:pStyle w:val="FootnoteText"/>
      </w:pPr>
      <w:r>
        <w:rPr>
          <w:rStyle w:val="FootnoteReference"/>
        </w:rPr>
        <w:footnoteRef/>
      </w:r>
      <w:r>
        <w:t xml:space="preserve"> Ibid, 204.</w:t>
      </w:r>
    </w:p>
  </w:footnote>
  <w:footnote w:id="49">
    <w:p w14:paraId="03C765B1" w14:textId="77777777" w:rsidR="00EE4B01" w:rsidRDefault="00EE4B01" w:rsidP="002D36F4">
      <w:pPr>
        <w:pStyle w:val="FootnoteText"/>
      </w:pPr>
      <w:r>
        <w:rPr>
          <w:rStyle w:val="FootnoteReference"/>
        </w:rPr>
        <w:footnoteRef/>
      </w:r>
      <w:r>
        <w:t xml:space="preserve"> </w:t>
      </w:r>
      <w:r w:rsidRPr="00B04302">
        <w:t xml:space="preserve">Giovanni </w:t>
      </w:r>
      <w:r>
        <w:t>Iuzzolino,</w:t>
      </w:r>
      <w:r w:rsidRPr="00B04302">
        <w:t xml:space="preserve"> Guido </w:t>
      </w:r>
      <w:r>
        <w:t>Pellegrini,</w:t>
      </w:r>
      <w:r w:rsidRPr="00B04302">
        <w:t xml:space="preserve"> Gianfranco Viesti,</w:t>
      </w:r>
      <w:r>
        <w:t xml:space="preserve"> </w:t>
      </w:r>
      <w:r>
        <w:rPr>
          <w:i/>
        </w:rPr>
        <w:t>Quaderni di Storia Economica</w:t>
      </w:r>
      <w:r>
        <w:t>, 16.</w:t>
      </w:r>
    </w:p>
  </w:footnote>
  <w:footnote w:id="50">
    <w:p w14:paraId="1394F45F" w14:textId="77777777" w:rsidR="00EE4B01" w:rsidRPr="00A90F9F" w:rsidRDefault="00EE4B01" w:rsidP="002D36F4">
      <w:pPr>
        <w:pStyle w:val="FootnoteText"/>
      </w:pPr>
      <w:r>
        <w:rPr>
          <w:rStyle w:val="FootnoteReference"/>
        </w:rPr>
        <w:footnoteRef/>
      </w:r>
      <w:r>
        <w:t xml:space="preserve"> Valerio Castronovo</w:t>
      </w:r>
      <w:r>
        <w:rPr>
          <w:i/>
        </w:rPr>
        <w:t>, Storia dell’Ansaldo,</w:t>
      </w:r>
      <w:r>
        <w:t xml:space="preserve"> XI-XIII.</w:t>
      </w:r>
    </w:p>
  </w:footnote>
  <w:footnote w:id="51">
    <w:p w14:paraId="0BAE6372" w14:textId="77777777" w:rsidR="00EE4B01" w:rsidRPr="00F81DB9" w:rsidRDefault="00EE4B01" w:rsidP="002D36F4">
      <w:pPr>
        <w:pStyle w:val="FootnoteText"/>
      </w:pPr>
      <w:r>
        <w:rPr>
          <w:rStyle w:val="FootnoteReference"/>
        </w:rPr>
        <w:footnoteRef/>
      </w:r>
      <w:r>
        <w:t xml:space="preserve"> Antonio Puca, </w:t>
      </w:r>
      <w:r>
        <w:rPr>
          <w:i/>
        </w:rPr>
        <w:t>Alle origini di Minerva trionfante,</w:t>
      </w:r>
    </w:p>
  </w:footnote>
  <w:footnote w:id="52">
    <w:p w14:paraId="3C29BB65" w14:textId="77777777" w:rsidR="00EE4B01" w:rsidRPr="00B3003B" w:rsidRDefault="00EE4B01" w:rsidP="002D36F4">
      <w:pPr>
        <w:pStyle w:val="FootnoteText"/>
      </w:pPr>
      <w:r>
        <w:rPr>
          <w:rStyle w:val="FootnoteReference"/>
        </w:rPr>
        <w:footnoteRef/>
      </w:r>
      <w:r>
        <w:t xml:space="preserve"> Stefano Fenoaltea, </w:t>
      </w:r>
      <w:r>
        <w:rPr>
          <w:i/>
        </w:rPr>
        <w:t xml:space="preserve">The reinterpretation of Italian economic history, </w:t>
      </w:r>
      <w:r>
        <w:t>197, 230.</w:t>
      </w:r>
    </w:p>
  </w:footnote>
  <w:footnote w:id="53">
    <w:p w14:paraId="7C3CD994" w14:textId="77777777" w:rsidR="00EE4B01" w:rsidRPr="005A538B" w:rsidRDefault="00EE4B01" w:rsidP="00E27D77">
      <w:pPr>
        <w:pStyle w:val="FootnoteText"/>
      </w:pPr>
      <w:r>
        <w:rPr>
          <w:rStyle w:val="FootnoteReference"/>
        </w:rPr>
        <w:footnoteRef/>
      </w:r>
      <w:r>
        <w:t xml:space="preserve"> Stefano Fenoaltea, </w:t>
      </w:r>
      <w:r>
        <w:rPr>
          <w:i/>
        </w:rPr>
        <w:t>The Reinterpretation of Italian Economic History,</w:t>
      </w:r>
      <w:r>
        <w:t xml:space="preserve"> 9.</w:t>
      </w:r>
    </w:p>
  </w:footnote>
  <w:footnote w:id="54">
    <w:p w14:paraId="55F600A7" w14:textId="77777777" w:rsidR="00EE4B01" w:rsidRDefault="00EE4B01">
      <w:pPr>
        <w:pStyle w:val="FootnoteText"/>
      </w:pPr>
      <w:r>
        <w:rPr>
          <w:rStyle w:val="FootnoteReference"/>
        </w:rPr>
        <w:footnoteRef/>
      </w:r>
      <w:r>
        <w:t xml:space="preserve"> </w:t>
      </w:r>
      <w:r w:rsidRPr="00BF2D50">
        <w:t>Ibid, 9-10, 13 -14.</w:t>
      </w:r>
    </w:p>
  </w:footnote>
  <w:footnote w:id="55">
    <w:p w14:paraId="5983E035" w14:textId="77777777" w:rsidR="00EE4B01" w:rsidRDefault="00EE4B01" w:rsidP="00BF2D50">
      <w:pPr>
        <w:pStyle w:val="FootnoteText"/>
        <w:tabs>
          <w:tab w:val="left" w:pos="1263"/>
        </w:tabs>
      </w:pPr>
      <w:r>
        <w:rPr>
          <w:rStyle w:val="FootnoteReference"/>
        </w:rPr>
        <w:footnoteRef/>
      </w:r>
      <w:r>
        <w:t xml:space="preserve"> Ibid, 9.</w:t>
      </w:r>
    </w:p>
  </w:footnote>
  <w:footnote w:id="56">
    <w:p w14:paraId="1D7E9FF4" w14:textId="77777777" w:rsidR="00EE4B01" w:rsidRDefault="00EE4B01" w:rsidP="00207FC5">
      <w:pPr>
        <w:pStyle w:val="FootnoteText"/>
      </w:pPr>
      <w:r>
        <w:rPr>
          <w:rStyle w:val="FootnoteReference"/>
        </w:rPr>
        <w:footnoteRef/>
      </w:r>
      <w:r>
        <w:t xml:space="preserve"> Ibid, 13-14.</w:t>
      </w:r>
    </w:p>
  </w:footnote>
  <w:footnote w:id="57">
    <w:p w14:paraId="2B0F895B" w14:textId="77777777" w:rsidR="00EE4B01" w:rsidRPr="0058187C" w:rsidRDefault="00EE4B01">
      <w:pPr>
        <w:pStyle w:val="FootnoteText"/>
      </w:pPr>
      <w:r>
        <w:rPr>
          <w:rStyle w:val="FootnoteReference"/>
        </w:rPr>
        <w:footnoteRef/>
      </w:r>
      <w:r>
        <w:t xml:space="preserve"> Rosario Romeo, </w:t>
      </w:r>
      <w:r>
        <w:rPr>
          <w:i/>
        </w:rPr>
        <w:t xml:space="preserve">Breve storia della grande industria, </w:t>
      </w:r>
      <w:r>
        <w:t>21-24, 35-37.</w:t>
      </w:r>
    </w:p>
  </w:footnote>
  <w:footnote w:id="58">
    <w:p w14:paraId="5F549452" w14:textId="77777777" w:rsidR="00EE4B01" w:rsidRDefault="00EE4B01">
      <w:pPr>
        <w:pStyle w:val="FootnoteText"/>
      </w:pPr>
      <w:r>
        <w:rPr>
          <w:rStyle w:val="FootnoteReference"/>
        </w:rPr>
        <w:footnoteRef/>
      </w:r>
      <w:r>
        <w:t xml:space="preserve"> Ibid, 19-21, 191-193</w:t>
      </w:r>
    </w:p>
  </w:footnote>
  <w:footnote w:id="59">
    <w:p w14:paraId="4ACB0261" w14:textId="77777777" w:rsidR="00EE4B01" w:rsidRDefault="00EE4B01">
      <w:pPr>
        <w:pStyle w:val="FootnoteText"/>
      </w:pPr>
      <w:r>
        <w:rPr>
          <w:rStyle w:val="FootnoteReference"/>
        </w:rPr>
        <w:footnoteRef/>
      </w:r>
      <w:r>
        <w:t xml:space="preserve"> Ibid, 19-21, 191-193.</w:t>
      </w:r>
    </w:p>
  </w:footnote>
  <w:footnote w:id="60">
    <w:p w14:paraId="69270EFD" w14:textId="77777777" w:rsidR="00EE4B01" w:rsidRDefault="00EE4B01">
      <w:pPr>
        <w:pStyle w:val="FootnoteText"/>
      </w:pPr>
      <w:r>
        <w:rPr>
          <w:rStyle w:val="FootnoteReference"/>
        </w:rPr>
        <w:footnoteRef/>
      </w:r>
      <w:r>
        <w:t xml:space="preserve"> Ibid, 193-195.</w:t>
      </w:r>
    </w:p>
  </w:footnote>
  <w:footnote w:id="61">
    <w:p w14:paraId="1A76F241" w14:textId="77777777" w:rsidR="00EE4B01" w:rsidRDefault="00EE4B01">
      <w:pPr>
        <w:pStyle w:val="FootnoteText"/>
      </w:pPr>
      <w:r>
        <w:rPr>
          <w:rStyle w:val="FootnoteReference"/>
        </w:rPr>
        <w:footnoteRef/>
      </w:r>
      <w:r>
        <w:t xml:space="preserve"> Ibid, 193-195.</w:t>
      </w:r>
    </w:p>
  </w:footnote>
  <w:footnote w:id="62">
    <w:p w14:paraId="60386221" w14:textId="77777777" w:rsidR="00EE4B01" w:rsidRDefault="00EE4B01">
      <w:pPr>
        <w:pStyle w:val="FootnoteText"/>
      </w:pPr>
      <w:r>
        <w:rPr>
          <w:rStyle w:val="FootnoteReference"/>
        </w:rPr>
        <w:footnoteRef/>
      </w:r>
      <w:r>
        <w:t xml:space="preserve"> Ibid, 193-195.</w:t>
      </w:r>
    </w:p>
  </w:footnote>
  <w:footnote w:id="63">
    <w:p w14:paraId="72E3BD1C" w14:textId="4D17C554" w:rsidR="00EE4B01" w:rsidRDefault="00EE4B01">
      <w:pPr>
        <w:pStyle w:val="FootnoteText"/>
      </w:pPr>
      <w:r>
        <w:rPr>
          <w:rStyle w:val="FootnoteReference"/>
        </w:rPr>
        <w:footnoteRef/>
      </w:r>
      <w:r>
        <w:t xml:space="preserve"> </w:t>
      </w:r>
      <w:r w:rsidRPr="004C2009">
        <w:t>Ibid, 22.</w:t>
      </w:r>
    </w:p>
  </w:footnote>
  <w:footnote w:id="64">
    <w:p w14:paraId="6457EEA7" w14:textId="77777777" w:rsidR="00EE4B01" w:rsidRDefault="00EE4B01">
      <w:pPr>
        <w:pStyle w:val="FootnoteText"/>
      </w:pPr>
      <w:r>
        <w:rPr>
          <w:rStyle w:val="FootnoteReference"/>
        </w:rPr>
        <w:footnoteRef/>
      </w:r>
      <w:r>
        <w:t xml:space="preserve"> Ibid, 25-28.</w:t>
      </w:r>
    </w:p>
  </w:footnote>
  <w:footnote w:id="65">
    <w:p w14:paraId="1C6B6E30" w14:textId="77777777" w:rsidR="00EE4B01" w:rsidRDefault="00EE4B01">
      <w:pPr>
        <w:pStyle w:val="FootnoteText"/>
      </w:pPr>
      <w:r>
        <w:rPr>
          <w:rStyle w:val="FootnoteReference"/>
        </w:rPr>
        <w:footnoteRef/>
      </w:r>
      <w:r>
        <w:t xml:space="preserve"> Ibid, 33, 40.</w:t>
      </w:r>
    </w:p>
  </w:footnote>
  <w:footnote w:id="66">
    <w:p w14:paraId="49F75828" w14:textId="12341266" w:rsidR="00EE4B01" w:rsidRDefault="00EE4B01">
      <w:pPr>
        <w:pStyle w:val="FootnoteText"/>
      </w:pPr>
      <w:r>
        <w:rPr>
          <w:rStyle w:val="FootnoteReference"/>
        </w:rPr>
        <w:footnoteRef/>
      </w:r>
      <w:r>
        <w:t xml:space="preserve"> </w:t>
      </w:r>
      <w:r w:rsidRPr="00692EF5">
        <w:t>Ibid, 23.</w:t>
      </w:r>
    </w:p>
  </w:footnote>
  <w:footnote w:id="67">
    <w:p w14:paraId="18E22865" w14:textId="77777777" w:rsidR="00EE4B01" w:rsidRDefault="00EE4B01">
      <w:pPr>
        <w:pStyle w:val="FootnoteText"/>
      </w:pPr>
      <w:r>
        <w:rPr>
          <w:rStyle w:val="FootnoteReference"/>
        </w:rPr>
        <w:footnoteRef/>
      </w:r>
      <w:r>
        <w:t xml:space="preserve"> Ibid, 38-40.</w:t>
      </w:r>
    </w:p>
  </w:footnote>
  <w:footnote w:id="68">
    <w:p w14:paraId="37347C37" w14:textId="77777777" w:rsidR="00EE4B01" w:rsidRDefault="00EE4B01">
      <w:pPr>
        <w:pStyle w:val="FootnoteText"/>
      </w:pPr>
      <w:r>
        <w:rPr>
          <w:rStyle w:val="FootnoteReference"/>
        </w:rPr>
        <w:footnoteRef/>
      </w:r>
      <w:r>
        <w:t xml:space="preserve"> Ibid, 27.</w:t>
      </w:r>
    </w:p>
  </w:footnote>
  <w:footnote w:id="69">
    <w:p w14:paraId="738E156E" w14:textId="77777777" w:rsidR="00EE4B01" w:rsidRDefault="00EE4B01">
      <w:pPr>
        <w:pStyle w:val="FootnoteText"/>
      </w:pPr>
      <w:r>
        <w:rPr>
          <w:rStyle w:val="FootnoteReference"/>
        </w:rPr>
        <w:footnoteRef/>
      </w:r>
      <w:r>
        <w:t xml:space="preserve"> Ibid, 196.</w:t>
      </w:r>
    </w:p>
  </w:footnote>
  <w:footnote w:id="70">
    <w:p w14:paraId="2CD919CB" w14:textId="77777777" w:rsidR="00EE4B01" w:rsidRDefault="00EE4B01">
      <w:pPr>
        <w:pStyle w:val="FootnoteText"/>
      </w:pPr>
      <w:r>
        <w:rPr>
          <w:rStyle w:val="FootnoteReference"/>
        </w:rPr>
        <w:footnoteRef/>
      </w:r>
      <w:r>
        <w:t xml:space="preserve"> Ibid, 196-197.</w:t>
      </w:r>
    </w:p>
  </w:footnote>
  <w:footnote w:id="71">
    <w:p w14:paraId="08CF9784" w14:textId="77777777" w:rsidR="00EE4B01" w:rsidRDefault="00EE4B01">
      <w:pPr>
        <w:pStyle w:val="FootnoteText"/>
      </w:pPr>
      <w:r>
        <w:rPr>
          <w:rStyle w:val="FootnoteReference"/>
        </w:rPr>
        <w:footnoteRef/>
      </w:r>
      <w:r>
        <w:t xml:space="preserve"> Ibid, 196-197.</w:t>
      </w:r>
    </w:p>
  </w:footnote>
  <w:footnote w:id="72">
    <w:p w14:paraId="1EF45814" w14:textId="77777777" w:rsidR="00EE4B01" w:rsidRDefault="00EE4B01">
      <w:pPr>
        <w:pStyle w:val="FootnoteText"/>
      </w:pPr>
      <w:r>
        <w:rPr>
          <w:rStyle w:val="FootnoteReference"/>
        </w:rPr>
        <w:footnoteRef/>
      </w:r>
      <w:r>
        <w:t xml:space="preserve"> Ibid, 196-197.</w:t>
      </w:r>
    </w:p>
  </w:footnote>
  <w:footnote w:id="73">
    <w:p w14:paraId="1EE3C8CA" w14:textId="77777777" w:rsidR="00EE4B01" w:rsidRDefault="00EE4B01">
      <w:pPr>
        <w:pStyle w:val="FootnoteText"/>
      </w:pPr>
      <w:r>
        <w:rPr>
          <w:rStyle w:val="FootnoteReference"/>
        </w:rPr>
        <w:footnoteRef/>
      </w:r>
      <w:r>
        <w:t xml:space="preserve"> Ibid, 196-197.</w:t>
      </w:r>
    </w:p>
  </w:footnote>
  <w:footnote w:id="74">
    <w:p w14:paraId="38201CE7" w14:textId="24B35FE0" w:rsidR="00EE4B01" w:rsidRPr="007C4842" w:rsidRDefault="00EE4B01">
      <w:pPr>
        <w:pStyle w:val="FootnoteText"/>
      </w:pPr>
      <w:r>
        <w:rPr>
          <w:rStyle w:val="FootnoteReference"/>
        </w:rPr>
        <w:footnoteRef/>
      </w:r>
      <w:r>
        <w:t xml:space="preserve"> Massimo Salvadori, </w:t>
      </w:r>
      <w:r>
        <w:rPr>
          <w:i/>
        </w:rPr>
        <w:t>Storia d’Italia,</w:t>
      </w:r>
      <w:r>
        <w:t xml:space="preserve"> 7; Anthony Cardoza, </w:t>
      </w:r>
      <w:r>
        <w:rPr>
          <w:i/>
          <w:iCs/>
        </w:rPr>
        <w:t>Aristocrats in Burgeois Italy: The Piedmontese Nobility, 1861-1930.</w:t>
      </w:r>
      <w:r>
        <w:t xml:space="preserve"> (Cambridge: Cambridge University Press, 1997), 58-59; Giuseppina Gianfreda and Fabrizio Mattesini, “Adverse Clearings in a Monetary System with Multiple Note Issuers: The Case of Italy (1861–1893),” </w:t>
      </w:r>
      <w:r>
        <w:rPr>
          <w:i/>
          <w:iCs/>
        </w:rPr>
        <w:t>Cliometrica</w:t>
      </w:r>
      <w:r>
        <w:t xml:space="preserve"> 9, no. 1 (January 2015): 1–25, 2-3.</w:t>
      </w:r>
    </w:p>
  </w:footnote>
  <w:footnote w:id="75">
    <w:p w14:paraId="239AB8D6" w14:textId="77777777" w:rsidR="00EE4B01" w:rsidRDefault="00EE4B01">
      <w:pPr>
        <w:pStyle w:val="FootnoteText"/>
      </w:pPr>
      <w:r>
        <w:rPr>
          <w:rStyle w:val="FootnoteReference"/>
        </w:rPr>
        <w:footnoteRef/>
      </w:r>
      <w:r>
        <w:t xml:space="preserve"> Antonio Puca. </w:t>
      </w:r>
      <w:r w:rsidRPr="003F5724">
        <w:rPr>
          <w:i/>
        </w:rPr>
        <w:t>Alle Origini di Minerva Trionfante</w:t>
      </w:r>
      <w:r>
        <w:rPr>
          <w:i/>
        </w:rPr>
        <w:t xml:space="preserve"> Vol III</w:t>
      </w:r>
      <w:r w:rsidRPr="003F5724">
        <w:rPr>
          <w:i/>
        </w:rPr>
        <w:t>. L’impossibile modernizzazione. L’industria di base meridionale tra liberismo e protezionismo: il caso di Pietrarsa (1840-1882)</w:t>
      </w:r>
      <w:r>
        <w:rPr>
          <w:i/>
        </w:rPr>
        <w:t xml:space="preserve"> </w:t>
      </w:r>
      <w:r>
        <w:t>(Roma: 2011), 31-33.</w:t>
      </w:r>
    </w:p>
  </w:footnote>
  <w:footnote w:id="76">
    <w:p w14:paraId="1B27A29F" w14:textId="77777777" w:rsidR="00EE4B01" w:rsidRPr="00B32B22" w:rsidRDefault="00EE4B01">
      <w:pPr>
        <w:pStyle w:val="FootnoteText"/>
      </w:pPr>
      <w:r w:rsidRPr="00B32B22">
        <w:rPr>
          <w:rStyle w:val="FootnoteReference"/>
        </w:rPr>
        <w:footnoteRef/>
      </w:r>
      <w:r w:rsidRPr="00B32B22">
        <w:t xml:space="preserve"> Ibid, 44.</w:t>
      </w:r>
    </w:p>
  </w:footnote>
  <w:footnote w:id="77">
    <w:p w14:paraId="5AD77363" w14:textId="77777777" w:rsidR="00EE4B01" w:rsidRPr="00B32B22" w:rsidRDefault="00EE4B01" w:rsidP="00602BC0">
      <w:pPr>
        <w:pStyle w:val="FootnoteText"/>
      </w:pPr>
      <w:r w:rsidRPr="00B32B22">
        <w:rPr>
          <w:rStyle w:val="FootnoteReference"/>
        </w:rPr>
        <w:footnoteRef/>
      </w:r>
      <w:r w:rsidRPr="00B32B22">
        <w:t xml:space="preserve"> Ibid, 47, 63-65.</w:t>
      </w:r>
    </w:p>
  </w:footnote>
  <w:footnote w:id="78">
    <w:p w14:paraId="16728B0A" w14:textId="1545C273" w:rsidR="00EE4B01" w:rsidRPr="00B32B22" w:rsidRDefault="00EE4B01">
      <w:pPr>
        <w:pStyle w:val="FootnoteText"/>
      </w:pPr>
      <w:r w:rsidRPr="00B32B22">
        <w:rPr>
          <w:rStyle w:val="FootnoteReference"/>
        </w:rPr>
        <w:footnoteRef/>
      </w:r>
      <w:r w:rsidRPr="00B32B22">
        <w:t xml:space="preserve"> Ibid, </w:t>
      </w:r>
      <w:r>
        <w:t>27.</w:t>
      </w:r>
    </w:p>
  </w:footnote>
  <w:footnote w:id="79">
    <w:p w14:paraId="434CAB97" w14:textId="77777777" w:rsidR="00EE4B01" w:rsidRPr="00B32B22" w:rsidRDefault="00EE4B01">
      <w:pPr>
        <w:pStyle w:val="FootnoteText"/>
      </w:pPr>
      <w:r w:rsidRPr="00B32B22">
        <w:rPr>
          <w:rStyle w:val="FootnoteReference"/>
        </w:rPr>
        <w:footnoteRef/>
      </w:r>
      <w:r w:rsidRPr="00B32B22">
        <w:t xml:space="preserve"> Ibid, 87.</w:t>
      </w:r>
    </w:p>
  </w:footnote>
  <w:footnote w:id="80">
    <w:p w14:paraId="0FF754A9" w14:textId="77777777" w:rsidR="00EE4B01" w:rsidRPr="00B32B22" w:rsidRDefault="00EE4B01">
      <w:pPr>
        <w:pStyle w:val="FootnoteText"/>
      </w:pPr>
      <w:r w:rsidRPr="00B32B22">
        <w:rPr>
          <w:rStyle w:val="FootnoteReference"/>
        </w:rPr>
        <w:footnoteRef/>
      </w:r>
      <w:r w:rsidRPr="00B32B22">
        <w:t xml:space="preserve"> Ibid, 90-91.</w:t>
      </w:r>
    </w:p>
  </w:footnote>
  <w:footnote w:id="81">
    <w:p w14:paraId="1E778A33" w14:textId="41B9F055" w:rsidR="00EE4B01" w:rsidRPr="007232D4" w:rsidRDefault="00EE4B01">
      <w:pPr>
        <w:pStyle w:val="FootnoteText"/>
      </w:pPr>
      <w:r w:rsidRPr="00B32B22">
        <w:rPr>
          <w:rStyle w:val="FootnoteReference"/>
        </w:rPr>
        <w:footnoteRef/>
      </w:r>
      <w:r>
        <w:t xml:space="preserve"> Piero Bevilacqua, </w:t>
      </w:r>
      <w:r>
        <w:rPr>
          <w:i/>
        </w:rPr>
        <w:t>Breve storia dell’Italia meridionale,</w:t>
      </w:r>
      <w:r>
        <w:t xml:space="preserve"> 79.</w:t>
      </w:r>
    </w:p>
  </w:footnote>
  <w:footnote w:id="82">
    <w:p w14:paraId="7BC7AB2E" w14:textId="03EC7A76" w:rsidR="00EE4B01" w:rsidRPr="00240731" w:rsidRDefault="00EE4B01">
      <w:pPr>
        <w:pStyle w:val="FootnoteText"/>
      </w:pPr>
      <w:r>
        <w:rPr>
          <w:rStyle w:val="FootnoteReference"/>
        </w:rPr>
        <w:footnoteRef/>
      </w:r>
      <w:r>
        <w:t xml:space="preserve"> Antonio Puca, </w:t>
      </w:r>
      <w:r>
        <w:rPr>
          <w:i/>
        </w:rPr>
        <w:t xml:space="preserve">Alle origini di Minerva trionfante, </w:t>
      </w:r>
      <w:r>
        <w:t>92.</w:t>
      </w:r>
    </w:p>
  </w:footnote>
  <w:footnote w:id="83">
    <w:p w14:paraId="1A1E7FF3" w14:textId="06DB1A8E" w:rsidR="00EE4B01" w:rsidRDefault="00EE4B01">
      <w:pPr>
        <w:pStyle w:val="FootnoteText"/>
      </w:pPr>
      <w:r>
        <w:rPr>
          <w:rStyle w:val="FootnoteReference"/>
        </w:rPr>
        <w:footnoteRef/>
      </w:r>
      <w:r>
        <w:t xml:space="preserve"> Ibid, 90-93.</w:t>
      </w:r>
    </w:p>
  </w:footnote>
  <w:footnote w:id="84">
    <w:p w14:paraId="1F1F5822" w14:textId="77777777" w:rsidR="00EE4B01" w:rsidRDefault="00EE4B01">
      <w:pPr>
        <w:pStyle w:val="FootnoteText"/>
      </w:pPr>
      <w:r>
        <w:rPr>
          <w:rStyle w:val="FootnoteReference"/>
        </w:rPr>
        <w:footnoteRef/>
      </w:r>
      <w:r>
        <w:t xml:space="preserve"> Ibid, 90-93.</w:t>
      </w:r>
    </w:p>
  </w:footnote>
  <w:footnote w:id="85">
    <w:p w14:paraId="1084D570" w14:textId="77777777" w:rsidR="00EE4B01" w:rsidRPr="00B32B22" w:rsidRDefault="00EE4B01">
      <w:pPr>
        <w:pStyle w:val="FootnoteText"/>
      </w:pPr>
      <w:r>
        <w:rPr>
          <w:rStyle w:val="FootnoteReference"/>
        </w:rPr>
        <w:footnoteRef/>
      </w:r>
      <w:r>
        <w:t xml:space="preserve"> Ibid, </w:t>
      </w:r>
      <w:r w:rsidRPr="00B32B22">
        <w:t>99-102.</w:t>
      </w:r>
    </w:p>
  </w:footnote>
  <w:footnote w:id="86">
    <w:p w14:paraId="52FCEF4C" w14:textId="77777777" w:rsidR="00EE4B01" w:rsidRPr="00B32B22" w:rsidRDefault="00EE4B01">
      <w:pPr>
        <w:pStyle w:val="FootnoteText"/>
      </w:pPr>
      <w:r w:rsidRPr="00B32B22">
        <w:rPr>
          <w:rStyle w:val="FootnoteReference"/>
        </w:rPr>
        <w:footnoteRef/>
      </w:r>
      <w:r w:rsidRPr="00B32B22">
        <w:t xml:space="preserve"> Ibid, 99-102.</w:t>
      </w:r>
    </w:p>
  </w:footnote>
  <w:footnote w:id="87">
    <w:p w14:paraId="4C7506A2" w14:textId="77777777" w:rsidR="00EE4B01" w:rsidRDefault="00EE4B01">
      <w:pPr>
        <w:pStyle w:val="FootnoteText"/>
      </w:pPr>
      <w:r w:rsidRPr="00B32B22">
        <w:rPr>
          <w:rStyle w:val="FootnoteReference"/>
        </w:rPr>
        <w:footnoteRef/>
      </w:r>
      <w:r w:rsidRPr="00B32B22">
        <w:t xml:space="preserve"> Ibid, 99-103</w:t>
      </w:r>
    </w:p>
  </w:footnote>
  <w:footnote w:id="88">
    <w:p w14:paraId="37298335" w14:textId="4627126F" w:rsidR="00EE4B01" w:rsidRPr="002A6F95" w:rsidRDefault="00EE4B01">
      <w:pPr>
        <w:pStyle w:val="FootnoteText"/>
      </w:pPr>
      <w:r>
        <w:rPr>
          <w:rStyle w:val="FootnoteReference"/>
        </w:rPr>
        <w:footnoteRef/>
      </w:r>
      <w:r>
        <w:t xml:space="preserve"> Andrea F. Saba, “Produzione e mercati” in </w:t>
      </w:r>
      <w:r>
        <w:rPr>
          <w:i/>
        </w:rPr>
        <w:t>Storia dell’Ansaldo,</w:t>
      </w:r>
      <w:r>
        <w:t xml:space="preserve"> 176-177.</w:t>
      </w:r>
    </w:p>
  </w:footnote>
  <w:footnote w:id="89">
    <w:p w14:paraId="408C4E64" w14:textId="6709E00C" w:rsidR="00EE4B01" w:rsidRDefault="00EE4B01">
      <w:pPr>
        <w:pStyle w:val="FootnoteText"/>
      </w:pPr>
      <w:r>
        <w:rPr>
          <w:rStyle w:val="FootnoteReference"/>
        </w:rPr>
        <w:footnoteRef/>
      </w:r>
      <w:r>
        <w:t xml:space="preserve"> </w:t>
      </w:r>
      <w:r w:rsidR="00DA3DF9">
        <w:t xml:space="preserve">Antonio Puca, </w:t>
      </w:r>
      <w:r w:rsidRPr="00DA3DF9">
        <w:rPr>
          <w:i/>
        </w:rPr>
        <w:t>Alle origini di Minerva triofante</w:t>
      </w:r>
      <w:r>
        <w:t>, 101.</w:t>
      </w:r>
    </w:p>
  </w:footnote>
  <w:footnote w:id="90">
    <w:p w14:paraId="61A82E7D" w14:textId="77777777" w:rsidR="00EE4B01" w:rsidRDefault="00EE4B01">
      <w:pPr>
        <w:pStyle w:val="FootnoteText"/>
      </w:pPr>
      <w:r>
        <w:rPr>
          <w:rStyle w:val="FootnoteReference"/>
        </w:rPr>
        <w:footnoteRef/>
      </w:r>
      <w:r>
        <w:t xml:space="preserve"> Ibid, 97.</w:t>
      </w:r>
    </w:p>
  </w:footnote>
  <w:footnote w:id="91">
    <w:p w14:paraId="5EABCB27" w14:textId="51C05BF5" w:rsidR="00EE4B01" w:rsidRDefault="00EE4B01">
      <w:pPr>
        <w:pStyle w:val="FootnoteText"/>
      </w:pPr>
      <w:r>
        <w:rPr>
          <w:rStyle w:val="FootnoteReference"/>
        </w:rPr>
        <w:footnoteRef/>
      </w:r>
      <w:r>
        <w:t xml:space="preserve"> Ibid, 106.</w:t>
      </w:r>
    </w:p>
  </w:footnote>
  <w:footnote w:id="92">
    <w:p w14:paraId="76A0FB5D" w14:textId="4D03B1FA" w:rsidR="00EE4B01" w:rsidRDefault="00EE4B01">
      <w:pPr>
        <w:pStyle w:val="FootnoteText"/>
      </w:pPr>
      <w:r>
        <w:rPr>
          <w:rStyle w:val="FootnoteReference"/>
        </w:rPr>
        <w:footnoteRef/>
      </w:r>
      <w:r>
        <w:t xml:space="preserve"> Ibid, 106.</w:t>
      </w:r>
    </w:p>
  </w:footnote>
  <w:footnote w:id="93">
    <w:p w14:paraId="0A1A76C9" w14:textId="2CD87878" w:rsidR="00EE4B01" w:rsidRPr="00674868" w:rsidRDefault="00EE4B01">
      <w:pPr>
        <w:pStyle w:val="FootnoteText"/>
      </w:pPr>
      <w:r>
        <w:rPr>
          <w:rStyle w:val="FootnoteReference"/>
        </w:rPr>
        <w:footnoteRef/>
      </w:r>
      <w:r>
        <w:t xml:space="preserve"> Narciso Nada, </w:t>
      </w:r>
      <w:r w:rsidRPr="00CD49A0">
        <w:t>“Genova e l’Ansaldo nella politica di Cavour”</w:t>
      </w:r>
      <w:r>
        <w:t xml:space="preserve"> in </w:t>
      </w:r>
      <w:r>
        <w:rPr>
          <w:i/>
        </w:rPr>
        <w:t>Storia dell’Ansaldo,</w:t>
      </w:r>
      <w:r>
        <w:t xml:space="preserve"> 33-35.</w:t>
      </w:r>
    </w:p>
  </w:footnote>
  <w:footnote w:id="94">
    <w:p w14:paraId="344BA5EE" w14:textId="166D0AB0" w:rsidR="00EE4B01" w:rsidRDefault="00EE4B01">
      <w:pPr>
        <w:pStyle w:val="FootnoteText"/>
      </w:pPr>
      <w:r>
        <w:rPr>
          <w:rStyle w:val="FootnoteReference"/>
        </w:rPr>
        <w:footnoteRef/>
      </w:r>
      <w:r>
        <w:t xml:space="preserve"> Valerio Castronovo, “Giovanni Ansaldo e la Liguria del suo tempo” in </w:t>
      </w:r>
      <w:r>
        <w:rPr>
          <w:i/>
        </w:rPr>
        <w:t>Storia dell’Ansaldo,</w:t>
      </w:r>
      <w:r>
        <w:t xml:space="preserve"> 14.</w:t>
      </w:r>
    </w:p>
  </w:footnote>
  <w:footnote w:id="95">
    <w:p w14:paraId="55297C0B" w14:textId="04F2931D" w:rsidR="00EE4B01" w:rsidRDefault="00EE4B01">
      <w:pPr>
        <w:pStyle w:val="FootnoteText"/>
      </w:pPr>
      <w:r>
        <w:rPr>
          <w:rStyle w:val="FootnoteReference"/>
        </w:rPr>
        <w:footnoteRef/>
      </w:r>
      <w:r>
        <w:t xml:space="preserve"> Narciso Nada, </w:t>
      </w:r>
      <w:r w:rsidRPr="00CD49A0">
        <w:t>“Genova e l’Ansaldo nella politica di Cavour”</w:t>
      </w:r>
      <w:r>
        <w:t xml:space="preserve"> in </w:t>
      </w:r>
      <w:r>
        <w:rPr>
          <w:i/>
        </w:rPr>
        <w:t>Storia dell’Ansaldo</w:t>
      </w:r>
      <w:r>
        <w:t>, 34-35.</w:t>
      </w:r>
    </w:p>
  </w:footnote>
  <w:footnote w:id="96">
    <w:p w14:paraId="33889102" w14:textId="77777777" w:rsidR="00EE4B01" w:rsidRDefault="00EE4B01">
      <w:pPr>
        <w:pStyle w:val="FootnoteText"/>
      </w:pPr>
      <w:r>
        <w:rPr>
          <w:rStyle w:val="FootnoteReference"/>
        </w:rPr>
        <w:footnoteRef/>
      </w:r>
      <w:r>
        <w:t xml:space="preserve"> Ibid, 35.</w:t>
      </w:r>
    </w:p>
  </w:footnote>
  <w:footnote w:id="97">
    <w:p w14:paraId="192FB97E" w14:textId="77777777" w:rsidR="00EE4B01" w:rsidRDefault="00EE4B01">
      <w:pPr>
        <w:pStyle w:val="FootnoteText"/>
      </w:pPr>
      <w:r>
        <w:rPr>
          <w:rStyle w:val="FootnoteReference"/>
        </w:rPr>
        <w:footnoteRef/>
      </w:r>
      <w:r>
        <w:t xml:space="preserve"> Ibid, 35-37.</w:t>
      </w:r>
    </w:p>
  </w:footnote>
  <w:footnote w:id="98">
    <w:p w14:paraId="56EBE05A" w14:textId="77777777" w:rsidR="00EE4B01" w:rsidRDefault="00EE4B01">
      <w:pPr>
        <w:pStyle w:val="FootnoteText"/>
      </w:pPr>
      <w:r>
        <w:rPr>
          <w:rStyle w:val="FootnoteReference"/>
        </w:rPr>
        <w:footnoteRef/>
      </w:r>
      <w:r>
        <w:t xml:space="preserve"> Ibid, 38.</w:t>
      </w:r>
    </w:p>
  </w:footnote>
  <w:footnote w:id="99">
    <w:p w14:paraId="622B9EDE" w14:textId="77777777" w:rsidR="00EE4B01" w:rsidRDefault="00EE4B01">
      <w:pPr>
        <w:pStyle w:val="FootnoteText"/>
      </w:pPr>
      <w:r>
        <w:rPr>
          <w:rStyle w:val="FootnoteReference"/>
        </w:rPr>
        <w:footnoteRef/>
      </w:r>
      <w:r>
        <w:t xml:space="preserve"> Ibid, 36-37.</w:t>
      </w:r>
    </w:p>
  </w:footnote>
  <w:footnote w:id="100">
    <w:p w14:paraId="008C5ACE" w14:textId="77777777" w:rsidR="00EE4B01" w:rsidRDefault="00EE4B01">
      <w:pPr>
        <w:pStyle w:val="FootnoteText"/>
      </w:pPr>
      <w:r>
        <w:rPr>
          <w:rStyle w:val="FootnoteReference"/>
        </w:rPr>
        <w:footnoteRef/>
      </w:r>
      <w:r>
        <w:t xml:space="preserve"> Ibid, 34-35.</w:t>
      </w:r>
    </w:p>
  </w:footnote>
  <w:footnote w:id="101">
    <w:p w14:paraId="23844BA8" w14:textId="6C5B2F9C" w:rsidR="00EE4B01" w:rsidRDefault="00EE4B01">
      <w:pPr>
        <w:pStyle w:val="FootnoteText"/>
      </w:pPr>
      <w:r>
        <w:rPr>
          <w:rStyle w:val="FootnoteReference"/>
        </w:rPr>
        <w:footnoteRef/>
      </w:r>
      <w:r>
        <w:t xml:space="preserve"> Marco Doria, </w:t>
      </w:r>
      <w:r>
        <w:rPr>
          <w:i/>
        </w:rPr>
        <w:t>“</w:t>
      </w:r>
      <w:r>
        <w:t xml:space="preserve">Le strategie e l’evoluzione dell’Ansaldo” in </w:t>
      </w:r>
      <w:r>
        <w:rPr>
          <w:i/>
        </w:rPr>
        <w:t xml:space="preserve">Storia dell’Ansaldo, </w:t>
      </w:r>
      <w:r>
        <w:t>95.</w:t>
      </w:r>
    </w:p>
  </w:footnote>
  <w:footnote w:id="102">
    <w:p w14:paraId="25573610" w14:textId="765EA842" w:rsidR="00EE4B01" w:rsidRPr="00103A62" w:rsidRDefault="00EE4B01">
      <w:pPr>
        <w:pStyle w:val="FootnoteText"/>
      </w:pPr>
      <w:r>
        <w:rPr>
          <w:rStyle w:val="FootnoteReference"/>
        </w:rPr>
        <w:footnoteRef/>
      </w:r>
      <w:r>
        <w:t xml:space="preserve"> Narciso Nada, </w:t>
      </w:r>
      <w:r w:rsidRPr="00CD49A0">
        <w:t>“Genova e l’Ansaldo nella politica di Cavour”</w:t>
      </w:r>
      <w:r>
        <w:t xml:space="preserve"> in </w:t>
      </w:r>
      <w:r>
        <w:rPr>
          <w:i/>
        </w:rPr>
        <w:t>Storia dell’Ansaldo</w:t>
      </w:r>
      <w:r>
        <w:t xml:space="preserve">, 42;  Marco Doria, </w:t>
      </w:r>
      <w:r>
        <w:rPr>
          <w:i/>
        </w:rPr>
        <w:t>“</w:t>
      </w:r>
      <w:r>
        <w:t xml:space="preserve">Le strategie e l’evoluzione dell’Ansaldo” in </w:t>
      </w:r>
      <w:r>
        <w:rPr>
          <w:i/>
        </w:rPr>
        <w:t xml:space="preserve">Storia dell’Ansaldo, </w:t>
      </w:r>
      <w:r>
        <w:t>94.</w:t>
      </w:r>
    </w:p>
  </w:footnote>
  <w:footnote w:id="103">
    <w:p w14:paraId="1DC1D47A" w14:textId="64870A84" w:rsidR="00EE4B01" w:rsidRPr="00103A62" w:rsidRDefault="00EE4B01">
      <w:pPr>
        <w:pStyle w:val="FootnoteText"/>
      </w:pPr>
      <w:r>
        <w:rPr>
          <w:rStyle w:val="FootnoteReference"/>
        </w:rPr>
        <w:footnoteRef/>
      </w:r>
      <w:r>
        <w:t xml:space="preserve"> Narciso Nada, </w:t>
      </w:r>
      <w:r w:rsidRPr="00CD49A0">
        <w:t>“Genova e l’Ansaldo nella politica di Cavour”</w:t>
      </w:r>
      <w:r>
        <w:t xml:space="preserve"> in </w:t>
      </w:r>
      <w:r>
        <w:rPr>
          <w:i/>
        </w:rPr>
        <w:t xml:space="preserve">Storia dell’Ansaldo, </w:t>
      </w:r>
      <w:r>
        <w:t>42-43.</w:t>
      </w:r>
    </w:p>
  </w:footnote>
  <w:footnote w:id="104">
    <w:p w14:paraId="3001012F" w14:textId="27626E6D" w:rsidR="00EE4B01" w:rsidRDefault="00EE4B01">
      <w:pPr>
        <w:pStyle w:val="FootnoteText"/>
      </w:pPr>
      <w:r>
        <w:rPr>
          <w:rStyle w:val="FootnoteReference"/>
        </w:rPr>
        <w:footnoteRef/>
      </w:r>
      <w:r>
        <w:t xml:space="preserve"> Marco Doria, </w:t>
      </w:r>
      <w:r>
        <w:rPr>
          <w:i/>
        </w:rPr>
        <w:t>“</w:t>
      </w:r>
      <w:r>
        <w:t xml:space="preserve">Le strategie e l’evoluzione dell’Ansaldo” in </w:t>
      </w:r>
      <w:r>
        <w:rPr>
          <w:i/>
        </w:rPr>
        <w:t>Storia dell’Ansaldo,</w:t>
      </w:r>
      <w:r>
        <w:t xml:space="preserve"> 90-91.</w:t>
      </w:r>
    </w:p>
  </w:footnote>
  <w:footnote w:id="105">
    <w:p w14:paraId="31973464" w14:textId="0EA1C061" w:rsidR="00EE4B01" w:rsidRDefault="00EE4B01">
      <w:pPr>
        <w:pStyle w:val="FootnoteText"/>
      </w:pPr>
      <w:r>
        <w:rPr>
          <w:rStyle w:val="FootnoteReference"/>
        </w:rPr>
        <w:footnoteRef/>
      </w:r>
      <w:r>
        <w:t xml:space="preserve"> Romano Paolo Coppini, “Carlo Bombrini finanziere e imprenditore” in </w:t>
      </w:r>
      <w:r>
        <w:rPr>
          <w:i/>
        </w:rPr>
        <w:t>Storia dell’Ansaldo</w:t>
      </w:r>
      <w:r>
        <w:t>, 50-51.</w:t>
      </w:r>
    </w:p>
  </w:footnote>
  <w:footnote w:id="106">
    <w:p w14:paraId="10C1A707" w14:textId="77777777" w:rsidR="00EE4B01" w:rsidRDefault="00EE4B01">
      <w:pPr>
        <w:pStyle w:val="FootnoteText"/>
      </w:pPr>
      <w:r>
        <w:rPr>
          <w:rStyle w:val="FootnoteReference"/>
        </w:rPr>
        <w:footnoteRef/>
      </w:r>
      <w:r>
        <w:t xml:space="preserve"> Ibid, 50-52.</w:t>
      </w:r>
    </w:p>
  </w:footnote>
  <w:footnote w:id="107">
    <w:p w14:paraId="70316655" w14:textId="3860C98E" w:rsidR="00EE4B01" w:rsidRDefault="00EE4B01">
      <w:pPr>
        <w:pStyle w:val="FootnoteText"/>
      </w:pPr>
      <w:r>
        <w:rPr>
          <w:rStyle w:val="FootnoteReference"/>
        </w:rPr>
        <w:footnoteRef/>
      </w:r>
      <w:r>
        <w:t xml:space="preserve"> Marco Doria, </w:t>
      </w:r>
      <w:r>
        <w:rPr>
          <w:i/>
        </w:rPr>
        <w:t>“</w:t>
      </w:r>
      <w:r>
        <w:t xml:space="preserve">Le strategie e l’evoluzione dell’Ansaldo” in </w:t>
      </w:r>
      <w:r>
        <w:rPr>
          <w:i/>
        </w:rPr>
        <w:t xml:space="preserve">Storia dell’Ansaldo, </w:t>
      </w:r>
      <w:r>
        <w:t>96.</w:t>
      </w:r>
    </w:p>
  </w:footnote>
  <w:footnote w:id="108">
    <w:p w14:paraId="322FC893" w14:textId="77777777" w:rsidR="00EE4B01" w:rsidRDefault="00EE4B01">
      <w:pPr>
        <w:pStyle w:val="FootnoteText"/>
      </w:pPr>
      <w:r>
        <w:rPr>
          <w:rStyle w:val="FootnoteReference"/>
        </w:rPr>
        <w:footnoteRef/>
      </w:r>
      <w:r>
        <w:t xml:space="preserve"> Ibid, 96.</w:t>
      </w:r>
    </w:p>
  </w:footnote>
  <w:footnote w:id="109">
    <w:p w14:paraId="6E2E6AAB" w14:textId="77777777" w:rsidR="00EE4B01" w:rsidRDefault="00EE4B01">
      <w:pPr>
        <w:pStyle w:val="FootnoteText"/>
      </w:pPr>
      <w:r>
        <w:rPr>
          <w:rStyle w:val="FootnoteReference"/>
        </w:rPr>
        <w:footnoteRef/>
      </w:r>
      <w:r>
        <w:t xml:space="preserve"> Ibid, 94.</w:t>
      </w:r>
    </w:p>
  </w:footnote>
  <w:footnote w:id="110">
    <w:p w14:paraId="05BF15F7" w14:textId="77777777" w:rsidR="00EE4B01" w:rsidRDefault="00EE4B01">
      <w:pPr>
        <w:pStyle w:val="FootnoteText"/>
      </w:pPr>
      <w:r>
        <w:rPr>
          <w:rStyle w:val="FootnoteReference"/>
        </w:rPr>
        <w:footnoteRef/>
      </w:r>
      <w:r>
        <w:t xml:space="preserve"> Ibid, 94-95.</w:t>
      </w:r>
    </w:p>
  </w:footnote>
  <w:footnote w:id="111">
    <w:p w14:paraId="0EBA5151" w14:textId="77777777" w:rsidR="00EE4B01" w:rsidRDefault="00EE4B01">
      <w:pPr>
        <w:pStyle w:val="FootnoteText"/>
      </w:pPr>
      <w:r>
        <w:rPr>
          <w:rStyle w:val="FootnoteReference"/>
        </w:rPr>
        <w:footnoteRef/>
      </w:r>
      <w:r>
        <w:t xml:space="preserve"> Ibid, 85-87.</w:t>
      </w:r>
    </w:p>
  </w:footnote>
  <w:footnote w:id="112">
    <w:p w14:paraId="1CCE46D4" w14:textId="77777777" w:rsidR="00EE4B01" w:rsidRDefault="00EE4B01">
      <w:pPr>
        <w:pStyle w:val="FootnoteText"/>
      </w:pPr>
      <w:r>
        <w:rPr>
          <w:rStyle w:val="FootnoteReference"/>
        </w:rPr>
        <w:footnoteRef/>
      </w:r>
      <w:r>
        <w:t xml:space="preserve"> Ibid, 94-95.</w:t>
      </w:r>
    </w:p>
  </w:footnote>
  <w:footnote w:id="113">
    <w:p w14:paraId="307FE18C" w14:textId="77777777" w:rsidR="00EE4B01" w:rsidRDefault="00EE4B01">
      <w:pPr>
        <w:pStyle w:val="FootnoteText"/>
      </w:pPr>
      <w:r>
        <w:rPr>
          <w:rStyle w:val="FootnoteReference"/>
        </w:rPr>
        <w:footnoteRef/>
      </w:r>
      <w:r>
        <w:t xml:space="preserve"> Ibid, 95.</w:t>
      </w:r>
    </w:p>
  </w:footnote>
  <w:footnote w:id="114">
    <w:p w14:paraId="57C4A736" w14:textId="77777777" w:rsidR="00EE4B01" w:rsidRDefault="00EE4B01">
      <w:pPr>
        <w:pStyle w:val="FootnoteText"/>
      </w:pPr>
      <w:r>
        <w:rPr>
          <w:rStyle w:val="FootnoteReference"/>
        </w:rPr>
        <w:footnoteRef/>
      </w:r>
      <w:r>
        <w:t xml:space="preserve"> Ibid, 41.</w:t>
      </w:r>
    </w:p>
  </w:footnote>
  <w:footnote w:id="115">
    <w:p w14:paraId="2E4F9FD4" w14:textId="77777777" w:rsidR="00EE4B01" w:rsidRDefault="00EE4B01">
      <w:pPr>
        <w:pStyle w:val="FootnoteText"/>
      </w:pPr>
      <w:r>
        <w:rPr>
          <w:rStyle w:val="FootnoteReference"/>
        </w:rPr>
        <w:footnoteRef/>
      </w:r>
      <w:r>
        <w:t xml:space="preserve"> Ibid, 34-35.</w:t>
      </w:r>
    </w:p>
  </w:footnote>
  <w:footnote w:id="116">
    <w:p w14:paraId="3FB3605B" w14:textId="77777777" w:rsidR="00EE4B01" w:rsidRDefault="00EE4B01">
      <w:pPr>
        <w:pStyle w:val="FootnoteText"/>
      </w:pPr>
      <w:r>
        <w:rPr>
          <w:rStyle w:val="FootnoteReference"/>
        </w:rPr>
        <w:footnoteRef/>
      </w:r>
      <w:r>
        <w:t xml:space="preserve"> Ibid, 36.</w:t>
      </w:r>
    </w:p>
  </w:footnote>
  <w:footnote w:id="117">
    <w:p w14:paraId="5F8462D1" w14:textId="77777777" w:rsidR="00EE4B01" w:rsidRDefault="00EE4B01">
      <w:pPr>
        <w:pStyle w:val="FootnoteText"/>
      </w:pPr>
      <w:r>
        <w:rPr>
          <w:rStyle w:val="FootnoteReference"/>
        </w:rPr>
        <w:footnoteRef/>
      </w:r>
      <w:r>
        <w:t xml:space="preserve"> Ibid, 36.</w:t>
      </w:r>
    </w:p>
  </w:footnote>
  <w:footnote w:id="118">
    <w:p w14:paraId="74CFCB02" w14:textId="77777777" w:rsidR="00EE4B01" w:rsidRDefault="00EE4B01">
      <w:pPr>
        <w:pStyle w:val="FootnoteText"/>
      </w:pPr>
      <w:r>
        <w:rPr>
          <w:rStyle w:val="FootnoteReference"/>
        </w:rPr>
        <w:footnoteRef/>
      </w:r>
      <w:r>
        <w:t xml:space="preserve"> Ibid, 36.</w:t>
      </w:r>
    </w:p>
  </w:footnote>
  <w:footnote w:id="119">
    <w:p w14:paraId="62ABF8D2" w14:textId="77777777" w:rsidR="00EE4B01" w:rsidRDefault="00EE4B01">
      <w:pPr>
        <w:pStyle w:val="FootnoteText"/>
      </w:pPr>
      <w:r>
        <w:rPr>
          <w:rStyle w:val="FootnoteReference"/>
        </w:rPr>
        <w:footnoteRef/>
      </w:r>
      <w:r>
        <w:t xml:space="preserve"> Ibid, 35.</w:t>
      </w:r>
    </w:p>
  </w:footnote>
  <w:footnote w:id="120">
    <w:p w14:paraId="7A757C1C" w14:textId="77777777" w:rsidR="00EE4B01" w:rsidRPr="002E47A1" w:rsidRDefault="00EE4B01">
      <w:pPr>
        <w:pStyle w:val="FootnoteText"/>
      </w:pPr>
      <w:r>
        <w:rPr>
          <w:rStyle w:val="FootnoteReference"/>
        </w:rPr>
        <w:footnoteRef/>
      </w:r>
      <w:r>
        <w:t xml:space="preserve"> Antonio Puca, </w:t>
      </w:r>
      <w:r>
        <w:rPr>
          <w:i/>
        </w:rPr>
        <w:t>Alle Origini di Minerva Trionfante</w:t>
      </w:r>
      <w:r>
        <w:t>, 90-92.</w:t>
      </w:r>
    </w:p>
  </w:footnote>
  <w:footnote w:id="121">
    <w:p w14:paraId="610183B1" w14:textId="77777777" w:rsidR="00EE4B01" w:rsidRDefault="00EE4B01">
      <w:pPr>
        <w:pStyle w:val="FootnoteText"/>
      </w:pPr>
      <w:r>
        <w:rPr>
          <w:rStyle w:val="FootnoteReference"/>
        </w:rPr>
        <w:footnoteRef/>
      </w:r>
      <w:r>
        <w:t xml:space="preserve"> Ibid, 92-93.</w:t>
      </w:r>
    </w:p>
  </w:footnote>
  <w:footnote w:id="122">
    <w:p w14:paraId="135FC2FC" w14:textId="2B43A168" w:rsidR="00EE4B01" w:rsidRPr="001C0478" w:rsidRDefault="00EE4B01">
      <w:pPr>
        <w:pStyle w:val="FootnoteText"/>
      </w:pPr>
      <w:r>
        <w:rPr>
          <w:rStyle w:val="FootnoteReference"/>
        </w:rPr>
        <w:footnoteRef/>
      </w:r>
      <w:r>
        <w:t xml:space="preserve"> Narciso Nada, </w:t>
      </w:r>
      <w:r w:rsidRPr="00CD49A0">
        <w:t>“Genova e l’Ansaldo nella politica di Cavour”</w:t>
      </w:r>
      <w:r>
        <w:t xml:space="preserve"> in </w:t>
      </w:r>
      <w:r>
        <w:rPr>
          <w:i/>
        </w:rPr>
        <w:t xml:space="preserve">Storia dell’Ansaldo, </w:t>
      </w:r>
      <w:r>
        <w:t>36.</w:t>
      </w:r>
    </w:p>
  </w:footnote>
  <w:footnote w:id="123">
    <w:p w14:paraId="5A2897AE" w14:textId="1D7391CD" w:rsidR="00EE4B01" w:rsidRPr="007060F6" w:rsidRDefault="00EE4B01">
      <w:pPr>
        <w:pStyle w:val="FootnoteText"/>
      </w:pPr>
      <w:r>
        <w:rPr>
          <w:rStyle w:val="FootnoteReference"/>
        </w:rPr>
        <w:footnoteRef/>
      </w:r>
      <w:r>
        <w:t xml:space="preserve"> Marco Doria, “Le strategie e l’evoluzione dell’Ansaldo” in </w:t>
      </w:r>
      <w:r>
        <w:rPr>
          <w:i/>
        </w:rPr>
        <w:t>Storia dell’Ansaldo,</w:t>
      </w:r>
      <w:r>
        <w:t xml:space="preserve"> 96-97; Antonio Puca,</w:t>
      </w:r>
      <w:r>
        <w:rPr>
          <w:i/>
        </w:rPr>
        <w:t xml:space="preserve"> Alle origini di Minerva trionfante,</w:t>
      </w:r>
      <w:r>
        <w:t xml:space="preserve"> 94-95.</w:t>
      </w:r>
    </w:p>
  </w:footnote>
  <w:footnote w:id="124">
    <w:p w14:paraId="3FAEED38" w14:textId="6491CB13" w:rsidR="00EE4B01" w:rsidRPr="007552F1" w:rsidRDefault="00EE4B01">
      <w:pPr>
        <w:pStyle w:val="FootnoteText"/>
        <w:rPr>
          <w:i/>
        </w:rPr>
      </w:pPr>
      <w:r>
        <w:rPr>
          <w:rStyle w:val="FootnoteReference"/>
        </w:rPr>
        <w:footnoteRef/>
      </w:r>
      <w:r>
        <w:t xml:space="preserve"> Rosario Romeo, </w:t>
      </w:r>
      <w:r>
        <w:rPr>
          <w:i/>
          <w:iCs/>
        </w:rPr>
        <w:t>Breve Storia Della Grande Industria</w:t>
      </w:r>
      <w:r>
        <w:t>, 33.</w:t>
      </w:r>
    </w:p>
  </w:footnote>
  <w:footnote w:id="125">
    <w:p w14:paraId="34CF6412" w14:textId="76306264" w:rsidR="00EE4B01" w:rsidRPr="0068048F" w:rsidRDefault="00EE4B01">
      <w:pPr>
        <w:pStyle w:val="FootnoteText"/>
      </w:pPr>
      <w:r>
        <w:rPr>
          <w:rStyle w:val="FootnoteReference"/>
        </w:rPr>
        <w:footnoteRef/>
      </w:r>
      <w:r>
        <w:t xml:space="preserve"> Stefano Fenoaltea, </w:t>
      </w:r>
      <w:r>
        <w:rPr>
          <w:i/>
          <w:iCs/>
        </w:rPr>
        <w:t>The Reinterpretat</w:t>
      </w:r>
      <w:r w:rsidR="00E7569C">
        <w:rPr>
          <w:i/>
          <w:iCs/>
        </w:rPr>
        <w:t>ion of Italian Economic History,</w:t>
      </w:r>
      <w:r>
        <w:t xml:space="preserve"> 38-39.</w:t>
      </w:r>
    </w:p>
  </w:footnote>
  <w:footnote w:id="126">
    <w:p w14:paraId="6E5DD8F8" w14:textId="27247F94" w:rsidR="00EE4B01" w:rsidRPr="00CF36FC" w:rsidRDefault="00EE4B01">
      <w:pPr>
        <w:pStyle w:val="FootnoteText"/>
        <w:rPr>
          <w:i/>
        </w:rPr>
      </w:pPr>
      <w:r>
        <w:rPr>
          <w:rStyle w:val="FootnoteReference"/>
        </w:rPr>
        <w:footnoteRef/>
      </w:r>
      <w:r>
        <w:t xml:space="preserve"> Marco Doria, “Le strategie e l’evoluzione dell’Ansaldo” in </w:t>
      </w:r>
      <w:r>
        <w:rPr>
          <w:i/>
        </w:rPr>
        <w:t xml:space="preserve">Storia </w:t>
      </w:r>
      <w:r w:rsidR="00C77E0E">
        <w:rPr>
          <w:i/>
        </w:rPr>
        <w:t xml:space="preserve">dell’Ansaldo, </w:t>
      </w:r>
      <w:r w:rsidR="00C77E0E">
        <w:t>84-85</w:t>
      </w:r>
      <w:r>
        <w:t xml:space="preserve">; Giuseppe Are, </w:t>
      </w:r>
      <w:r>
        <w:rPr>
          <w:i/>
          <w:iCs/>
        </w:rPr>
        <w:t>Il Problema Dello Sviluppo Industriale Nell’età Della Destra</w:t>
      </w:r>
      <w:r>
        <w:t xml:space="preserve"> (Pisa: Nistri - Lischi, 1965), 90-91; Antonio Puca, </w:t>
      </w:r>
      <w:r>
        <w:rPr>
          <w:i/>
          <w:iCs/>
        </w:rPr>
        <w:t>Alle ori</w:t>
      </w:r>
      <w:r w:rsidR="00243D40">
        <w:rPr>
          <w:i/>
          <w:iCs/>
        </w:rPr>
        <w:t xml:space="preserve">gini di Minerva trionfante, </w:t>
      </w:r>
      <w:r>
        <w:t>75-76.</w:t>
      </w:r>
    </w:p>
  </w:footnote>
  <w:footnote w:id="127">
    <w:p w14:paraId="21598A65" w14:textId="00B6F5F0" w:rsidR="00EE4B01" w:rsidRPr="000A5943" w:rsidRDefault="00EE4B01">
      <w:pPr>
        <w:pStyle w:val="FootnoteText"/>
      </w:pPr>
      <w:r>
        <w:rPr>
          <w:rStyle w:val="FootnoteReference"/>
        </w:rPr>
        <w:footnoteRef/>
      </w:r>
      <w:r>
        <w:t xml:space="preserve"> Giuseppe Are,</w:t>
      </w:r>
      <w:r>
        <w:rPr>
          <w:i/>
        </w:rPr>
        <w:t xml:space="preserve"> Il problema dello sviluppo industriale,</w:t>
      </w:r>
      <w:r>
        <w:t xml:space="preserve"> 90-91; Marco Doria, “Le Strategie e l’evoluzione Dell’Ansaldo,” in </w:t>
      </w:r>
      <w:r>
        <w:rPr>
          <w:i/>
          <w:iCs/>
        </w:rPr>
        <w:t>Storia Dell’Ansaldo</w:t>
      </w:r>
      <w:r>
        <w:t>, 84.</w:t>
      </w:r>
    </w:p>
  </w:footnote>
  <w:footnote w:id="128">
    <w:p w14:paraId="5AFD236C" w14:textId="77777777" w:rsidR="00EE4B01" w:rsidRPr="00780707" w:rsidRDefault="00EE4B01">
      <w:pPr>
        <w:pStyle w:val="FootnoteText"/>
      </w:pPr>
      <w:r>
        <w:rPr>
          <w:rStyle w:val="FootnoteReference"/>
        </w:rPr>
        <w:footnoteRef/>
      </w:r>
      <w:r>
        <w:t xml:space="preserve"> Giuseppe Are, </w:t>
      </w:r>
      <w:r>
        <w:rPr>
          <w:i/>
        </w:rPr>
        <w:t>Il Problema dello sviluppo industriale,</w:t>
      </w:r>
      <w:r>
        <w:t xml:space="preserve"> 90.</w:t>
      </w:r>
    </w:p>
  </w:footnote>
  <w:footnote w:id="129">
    <w:p w14:paraId="3C44D668" w14:textId="77777777" w:rsidR="00EE4B01" w:rsidRDefault="00EE4B01">
      <w:pPr>
        <w:pStyle w:val="FootnoteText"/>
      </w:pPr>
      <w:r>
        <w:rPr>
          <w:rStyle w:val="FootnoteReference"/>
        </w:rPr>
        <w:footnoteRef/>
      </w:r>
      <w:r>
        <w:t xml:space="preserve"> Ibid, 90-91.</w:t>
      </w:r>
    </w:p>
  </w:footnote>
  <w:footnote w:id="130">
    <w:p w14:paraId="37E21B0A" w14:textId="77777777" w:rsidR="00EE4B01" w:rsidRDefault="00EE4B01">
      <w:pPr>
        <w:pStyle w:val="FootnoteText"/>
      </w:pPr>
      <w:r>
        <w:rPr>
          <w:rStyle w:val="FootnoteReference"/>
        </w:rPr>
        <w:footnoteRef/>
      </w:r>
      <w:r>
        <w:t xml:space="preserve"> Ibid, 90-91.</w:t>
      </w:r>
    </w:p>
  </w:footnote>
  <w:footnote w:id="131">
    <w:p w14:paraId="78341E81" w14:textId="77777777" w:rsidR="00EE4B01" w:rsidRDefault="00EE4B01">
      <w:pPr>
        <w:pStyle w:val="FootnoteText"/>
      </w:pPr>
      <w:r>
        <w:rPr>
          <w:rStyle w:val="FootnoteReference"/>
        </w:rPr>
        <w:footnoteRef/>
      </w:r>
      <w:r>
        <w:t xml:space="preserve"> Ibid, 90.</w:t>
      </w:r>
    </w:p>
  </w:footnote>
  <w:footnote w:id="132">
    <w:p w14:paraId="02832CD5" w14:textId="77777777" w:rsidR="00EE4B01" w:rsidRDefault="00EE4B01">
      <w:pPr>
        <w:pStyle w:val="FootnoteText"/>
      </w:pPr>
      <w:r>
        <w:rPr>
          <w:rStyle w:val="FootnoteReference"/>
        </w:rPr>
        <w:footnoteRef/>
      </w:r>
      <w:r>
        <w:t xml:space="preserve"> Felice Giordano, </w:t>
      </w:r>
      <w:r>
        <w:rPr>
          <w:i/>
        </w:rPr>
        <w:t xml:space="preserve">Industria del ferro in Italia. Relazione dell’ingegnere Felice Giordano per la commissione delle ferriere istituita dal ministero di Marina </w:t>
      </w:r>
      <w:r>
        <w:t xml:space="preserve">(Torino: Cotta e Capellino, 1864), 347. </w:t>
      </w:r>
    </w:p>
  </w:footnote>
  <w:footnote w:id="133">
    <w:p w14:paraId="7D5BA57E" w14:textId="77777777" w:rsidR="00EE4B01" w:rsidRDefault="00EE4B01">
      <w:pPr>
        <w:pStyle w:val="FootnoteText"/>
      </w:pPr>
      <w:r>
        <w:rPr>
          <w:rStyle w:val="FootnoteReference"/>
        </w:rPr>
        <w:footnoteRef/>
      </w:r>
      <w:r>
        <w:t xml:space="preserve"> Ibid, 347.</w:t>
      </w:r>
    </w:p>
  </w:footnote>
  <w:footnote w:id="134">
    <w:p w14:paraId="3FE8C2DE" w14:textId="77777777" w:rsidR="00EE4B01" w:rsidRDefault="00EE4B01">
      <w:pPr>
        <w:pStyle w:val="FootnoteText"/>
      </w:pPr>
      <w:r>
        <w:rPr>
          <w:rStyle w:val="FootnoteReference"/>
        </w:rPr>
        <w:footnoteRef/>
      </w:r>
      <w:r>
        <w:t xml:space="preserve"> Ibid, 102.</w:t>
      </w:r>
    </w:p>
  </w:footnote>
  <w:footnote w:id="135">
    <w:p w14:paraId="5F88A560" w14:textId="77777777" w:rsidR="00EE4B01" w:rsidRDefault="00EE4B01">
      <w:pPr>
        <w:pStyle w:val="FootnoteText"/>
      </w:pPr>
      <w:r>
        <w:rPr>
          <w:rStyle w:val="FootnoteReference"/>
        </w:rPr>
        <w:footnoteRef/>
      </w:r>
      <w:r>
        <w:t xml:space="preserve"> Ibid, 348.</w:t>
      </w:r>
    </w:p>
  </w:footnote>
  <w:footnote w:id="136">
    <w:p w14:paraId="183D2ED7" w14:textId="77777777" w:rsidR="00EE4B01" w:rsidRDefault="00EE4B01">
      <w:pPr>
        <w:pStyle w:val="FootnoteText"/>
      </w:pPr>
      <w:r>
        <w:rPr>
          <w:rStyle w:val="FootnoteReference"/>
        </w:rPr>
        <w:footnoteRef/>
      </w:r>
      <w:r>
        <w:t xml:space="preserve"> Ibid, 102.</w:t>
      </w:r>
    </w:p>
  </w:footnote>
  <w:footnote w:id="137">
    <w:p w14:paraId="7E3AB535" w14:textId="77777777" w:rsidR="00EE4B01" w:rsidRDefault="00EE4B01">
      <w:pPr>
        <w:pStyle w:val="FootnoteText"/>
      </w:pPr>
      <w:r>
        <w:rPr>
          <w:rStyle w:val="FootnoteReference"/>
        </w:rPr>
        <w:footnoteRef/>
      </w:r>
      <w:r>
        <w:t xml:space="preserve"> Ibid, 348.</w:t>
      </w:r>
    </w:p>
  </w:footnote>
  <w:footnote w:id="138">
    <w:p w14:paraId="2D46C0EB" w14:textId="77777777" w:rsidR="00EE4B01" w:rsidRDefault="00EE4B01">
      <w:pPr>
        <w:pStyle w:val="FootnoteText"/>
      </w:pPr>
      <w:r>
        <w:rPr>
          <w:rStyle w:val="FootnoteReference"/>
        </w:rPr>
        <w:footnoteRef/>
      </w:r>
      <w:r>
        <w:t xml:space="preserve"> Ibid, 442.</w:t>
      </w:r>
    </w:p>
  </w:footnote>
  <w:footnote w:id="139">
    <w:p w14:paraId="0E63CB38" w14:textId="61F86FB3" w:rsidR="00EE4B01" w:rsidRPr="006511C2" w:rsidRDefault="00EE4B01">
      <w:pPr>
        <w:pStyle w:val="FootnoteText"/>
      </w:pPr>
      <w:r>
        <w:rPr>
          <w:rStyle w:val="FootnoteReference"/>
        </w:rPr>
        <w:footnoteRef/>
      </w:r>
      <w:r>
        <w:t xml:space="preserve"> Marco Doria, “Le Strategie e l’evoluzione Dell’Ansaldo,” in </w:t>
      </w:r>
      <w:r>
        <w:rPr>
          <w:i/>
          <w:iCs/>
        </w:rPr>
        <w:t>Storia Dell’Ansaldo</w:t>
      </w:r>
      <w:r>
        <w:t>, 84.</w:t>
      </w:r>
    </w:p>
  </w:footnote>
  <w:footnote w:id="140">
    <w:p w14:paraId="02F19706" w14:textId="6778EC5F" w:rsidR="00EE4B01" w:rsidRDefault="00EE4B01">
      <w:pPr>
        <w:pStyle w:val="FootnoteText"/>
      </w:pPr>
      <w:r>
        <w:rPr>
          <w:rStyle w:val="FootnoteReference"/>
        </w:rPr>
        <w:footnoteRef/>
      </w:r>
      <w:r w:rsidR="00844CF6">
        <w:t xml:space="preserve"> Ibid, </w:t>
      </w:r>
      <w:r>
        <w:t xml:space="preserve">84; </w:t>
      </w:r>
    </w:p>
  </w:footnote>
  <w:footnote w:id="141">
    <w:p w14:paraId="093B7170" w14:textId="77777777" w:rsidR="00EE4B01" w:rsidRDefault="00EE4B01">
      <w:pPr>
        <w:pStyle w:val="FootnoteText"/>
      </w:pPr>
      <w:r>
        <w:rPr>
          <w:rStyle w:val="FootnoteReference"/>
        </w:rPr>
        <w:footnoteRef/>
      </w:r>
      <w:r>
        <w:t xml:space="preserve"> </w:t>
      </w:r>
      <w:r w:rsidRPr="00904F6D">
        <w:rPr>
          <w:i/>
        </w:rPr>
        <w:t>Atti del Comitato dell’Inchiesta industriale (1870-1874): Riassunti delle deposizioni orali e scritte</w:t>
      </w:r>
      <w:r>
        <w:t xml:space="preserve">. Firenze: Stamperia Reale, 1874, 7. From Archivio Storico dell’Industria Italiana. Le Fonti. </w:t>
      </w:r>
      <w:r w:rsidRPr="00904F6D">
        <w:rPr>
          <w:i/>
        </w:rPr>
        <w:t>Atti del Comitato dell’Inchiesta industriale (1870-1874): Riassunti delle deposizioni orali e scritte</w:t>
      </w:r>
      <w:r>
        <w:rPr>
          <w:i/>
        </w:rPr>
        <w:t xml:space="preserve"> Vol. VI. </w:t>
      </w:r>
      <w:r>
        <w:t xml:space="preserve"> </w:t>
      </w:r>
      <w:hyperlink r:id="rId1" w:history="1">
        <w:r w:rsidRPr="00B02A04">
          <w:rPr>
            <w:rStyle w:val="Hyperlink"/>
          </w:rPr>
          <w:t>https://play.google.com/books/reader?id=ks9HAAAAYAAJ&amp;printsec=frontcover&amp;pg=GBS.PP1</w:t>
        </w:r>
      </w:hyperlink>
      <w:r>
        <w:t xml:space="preserve"> </w:t>
      </w:r>
    </w:p>
  </w:footnote>
  <w:footnote w:id="142">
    <w:p w14:paraId="487B8844" w14:textId="77777777" w:rsidR="00EE4B01" w:rsidRDefault="00EE4B01">
      <w:pPr>
        <w:pStyle w:val="FootnoteText"/>
      </w:pPr>
      <w:r>
        <w:rPr>
          <w:rStyle w:val="FootnoteReference"/>
        </w:rPr>
        <w:footnoteRef/>
      </w:r>
      <w:r>
        <w:t xml:space="preserve"> Ibid, 7.</w:t>
      </w:r>
    </w:p>
  </w:footnote>
  <w:footnote w:id="143">
    <w:p w14:paraId="7516C2D0" w14:textId="26D8D74C" w:rsidR="00EE4B01" w:rsidRPr="00E92A02" w:rsidRDefault="00EE4B01" w:rsidP="006A0AEC">
      <w:pPr>
        <w:pStyle w:val="FootnoteText"/>
      </w:pPr>
      <w:r>
        <w:rPr>
          <w:rStyle w:val="FootnoteReference"/>
        </w:rPr>
        <w:footnoteRef/>
      </w:r>
      <w:r>
        <w:t xml:space="preserve"> Giuseppe Are, </w:t>
      </w:r>
      <w:r>
        <w:rPr>
          <w:i/>
        </w:rPr>
        <w:t>Il problema dello sviluppo industriale</w:t>
      </w:r>
      <w:r>
        <w:t xml:space="preserve">, 90-91, 93; Marco Doria, “Le Strategie e l’evoluzione Dell’Ansaldo,” in </w:t>
      </w:r>
      <w:r>
        <w:rPr>
          <w:i/>
          <w:iCs/>
        </w:rPr>
        <w:t>Storia Dell’Ansaldo</w:t>
      </w:r>
      <w:r>
        <w:t>, 84-85.</w:t>
      </w:r>
    </w:p>
  </w:footnote>
  <w:footnote w:id="144">
    <w:p w14:paraId="73926672" w14:textId="77777777" w:rsidR="00EE4B01" w:rsidRPr="00281023" w:rsidRDefault="00EE4B01">
      <w:pPr>
        <w:pStyle w:val="FootnoteText"/>
      </w:pPr>
      <w:r>
        <w:rPr>
          <w:rStyle w:val="FootnoteReference"/>
        </w:rPr>
        <w:footnoteRef/>
      </w:r>
      <w:r>
        <w:t xml:space="preserve"> </w:t>
      </w:r>
      <w:r w:rsidRPr="00E92A02">
        <w:t xml:space="preserve">Giuseppe Are, </w:t>
      </w:r>
      <w:r w:rsidRPr="00E92A02">
        <w:rPr>
          <w:i/>
        </w:rPr>
        <w:t>Il Problema dello Sviluppo Industriale,</w:t>
      </w:r>
      <w:r w:rsidRPr="00E92A02">
        <w:t xml:space="preserve"> 94-95.</w:t>
      </w:r>
    </w:p>
  </w:footnote>
  <w:footnote w:id="145">
    <w:p w14:paraId="5271123B" w14:textId="447D9B7F" w:rsidR="00EE4B01" w:rsidRPr="00E92787" w:rsidRDefault="00EE4B01">
      <w:pPr>
        <w:pStyle w:val="FootnoteText"/>
      </w:pPr>
      <w:r>
        <w:rPr>
          <w:rStyle w:val="FootnoteReference"/>
        </w:rPr>
        <w:footnoteRef/>
      </w:r>
      <w:r>
        <w:t xml:space="preserve"> Andrea F. Saba, “Produzione e mercati” in </w:t>
      </w:r>
      <w:r w:rsidR="00CC684E">
        <w:rPr>
          <w:i/>
          <w:iCs/>
        </w:rPr>
        <w:t xml:space="preserve">Storia dell’Ansaldo, </w:t>
      </w:r>
      <w:r w:rsidR="00CC684E" w:rsidRPr="00CC684E">
        <w:rPr>
          <w:iCs/>
        </w:rPr>
        <w:t>171, 176-177</w:t>
      </w:r>
      <w:r w:rsidR="00CC684E">
        <w:rPr>
          <w:i/>
          <w:iCs/>
        </w:rPr>
        <w:t xml:space="preserve"> </w:t>
      </w:r>
      <w:r>
        <w:t xml:space="preserve">; Antonio Puca, </w:t>
      </w:r>
      <w:r>
        <w:rPr>
          <w:i/>
        </w:rPr>
        <w:t xml:space="preserve">Alle origini di Minerva trionfante, </w:t>
      </w:r>
      <w:r>
        <w:t>101.</w:t>
      </w:r>
    </w:p>
  </w:footnote>
  <w:footnote w:id="146">
    <w:p w14:paraId="56D55426" w14:textId="2FCCA3AE" w:rsidR="00EE4B01" w:rsidRDefault="00EE4B01">
      <w:pPr>
        <w:pStyle w:val="FootnoteText"/>
      </w:pPr>
      <w:r>
        <w:rPr>
          <w:rStyle w:val="FootnoteReference"/>
        </w:rPr>
        <w:footnoteRef/>
      </w:r>
      <w:r>
        <w:t xml:space="preserve"> </w:t>
      </w:r>
      <w:r w:rsidRPr="00215F7B">
        <w:t xml:space="preserve">Rosario Romeo, </w:t>
      </w:r>
      <w:r w:rsidRPr="00215F7B">
        <w:rPr>
          <w:i/>
        </w:rPr>
        <w:t xml:space="preserve">Breve storia della grande industria, </w:t>
      </w:r>
      <w:r w:rsidRPr="00215F7B">
        <w:t>32-33</w:t>
      </w:r>
      <w:r>
        <w:rPr>
          <w:color w:val="FF0000"/>
        </w:rPr>
        <w:t>;</w:t>
      </w:r>
      <w:r w:rsidRPr="005778F2">
        <w:t xml:space="preserve"> </w:t>
      </w:r>
      <w:r>
        <w:t xml:space="preserve">Marco Doria, “Le Strategie e l’evoluzione Dell’Ansaldo,” in </w:t>
      </w:r>
      <w:r w:rsidR="00D5628B">
        <w:rPr>
          <w:i/>
          <w:iCs/>
        </w:rPr>
        <w:t xml:space="preserve">Storia Dell’Ansaldo, </w:t>
      </w:r>
      <w:r>
        <w:t xml:space="preserve">94-95; Stefano Fenoaltea, </w:t>
      </w:r>
      <w:r>
        <w:rPr>
          <w:i/>
        </w:rPr>
        <w:t xml:space="preserve">A Reinterpretation of Italian Economic History, </w:t>
      </w:r>
      <w:r w:rsidR="007F640B">
        <w:t>169</w:t>
      </w:r>
      <w:r>
        <w:rPr>
          <w:i/>
        </w:rPr>
        <w:t xml:space="preserve">, </w:t>
      </w:r>
      <w:r>
        <w:t>174.</w:t>
      </w:r>
    </w:p>
  </w:footnote>
  <w:footnote w:id="147">
    <w:p w14:paraId="0A8E188A" w14:textId="77777777" w:rsidR="00EE4B01" w:rsidRPr="00FD06A8" w:rsidRDefault="00EE4B01">
      <w:pPr>
        <w:pStyle w:val="FootnoteText"/>
      </w:pPr>
      <w:r>
        <w:rPr>
          <w:rStyle w:val="FootnoteReference"/>
        </w:rPr>
        <w:footnoteRef/>
      </w:r>
      <w:r>
        <w:t xml:space="preserve"> Stefano Fenoaltea, </w:t>
      </w:r>
      <w:r>
        <w:rPr>
          <w:i/>
        </w:rPr>
        <w:t xml:space="preserve">A Reinterpretation of Italian Economic History, </w:t>
      </w:r>
      <w:r>
        <w:t>174.</w:t>
      </w:r>
    </w:p>
  </w:footnote>
  <w:footnote w:id="148">
    <w:p w14:paraId="0850174A" w14:textId="77777777" w:rsidR="00EE4B01" w:rsidRDefault="00EE4B01">
      <w:pPr>
        <w:pStyle w:val="FootnoteText"/>
      </w:pPr>
      <w:r>
        <w:rPr>
          <w:rStyle w:val="FootnoteReference"/>
        </w:rPr>
        <w:footnoteRef/>
      </w:r>
      <w:r>
        <w:t xml:space="preserve"> Ibid, 174.</w:t>
      </w:r>
    </w:p>
  </w:footnote>
  <w:footnote w:id="149">
    <w:p w14:paraId="039A2B5B" w14:textId="77777777" w:rsidR="00EE4B01" w:rsidRPr="00FE4062" w:rsidRDefault="00EE4B01" w:rsidP="00602BC0">
      <w:pPr>
        <w:pStyle w:val="FootnoteText"/>
      </w:pPr>
      <w:r>
        <w:rPr>
          <w:rStyle w:val="FootnoteReference"/>
        </w:rPr>
        <w:footnoteRef/>
      </w:r>
      <w:r>
        <w:t xml:space="preserve"> </w:t>
      </w:r>
      <w:r w:rsidRPr="00CE5BEA">
        <w:t xml:space="preserve">Rosario Romeo, </w:t>
      </w:r>
      <w:r w:rsidRPr="00CE5BEA">
        <w:rPr>
          <w:i/>
        </w:rPr>
        <w:t>Breve storia della grande industria,</w:t>
      </w:r>
      <w:r w:rsidRPr="00CE5BEA">
        <w:t xml:space="preserve"> 15.</w:t>
      </w:r>
    </w:p>
  </w:footnote>
  <w:footnote w:id="150">
    <w:p w14:paraId="4C7E01BF" w14:textId="77777777" w:rsidR="00EE4B01" w:rsidRPr="00A30EE2" w:rsidRDefault="00EE4B01">
      <w:pPr>
        <w:pStyle w:val="FootnoteText"/>
        <w:rPr>
          <w:color w:val="FF0000"/>
        </w:rPr>
      </w:pPr>
      <w:r w:rsidRPr="00CE5BEA">
        <w:rPr>
          <w:rStyle w:val="FootnoteReference"/>
        </w:rPr>
        <w:footnoteRef/>
      </w:r>
      <w:r w:rsidRPr="00CE5BEA">
        <w:t xml:space="preserve"> Giovanni Iuzzolino, Guido Pellegrini, Gianfranco Viesti, </w:t>
      </w:r>
      <w:r w:rsidRPr="00CE5BEA">
        <w:rPr>
          <w:i/>
        </w:rPr>
        <w:t xml:space="preserve">Quaderni di Storia Economica (Economic Working Papers): Convergence </w:t>
      </w:r>
      <w:r w:rsidRPr="009950C9">
        <w:rPr>
          <w:i/>
        </w:rPr>
        <w:t>among Italian Regions, 1861-2011</w:t>
      </w:r>
      <w:r w:rsidRPr="00B04302">
        <w:t>. (</w:t>
      </w:r>
      <w:r>
        <w:t xml:space="preserve">Banca d’Italia: 2011), 26. </w:t>
      </w:r>
    </w:p>
  </w:footnote>
  <w:footnote w:id="151">
    <w:p w14:paraId="1915E55D" w14:textId="56087BCF" w:rsidR="00EE4B01" w:rsidRPr="00A30EE2" w:rsidRDefault="00EE4B01">
      <w:pPr>
        <w:pStyle w:val="FootnoteText"/>
        <w:rPr>
          <w:color w:val="FF0000"/>
        </w:rPr>
      </w:pPr>
      <w:r w:rsidRPr="003018E9">
        <w:rPr>
          <w:rStyle w:val="FootnoteReference"/>
        </w:rPr>
        <w:footnoteRef/>
      </w:r>
      <w:r w:rsidRPr="00A30EE2">
        <w:rPr>
          <w:color w:val="FF0000"/>
        </w:rPr>
        <w:t xml:space="preserve"> </w:t>
      </w:r>
      <w:r>
        <w:t xml:space="preserve">Marco Doria, “Le Strategie e l’evoluzione Dell’Ansaldo,” in </w:t>
      </w:r>
      <w:r w:rsidR="00424C0B">
        <w:rPr>
          <w:i/>
          <w:iCs/>
        </w:rPr>
        <w:t xml:space="preserve">Storia Dell’Ansaldo, </w:t>
      </w:r>
      <w:r>
        <w:t>84.</w:t>
      </w:r>
    </w:p>
  </w:footnote>
  <w:footnote w:id="152">
    <w:p w14:paraId="46FD03C4" w14:textId="30031BD9" w:rsidR="00EE4B01" w:rsidRPr="003018E9" w:rsidRDefault="00EE4B01">
      <w:pPr>
        <w:pStyle w:val="FootnoteText"/>
        <w:rPr>
          <w:i/>
          <w:color w:val="FF0000"/>
        </w:rPr>
      </w:pPr>
      <w:r w:rsidRPr="00FE1EA8">
        <w:rPr>
          <w:rStyle w:val="FootnoteReference"/>
        </w:rPr>
        <w:footnoteRef/>
      </w:r>
      <w:r w:rsidRPr="00FE1EA8">
        <w:t xml:space="preserve"> Rosario Romeo, </w:t>
      </w:r>
      <w:r w:rsidRPr="00FE1EA8">
        <w:rPr>
          <w:i/>
        </w:rPr>
        <w:t>Breve storia della grande industria, 15</w:t>
      </w:r>
      <w:r w:rsidRPr="00FE1EA8">
        <w:t xml:space="preserve">; Antonio Puca, </w:t>
      </w:r>
      <w:r w:rsidRPr="00FE1EA8">
        <w:rPr>
          <w:i/>
        </w:rPr>
        <w:t xml:space="preserve">Alle origini di Minerva trionfante, </w:t>
      </w:r>
      <w:r w:rsidRPr="00FE1EA8">
        <w:t>101; Andrea F. Saba “Produzione e mercati” in</w:t>
      </w:r>
      <w:r>
        <w:rPr>
          <w:color w:val="FF0000"/>
        </w:rPr>
        <w:t xml:space="preserve"> </w:t>
      </w:r>
      <w:r w:rsidR="00577EAC">
        <w:rPr>
          <w:i/>
          <w:iCs/>
        </w:rPr>
        <w:t xml:space="preserve">Storia Dell’Ansaldo, </w:t>
      </w:r>
      <w:r>
        <w:t>172-173.</w:t>
      </w:r>
    </w:p>
  </w:footnote>
  <w:footnote w:id="153">
    <w:p w14:paraId="1F5B8DC3" w14:textId="77777777" w:rsidR="00EE4B01" w:rsidRDefault="00EE4B01" w:rsidP="00AB135B">
      <w:pPr>
        <w:pStyle w:val="FootnoteText"/>
      </w:pPr>
      <w:r w:rsidRPr="00E264D4">
        <w:rPr>
          <w:rStyle w:val="FootnoteReference"/>
        </w:rPr>
        <w:footnoteRef/>
      </w:r>
      <w:r w:rsidRPr="00E264D4">
        <w:t xml:space="preserve"> Ibid, 169</w:t>
      </w:r>
      <w:r>
        <w:t>.</w:t>
      </w:r>
    </w:p>
  </w:footnote>
  <w:footnote w:id="154">
    <w:p w14:paraId="11AB6EDD" w14:textId="77777777" w:rsidR="00EE4B01" w:rsidRPr="00981104" w:rsidRDefault="00EE4B01">
      <w:pPr>
        <w:pStyle w:val="FootnoteText"/>
      </w:pPr>
      <w:r>
        <w:rPr>
          <w:rStyle w:val="FootnoteReference"/>
        </w:rPr>
        <w:footnoteRef/>
      </w:r>
      <w:r>
        <w:t xml:space="preserve"> Piero Bevilacqua, </w:t>
      </w:r>
      <w:r>
        <w:rPr>
          <w:i/>
        </w:rPr>
        <w:t>Breve Storia dell’Italia Meridionale,</w:t>
      </w:r>
      <w:r>
        <w:t xml:space="preserve"> 97.</w:t>
      </w:r>
    </w:p>
  </w:footnote>
  <w:footnote w:id="155">
    <w:p w14:paraId="26EB86D5" w14:textId="35D03B4A" w:rsidR="00EE4B01" w:rsidRPr="00792303" w:rsidRDefault="00EE4B01">
      <w:pPr>
        <w:pStyle w:val="FootnoteText"/>
      </w:pPr>
      <w:r>
        <w:rPr>
          <w:rStyle w:val="FootnoteReference"/>
        </w:rPr>
        <w:footnoteRef/>
      </w:r>
      <w:r>
        <w:t xml:space="preserve"> Andrea F. Saba, “Produzione e mercati”</w:t>
      </w:r>
      <w:r w:rsidR="00792303">
        <w:t xml:space="preserve"> in </w:t>
      </w:r>
      <w:r w:rsidR="00792303">
        <w:rPr>
          <w:i/>
        </w:rPr>
        <w:t xml:space="preserve">Storia dell’Ansaldo, </w:t>
      </w:r>
      <w:r w:rsidR="00792303">
        <w:t>168-169.</w:t>
      </w:r>
    </w:p>
  </w:footnote>
  <w:footnote w:id="156">
    <w:p w14:paraId="78C8DE63" w14:textId="0346B2E8" w:rsidR="00EE4B01" w:rsidRPr="00923C5D" w:rsidRDefault="00EE4B01" w:rsidP="00602BC0">
      <w:pPr>
        <w:pStyle w:val="FootnoteText"/>
      </w:pPr>
      <w:r>
        <w:rPr>
          <w:rStyle w:val="FootnoteReference"/>
        </w:rPr>
        <w:footnoteRef/>
      </w:r>
      <w:r>
        <w:t xml:space="preserve"> Narciso Nada, “Genova e l’Ansaldo nella politica di Cavour” in </w:t>
      </w:r>
      <w:r>
        <w:rPr>
          <w:i/>
        </w:rPr>
        <w:t>Storia dell’Ansaldo</w:t>
      </w:r>
      <w:r w:rsidR="00792303">
        <w:t xml:space="preserve">, </w:t>
      </w:r>
      <w:r>
        <w:t>41.</w:t>
      </w:r>
    </w:p>
  </w:footnote>
  <w:footnote w:id="157">
    <w:p w14:paraId="5D91860C" w14:textId="47FD74EE" w:rsidR="00EE4B01" w:rsidRDefault="00EE4B01" w:rsidP="007C2524">
      <w:pPr>
        <w:pStyle w:val="FootnoteText"/>
      </w:pPr>
      <w:r>
        <w:rPr>
          <w:rStyle w:val="FootnoteReference"/>
        </w:rPr>
        <w:footnoteRef/>
      </w:r>
      <w:r>
        <w:t xml:space="preserve"> </w:t>
      </w:r>
      <w:r w:rsidRPr="00E76856">
        <w:t xml:space="preserve">Valerio Castronovo, “Giovanni Ansaldo e la Liguria del suo tempo”  in </w:t>
      </w:r>
      <w:r>
        <w:rPr>
          <w:i/>
        </w:rPr>
        <w:t>Storia dell’Ansaldo</w:t>
      </w:r>
      <w:r>
        <w:t>,</w:t>
      </w:r>
      <w:r>
        <w:rPr>
          <w:color w:val="FF0000"/>
        </w:rPr>
        <w:t xml:space="preserve"> </w:t>
      </w:r>
      <w:r w:rsidRPr="00E76856">
        <w:t>1;</w:t>
      </w:r>
      <w:r>
        <w:rPr>
          <w:color w:val="FF0000"/>
        </w:rPr>
        <w:t xml:space="preserve"> </w:t>
      </w:r>
      <w:r>
        <w:t xml:space="preserve">Narciso Nada, “Genova e l’Ansaldo nella politica di Cavour” in </w:t>
      </w:r>
      <w:r>
        <w:rPr>
          <w:i/>
        </w:rPr>
        <w:t>Storia dell’Ansaldo</w:t>
      </w:r>
      <w:r>
        <w:t>, 41.</w:t>
      </w:r>
    </w:p>
  </w:footnote>
  <w:footnote w:id="158">
    <w:p w14:paraId="4D086E74" w14:textId="77777777" w:rsidR="00EE4B01" w:rsidRDefault="00EE4B01">
      <w:pPr>
        <w:pStyle w:val="FootnoteText"/>
      </w:pPr>
      <w:r>
        <w:rPr>
          <w:rStyle w:val="FootnoteReference"/>
        </w:rPr>
        <w:footnoteRef/>
      </w:r>
      <w:r>
        <w:t xml:space="preserve"> Anthony Cardoza, </w:t>
      </w:r>
      <w:r>
        <w:rPr>
          <w:i/>
          <w:iCs/>
        </w:rPr>
        <w:t>Aristocrats in Burgeois Italy: The Piedmontese Nobility, 1861-1930.</w:t>
      </w:r>
      <w:r>
        <w:t xml:space="preserve"> (Cambridge: Cambridge University Press, 1997), 55.</w:t>
      </w:r>
    </w:p>
  </w:footnote>
  <w:footnote w:id="159">
    <w:p w14:paraId="7EB59E34" w14:textId="0BB46E66" w:rsidR="00EE4B01" w:rsidRDefault="00EE4B01">
      <w:pPr>
        <w:pStyle w:val="FootnoteText"/>
      </w:pPr>
      <w:r>
        <w:rPr>
          <w:rStyle w:val="FootnoteReference"/>
        </w:rPr>
        <w:footnoteRef/>
      </w:r>
      <w:r>
        <w:t xml:space="preserve"> </w:t>
      </w:r>
      <w:r w:rsidR="001B7198">
        <w:t xml:space="preserve">Carlo Randaccio, </w:t>
      </w:r>
      <w:r w:rsidR="001B7198">
        <w:rPr>
          <w:i/>
          <w:iCs/>
        </w:rPr>
        <w:t>Storia Delle Marine Militari Italiane Dal 1750 Al 1860, e Della Marina Militare Italiana Dal 1860 Al 1870.</w:t>
      </w:r>
      <w:r w:rsidR="001B7198">
        <w:t xml:space="preserve">, vol. II (Roma: Forzani E. C. Tipografi del Senato Editori, 1886), 19. </w:t>
      </w:r>
    </w:p>
  </w:footnote>
  <w:footnote w:id="160">
    <w:p w14:paraId="18832675" w14:textId="77777777" w:rsidR="00EE4B01" w:rsidRDefault="00EE4B01">
      <w:pPr>
        <w:pStyle w:val="FootnoteText"/>
      </w:pPr>
      <w:r>
        <w:rPr>
          <w:rStyle w:val="FootnoteReference"/>
        </w:rPr>
        <w:footnoteRef/>
      </w:r>
      <w:r>
        <w:t xml:space="preserve"> Ibid, 19-20.</w:t>
      </w:r>
    </w:p>
  </w:footnote>
  <w:footnote w:id="161">
    <w:p w14:paraId="7A6709D4" w14:textId="09D5373A" w:rsidR="00EE4B01" w:rsidRDefault="00EE4B01">
      <w:pPr>
        <w:pStyle w:val="FootnoteText"/>
      </w:pPr>
      <w:r>
        <w:rPr>
          <w:rStyle w:val="FootnoteReference"/>
        </w:rPr>
        <w:footnoteRef/>
      </w:r>
      <w:r w:rsidRPr="00843862">
        <w:rPr>
          <w:color w:val="FF0000"/>
        </w:rPr>
        <w:t xml:space="preserve"> </w:t>
      </w:r>
      <w:r w:rsidRPr="001B7198">
        <w:t>Ibid, 18-64.</w:t>
      </w:r>
    </w:p>
  </w:footnote>
  <w:footnote w:id="162">
    <w:p w14:paraId="7B909450" w14:textId="1F7F3A9F" w:rsidR="00EE4B01" w:rsidRDefault="00EE4B01" w:rsidP="00B8705A">
      <w:pPr>
        <w:pStyle w:val="FootnoteText"/>
      </w:pPr>
      <w:r>
        <w:rPr>
          <w:rStyle w:val="FootnoteReference"/>
        </w:rPr>
        <w:footnoteRef/>
      </w:r>
      <w:r>
        <w:t xml:space="preserve"> </w:t>
      </w:r>
      <w:r w:rsidRPr="00FE1EA8">
        <w:t>Andrea F. Saba “Produzione e mercati” in</w:t>
      </w:r>
      <w:r>
        <w:rPr>
          <w:color w:val="FF0000"/>
        </w:rPr>
        <w:t xml:space="preserve"> </w:t>
      </w:r>
      <w:r>
        <w:rPr>
          <w:i/>
          <w:iCs/>
        </w:rPr>
        <w:t>Storia Dell’Ansaldo</w:t>
      </w:r>
      <w:r>
        <w:t>, 169.</w:t>
      </w:r>
    </w:p>
  </w:footnote>
  <w:footnote w:id="163">
    <w:p w14:paraId="63398343" w14:textId="542F3C78" w:rsidR="00EE4B01" w:rsidRPr="003125EF" w:rsidRDefault="00EE4B01">
      <w:pPr>
        <w:pStyle w:val="FootnoteText"/>
      </w:pPr>
      <w:r>
        <w:rPr>
          <w:rStyle w:val="FootnoteReference"/>
        </w:rPr>
        <w:footnoteRef/>
      </w:r>
      <w:r>
        <w:t xml:space="preserve"> Francesco Saverio Nitti, </w:t>
      </w:r>
      <w:r>
        <w:rPr>
          <w:i/>
        </w:rPr>
        <w:t>Nord e Sud,</w:t>
      </w:r>
      <w:r>
        <w:t xml:space="preserve"> </w:t>
      </w:r>
      <w:r w:rsidRPr="001B7198">
        <w:t>90</w:t>
      </w:r>
      <w:r>
        <w:t xml:space="preserve">; Piero Bevilacqua, </w:t>
      </w:r>
      <w:r>
        <w:rPr>
          <w:i/>
        </w:rPr>
        <w:t xml:space="preserve">Breve storia della grande industria, </w:t>
      </w:r>
      <w:r>
        <w:t>97.</w:t>
      </w:r>
    </w:p>
  </w:footnote>
  <w:footnote w:id="164">
    <w:p w14:paraId="3144E519" w14:textId="0974FBE2" w:rsidR="00EE4B01" w:rsidRDefault="00EE4B01">
      <w:pPr>
        <w:pStyle w:val="FootnoteText"/>
      </w:pPr>
      <w:r>
        <w:rPr>
          <w:rStyle w:val="FootnoteReference"/>
        </w:rPr>
        <w:footnoteRef/>
      </w:r>
      <w:r>
        <w:t xml:space="preserve"> Ibid, 175</w:t>
      </w:r>
      <w:r w:rsidR="00975D9D">
        <w:t>.</w:t>
      </w:r>
    </w:p>
  </w:footnote>
  <w:footnote w:id="165">
    <w:p w14:paraId="3B15C307" w14:textId="77777777" w:rsidR="00EE4B01" w:rsidRPr="001822FC" w:rsidRDefault="00EE4B01">
      <w:pPr>
        <w:pStyle w:val="FootnoteText"/>
      </w:pPr>
      <w:r>
        <w:rPr>
          <w:rStyle w:val="FootnoteReference"/>
        </w:rPr>
        <w:footnoteRef/>
      </w:r>
      <w:r>
        <w:t xml:space="preserve"> Antonio Puca, </w:t>
      </w:r>
      <w:r>
        <w:rPr>
          <w:i/>
        </w:rPr>
        <w:t>Alle Origini di Minerva Trionfante,</w:t>
      </w:r>
      <w:r>
        <w:t xml:space="preserve"> 101.</w:t>
      </w:r>
    </w:p>
  </w:footnote>
  <w:footnote w:id="166">
    <w:p w14:paraId="4CE7C04E" w14:textId="77777777" w:rsidR="00EE4B01" w:rsidRDefault="00EE4B01">
      <w:pPr>
        <w:pStyle w:val="FootnoteText"/>
      </w:pPr>
      <w:r>
        <w:rPr>
          <w:rStyle w:val="FootnoteReference"/>
        </w:rPr>
        <w:footnoteRef/>
      </w:r>
      <w:r>
        <w:t xml:space="preserve"> Ibid, 101.</w:t>
      </w:r>
    </w:p>
  </w:footnote>
  <w:footnote w:id="167">
    <w:p w14:paraId="71C9453A" w14:textId="77777777" w:rsidR="00EE4B01" w:rsidRDefault="00EE4B01">
      <w:pPr>
        <w:pStyle w:val="FootnoteText"/>
      </w:pPr>
      <w:r>
        <w:rPr>
          <w:rStyle w:val="FootnoteReference"/>
        </w:rPr>
        <w:footnoteRef/>
      </w:r>
      <w:r>
        <w:t xml:space="preserve"> Ibid, 101.</w:t>
      </w:r>
    </w:p>
  </w:footnote>
  <w:footnote w:id="168">
    <w:p w14:paraId="5171BA8E" w14:textId="77777777" w:rsidR="00EE4B01" w:rsidRDefault="00EE4B01">
      <w:pPr>
        <w:pStyle w:val="FootnoteText"/>
      </w:pPr>
      <w:r>
        <w:rPr>
          <w:rStyle w:val="FootnoteReference"/>
        </w:rPr>
        <w:footnoteRef/>
      </w:r>
      <w:r>
        <w:t xml:space="preserve"> Ibid, 101.</w:t>
      </w:r>
    </w:p>
  </w:footnote>
  <w:footnote w:id="169">
    <w:p w14:paraId="130EB66D" w14:textId="77777777" w:rsidR="00EE4B01" w:rsidRDefault="00EE4B01">
      <w:pPr>
        <w:pStyle w:val="FootnoteText"/>
      </w:pPr>
      <w:r>
        <w:rPr>
          <w:rStyle w:val="FootnoteReference"/>
        </w:rPr>
        <w:footnoteRef/>
      </w:r>
      <w:r>
        <w:t xml:space="preserve"> Ibid, 100.</w:t>
      </w:r>
    </w:p>
  </w:footnote>
  <w:footnote w:id="170">
    <w:p w14:paraId="36792919" w14:textId="77777777" w:rsidR="00EE4B01" w:rsidRDefault="00EE4B01">
      <w:pPr>
        <w:pStyle w:val="FootnoteText"/>
      </w:pPr>
      <w:r>
        <w:rPr>
          <w:rStyle w:val="FootnoteReference"/>
        </w:rPr>
        <w:footnoteRef/>
      </w:r>
      <w:r>
        <w:t xml:space="preserve"> Ibid, 100.</w:t>
      </w:r>
    </w:p>
  </w:footnote>
  <w:footnote w:id="171">
    <w:p w14:paraId="34676CD7" w14:textId="77777777" w:rsidR="00EE4B01" w:rsidRDefault="00EE4B01">
      <w:pPr>
        <w:pStyle w:val="FootnoteText"/>
      </w:pPr>
      <w:r>
        <w:rPr>
          <w:rStyle w:val="FootnoteReference"/>
        </w:rPr>
        <w:footnoteRef/>
      </w:r>
      <w:r>
        <w:t xml:space="preserve"> Ibid, 100.</w:t>
      </w:r>
    </w:p>
  </w:footnote>
  <w:footnote w:id="172">
    <w:p w14:paraId="7EC74C71" w14:textId="77777777" w:rsidR="00EE4B01" w:rsidRDefault="00EE4B01">
      <w:pPr>
        <w:pStyle w:val="FootnoteText"/>
      </w:pPr>
      <w:r>
        <w:rPr>
          <w:rStyle w:val="FootnoteReference"/>
        </w:rPr>
        <w:footnoteRef/>
      </w:r>
      <w:r>
        <w:t xml:space="preserve"> Ibid, 106.</w:t>
      </w:r>
    </w:p>
  </w:footnote>
  <w:footnote w:id="173">
    <w:p w14:paraId="3ECC912C" w14:textId="77777777" w:rsidR="00EE4B01" w:rsidRDefault="00EE4B01">
      <w:pPr>
        <w:pStyle w:val="FootnoteText"/>
      </w:pPr>
      <w:r>
        <w:rPr>
          <w:rStyle w:val="FootnoteReference"/>
        </w:rPr>
        <w:footnoteRef/>
      </w:r>
      <w:r>
        <w:t xml:space="preserve"> Ibid, 106.</w:t>
      </w:r>
    </w:p>
  </w:footnote>
  <w:footnote w:id="174">
    <w:p w14:paraId="48EA2438" w14:textId="77777777" w:rsidR="00EE4B01" w:rsidRDefault="00EE4B01">
      <w:pPr>
        <w:pStyle w:val="FootnoteText"/>
      </w:pPr>
      <w:r>
        <w:rPr>
          <w:rStyle w:val="FootnoteReference"/>
        </w:rPr>
        <w:footnoteRef/>
      </w:r>
      <w:r>
        <w:t xml:space="preserve"> Ibid, 106.</w:t>
      </w:r>
    </w:p>
  </w:footnote>
  <w:footnote w:id="175">
    <w:p w14:paraId="597C4D03" w14:textId="77777777" w:rsidR="00EE4B01" w:rsidRDefault="00EE4B01">
      <w:pPr>
        <w:pStyle w:val="FootnoteText"/>
      </w:pPr>
      <w:r>
        <w:rPr>
          <w:rStyle w:val="FootnoteReference"/>
        </w:rPr>
        <w:footnoteRef/>
      </w:r>
      <w:r>
        <w:t xml:space="preserve"> Ibid, 101.</w:t>
      </w:r>
    </w:p>
  </w:footnote>
  <w:footnote w:id="176">
    <w:p w14:paraId="10A34FAC" w14:textId="77777777" w:rsidR="00EE4B01" w:rsidRDefault="00EE4B01">
      <w:pPr>
        <w:pStyle w:val="FootnoteText"/>
      </w:pPr>
      <w:r>
        <w:rPr>
          <w:rStyle w:val="FootnoteReference"/>
        </w:rPr>
        <w:footnoteRef/>
      </w:r>
      <w:r>
        <w:t xml:space="preserve"> Ibid, 101.</w:t>
      </w:r>
    </w:p>
  </w:footnote>
  <w:footnote w:id="177">
    <w:p w14:paraId="64343C52" w14:textId="77777777" w:rsidR="00EE4B01" w:rsidRPr="00403293" w:rsidRDefault="00EE4B01">
      <w:pPr>
        <w:pStyle w:val="FootnoteText"/>
      </w:pPr>
      <w:r>
        <w:rPr>
          <w:rStyle w:val="FootnoteReference"/>
        </w:rPr>
        <w:footnoteRef/>
      </w:r>
      <w:r>
        <w:t xml:space="preserve"> Marco Doria, “Le Strategie e l’evoluzione Dell’Ansaldo,” in </w:t>
      </w:r>
      <w:r>
        <w:rPr>
          <w:i/>
          <w:iCs/>
        </w:rPr>
        <w:t>Storia Dell’Ansaldo 1. Le Origini. 1853-1882</w:t>
      </w:r>
      <w:r>
        <w:t>, vol. 1 ed. Valerio Castronovo (Roma - Bari: Laterza, 1994), 94-95.</w:t>
      </w:r>
    </w:p>
  </w:footnote>
  <w:footnote w:id="178">
    <w:p w14:paraId="2FEA439C" w14:textId="26C638CA" w:rsidR="00EE4B01" w:rsidRPr="004B6514" w:rsidRDefault="00EE4B01">
      <w:pPr>
        <w:pStyle w:val="FootnoteText"/>
        <w:rPr>
          <w:i/>
        </w:rPr>
      </w:pPr>
      <w:r>
        <w:rPr>
          <w:rStyle w:val="FootnoteReference"/>
        </w:rPr>
        <w:footnoteRef/>
      </w:r>
      <w:r>
        <w:t xml:space="preserve"> Emanuele Gazzo, </w:t>
      </w:r>
      <w:r>
        <w:rPr>
          <w:i/>
        </w:rPr>
        <w:t xml:space="preserve">I cento anni dell’Ansaldo </w:t>
      </w:r>
      <w:r>
        <w:t>(</w:t>
      </w:r>
      <w:r w:rsidRPr="00CC1B19">
        <w:t>Industria Grafica: 1953</w:t>
      </w:r>
      <w:r>
        <w:t xml:space="preserve">), 223 quoted in Narciso Nada, “Genova e l’Ansaldo nella politica di Cavour” in </w:t>
      </w:r>
      <w:r w:rsidR="00C70B92">
        <w:rPr>
          <w:i/>
          <w:iCs/>
        </w:rPr>
        <w:t xml:space="preserve">Storia Dell’Ansaldo, </w:t>
      </w:r>
      <w:r>
        <w:t>44.</w:t>
      </w:r>
    </w:p>
  </w:footnote>
  <w:footnote w:id="179">
    <w:p w14:paraId="493085F9" w14:textId="77777777" w:rsidR="00EE4B01" w:rsidRDefault="00EE4B01">
      <w:pPr>
        <w:pStyle w:val="FootnoteText"/>
      </w:pPr>
      <w:r>
        <w:rPr>
          <w:rStyle w:val="FootnoteReference"/>
        </w:rPr>
        <w:footnoteRef/>
      </w:r>
      <w:r>
        <w:t xml:space="preserve"> Ibid, 42.</w:t>
      </w:r>
    </w:p>
  </w:footnote>
  <w:footnote w:id="180">
    <w:p w14:paraId="6590742D" w14:textId="74EA15F9" w:rsidR="00EE4B01" w:rsidRPr="00610AE2" w:rsidRDefault="00EE4B01">
      <w:pPr>
        <w:pStyle w:val="FootnoteText"/>
        <w:rPr>
          <w:i/>
        </w:rPr>
      </w:pPr>
      <w:r>
        <w:rPr>
          <w:rStyle w:val="FootnoteReference"/>
        </w:rPr>
        <w:footnoteRef/>
      </w:r>
      <w:r>
        <w:t xml:space="preserve"> Andrea F. Saba, “Produzioni e mercati” in </w:t>
      </w:r>
      <w:r w:rsidR="009F42C3">
        <w:rPr>
          <w:i/>
          <w:iCs/>
        </w:rPr>
        <w:t>Storia Dell’Ansaldo</w:t>
      </w:r>
      <w:r>
        <w:t xml:space="preserve">, 180; Narciso Nada, “Genova e l’Ansaldo nella politica di Cavour” in </w:t>
      </w:r>
      <w:r w:rsidR="004E766D">
        <w:rPr>
          <w:i/>
          <w:iCs/>
        </w:rPr>
        <w:t>Storia Dell’Ansaldo,</w:t>
      </w:r>
      <w:r>
        <w:rPr>
          <w:i/>
          <w:iCs/>
        </w:rPr>
        <w:t xml:space="preserve"> </w:t>
      </w:r>
      <w:r>
        <w:t>42.</w:t>
      </w:r>
    </w:p>
  </w:footnote>
  <w:footnote w:id="181">
    <w:p w14:paraId="71C5D091" w14:textId="27273D30" w:rsidR="00EE4B01" w:rsidRDefault="00EE4B01">
      <w:pPr>
        <w:pStyle w:val="FootnoteText"/>
      </w:pPr>
      <w:r>
        <w:rPr>
          <w:rStyle w:val="FootnoteReference"/>
        </w:rPr>
        <w:footnoteRef/>
      </w:r>
      <w:r>
        <w:t xml:space="preserve"> Narciso Nada, “Genova e l’Ansaldo nella politica di Cavour” in </w:t>
      </w:r>
      <w:r>
        <w:rPr>
          <w:i/>
        </w:rPr>
        <w:t>Storia dell’Ansaldo</w:t>
      </w:r>
      <w:r w:rsidR="006127FA">
        <w:t xml:space="preserve">, </w:t>
      </w:r>
      <w:r>
        <w:t>44.</w:t>
      </w:r>
    </w:p>
  </w:footnote>
  <w:footnote w:id="182">
    <w:p w14:paraId="4CDF2BEF" w14:textId="5F05D8D8" w:rsidR="00EE4B01" w:rsidRDefault="00EE4B01">
      <w:pPr>
        <w:pStyle w:val="FootnoteText"/>
      </w:pPr>
      <w:r>
        <w:rPr>
          <w:rStyle w:val="FootnoteReference"/>
        </w:rPr>
        <w:footnoteRef/>
      </w:r>
      <w:r>
        <w:t xml:space="preserve"> Marco Doria, “Le Strategie e l’evoluzione Dell’Ansaldo,” in </w:t>
      </w:r>
      <w:r>
        <w:rPr>
          <w:i/>
          <w:iCs/>
        </w:rPr>
        <w:t>Storia Dell’Ansaldo</w:t>
      </w:r>
      <w:r>
        <w:t>, 84-85.</w:t>
      </w:r>
    </w:p>
  </w:footnote>
  <w:footnote w:id="183">
    <w:p w14:paraId="28A540F9" w14:textId="7B0FD28E" w:rsidR="00EE4B01" w:rsidRDefault="00EE4B01" w:rsidP="00602BC0">
      <w:pPr>
        <w:pStyle w:val="FootnoteText"/>
      </w:pPr>
      <w:r>
        <w:rPr>
          <w:rStyle w:val="FootnoteReference"/>
        </w:rPr>
        <w:footnoteRef/>
      </w:r>
      <w:r>
        <w:t xml:space="preserve"> Andrea F. Saba, “Produzioni e mercati” in </w:t>
      </w:r>
      <w:r>
        <w:rPr>
          <w:i/>
          <w:iCs/>
        </w:rPr>
        <w:t>Storia Dell’Ansaldo</w:t>
      </w:r>
      <w:r>
        <w:t xml:space="preserve">, 180;  Marco Doria, “Le Strategie e l’evoluzione Dell’Ansaldo,” in </w:t>
      </w:r>
      <w:r>
        <w:rPr>
          <w:i/>
          <w:iCs/>
        </w:rPr>
        <w:t>Storia Dell’Ansaldo</w:t>
      </w:r>
      <w:r>
        <w:t>, 84-85.</w:t>
      </w:r>
    </w:p>
  </w:footnote>
  <w:footnote w:id="184">
    <w:p w14:paraId="16EBEA09" w14:textId="77777777" w:rsidR="00EE4B01" w:rsidRDefault="00EE4B01">
      <w:pPr>
        <w:pStyle w:val="FootnoteText"/>
      </w:pPr>
      <w:r>
        <w:rPr>
          <w:rStyle w:val="FootnoteReference"/>
        </w:rPr>
        <w:footnoteRef/>
      </w:r>
      <w:r>
        <w:t xml:space="preserve"> Ibid, 82-83, 86-87.</w:t>
      </w:r>
    </w:p>
  </w:footnote>
  <w:footnote w:id="185">
    <w:p w14:paraId="737E2466" w14:textId="3127C8DF" w:rsidR="00EE4B01" w:rsidRDefault="00EE4B01">
      <w:pPr>
        <w:pStyle w:val="FootnoteText"/>
      </w:pPr>
      <w:r>
        <w:rPr>
          <w:rStyle w:val="FootnoteReference"/>
        </w:rPr>
        <w:footnoteRef/>
      </w:r>
      <w:r>
        <w:t xml:space="preserve"> Andrea F. Saba, “Produzioni e mercati” in </w:t>
      </w:r>
      <w:r w:rsidR="004E766D">
        <w:rPr>
          <w:i/>
          <w:iCs/>
        </w:rPr>
        <w:t xml:space="preserve">Storia Dell’Ansaldo, </w:t>
      </w:r>
      <w:r>
        <w:t>176-177.</w:t>
      </w:r>
    </w:p>
  </w:footnote>
  <w:footnote w:id="186">
    <w:p w14:paraId="494741AF" w14:textId="3DE930F5" w:rsidR="00EE4B01" w:rsidRDefault="00EE4B01">
      <w:pPr>
        <w:pStyle w:val="FootnoteText"/>
      </w:pPr>
      <w:r>
        <w:rPr>
          <w:rStyle w:val="FootnoteReference"/>
        </w:rPr>
        <w:footnoteRef/>
      </w:r>
      <w:r>
        <w:t xml:space="preserve"> Marco Doria, “Le Strategie e l’evoluzione Dell’Ansaldo,” in </w:t>
      </w:r>
      <w:r>
        <w:rPr>
          <w:i/>
          <w:iCs/>
        </w:rPr>
        <w:t>Storia</w:t>
      </w:r>
      <w:r w:rsidR="004E766D">
        <w:rPr>
          <w:i/>
          <w:iCs/>
        </w:rPr>
        <w:t xml:space="preserve"> dell’Ansadlo</w:t>
      </w:r>
      <w:r>
        <w:t>, 94-95.</w:t>
      </w:r>
    </w:p>
  </w:footnote>
  <w:footnote w:id="187">
    <w:p w14:paraId="4DAFAE51" w14:textId="77777777" w:rsidR="00EE4B01" w:rsidRDefault="00EE4B01">
      <w:pPr>
        <w:pStyle w:val="FootnoteText"/>
      </w:pPr>
      <w:r>
        <w:rPr>
          <w:rStyle w:val="FootnoteReference"/>
        </w:rPr>
        <w:footnoteRef/>
      </w:r>
      <w:r>
        <w:t xml:space="preserve"> Ibid, 95.</w:t>
      </w:r>
    </w:p>
  </w:footnote>
  <w:footnote w:id="188">
    <w:p w14:paraId="67BF27CC" w14:textId="77777777" w:rsidR="00EE4B01" w:rsidRDefault="00EE4B01">
      <w:pPr>
        <w:pStyle w:val="FootnoteText"/>
      </w:pPr>
      <w:r>
        <w:rPr>
          <w:rStyle w:val="FootnoteReference"/>
        </w:rPr>
        <w:footnoteRef/>
      </w:r>
      <w:r>
        <w:t xml:space="preserve"> Ibid, 95.</w:t>
      </w:r>
    </w:p>
  </w:footnote>
  <w:footnote w:id="189">
    <w:p w14:paraId="2B66BD2A" w14:textId="77777777" w:rsidR="00EE4B01" w:rsidRDefault="00EE4B01">
      <w:pPr>
        <w:pStyle w:val="FootnoteText"/>
      </w:pPr>
      <w:r>
        <w:rPr>
          <w:rStyle w:val="FootnoteReference"/>
        </w:rPr>
        <w:footnoteRef/>
      </w:r>
      <w:r>
        <w:t xml:space="preserve"> Ibid, 95.</w:t>
      </w:r>
    </w:p>
  </w:footnote>
  <w:footnote w:id="190">
    <w:p w14:paraId="1F73B7FF" w14:textId="77777777" w:rsidR="00EE4B01" w:rsidRDefault="00EE4B01">
      <w:pPr>
        <w:pStyle w:val="FootnoteText"/>
      </w:pPr>
      <w:r>
        <w:rPr>
          <w:rStyle w:val="FootnoteReference"/>
        </w:rPr>
        <w:footnoteRef/>
      </w:r>
      <w:r>
        <w:t xml:space="preserve"> Ibid, 95.</w:t>
      </w:r>
    </w:p>
  </w:footnote>
  <w:footnote w:id="191">
    <w:p w14:paraId="35666CE8" w14:textId="77777777" w:rsidR="00EE4B01" w:rsidRPr="00CC78C5" w:rsidRDefault="00EE4B01">
      <w:pPr>
        <w:pStyle w:val="FootnoteText"/>
      </w:pPr>
      <w:r>
        <w:rPr>
          <w:rStyle w:val="FootnoteReference"/>
        </w:rPr>
        <w:footnoteRef/>
      </w:r>
      <w:r>
        <w:t xml:space="preserve"> Antonio Puca, </w:t>
      </w:r>
      <w:r>
        <w:rPr>
          <w:i/>
        </w:rPr>
        <w:t>Alle origini di Minerva trionfante,</w:t>
      </w:r>
      <w:r>
        <w:t xml:space="preserve"> 101.</w:t>
      </w:r>
    </w:p>
  </w:footnote>
  <w:footnote w:id="192">
    <w:p w14:paraId="356CCDC2" w14:textId="77777777" w:rsidR="00EE4B01" w:rsidRDefault="00EE4B01">
      <w:pPr>
        <w:pStyle w:val="FootnoteText"/>
      </w:pPr>
      <w:r>
        <w:rPr>
          <w:rStyle w:val="FootnoteReference"/>
        </w:rPr>
        <w:footnoteRef/>
      </w:r>
      <w:r>
        <w:t xml:space="preserve"> Ibid, 101.</w:t>
      </w:r>
    </w:p>
  </w:footnote>
  <w:footnote w:id="193">
    <w:p w14:paraId="071304C1" w14:textId="2A58E283" w:rsidR="00EE4B01" w:rsidRDefault="00EE4B01">
      <w:pPr>
        <w:pStyle w:val="FootnoteText"/>
      </w:pPr>
      <w:r>
        <w:rPr>
          <w:rStyle w:val="FootnoteReference"/>
        </w:rPr>
        <w:footnoteRef/>
      </w:r>
      <w:r>
        <w:t xml:space="preserve"> Andrea F. Saba, “Produzioni e mercati” in </w:t>
      </w:r>
      <w:r>
        <w:rPr>
          <w:i/>
          <w:iCs/>
        </w:rPr>
        <w:t>Storia Dell’Ansaldo</w:t>
      </w:r>
      <w:r>
        <w:t>, 169.</w:t>
      </w:r>
    </w:p>
  </w:footnote>
  <w:footnote w:id="194">
    <w:p w14:paraId="7FAA0B1E" w14:textId="2BE6ACA5" w:rsidR="00EE4B01" w:rsidRDefault="00EE4B01">
      <w:pPr>
        <w:pStyle w:val="FootnoteText"/>
      </w:pPr>
      <w:r>
        <w:rPr>
          <w:rStyle w:val="FootnoteReference"/>
        </w:rPr>
        <w:footnoteRef/>
      </w:r>
      <w:r>
        <w:t xml:space="preserve"> Marco Doria, “Le Strategie e l’evoluzione Dell’Ansaldo,” in </w:t>
      </w:r>
      <w:r>
        <w:rPr>
          <w:i/>
          <w:iCs/>
        </w:rPr>
        <w:t>Storia Dell’Ansaldo</w:t>
      </w:r>
      <w:r>
        <w:t>, 94-95.</w:t>
      </w:r>
    </w:p>
  </w:footnote>
  <w:footnote w:id="195">
    <w:p w14:paraId="42B7BAA1" w14:textId="6CA68A71" w:rsidR="00EE4B01" w:rsidRDefault="00EE4B01">
      <w:pPr>
        <w:pStyle w:val="FootnoteText"/>
      </w:pPr>
      <w:r>
        <w:rPr>
          <w:rStyle w:val="FootnoteReference"/>
        </w:rPr>
        <w:footnoteRef/>
      </w:r>
      <w:r>
        <w:t xml:space="preserve"> Andrea F. Saba, “Produzioni e mercati” in </w:t>
      </w:r>
      <w:r>
        <w:rPr>
          <w:i/>
          <w:iCs/>
        </w:rPr>
        <w:t>Storia Dell’Ansaldo</w:t>
      </w:r>
      <w:r>
        <w:t>, 176-177.</w:t>
      </w:r>
    </w:p>
  </w:footnote>
  <w:footnote w:id="196">
    <w:p w14:paraId="39798824" w14:textId="38539A8C" w:rsidR="00EE4B01" w:rsidRDefault="00EE4B01">
      <w:pPr>
        <w:pStyle w:val="FootnoteText"/>
      </w:pPr>
      <w:r>
        <w:rPr>
          <w:rStyle w:val="FootnoteReference"/>
        </w:rPr>
        <w:footnoteRef/>
      </w:r>
      <w:r>
        <w:t xml:space="preserve"> Ibid, 176.</w:t>
      </w:r>
    </w:p>
  </w:footnote>
  <w:footnote w:id="197">
    <w:p w14:paraId="0668ABDE" w14:textId="21ED24EA" w:rsidR="00EE4B01" w:rsidRPr="00BD544B" w:rsidRDefault="00EE4B01">
      <w:pPr>
        <w:pStyle w:val="FootnoteText"/>
        <w:rPr>
          <w:color w:val="FF0000"/>
        </w:rPr>
      </w:pPr>
      <w:r w:rsidRPr="002F4CA6">
        <w:rPr>
          <w:rStyle w:val="FootnoteReference"/>
        </w:rPr>
        <w:footnoteRef/>
      </w:r>
      <w:r w:rsidR="002F4CA6">
        <w:t xml:space="preserve"> Ibid, 176-177.</w:t>
      </w:r>
    </w:p>
  </w:footnote>
  <w:footnote w:id="198">
    <w:p w14:paraId="78960E81" w14:textId="390BA89C" w:rsidR="00EE4B01" w:rsidRDefault="00EE4B01">
      <w:pPr>
        <w:pStyle w:val="FootnoteText"/>
      </w:pPr>
      <w:r w:rsidRPr="002F4CA6">
        <w:rPr>
          <w:rStyle w:val="FootnoteReference"/>
        </w:rPr>
        <w:footnoteRef/>
      </w:r>
      <w:r w:rsidRPr="002F4CA6">
        <w:t xml:space="preserve"> Ibid, 176-177; </w:t>
      </w:r>
      <w:r w:rsidR="002F4CA6" w:rsidRPr="002F4CA6">
        <w:t xml:space="preserve">Antonio Puca, </w:t>
      </w:r>
      <w:r w:rsidRPr="002F4CA6">
        <w:rPr>
          <w:i/>
        </w:rPr>
        <w:t>Alle origini di Minerva trionfante,</w:t>
      </w:r>
      <w:r w:rsidRPr="002F4CA6">
        <w:t xml:space="preserve"> 104-105.</w:t>
      </w:r>
    </w:p>
  </w:footnote>
  <w:footnote w:id="199">
    <w:p w14:paraId="5EBE2638" w14:textId="77777777" w:rsidR="00EE4B01" w:rsidRPr="00DA0B50" w:rsidRDefault="00EE4B01">
      <w:pPr>
        <w:pStyle w:val="FootnoteText"/>
      </w:pPr>
      <w:r>
        <w:rPr>
          <w:rStyle w:val="FootnoteReference"/>
        </w:rPr>
        <w:footnoteRef/>
      </w:r>
      <w:r>
        <w:t xml:space="preserve"> Antonio Puca, </w:t>
      </w:r>
      <w:r>
        <w:rPr>
          <w:i/>
        </w:rPr>
        <w:t xml:space="preserve">Alle Origini di Minerva Trionfante, </w:t>
      </w:r>
      <w:r>
        <w:t>104.</w:t>
      </w:r>
    </w:p>
  </w:footnote>
  <w:footnote w:id="200">
    <w:p w14:paraId="3FCD195F" w14:textId="3030619E" w:rsidR="00EE4B01" w:rsidRDefault="00EE4B01">
      <w:pPr>
        <w:pStyle w:val="FootnoteText"/>
      </w:pPr>
      <w:r>
        <w:rPr>
          <w:rStyle w:val="FootnoteReference"/>
        </w:rPr>
        <w:footnoteRef/>
      </w:r>
      <w:r>
        <w:t xml:space="preserve"> Ibid, </w:t>
      </w:r>
      <w:r w:rsidR="000A43EF">
        <w:t>97.</w:t>
      </w:r>
    </w:p>
  </w:footnote>
  <w:footnote w:id="201">
    <w:p w14:paraId="49E75434" w14:textId="77777777" w:rsidR="00EE4B01" w:rsidRDefault="00EE4B01">
      <w:pPr>
        <w:pStyle w:val="FootnoteText"/>
      </w:pPr>
      <w:r>
        <w:rPr>
          <w:rStyle w:val="FootnoteReference"/>
        </w:rPr>
        <w:footnoteRef/>
      </w:r>
      <w:r>
        <w:t xml:space="preserve"> Ibid, 98.</w:t>
      </w:r>
    </w:p>
  </w:footnote>
  <w:footnote w:id="202">
    <w:p w14:paraId="4A963B03" w14:textId="77777777" w:rsidR="00EE4B01" w:rsidRDefault="00EE4B01">
      <w:pPr>
        <w:pStyle w:val="FootnoteText"/>
      </w:pPr>
      <w:r>
        <w:rPr>
          <w:rStyle w:val="FootnoteReference"/>
        </w:rPr>
        <w:footnoteRef/>
      </w:r>
      <w:r>
        <w:t xml:space="preserve"> Ibid, 104.</w:t>
      </w:r>
    </w:p>
  </w:footnote>
  <w:footnote w:id="203">
    <w:p w14:paraId="0062C00E" w14:textId="77777777" w:rsidR="00EE4B01" w:rsidRDefault="00EE4B01">
      <w:pPr>
        <w:pStyle w:val="FootnoteText"/>
      </w:pPr>
      <w:r>
        <w:rPr>
          <w:rStyle w:val="FootnoteReference"/>
        </w:rPr>
        <w:footnoteRef/>
      </w:r>
      <w:r>
        <w:t xml:space="preserve"> Ibid, 98 </w:t>
      </w:r>
    </w:p>
  </w:footnote>
  <w:footnote w:id="204">
    <w:p w14:paraId="676E8405" w14:textId="77777777" w:rsidR="00EE4B01" w:rsidRDefault="00EE4B01">
      <w:pPr>
        <w:pStyle w:val="FootnoteText"/>
      </w:pPr>
      <w:r>
        <w:rPr>
          <w:rStyle w:val="FootnoteReference"/>
        </w:rPr>
        <w:footnoteRef/>
      </w:r>
      <w:r>
        <w:t xml:space="preserve"> Ibid, 104</w:t>
      </w:r>
    </w:p>
  </w:footnote>
  <w:footnote w:id="205">
    <w:p w14:paraId="15CB90BB" w14:textId="77777777" w:rsidR="00EE4B01" w:rsidRDefault="00EE4B01">
      <w:pPr>
        <w:pStyle w:val="FootnoteText"/>
      </w:pPr>
      <w:r>
        <w:rPr>
          <w:rStyle w:val="FootnoteReference"/>
        </w:rPr>
        <w:footnoteRef/>
      </w:r>
      <w:r>
        <w:t xml:space="preserve"> Ibid, 104.</w:t>
      </w:r>
    </w:p>
  </w:footnote>
  <w:footnote w:id="206">
    <w:p w14:paraId="3D7C20CA" w14:textId="77777777" w:rsidR="00EE4B01" w:rsidRDefault="00EE4B01">
      <w:pPr>
        <w:pStyle w:val="FootnoteText"/>
      </w:pPr>
      <w:r>
        <w:rPr>
          <w:rStyle w:val="FootnoteReference"/>
        </w:rPr>
        <w:footnoteRef/>
      </w:r>
      <w:r>
        <w:t xml:space="preserve"> Ibid, 105.</w:t>
      </w:r>
    </w:p>
  </w:footnote>
  <w:footnote w:id="207">
    <w:p w14:paraId="5E02AA77" w14:textId="77777777" w:rsidR="00EE4B01" w:rsidRDefault="00EE4B01">
      <w:pPr>
        <w:pStyle w:val="FootnoteText"/>
      </w:pPr>
      <w:r>
        <w:rPr>
          <w:rStyle w:val="FootnoteReference"/>
        </w:rPr>
        <w:footnoteRef/>
      </w:r>
      <w:r>
        <w:t xml:space="preserve"> Ibid, 105.</w:t>
      </w:r>
    </w:p>
  </w:footnote>
  <w:footnote w:id="208">
    <w:p w14:paraId="27528334" w14:textId="4B1DC5A9" w:rsidR="00EE4B01" w:rsidRDefault="00EE4B01">
      <w:pPr>
        <w:pStyle w:val="FootnoteText"/>
      </w:pPr>
      <w:r>
        <w:rPr>
          <w:rStyle w:val="FootnoteReference"/>
        </w:rPr>
        <w:footnoteRef/>
      </w:r>
      <w:r>
        <w:t xml:space="preserve"> Ibid,</w:t>
      </w:r>
      <w:r w:rsidR="000A43EF">
        <w:t xml:space="preserve"> 106.</w:t>
      </w:r>
    </w:p>
  </w:footnote>
  <w:footnote w:id="209">
    <w:p w14:paraId="238031EB" w14:textId="13D185B2" w:rsidR="00EE4B01" w:rsidRDefault="00EE4B01">
      <w:pPr>
        <w:pStyle w:val="FootnoteText"/>
      </w:pPr>
      <w:r>
        <w:rPr>
          <w:rStyle w:val="FootnoteReference"/>
        </w:rPr>
        <w:footnoteRef/>
      </w:r>
      <w:r>
        <w:t xml:space="preserve"> Ibid,</w:t>
      </w:r>
      <w:r w:rsidR="000A43EF">
        <w:t xml:space="preserve"> 106.</w:t>
      </w:r>
    </w:p>
  </w:footnote>
  <w:footnote w:id="210">
    <w:p w14:paraId="0807B78D" w14:textId="6802ACA4" w:rsidR="00EE4B01" w:rsidRDefault="00EE4B01">
      <w:pPr>
        <w:pStyle w:val="FootnoteText"/>
      </w:pPr>
      <w:r>
        <w:rPr>
          <w:rStyle w:val="FootnoteReference"/>
        </w:rPr>
        <w:footnoteRef/>
      </w:r>
      <w:r>
        <w:t xml:space="preserve"> Ibid,</w:t>
      </w:r>
      <w:r w:rsidR="000A43EF">
        <w:t xml:space="preserve"> 106.</w:t>
      </w:r>
    </w:p>
  </w:footnote>
  <w:footnote w:id="211">
    <w:p w14:paraId="2B195206" w14:textId="3CFDED8E" w:rsidR="00EE4B01" w:rsidRDefault="00EE4B01">
      <w:pPr>
        <w:pStyle w:val="FootnoteText"/>
      </w:pPr>
      <w:r>
        <w:rPr>
          <w:rStyle w:val="FootnoteReference"/>
        </w:rPr>
        <w:footnoteRef/>
      </w:r>
      <w:r>
        <w:t xml:space="preserve"> Ibid, </w:t>
      </w:r>
      <w:r w:rsidR="00CD15BE">
        <w:t>106.</w:t>
      </w:r>
    </w:p>
  </w:footnote>
  <w:footnote w:id="212">
    <w:p w14:paraId="056C73B2" w14:textId="77777777" w:rsidR="00EE4B01" w:rsidRDefault="00EE4B01">
      <w:pPr>
        <w:pStyle w:val="FootnoteText"/>
      </w:pPr>
      <w:r>
        <w:rPr>
          <w:rStyle w:val="FootnoteReference"/>
        </w:rPr>
        <w:footnoteRef/>
      </w:r>
      <w:r>
        <w:t xml:space="preserve"> Ibid, 106.</w:t>
      </w:r>
    </w:p>
  </w:footnote>
  <w:footnote w:id="213">
    <w:p w14:paraId="2C9F1A07" w14:textId="1DFFC56D" w:rsidR="00EE4B01" w:rsidRPr="00CD15BE" w:rsidRDefault="00EE4B01">
      <w:pPr>
        <w:pStyle w:val="FootnoteText"/>
      </w:pPr>
      <w:r>
        <w:rPr>
          <w:rStyle w:val="FootnoteReference"/>
        </w:rPr>
        <w:footnoteRef/>
      </w:r>
      <w:r>
        <w:t xml:space="preserve"> </w:t>
      </w:r>
      <w:r w:rsidR="00CD15BE">
        <w:t xml:space="preserve">Marco Doria “Le strategie e l’evoluzione dell’Ansaldo” in </w:t>
      </w:r>
      <w:r w:rsidR="00CD15BE">
        <w:rPr>
          <w:i/>
        </w:rPr>
        <w:t>Storia dell’Ansaldo,</w:t>
      </w:r>
      <w:r w:rsidR="00CD15BE">
        <w:t xml:space="preserve"> 96-97.</w:t>
      </w:r>
    </w:p>
  </w:footnote>
  <w:footnote w:id="214">
    <w:p w14:paraId="6EB65861" w14:textId="6A561077" w:rsidR="00EE4B01" w:rsidRDefault="00EE4B01">
      <w:pPr>
        <w:pStyle w:val="FootnoteText"/>
      </w:pPr>
      <w:r>
        <w:rPr>
          <w:rStyle w:val="FootnoteReference"/>
        </w:rPr>
        <w:footnoteRef/>
      </w:r>
      <w:r w:rsidR="00CD15BE">
        <w:t xml:space="preserve"> Romano Paolo Coppini, “Carlo Bombrini finanziere e imprenditore” in </w:t>
      </w:r>
      <w:r w:rsidR="00CD15BE">
        <w:rPr>
          <w:i/>
        </w:rPr>
        <w:t>Storia dell’Ansaldo</w:t>
      </w:r>
      <w:r>
        <w:t>, 52.</w:t>
      </w:r>
    </w:p>
  </w:footnote>
  <w:footnote w:id="215">
    <w:p w14:paraId="64697946" w14:textId="6CF4EDD6" w:rsidR="00EE4B01" w:rsidRDefault="00EE4B01">
      <w:pPr>
        <w:pStyle w:val="FootnoteText"/>
      </w:pPr>
      <w:r>
        <w:rPr>
          <w:rStyle w:val="FootnoteReference"/>
        </w:rPr>
        <w:footnoteRef/>
      </w:r>
      <w:r>
        <w:t xml:space="preserve"> </w:t>
      </w:r>
      <w:r w:rsidR="00CD15BE">
        <w:t xml:space="preserve">Narciso Nada, “Genova e l’Ansaldo nella politica di Cavour” in </w:t>
      </w:r>
      <w:r w:rsidR="00CD15BE">
        <w:rPr>
          <w:i/>
        </w:rPr>
        <w:t>Storia dell’Ansaldo,</w:t>
      </w:r>
      <w:r>
        <w:t xml:space="preserve"> 36-37.</w:t>
      </w:r>
    </w:p>
  </w:footnote>
  <w:footnote w:id="216">
    <w:p w14:paraId="2A8EB87D" w14:textId="5D30748C" w:rsidR="00EE4B01" w:rsidRDefault="00EE4B01">
      <w:pPr>
        <w:pStyle w:val="FootnoteText"/>
      </w:pPr>
      <w:r>
        <w:rPr>
          <w:rStyle w:val="FootnoteReference"/>
        </w:rPr>
        <w:footnoteRef/>
      </w:r>
      <w:r>
        <w:t xml:space="preserve"> </w:t>
      </w:r>
      <w:r w:rsidR="00CD15BE">
        <w:t>Ibid, 42-43.</w:t>
      </w:r>
    </w:p>
  </w:footnote>
  <w:footnote w:id="217">
    <w:p w14:paraId="40486023" w14:textId="41DE42EB" w:rsidR="00EE4B01" w:rsidRDefault="00EE4B01">
      <w:pPr>
        <w:pStyle w:val="FootnoteText"/>
      </w:pPr>
      <w:r>
        <w:rPr>
          <w:rStyle w:val="FootnoteReference"/>
        </w:rPr>
        <w:footnoteRef/>
      </w:r>
      <w:r>
        <w:t xml:space="preserve"> </w:t>
      </w:r>
      <w:r w:rsidR="00CD15BE">
        <w:t xml:space="preserve">Romano Paolo Coppini, “Carlo Bombrini finanziere e imprenditore” in </w:t>
      </w:r>
      <w:r w:rsidR="00CD15BE">
        <w:rPr>
          <w:i/>
        </w:rPr>
        <w:t>Storia dell’Ansaldo</w:t>
      </w:r>
      <w:r w:rsidR="00CD15BE">
        <w:t>, 61.</w:t>
      </w:r>
    </w:p>
  </w:footnote>
  <w:footnote w:id="218">
    <w:p w14:paraId="339CF88E" w14:textId="77777777" w:rsidR="00EE4B01" w:rsidRDefault="00EE4B01">
      <w:pPr>
        <w:pStyle w:val="FootnoteText"/>
      </w:pPr>
      <w:r>
        <w:rPr>
          <w:rStyle w:val="FootnoteReference"/>
        </w:rPr>
        <w:footnoteRef/>
      </w:r>
      <w:r>
        <w:t xml:space="preserve"> Ibid, 61.</w:t>
      </w:r>
    </w:p>
  </w:footnote>
  <w:footnote w:id="219">
    <w:p w14:paraId="27F83142" w14:textId="77777777" w:rsidR="00EE4B01" w:rsidRDefault="00EE4B01">
      <w:pPr>
        <w:pStyle w:val="FootnoteText"/>
      </w:pPr>
      <w:r>
        <w:rPr>
          <w:rStyle w:val="FootnoteReference"/>
        </w:rPr>
        <w:footnoteRef/>
      </w:r>
      <w:r>
        <w:t xml:space="preserve"> Ibid, 61.</w:t>
      </w:r>
    </w:p>
  </w:footnote>
  <w:footnote w:id="220">
    <w:p w14:paraId="77868A5D" w14:textId="5C066B72" w:rsidR="00EE4B01" w:rsidRDefault="00EE4B01">
      <w:pPr>
        <w:pStyle w:val="FootnoteText"/>
      </w:pPr>
      <w:r>
        <w:rPr>
          <w:rStyle w:val="FootnoteReference"/>
        </w:rPr>
        <w:footnoteRef/>
      </w:r>
      <w:r>
        <w:t xml:space="preserve"> </w:t>
      </w:r>
      <w:r w:rsidR="00CD15BE">
        <w:t xml:space="preserve">Marco Doria “Le strategie e l’evoluzione dell’Ansaldo” in </w:t>
      </w:r>
      <w:r w:rsidR="00CD15BE">
        <w:rPr>
          <w:i/>
        </w:rPr>
        <w:t>Storia dell’Ansaldo,</w:t>
      </w:r>
      <w:r w:rsidR="00CD15BE">
        <w:t xml:space="preserve"> 97</w:t>
      </w:r>
      <w:r>
        <w:t>.</w:t>
      </w:r>
    </w:p>
  </w:footnote>
  <w:footnote w:id="221">
    <w:p w14:paraId="7F77065F" w14:textId="77777777" w:rsidR="00EE4B01" w:rsidRDefault="00EE4B01">
      <w:pPr>
        <w:pStyle w:val="FootnoteText"/>
      </w:pPr>
      <w:r>
        <w:rPr>
          <w:rStyle w:val="FootnoteReference"/>
        </w:rPr>
        <w:footnoteRef/>
      </w:r>
      <w:r>
        <w:t xml:space="preserve"> Ibid, 97.</w:t>
      </w:r>
    </w:p>
  </w:footnote>
  <w:footnote w:id="222">
    <w:p w14:paraId="143C5CA1" w14:textId="119E99AC" w:rsidR="00EE4B01" w:rsidRDefault="00EE4B01">
      <w:pPr>
        <w:pStyle w:val="FootnoteText"/>
      </w:pPr>
      <w:r>
        <w:rPr>
          <w:rStyle w:val="FootnoteReference"/>
        </w:rPr>
        <w:footnoteRef/>
      </w:r>
      <w:r>
        <w:t xml:space="preserve"> </w:t>
      </w:r>
      <w:r w:rsidR="00CD15BE">
        <w:t xml:space="preserve">Andrea F. Saba, “Produzione e mercati” in </w:t>
      </w:r>
      <w:r w:rsidR="00CD15BE">
        <w:rPr>
          <w:i/>
        </w:rPr>
        <w:t>Storia dell’Ansaldo</w:t>
      </w:r>
      <w:r>
        <w:t>, 176-177.</w:t>
      </w:r>
    </w:p>
  </w:footnote>
  <w:footnote w:id="223">
    <w:p w14:paraId="6ABA588A" w14:textId="571D5F98" w:rsidR="00EE4B01" w:rsidRDefault="00EE4B01">
      <w:pPr>
        <w:pStyle w:val="FootnoteText"/>
      </w:pPr>
      <w:r>
        <w:rPr>
          <w:rStyle w:val="FootnoteReference"/>
        </w:rPr>
        <w:footnoteRef/>
      </w:r>
      <w:r>
        <w:t xml:space="preserve"> </w:t>
      </w:r>
      <w:r w:rsidR="00B07560">
        <w:t xml:space="preserve">Marco Doria “Le strategie e l’evoluzione dell’Ansaldo” in </w:t>
      </w:r>
      <w:r w:rsidR="00B07560">
        <w:rPr>
          <w:i/>
        </w:rPr>
        <w:t>Storia dell’Ansaldo</w:t>
      </w:r>
      <w:r>
        <w:t>, 96-97.</w:t>
      </w:r>
    </w:p>
  </w:footnote>
  <w:footnote w:id="224">
    <w:p w14:paraId="09E38DFD" w14:textId="77777777" w:rsidR="00EE4B01" w:rsidRDefault="00EE4B01">
      <w:pPr>
        <w:pStyle w:val="FootnoteText"/>
      </w:pPr>
      <w:r>
        <w:rPr>
          <w:rStyle w:val="FootnoteReference"/>
        </w:rPr>
        <w:footnoteRef/>
      </w:r>
      <w:r>
        <w:t xml:space="preserve"> Ibid, 89.</w:t>
      </w:r>
    </w:p>
  </w:footnote>
  <w:footnote w:id="225">
    <w:p w14:paraId="79CACCF1" w14:textId="77777777" w:rsidR="00EE4B01" w:rsidRDefault="00EE4B01">
      <w:pPr>
        <w:pStyle w:val="FootnoteText"/>
      </w:pPr>
      <w:r>
        <w:rPr>
          <w:rStyle w:val="FootnoteReference"/>
        </w:rPr>
        <w:footnoteRef/>
      </w:r>
      <w:r>
        <w:t xml:space="preserve"> Ibid, 89.</w:t>
      </w:r>
    </w:p>
  </w:footnote>
  <w:footnote w:id="226">
    <w:p w14:paraId="742535EE" w14:textId="77777777" w:rsidR="00EE4B01" w:rsidRPr="003465CE" w:rsidRDefault="00EE4B01">
      <w:pPr>
        <w:pStyle w:val="FootnoteText"/>
      </w:pPr>
      <w:r>
        <w:rPr>
          <w:rStyle w:val="FootnoteReference"/>
        </w:rPr>
        <w:footnoteRef/>
      </w:r>
      <w:r>
        <w:t xml:space="preserve"> Napoleone Colajanni, </w:t>
      </w:r>
      <w:r>
        <w:rPr>
          <w:i/>
        </w:rPr>
        <w:t>Storia della Banca d’Italia,</w:t>
      </w:r>
      <w:r>
        <w:t xml:space="preserve"> 17.</w:t>
      </w:r>
    </w:p>
  </w:footnote>
  <w:footnote w:id="227">
    <w:p w14:paraId="5292D961" w14:textId="38E396D8" w:rsidR="00EE4B01" w:rsidRDefault="00EE4B01">
      <w:pPr>
        <w:pStyle w:val="FootnoteText"/>
      </w:pPr>
      <w:r>
        <w:rPr>
          <w:rStyle w:val="FootnoteReference"/>
        </w:rPr>
        <w:footnoteRef/>
      </w:r>
      <w:r>
        <w:t xml:space="preserve"> </w:t>
      </w:r>
      <w:r w:rsidR="00B07560">
        <w:t xml:space="preserve">Romano Paolo Coppini, “Carlo Bombrini finanziere e imprenditore” in </w:t>
      </w:r>
      <w:r w:rsidR="00B07560">
        <w:rPr>
          <w:i/>
        </w:rPr>
        <w:t>Storia dell’Ansaldo</w:t>
      </w:r>
      <w:r>
        <w:t>, 52, 62.</w:t>
      </w:r>
    </w:p>
  </w:footnote>
  <w:footnote w:id="228">
    <w:p w14:paraId="66AA4A0F" w14:textId="77777777" w:rsidR="00EE4B01" w:rsidRDefault="00EE4B01">
      <w:pPr>
        <w:pStyle w:val="FootnoteText"/>
      </w:pPr>
      <w:r>
        <w:rPr>
          <w:rStyle w:val="FootnoteReference"/>
        </w:rPr>
        <w:footnoteRef/>
      </w:r>
      <w:r>
        <w:t xml:space="preserve"> Ibid, 52, 62.</w:t>
      </w:r>
    </w:p>
  </w:footnote>
  <w:footnote w:id="229">
    <w:p w14:paraId="2DE809E7" w14:textId="6506A9BD" w:rsidR="00EE4B01" w:rsidRDefault="00EE4B01">
      <w:pPr>
        <w:pStyle w:val="FootnoteText"/>
      </w:pPr>
      <w:r>
        <w:rPr>
          <w:rStyle w:val="FootnoteReference"/>
        </w:rPr>
        <w:footnoteRef/>
      </w:r>
      <w:r>
        <w:t xml:space="preserve"> </w:t>
      </w:r>
      <w:r w:rsidR="00D364EA">
        <w:t xml:space="preserve">Romano Paolo Coppini, “Carlo Bombrini finanziere e imprenditore” in </w:t>
      </w:r>
      <w:r w:rsidR="00D364EA">
        <w:rPr>
          <w:i/>
        </w:rPr>
        <w:t>Storia dell’Ansaldo</w:t>
      </w:r>
      <w:r w:rsidR="00D364EA">
        <w:t>, 55.</w:t>
      </w:r>
    </w:p>
  </w:footnote>
  <w:footnote w:id="230">
    <w:p w14:paraId="39D09E56" w14:textId="0CD8AC1D" w:rsidR="00EE4B01" w:rsidRDefault="00EE4B01">
      <w:pPr>
        <w:pStyle w:val="FootnoteText"/>
      </w:pPr>
      <w:r>
        <w:rPr>
          <w:rStyle w:val="FootnoteReference"/>
        </w:rPr>
        <w:footnoteRef/>
      </w:r>
      <w:r w:rsidR="00683B9E">
        <w:t xml:space="preserve"> </w:t>
      </w:r>
      <w:r w:rsidR="00D364EA">
        <w:t xml:space="preserve">Giuseppina Gianfreda and Fabrizio Mattesini, “Adverse Clearings in a Monetary System with Multiple Note Issuers: The Case of Italy (1861–1893),” </w:t>
      </w:r>
      <w:r w:rsidR="00D364EA">
        <w:rPr>
          <w:i/>
          <w:iCs/>
        </w:rPr>
        <w:t>Cliometrica</w:t>
      </w:r>
      <w:r w:rsidR="00D364EA">
        <w:t xml:space="preserve"> 9, no. 1 (January 2015): 1–25, </w:t>
      </w:r>
      <w:hyperlink r:id="rId2" w:history="1">
        <w:r w:rsidR="00D364EA">
          <w:rPr>
            <w:rStyle w:val="Hyperlink"/>
          </w:rPr>
          <w:t>https://doi.org/10.1007/s11698-014-0106-x</w:t>
        </w:r>
      </w:hyperlink>
      <w:r w:rsidR="00D364EA">
        <w:t>, 4.</w:t>
      </w:r>
    </w:p>
  </w:footnote>
  <w:footnote w:id="231">
    <w:p w14:paraId="135724A8" w14:textId="65781FCB" w:rsidR="00EE4B01" w:rsidRDefault="00EE4B01">
      <w:pPr>
        <w:pStyle w:val="FootnoteText"/>
      </w:pPr>
      <w:r>
        <w:rPr>
          <w:rStyle w:val="FootnoteReference"/>
        </w:rPr>
        <w:footnoteRef/>
      </w:r>
      <w:r>
        <w:t xml:space="preserve"> Romano Paolo Coppini, “Carlo Bombrini finanziere e imprenditore” in </w:t>
      </w:r>
      <w:r w:rsidR="00B35DD7">
        <w:rPr>
          <w:i/>
        </w:rPr>
        <w:t xml:space="preserve">Storia dell’Ansaldo, </w:t>
      </w:r>
      <w:r>
        <w:t>69.</w:t>
      </w:r>
    </w:p>
  </w:footnote>
  <w:footnote w:id="232">
    <w:p w14:paraId="11260B97" w14:textId="77777777" w:rsidR="00EE4B01" w:rsidRPr="00E769CD" w:rsidRDefault="00EE4B01">
      <w:pPr>
        <w:pStyle w:val="FootnoteText"/>
      </w:pPr>
      <w:r>
        <w:rPr>
          <w:rStyle w:val="FootnoteReference"/>
        </w:rPr>
        <w:footnoteRef/>
      </w:r>
      <w:r>
        <w:t xml:space="preserve"> </w:t>
      </w:r>
      <w:r w:rsidRPr="00D364EA">
        <w:t xml:space="preserve">Napoleone Colajanni, </w:t>
      </w:r>
      <w:r w:rsidRPr="00D364EA">
        <w:rPr>
          <w:i/>
        </w:rPr>
        <w:t xml:space="preserve">Storia della banca in Italia: da Cavour a Ciampi </w:t>
      </w:r>
      <w:r w:rsidRPr="00D364EA">
        <w:t>(1995), 13.</w:t>
      </w:r>
    </w:p>
  </w:footnote>
  <w:footnote w:id="233">
    <w:p w14:paraId="7B974910" w14:textId="5336AA01" w:rsidR="00EE4B01" w:rsidRDefault="00EE4B01">
      <w:pPr>
        <w:pStyle w:val="FootnoteText"/>
      </w:pPr>
      <w:r>
        <w:rPr>
          <w:rStyle w:val="FootnoteReference"/>
        </w:rPr>
        <w:footnoteRef/>
      </w:r>
      <w:r>
        <w:t xml:space="preserve"> Giuseppina Gianfreda and Fabrizio Mattesini, “Adverse Clearings in a Monetary System with Multiple Note Issuers</w:t>
      </w:r>
      <w:r w:rsidR="00D364EA">
        <w:t>”</w:t>
      </w:r>
      <w:r>
        <w:t>, 4.</w:t>
      </w:r>
    </w:p>
  </w:footnote>
  <w:footnote w:id="234">
    <w:p w14:paraId="75DAE744" w14:textId="77777777" w:rsidR="00EE4B01" w:rsidRPr="002D05D1" w:rsidRDefault="00EE4B01" w:rsidP="00602BC0">
      <w:pPr>
        <w:pStyle w:val="FootnoteText"/>
      </w:pPr>
      <w:r>
        <w:rPr>
          <w:rStyle w:val="FootnoteReference"/>
        </w:rPr>
        <w:footnoteRef/>
      </w:r>
      <w:r>
        <w:t xml:space="preserve"> Napoleone Colajanni, </w:t>
      </w:r>
      <w:r>
        <w:rPr>
          <w:i/>
        </w:rPr>
        <w:t>Storia della banca in Italia,</w:t>
      </w:r>
      <w:r>
        <w:t xml:space="preserve"> 16-17.</w:t>
      </w:r>
    </w:p>
  </w:footnote>
  <w:footnote w:id="235">
    <w:p w14:paraId="6077386D" w14:textId="77777777" w:rsidR="00EE4B01" w:rsidRDefault="00EE4B01">
      <w:pPr>
        <w:pStyle w:val="FootnoteText"/>
      </w:pPr>
      <w:r>
        <w:rPr>
          <w:rStyle w:val="FootnoteReference"/>
        </w:rPr>
        <w:footnoteRef/>
      </w:r>
      <w:r>
        <w:t xml:space="preserve"> Ibid, 4.</w:t>
      </w:r>
    </w:p>
  </w:footnote>
  <w:footnote w:id="236">
    <w:p w14:paraId="58BC924D" w14:textId="115D7A85" w:rsidR="00EE4B01" w:rsidRPr="002249F8" w:rsidRDefault="00EE4B01">
      <w:pPr>
        <w:pStyle w:val="FootnoteText"/>
      </w:pPr>
      <w:r>
        <w:rPr>
          <w:rStyle w:val="FootnoteReference"/>
        </w:rPr>
        <w:footnoteRef/>
      </w:r>
      <w:r>
        <w:t xml:space="preserve"> Romano Paolo Coppini, “Carlo Bombrini finanziere e imprenditore” in </w:t>
      </w:r>
      <w:r w:rsidR="00FA3118">
        <w:rPr>
          <w:i/>
        </w:rPr>
        <w:t xml:space="preserve">Storia dell’Ansaldo, </w:t>
      </w:r>
      <w:r>
        <w:t>56-57, 63.</w:t>
      </w:r>
    </w:p>
  </w:footnote>
  <w:footnote w:id="237">
    <w:p w14:paraId="5545729B" w14:textId="2DB4DED1" w:rsidR="00EE4B01" w:rsidRDefault="00EE4B01">
      <w:pPr>
        <w:pStyle w:val="FootnoteText"/>
      </w:pPr>
      <w:r>
        <w:rPr>
          <w:rStyle w:val="FootnoteReference"/>
        </w:rPr>
        <w:footnoteRef/>
      </w:r>
      <w:r>
        <w:t xml:space="preserve"> Ibid, 55</w:t>
      </w:r>
      <w:r w:rsidR="00C02614">
        <w:t>, 63.</w:t>
      </w:r>
      <w:r>
        <w:t>; Giuseppina Gianfreda and Fabrizio Mattesini, “Adverse Clearings in a Monetary Sy</w:t>
      </w:r>
      <w:r w:rsidR="00235C78">
        <w:t xml:space="preserve">stem with Multiple Note Issuers”, </w:t>
      </w:r>
      <w:r>
        <w:t>5.</w:t>
      </w:r>
    </w:p>
  </w:footnote>
  <w:footnote w:id="238">
    <w:p w14:paraId="644A8DF5" w14:textId="77777777" w:rsidR="00EE4B01" w:rsidRDefault="00EE4B01">
      <w:pPr>
        <w:pStyle w:val="FootnoteText"/>
      </w:pPr>
      <w:r>
        <w:rPr>
          <w:rStyle w:val="FootnoteReference"/>
        </w:rPr>
        <w:footnoteRef/>
      </w:r>
      <w:r>
        <w:t xml:space="preserve"> Ibid, 5.</w:t>
      </w:r>
    </w:p>
  </w:footnote>
  <w:footnote w:id="239">
    <w:p w14:paraId="1B34CE31" w14:textId="77777777" w:rsidR="00EE4B01" w:rsidRDefault="00EE4B01">
      <w:pPr>
        <w:pStyle w:val="FootnoteText"/>
      </w:pPr>
      <w:r>
        <w:rPr>
          <w:rStyle w:val="FootnoteReference"/>
        </w:rPr>
        <w:footnoteRef/>
      </w:r>
      <w:r>
        <w:t xml:space="preserve"> Ibid, 57.</w:t>
      </w:r>
    </w:p>
  </w:footnote>
  <w:footnote w:id="240">
    <w:p w14:paraId="53D6EDA4" w14:textId="7D2BF471" w:rsidR="00EE4B01" w:rsidRDefault="00EE4B01">
      <w:pPr>
        <w:pStyle w:val="FootnoteText"/>
      </w:pPr>
      <w:r>
        <w:rPr>
          <w:rStyle w:val="FootnoteReference"/>
        </w:rPr>
        <w:footnoteRef/>
      </w:r>
      <w:r>
        <w:t xml:space="preserve"> Ibid, 57-58, 63; Giuseppina Gianfreda and Fabrizio Mattesini, “Adverse Clearings in a Monetary Sy</w:t>
      </w:r>
      <w:r w:rsidR="005B1E48">
        <w:t>stem with Multiple Note Issuers”,</w:t>
      </w:r>
      <w:r>
        <w:t xml:space="preserve"> 2.</w:t>
      </w:r>
    </w:p>
  </w:footnote>
  <w:footnote w:id="241">
    <w:p w14:paraId="77677D1F" w14:textId="77777777" w:rsidR="00EE4B01" w:rsidRDefault="00EE4B01">
      <w:pPr>
        <w:pStyle w:val="FootnoteText"/>
      </w:pPr>
      <w:r>
        <w:rPr>
          <w:rStyle w:val="FootnoteReference"/>
        </w:rPr>
        <w:footnoteRef/>
      </w:r>
      <w:r>
        <w:t xml:space="preserve"> Ibid, 5.</w:t>
      </w:r>
    </w:p>
  </w:footnote>
  <w:footnote w:id="242">
    <w:p w14:paraId="7B13CB97" w14:textId="5F7F95CD" w:rsidR="00EE4B01" w:rsidRDefault="00EE4B01">
      <w:pPr>
        <w:pStyle w:val="FootnoteText"/>
      </w:pPr>
      <w:r>
        <w:rPr>
          <w:rStyle w:val="FootnoteReference"/>
        </w:rPr>
        <w:footnoteRef/>
      </w:r>
      <w:r>
        <w:t xml:space="preserve"> Romano Paolo Coppini, “Carlo Bombrini finanziere e imprenditore” in </w:t>
      </w:r>
      <w:r>
        <w:rPr>
          <w:i/>
        </w:rPr>
        <w:t>Storia dell’Ansaldo</w:t>
      </w:r>
      <w:r>
        <w:t>, 69.</w:t>
      </w:r>
    </w:p>
  </w:footnote>
  <w:footnote w:id="243">
    <w:p w14:paraId="41765A4A" w14:textId="71E9388A" w:rsidR="00EE4B01" w:rsidRDefault="00EE4B01">
      <w:pPr>
        <w:pStyle w:val="FootnoteText"/>
      </w:pPr>
      <w:r>
        <w:rPr>
          <w:rStyle w:val="FootnoteReference"/>
        </w:rPr>
        <w:footnoteRef/>
      </w:r>
      <w:r>
        <w:t xml:space="preserve"> </w:t>
      </w:r>
      <w:r w:rsidR="00DD2B00" w:rsidRPr="00DD2B00">
        <w:t>Ibid, 64-65.</w:t>
      </w:r>
    </w:p>
  </w:footnote>
  <w:footnote w:id="244">
    <w:p w14:paraId="6BB9F1CF" w14:textId="2A6AD524" w:rsidR="00EE4B01" w:rsidRDefault="00EE4B01">
      <w:pPr>
        <w:pStyle w:val="FootnoteText"/>
      </w:pPr>
      <w:r>
        <w:rPr>
          <w:rStyle w:val="FootnoteReference"/>
        </w:rPr>
        <w:footnoteRef/>
      </w:r>
      <w:r>
        <w:t xml:space="preserve"> Giuseppina Gianfreda and Fabrizio Mattesini, “Adverse Clearings in a Monetary System with Multiple Note Issuers</w:t>
      </w:r>
      <w:r w:rsidR="00DD2B00">
        <w:t xml:space="preserve">”, </w:t>
      </w:r>
      <w:r w:rsidR="005B1E48">
        <w:t>5.</w:t>
      </w:r>
    </w:p>
  </w:footnote>
  <w:footnote w:id="245">
    <w:p w14:paraId="2C3C5CC1" w14:textId="3CA2BD81" w:rsidR="00EE4B01" w:rsidRDefault="00EE4B01">
      <w:pPr>
        <w:pStyle w:val="FootnoteText"/>
      </w:pPr>
      <w:r>
        <w:rPr>
          <w:rStyle w:val="FootnoteReference"/>
        </w:rPr>
        <w:footnoteRef/>
      </w:r>
      <w:r>
        <w:t xml:space="preserve"> Romano Paolo Coppini, “Carlo Bombrini finanziere e imprenditore” in </w:t>
      </w:r>
      <w:r>
        <w:rPr>
          <w:i/>
        </w:rPr>
        <w:t xml:space="preserve">Storia dell’Ansaldo. 1. Le origini. 1853-1882. </w:t>
      </w:r>
      <w:r>
        <w:t>ed. Valerio Castronovo (Roma-Bari: Laterza, 1994), 68.</w:t>
      </w:r>
    </w:p>
  </w:footnote>
  <w:footnote w:id="246">
    <w:p w14:paraId="22BF297D" w14:textId="77777777" w:rsidR="00EE4B01" w:rsidRDefault="00EE4B01">
      <w:pPr>
        <w:pStyle w:val="FootnoteText"/>
      </w:pPr>
      <w:r>
        <w:rPr>
          <w:rStyle w:val="FootnoteReference"/>
        </w:rPr>
        <w:footnoteRef/>
      </w:r>
      <w:r>
        <w:t xml:space="preserve"> Ibid, 68.</w:t>
      </w:r>
    </w:p>
  </w:footnote>
  <w:footnote w:id="247">
    <w:p w14:paraId="1AA75DEE" w14:textId="77777777" w:rsidR="00EE4B01" w:rsidRDefault="00EE4B01">
      <w:pPr>
        <w:pStyle w:val="FootnoteText"/>
      </w:pPr>
      <w:r>
        <w:rPr>
          <w:rStyle w:val="FootnoteReference"/>
        </w:rPr>
        <w:footnoteRef/>
      </w:r>
      <w:r>
        <w:t xml:space="preserve"> Giuseppina Gianfreda and Fabrizio Mattesini, “Adverse Clearings in a Monetary System with Multiple Note Issuers: The Case of Italy (1861–1893),” </w:t>
      </w:r>
      <w:r>
        <w:rPr>
          <w:i/>
          <w:iCs/>
        </w:rPr>
        <w:t>Cliometrica</w:t>
      </w:r>
      <w:r>
        <w:t xml:space="preserve"> 9, no. 1 (January 2015): 1–25, </w:t>
      </w:r>
      <w:hyperlink r:id="rId3" w:history="1">
        <w:r>
          <w:rPr>
            <w:rStyle w:val="Hyperlink"/>
          </w:rPr>
          <w:t>https://doi.org/10.1007/s11698-014-0106-x</w:t>
        </w:r>
      </w:hyperlink>
      <w:r>
        <w:t>, 5.</w:t>
      </w:r>
    </w:p>
  </w:footnote>
  <w:footnote w:id="248">
    <w:p w14:paraId="21CB2BCF" w14:textId="2579C6C3" w:rsidR="00EE4B01" w:rsidRPr="002249F8" w:rsidRDefault="00EE4B01" w:rsidP="00602BC0">
      <w:pPr>
        <w:pStyle w:val="FootnoteText"/>
      </w:pPr>
      <w:r>
        <w:rPr>
          <w:rStyle w:val="FootnoteReference"/>
        </w:rPr>
        <w:footnoteRef/>
      </w:r>
      <w:r>
        <w:t xml:space="preserve"> Romano Paolo Coppini, “Carlo Bombrini finanziere e imprenditore” in </w:t>
      </w:r>
      <w:r w:rsidR="00F671DA">
        <w:rPr>
          <w:i/>
        </w:rPr>
        <w:t>Storia dell’Ansaldo</w:t>
      </w:r>
      <w:r>
        <w:t xml:space="preserve">, 68; Giuseppina Gianfreda and Fabrizio Mattesini, “Adverse Clearings in a Monetary System with Multiple Note Issuers: The Case of Italy (1861–1893),” </w:t>
      </w:r>
      <w:r>
        <w:rPr>
          <w:i/>
          <w:iCs/>
        </w:rPr>
        <w:t>Cliometrica</w:t>
      </w:r>
      <w:r>
        <w:t xml:space="preserve"> 9, no. 1 (January 2015): 1–25, </w:t>
      </w:r>
      <w:hyperlink r:id="rId4" w:history="1">
        <w:r>
          <w:rPr>
            <w:rStyle w:val="Hyperlink"/>
          </w:rPr>
          <w:t>https://doi.org/10.1007/s11698-014-0106-x</w:t>
        </w:r>
      </w:hyperlink>
      <w:r>
        <w:t>, 5</w:t>
      </w:r>
    </w:p>
    <w:p w14:paraId="0A5C6E75" w14:textId="77777777" w:rsidR="00EE4B01" w:rsidRDefault="00EE4B01">
      <w:pPr>
        <w:pStyle w:val="FootnoteText"/>
      </w:pPr>
    </w:p>
  </w:footnote>
  <w:footnote w:id="249">
    <w:p w14:paraId="17063235" w14:textId="34B27070" w:rsidR="00EE4B01" w:rsidRDefault="00EE4B01">
      <w:pPr>
        <w:pStyle w:val="FootnoteText"/>
      </w:pPr>
      <w:r>
        <w:rPr>
          <w:rStyle w:val="FootnoteReference"/>
        </w:rPr>
        <w:footnoteRef/>
      </w:r>
      <w:r>
        <w:t xml:space="preserve"> Romano Paolo Coppini, “Carlo Bombrini finanziere e imprenditore” in </w:t>
      </w:r>
      <w:r w:rsidR="00BE5896">
        <w:rPr>
          <w:i/>
        </w:rPr>
        <w:t xml:space="preserve">Storia dell’Ansaldo, </w:t>
      </w:r>
      <w:r>
        <w:t>68.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33CDD" w14:textId="1E547CA2" w:rsidR="00EE4B01" w:rsidRDefault="004210CF">
    <w:pPr>
      <w:pStyle w:val="Header"/>
    </w:pPr>
    <w:r>
      <w:t>Luca Urzi - 6253873</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023BB"/>
    <w:multiLevelType w:val="hybridMultilevel"/>
    <w:tmpl w:val="3342F93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B9C49EF"/>
    <w:multiLevelType w:val="hybridMultilevel"/>
    <w:tmpl w:val="053E7E4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BD834C2"/>
    <w:multiLevelType w:val="hybridMultilevel"/>
    <w:tmpl w:val="24C2855E"/>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2D259F2"/>
    <w:multiLevelType w:val="hybridMultilevel"/>
    <w:tmpl w:val="16C254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in, I. (Irina)">
    <w15:presenceInfo w15:providerId="AD" w15:userId="S::i.marin@uu.nl::3780cdd1-50bc-4973-b6cf-403659691d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D9A"/>
    <w:rsid w:val="000019A7"/>
    <w:rsid w:val="00001AFA"/>
    <w:rsid w:val="00003DBE"/>
    <w:rsid w:val="00006C8A"/>
    <w:rsid w:val="0000797C"/>
    <w:rsid w:val="00007D06"/>
    <w:rsid w:val="00013163"/>
    <w:rsid w:val="00014303"/>
    <w:rsid w:val="000160A8"/>
    <w:rsid w:val="00020634"/>
    <w:rsid w:val="0002066C"/>
    <w:rsid w:val="00021A55"/>
    <w:rsid w:val="000224DB"/>
    <w:rsid w:val="00025FC2"/>
    <w:rsid w:val="00027C62"/>
    <w:rsid w:val="00031106"/>
    <w:rsid w:val="00031B22"/>
    <w:rsid w:val="00032B4B"/>
    <w:rsid w:val="00040710"/>
    <w:rsid w:val="00040D80"/>
    <w:rsid w:val="0004232D"/>
    <w:rsid w:val="00042814"/>
    <w:rsid w:val="000451C6"/>
    <w:rsid w:val="000506A6"/>
    <w:rsid w:val="00056809"/>
    <w:rsid w:val="00056BC0"/>
    <w:rsid w:val="000571A8"/>
    <w:rsid w:val="000603E7"/>
    <w:rsid w:val="000625F0"/>
    <w:rsid w:val="000625F9"/>
    <w:rsid w:val="00062C29"/>
    <w:rsid w:val="0006421F"/>
    <w:rsid w:val="000659AA"/>
    <w:rsid w:val="00066483"/>
    <w:rsid w:val="00066BCA"/>
    <w:rsid w:val="00066C5D"/>
    <w:rsid w:val="00070CEE"/>
    <w:rsid w:val="00071EDA"/>
    <w:rsid w:val="00071F81"/>
    <w:rsid w:val="000745A1"/>
    <w:rsid w:val="00076E66"/>
    <w:rsid w:val="0008049D"/>
    <w:rsid w:val="00082B43"/>
    <w:rsid w:val="00083768"/>
    <w:rsid w:val="00085D87"/>
    <w:rsid w:val="000903CC"/>
    <w:rsid w:val="000906F7"/>
    <w:rsid w:val="000913CA"/>
    <w:rsid w:val="00093590"/>
    <w:rsid w:val="00094E33"/>
    <w:rsid w:val="0009640F"/>
    <w:rsid w:val="00097E91"/>
    <w:rsid w:val="000A1354"/>
    <w:rsid w:val="000A2AC5"/>
    <w:rsid w:val="000A4342"/>
    <w:rsid w:val="000A43EF"/>
    <w:rsid w:val="000B0E83"/>
    <w:rsid w:val="000B3658"/>
    <w:rsid w:val="000B50D9"/>
    <w:rsid w:val="000B5592"/>
    <w:rsid w:val="000B58E3"/>
    <w:rsid w:val="000C18CD"/>
    <w:rsid w:val="000C3F07"/>
    <w:rsid w:val="000C63B2"/>
    <w:rsid w:val="000C76B1"/>
    <w:rsid w:val="000D0ECC"/>
    <w:rsid w:val="000D11CA"/>
    <w:rsid w:val="000D2EA1"/>
    <w:rsid w:val="000D5537"/>
    <w:rsid w:val="000D6F0D"/>
    <w:rsid w:val="000D6F4B"/>
    <w:rsid w:val="000E1816"/>
    <w:rsid w:val="000E1C88"/>
    <w:rsid w:val="000E4921"/>
    <w:rsid w:val="000E5408"/>
    <w:rsid w:val="000E6667"/>
    <w:rsid w:val="000E71AE"/>
    <w:rsid w:val="000F38CA"/>
    <w:rsid w:val="000F3A7B"/>
    <w:rsid w:val="000F4339"/>
    <w:rsid w:val="000F55D9"/>
    <w:rsid w:val="000F6763"/>
    <w:rsid w:val="001001E7"/>
    <w:rsid w:val="00100B77"/>
    <w:rsid w:val="00101480"/>
    <w:rsid w:val="001037C5"/>
    <w:rsid w:val="00103A62"/>
    <w:rsid w:val="00103CEE"/>
    <w:rsid w:val="00104E70"/>
    <w:rsid w:val="00106411"/>
    <w:rsid w:val="00107F97"/>
    <w:rsid w:val="0011065F"/>
    <w:rsid w:val="00112590"/>
    <w:rsid w:val="00113B71"/>
    <w:rsid w:val="00115214"/>
    <w:rsid w:val="00116B19"/>
    <w:rsid w:val="00121B12"/>
    <w:rsid w:val="00122117"/>
    <w:rsid w:val="0012365D"/>
    <w:rsid w:val="001254E2"/>
    <w:rsid w:val="001259E1"/>
    <w:rsid w:val="00132A0F"/>
    <w:rsid w:val="00132ACE"/>
    <w:rsid w:val="00134118"/>
    <w:rsid w:val="00140FA0"/>
    <w:rsid w:val="00141230"/>
    <w:rsid w:val="00142E92"/>
    <w:rsid w:val="00145231"/>
    <w:rsid w:val="00145A1A"/>
    <w:rsid w:val="00151621"/>
    <w:rsid w:val="00154815"/>
    <w:rsid w:val="001611CD"/>
    <w:rsid w:val="00162827"/>
    <w:rsid w:val="0016598A"/>
    <w:rsid w:val="00170737"/>
    <w:rsid w:val="0017095D"/>
    <w:rsid w:val="001729A3"/>
    <w:rsid w:val="00172FC0"/>
    <w:rsid w:val="00174CDE"/>
    <w:rsid w:val="0017559E"/>
    <w:rsid w:val="00177CED"/>
    <w:rsid w:val="001817E1"/>
    <w:rsid w:val="001844C8"/>
    <w:rsid w:val="00184B9C"/>
    <w:rsid w:val="001863CD"/>
    <w:rsid w:val="001969F9"/>
    <w:rsid w:val="001A09A8"/>
    <w:rsid w:val="001A16AF"/>
    <w:rsid w:val="001A1CB0"/>
    <w:rsid w:val="001A1EF5"/>
    <w:rsid w:val="001A23E8"/>
    <w:rsid w:val="001A3947"/>
    <w:rsid w:val="001B0E85"/>
    <w:rsid w:val="001B49CD"/>
    <w:rsid w:val="001B4B9A"/>
    <w:rsid w:val="001B5A56"/>
    <w:rsid w:val="001B7198"/>
    <w:rsid w:val="001C0478"/>
    <w:rsid w:val="001C0CBE"/>
    <w:rsid w:val="001C2A2B"/>
    <w:rsid w:val="001C3202"/>
    <w:rsid w:val="001C3DED"/>
    <w:rsid w:val="001C4F1A"/>
    <w:rsid w:val="001D02C4"/>
    <w:rsid w:val="001D1A86"/>
    <w:rsid w:val="001D26B5"/>
    <w:rsid w:val="001D27F1"/>
    <w:rsid w:val="001D36F7"/>
    <w:rsid w:val="001D3D30"/>
    <w:rsid w:val="001D4DB8"/>
    <w:rsid w:val="001E1FC1"/>
    <w:rsid w:val="001E6968"/>
    <w:rsid w:val="001F2C10"/>
    <w:rsid w:val="001F3116"/>
    <w:rsid w:val="001F34AF"/>
    <w:rsid w:val="001F714D"/>
    <w:rsid w:val="001F760F"/>
    <w:rsid w:val="00201D47"/>
    <w:rsid w:val="00207FC5"/>
    <w:rsid w:val="00210E47"/>
    <w:rsid w:val="00211EDD"/>
    <w:rsid w:val="00212B5D"/>
    <w:rsid w:val="00212BB3"/>
    <w:rsid w:val="00213DAE"/>
    <w:rsid w:val="002179C1"/>
    <w:rsid w:val="00221891"/>
    <w:rsid w:val="0022283D"/>
    <w:rsid w:val="0022304A"/>
    <w:rsid w:val="002237AE"/>
    <w:rsid w:val="00224486"/>
    <w:rsid w:val="00226715"/>
    <w:rsid w:val="00226CBC"/>
    <w:rsid w:val="002322FB"/>
    <w:rsid w:val="00232B07"/>
    <w:rsid w:val="0023332C"/>
    <w:rsid w:val="00235C78"/>
    <w:rsid w:val="0023662A"/>
    <w:rsid w:val="00240731"/>
    <w:rsid w:val="00243655"/>
    <w:rsid w:val="00243912"/>
    <w:rsid w:val="00243CD7"/>
    <w:rsid w:val="00243D40"/>
    <w:rsid w:val="00243E03"/>
    <w:rsid w:val="00244825"/>
    <w:rsid w:val="00244F86"/>
    <w:rsid w:val="00245307"/>
    <w:rsid w:val="00246326"/>
    <w:rsid w:val="00246D51"/>
    <w:rsid w:val="00250E61"/>
    <w:rsid w:val="002527EE"/>
    <w:rsid w:val="00254138"/>
    <w:rsid w:val="0025445D"/>
    <w:rsid w:val="00254F67"/>
    <w:rsid w:val="0025717E"/>
    <w:rsid w:val="00261008"/>
    <w:rsid w:val="00261670"/>
    <w:rsid w:val="00261FB4"/>
    <w:rsid w:val="0026326C"/>
    <w:rsid w:val="002647EA"/>
    <w:rsid w:val="00264AA5"/>
    <w:rsid w:val="0026636D"/>
    <w:rsid w:val="002665C2"/>
    <w:rsid w:val="00273E52"/>
    <w:rsid w:val="00275BCA"/>
    <w:rsid w:val="00282969"/>
    <w:rsid w:val="0028351B"/>
    <w:rsid w:val="00287D23"/>
    <w:rsid w:val="00290E45"/>
    <w:rsid w:val="00291352"/>
    <w:rsid w:val="00291FD3"/>
    <w:rsid w:val="002951AD"/>
    <w:rsid w:val="002A1129"/>
    <w:rsid w:val="002A31F0"/>
    <w:rsid w:val="002A42B8"/>
    <w:rsid w:val="002A6F95"/>
    <w:rsid w:val="002B01A1"/>
    <w:rsid w:val="002B07D0"/>
    <w:rsid w:val="002B0BF0"/>
    <w:rsid w:val="002B0FDE"/>
    <w:rsid w:val="002B1986"/>
    <w:rsid w:val="002B6003"/>
    <w:rsid w:val="002B658A"/>
    <w:rsid w:val="002B6F23"/>
    <w:rsid w:val="002B7D8A"/>
    <w:rsid w:val="002C12F1"/>
    <w:rsid w:val="002C2EDC"/>
    <w:rsid w:val="002C63D9"/>
    <w:rsid w:val="002D0040"/>
    <w:rsid w:val="002D0CFB"/>
    <w:rsid w:val="002D36F4"/>
    <w:rsid w:val="002D4A0C"/>
    <w:rsid w:val="002D5AE9"/>
    <w:rsid w:val="002D614C"/>
    <w:rsid w:val="002D62A4"/>
    <w:rsid w:val="002D65D4"/>
    <w:rsid w:val="002D6B65"/>
    <w:rsid w:val="002D6CBF"/>
    <w:rsid w:val="002E13AE"/>
    <w:rsid w:val="002E164A"/>
    <w:rsid w:val="002E1A73"/>
    <w:rsid w:val="002E3430"/>
    <w:rsid w:val="002E583D"/>
    <w:rsid w:val="002E5924"/>
    <w:rsid w:val="002E5D7E"/>
    <w:rsid w:val="002E680D"/>
    <w:rsid w:val="002E7F71"/>
    <w:rsid w:val="002F3120"/>
    <w:rsid w:val="002F34CF"/>
    <w:rsid w:val="002F3D37"/>
    <w:rsid w:val="002F4CA6"/>
    <w:rsid w:val="002F5A3A"/>
    <w:rsid w:val="002F63DE"/>
    <w:rsid w:val="00303793"/>
    <w:rsid w:val="00305F21"/>
    <w:rsid w:val="00310D61"/>
    <w:rsid w:val="00310DFA"/>
    <w:rsid w:val="003111B7"/>
    <w:rsid w:val="0031225F"/>
    <w:rsid w:val="003125EF"/>
    <w:rsid w:val="00313888"/>
    <w:rsid w:val="00313A79"/>
    <w:rsid w:val="0031467C"/>
    <w:rsid w:val="003146F0"/>
    <w:rsid w:val="003163D8"/>
    <w:rsid w:val="00316787"/>
    <w:rsid w:val="00316FDC"/>
    <w:rsid w:val="00317005"/>
    <w:rsid w:val="00322658"/>
    <w:rsid w:val="003250C0"/>
    <w:rsid w:val="00327D0B"/>
    <w:rsid w:val="00333719"/>
    <w:rsid w:val="003400CD"/>
    <w:rsid w:val="0034155B"/>
    <w:rsid w:val="00341F1B"/>
    <w:rsid w:val="00342207"/>
    <w:rsid w:val="00342C75"/>
    <w:rsid w:val="00342DD1"/>
    <w:rsid w:val="003506F6"/>
    <w:rsid w:val="00354A58"/>
    <w:rsid w:val="00354A7A"/>
    <w:rsid w:val="003551DA"/>
    <w:rsid w:val="0036156A"/>
    <w:rsid w:val="00364C42"/>
    <w:rsid w:val="003656DF"/>
    <w:rsid w:val="00366E79"/>
    <w:rsid w:val="00367183"/>
    <w:rsid w:val="0037071D"/>
    <w:rsid w:val="003707A3"/>
    <w:rsid w:val="0037200C"/>
    <w:rsid w:val="00375049"/>
    <w:rsid w:val="00376F5F"/>
    <w:rsid w:val="003772B4"/>
    <w:rsid w:val="003773D4"/>
    <w:rsid w:val="00377889"/>
    <w:rsid w:val="00377CE9"/>
    <w:rsid w:val="0038308B"/>
    <w:rsid w:val="003835DE"/>
    <w:rsid w:val="0038502A"/>
    <w:rsid w:val="00386722"/>
    <w:rsid w:val="00386AE3"/>
    <w:rsid w:val="00390348"/>
    <w:rsid w:val="003903FC"/>
    <w:rsid w:val="00392B53"/>
    <w:rsid w:val="00393C44"/>
    <w:rsid w:val="003A0717"/>
    <w:rsid w:val="003A0BEF"/>
    <w:rsid w:val="003A1067"/>
    <w:rsid w:val="003A14F6"/>
    <w:rsid w:val="003A2D9F"/>
    <w:rsid w:val="003A54D3"/>
    <w:rsid w:val="003A6407"/>
    <w:rsid w:val="003B154B"/>
    <w:rsid w:val="003B43A9"/>
    <w:rsid w:val="003B45F1"/>
    <w:rsid w:val="003B5DC0"/>
    <w:rsid w:val="003B6055"/>
    <w:rsid w:val="003B7133"/>
    <w:rsid w:val="003B765B"/>
    <w:rsid w:val="003B7EF1"/>
    <w:rsid w:val="003C1D18"/>
    <w:rsid w:val="003C44F3"/>
    <w:rsid w:val="003C5D78"/>
    <w:rsid w:val="003D40E6"/>
    <w:rsid w:val="003D58E5"/>
    <w:rsid w:val="003D6BFA"/>
    <w:rsid w:val="003D7A57"/>
    <w:rsid w:val="003E198A"/>
    <w:rsid w:val="003E2E8D"/>
    <w:rsid w:val="003E7711"/>
    <w:rsid w:val="003F26E5"/>
    <w:rsid w:val="003F5724"/>
    <w:rsid w:val="003F579F"/>
    <w:rsid w:val="003F65B1"/>
    <w:rsid w:val="003F6CC6"/>
    <w:rsid w:val="0040013E"/>
    <w:rsid w:val="00404B43"/>
    <w:rsid w:val="00405670"/>
    <w:rsid w:val="004078B1"/>
    <w:rsid w:val="00407AF8"/>
    <w:rsid w:val="00410CD7"/>
    <w:rsid w:val="00410E7E"/>
    <w:rsid w:val="0041182D"/>
    <w:rsid w:val="00412096"/>
    <w:rsid w:val="004124F3"/>
    <w:rsid w:val="0041280D"/>
    <w:rsid w:val="00412884"/>
    <w:rsid w:val="00413521"/>
    <w:rsid w:val="0041443E"/>
    <w:rsid w:val="00416879"/>
    <w:rsid w:val="00416ED9"/>
    <w:rsid w:val="004210CF"/>
    <w:rsid w:val="00422CAD"/>
    <w:rsid w:val="00423FE1"/>
    <w:rsid w:val="00424900"/>
    <w:rsid w:val="00424C0B"/>
    <w:rsid w:val="004314FE"/>
    <w:rsid w:val="00432A98"/>
    <w:rsid w:val="0043415A"/>
    <w:rsid w:val="00436941"/>
    <w:rsid w:val="00442C64"/>
    <w:rsid w:val="00444C87"/>
    <w:rsid w:val="0044714F"/>
    <w:rsid w:val="004512C6"/>
    <w:rsid w:val="00463B85"/>
    <w:rsid w:val="004643AB"/>
    <w:rsid w:val="00467103"/>
    <w:rsid w:val="004705C8"/>
    <w:rsid w:val="00472AFC"/>
    <w:rsid w:val="00473A0C"/>
    <w:rsid w:val="00474139"/>
    <w:rsid w:val="00475527"/>
    <w:rsid w:val="00477F68"/>
    <w:rsid w:val="00480828"/>
    <w:rsid w:val="004815F9"/>
    <w:rsid w:val="004819E0"/>
    <w:rsid w:val="004823BF"/>
    <w:rsid w:val="004826DD"/>
    <w:rsid w:val="00485F7E"/>
    <w:rsid w:val="00486483"/>
    <w:rsid w:val="00486709"/>
    <w:rsid w:val="00487C6A"/>
    <w:rsid w:val="00495B35"/>
    <w:rsid w:val="004960F0"/>
    <w:rsid w:val="004969D8"/>
    <w:rsid w:val="004A0E42"/>
    <w:rsid w:val="004A5951"/>
    <w:rsid w:val="004A7A16"/>
    <w:rsid w:val="004B0AB2"/>
    <w:rsid w:val="004B170C"/>
    <w:rsid w:val="004B1E76"/>
    <w:rsid w:val="004C00AD"/>
    <w:rsid w:val="004C03BE"/>
    <w:rsid w:val="004C2009"/>
    <w:rsid w:val="004C3D3B"/>
    <w:rsid w:val="004D3EEE"/>
    <w:rsid w:val="004D5C2D"/>
    <w:rsid w:val="004D617B"/>
    <w:rsid w:val="004D66D6"/>
    <w:rsid w:val="004E28A3"/>
    <w:rsid w:val="004E7164"/>
    <w:rsid w:val="004E766D"/>
    <w:rsid w:val="005002F7"/>
    <w:rsid w:val="00503C06"/>
    <w:rsid w:val="0050446F"/>
    <w:rsid w:val="00507D23"/>
    <w:rsid w:val="005109AC"/>
    <w:rsid w:val="005160DD"/>
    <w:rsid w:val="00516A6E"/>
    <w:rsid w:val="00523DE1"/>
    <w:rsid w:val="005243C7"/>
    <w:rsid w:val="00525E9A"/>
    <w:rsid w:val="0052662E"/>
    <w:rsid w:val="00533E65"/>
    <w:rsid w:val="005351D1"/>
    <w:rsid w:val="00535310"/>
    <w:rsid w:val="00537774"/>
    <w:rsid w:val="005406D8"/>
    <w:rsid w:val="00540839"/>
    <w:rsid w:val="00542083"/>
    <w:rsid w:val="005424C8"/>
    <w:rsid w:val="005426AB"/>
    <w:rsid w:val="0054280C"/>
    <w:rsid w:val="0054514B"/>
    <w:rsid w:val="00554C33"/>
    <w:rsid w:val="005565E6"/>
    <w:rsid w:val="00561642"/>
    <w:rsid w:val="005616CA"/>
    <w:rsid w:val="00561C1B"/>
    <w:rsid w:val="00562411"/>
    <w:rsid w:val="00564914"/>
    <w:rsid w:val="00564C5E"/>
    <w:rsid w:val="00570D07"/>
    <w:rsid w:val="005740A4"/>
    <w:rsid w:val="00575D45"/>
    <w:rsid w:val="00577EAC"/>
    <w:rsid w:val="0058187C"/>
    <w:rsid w:val="00581894"/>
    <w:rsid w:val="00582D3E"/>
    <w:rsid w:val="00585158"/>
    <w:rsid w:val="00586CB5"/>
    <w:rsid w:val="00587F08"/>
    <w:rsid w:val="00591A6E"/>
    <w:rsid w:val="00592057"/>
    <w:rsid w:val="00594A1C"/>
    <w:rsid w:val="005957DD"/>
    <w:rsid w:val="00596DA7"/>
    <w:rsid w:val="005976AA"/>
    <w:rsid w:val="00597F5A"/>
    <w:rsid w:val="005A08B1"/>
    <w:rsid w:val="005A0BBA"/>
    <w:rsid w:val="005A16AC"/>
    <w:rsid w:val="005A1CD4"/>
    <w:rsid w:val="005A3E36"/>
    <w:rsid w:val="005A4CE8"/>
    <w:rsid w:val="005A538B"/>
    <w:rsid w:val="005A5639"/>
    <w:rsid w:val="005A5795"/>
    <w:rsid w:val="005B09FE"/>
    <w:rsid w:val="005B1E48"/>
    <w:rsid w:val="005B2128"/>
    <w:rsid w:val="005B38ED"/>
    <w:rsid w:val="005B4CA9"/>
    <w:rsid w:val="005C0754"/>
    <w:rsid w:val="005D116C"/>
    <w:rsid w:val="005D43BE"/>
    <w:rsid w:val="005D725C"/>
    <w:rsid w:val="005E029D"/>
    <w:rsid w:val="005E113C"/>
    <w:rsid w:val="005E3E0A"/>
    <w:rsid w:val="005E4C6D"/>
    <w:rsid w:val="005F5AAA"/>
    <w:rsid w:val="00600EF5"/>
    <w:rsid w:val="00602BC0"/>
    <w:rsid w:val="00605D86"/>
    <w:rsid w:val="0060793E"/>
    <w:rsid w:val="00610E5C"/>
    <w:rsid w:val="006127FA"/>
    <w:rsid w:val="00613A43"/>
    <w:rsid w:val="00622FEC"/>
    <w:rsid w:val="00631FCE"/>
    <w:rsid w:val="006362D7"/>
    <w:rsid w:val="00640DDC"/>
    <w:rsid w:val="00643521"/>
    <w:rsid w:val="00644310"/>
    <w:rsid w:val="006447DD"/>
    <w:rsid w:val="00644AAC"/>
    <w:rsid w:val="006475EB"/>
    <w:rsid w:val="00650E3A"/>
    <w:rsid w:val="006518C1"/>
    <w:rsid w:val="00651E31"/>
    <w:rsid w:val="00653AC0"/>
    <w:rsid w:val="006540A7"/>
    <w:rsid w:val="00655E49"/>
    <w:rsid w:val="0065642C"/>
    <w:rsid w:val="00667278"/>
    <w:rsid w:val="00671AB8"/>
    <w:rsid w:val="006739F2"/>
    <w:rsid w:val="0068130E"/>
    <w:rsid w:val="00681399"/>
    <w:rsid w:val="00683B9E"/>
    <w:rsid w:val="00685064"/>
    <w:rsid w:val="00691B0A"/>
    <w:rsid w:val="00692831"/>
    <w:rsid w:val="00692EF5"/>
    <w:rsid w:val="00695635"/>
    <w:rsid w:val="00696000"/>
    <w:rsid w:val="0069740A"/>
    <w:rsid w:val="006978F1"/>
    <w:rsid w:val="006A0AEC"/>
    <w:rsid w:val="006A1343"/>
    <w:rsid w:val="006A1A15"/>
    <w:rsid w:val="006A5028"/>
    <w:rsid w:val="006A6AFE"/>
    <w:rsid w:val="006A6FBE"/>
    <w:rsid w:val="006B0283"/>
    <w:rsid w:val="006B0EF2"/>
    <w:rsid w:val="006B56A9"/>
    <w:rsid w:val="006B57D2"/>
    <w:rsid w:val="006B7DB2"/>
    <w:rsid w:val="006C1DB9"/>
    <w:rsid w:val="006C23E4"/>
    <w:rsid w:val="006C2999"/>
    <w:rsid w:val="006C2F3B"/>
    <w:rsid w:val="006C3878"/>
    <w:rsid w:val="006C4A2D"/>
    <w:rsid w:val="006C670C"/>
    <w:rsid w:val="006C6CD3"/>
    <w:rsid w:val="006C6ED9"/>
    <w:rsid w:val="006C786C"/>
    <w:rsid w:val="006D0B7D"/>
    <w:rsid w:val="006D40C0"/>
    <w:rsid w:val="006D6133"/>
    <w:rsid w:val="006E0A3E"/>
    <w:rsid w:val="006E15FF"/>
    <w:rsid w:val="006E2340"/>
    <w:rsid w:val="006E3651"/>
    <w:rsid w:val="006E499A"/>
    <w:rsid w:val="006E5DC3"/>
    <w:rsid w:val="006E7794"/>
    <w:rsid w:val="006F645C"/>
    <w:rsid w:val="006F7FDB"/>
    <w:rsid w:val="00700C8A"/>
    <w:rsid w:val="00700EA1"/>
    <w:rsid w:val="00703FD9"/>
    <w:rsid w:val="007060F6"/>
    <w:rsid w:val="007078F8"/>
    <w:rsid w:val="00707AF5"/>
    <w:rsid w:val="00711B57"/>
    <w:rsid w:val="00711E29"/>
    <w:rsid w:val="00713A0B"/>
    <w:rsid w:val="00720B26"/>
    <w:rsid w:val="0072283B"/>
    <w:rsid w:val="007232D4"/>
    <w:rsid w:val="007245CA"/>
    <w:rsid w:val="0072507A"/>
    <w:rsid w:val="00731280"/>
    <w:rsid w:val="00733826"/>
    <w:rsid w:val="007370EC"/>
    <w:rsid w:val="0074315E"/>
    <w:rsid w:val="007457D1"/>
    <w:rsid w:val="00745B68"/>
    <w:rsid w:val="00756677"/>
    <w:rsid w:val="00756B5F"/>
    <w:rsid w:val="00760D49"/>
    <w:rsid w:val="007626C8"/>
    <w:rsid w:val="00763729"/>
    <w:rsid w:val="007640DA"/>
    <w:rsid w:val="0076650F"/>
    <w:rsid w:val="00766B29"/>
    <w:rsid w:val="00770B3B"/>
    <w:rsid w:val="00772A39"/>
    <w:rsid w:val="00774179"/>
    <w:rsid w:val="00775B6D"/>
    <w:rsid w:val="00776764"/>
    <w:rsid w:val="00776F23"/>
    <w:rsid w:val="00782ED7"/>
    <w:rsid w:val="00783C48"/>
    <w:rsid w:val="00784A2D"/>
    <w:rsid w:val="00784EB5"/>
    <w:rsid w:val="00785376"/>
    <w:rsid w:val="00785FE9"/>
    <w:rsid w:val="00791855"/>
    <w:rsid w:val="00792303"/>
    <w:rsid w:val="007927F4"/>
    <w:rsid w:val="0079570A"/>
    <w:rsid w:val="00795E96"/>
    <w:rsid w:val="007A21BB"/>
    <w:rsid w:val="007A25C2"/>
    <w:rsid w:val="007A4344"/>
    <w:rsid w:val="007A4A1B"/>
    <w:rsid w:val="007A52C0"/>
    <w:rsid w:val="007A674A"/>
    <w:rsid w:val="007A7360"/>
    <w:rsid w:val="007A7BA0"/>
    <w:rsid w:val="007A7DE7"/>
    <w:rsid w:val="007B09D9"/>
    <w:rsid w:val="007B3BE6"/>
    <w:rsid w:val="007B3D2D"/>
    <w:rsid w:val="007B47BB"/>
    <w:rsid w:val="007B66A7"/>
    <w:rsid w:val="007B6F55"/>
    <w:rsid w:val="007C0241"/>
    <w:rsid w:val="007C1466"/>
    <w:rsid w:val="007C1BBF"/>
    <w:rsid w:val="007C2524"/>
    <w:rsid w:val="007C43BD"/>
    <w:rsid w:val="007C4842"/>
    <w:rsid w:val="007C5F17"/>
    <w:rsid w:val="007C759A"/>
    <w:rsid w:val="007D0E07"/>
    <w:rsid w:val="007D4B34"/>
    <w:rsid w:val="007E48EE"/>
    <w:rsid w:val="007E697C"/>
    <w:rsid w:val="007F0160"/>
    <w:rsid w:val="007F149E"/>
    <w:rsid w:val="007F218D"/>
    <w:rsid w:val="007F2FF7"/>
    <w:rsid w:val="007F3CB6"/>
    <w:rsid w:val="007F4FDE"/>
    <w:rsid w:val="007F61A8"/>
    <w:rsid w:val="007F640B"/>
    <w:rsid w:val="00800639"/>
    <w:rsid w:val="00800AE2"/>
    <w:rsid w:val="00800FEA"/>
    <w:rsid w:val="008027A9"/>
    <w:rsid w:val="0080402B"/>
    <w:rsid w:val="00804812"/>
    <w:rsid w:val="00805DCC"/>
    <w:rsid w:val="00812AB1"/>
    <w:rsid w:val="00815D39"/>
    <w:rsid w:val="00820674"/>
    <w:rsid w:val="00820D58"/>
    <w:rsid w:val="00823BDD"/>
    <w:rsid w:val="00826141"/>
    <w:rsid w:val="00831230"/>
    <w:rsid w:val="00837359"/>
    <w:rsid w:val="00840AAD"/>
    <w:rsid w:val="0084159B"/>
    <w:rsid w:val="008417D4"/>
    <w:rsid w:val="00841AF4"/>
    <w:rsid w:val="00842206"/>
    <w:rsid w:val="008445C3"/>
    <w:rsid w:val="00844CF6"/>
    <w:rsid w:val="00850B1E"/>
    <w:rsid w:val="00851EB0"/>
    <w:rsid w:val="00854213"/>
    <w:rsid w:val="00857756"/>
    <w:rsid w:val="00857D25"/>
    <w:rsid w:val="00860B3C"/>
    <w:rsid w:val="00862735"/>
    <w:rsid w:val="00862BE2"/>
    <w:rsid w:val="00864B23"/>
    <w:rsid w:val="00866ADA"/>
    <w:rsid w:val="008717E5"/>
    <w:rsid w:val="008723AB"/>
    <w:rsid w:val="00875A8C"/>
    <w:rsid w:val="00876577"/>
    <w:rsid w:val="00877BA5"/>
    <w:rsid w:val="008801AE"/>
    <w:rsid w:val="00881A67"/>
    <w:rsid w:val="008825E4"/>
    <w:rsid w:val="00884C7C"/>
    <w:rsid w:val="008854ED"/>
    <w:rsid w:val="00893164"/>
    <w:rsid w:val="00895046"/>
    <w:rsid w:val="008A0030"/>
    <w:rsid w:val="008A20D3"/>
    <w:rsid w:val="008A3714"/>
    <w:rsid w:val="008A382F"/>
    <w:rsid w:val="008A38B1"/>
    <w:rsid w:val="008A5236"/>
    <w:rsid w:val="008A68DD"/>
    <w:rsid w:val="008B0A7C"/>
    <w:rsid w:val="008B118D"/>
    <w:rsid w:val="008B19D2"/>
    <w:rsid w:val="008B1B0F"/>
    <w:rsid w:val="008B1D06"/>
    <w:rsid w:val="008B2290"/>
    <w:rsid w:val="008B2466"/>
    <w:rsid w:val="008B321A"/>
    <w:rsid w:val="008C1037"/>
    <w:rsid w:val="008C206B"/>
    <w:rsid w:val="008C3E3B"/>
    <w:rsid w:val="008C5906"/>
    <w:rsid w:val="008D08F3"/>
    <w:rsid w:val="008D18EB"/>
    <w:rsid w:val="008D48DE"/>
    <w:rsid w:val="008D490B"/>
    <w:rsid w:val="008D6834"/>
    <w:rsid w:val="008D6DB6"/>
    <w:rsid w:val="008D6E39"/>
    <w:rsid w:val="008E1FA6"/>
    <w:rsid w:val="008E5837"/>
    <w:rsid w:val="008E72FE"/>
    <w:rsid w:val="008E7759"/>
    <w:rsid w:val="008F6802"/>
    <w:rsid w:val="008F6900"/>
    <w:rsid w:val="00901098"/>
    <w:rsid w:val="00902808"/>
    <w:rsid w:val="00903A4A"/>
    <w:rsid w:val="00905620"/>
    <w:rsid w:val="00905DB9"/>
    <w:rsid w:val="00905F90"/>
    <w:rsid w:val="00906877"/>
    <w:rsid w:val="009117D2"/>
    <w:rsid w:val="00911D38"/>
    <w:rsid w:val="00912E05"/>
    <w:rsid w:val="009152BC"/>
    <w:rsid w:val="009203D2"/>
    <w:rsid w:val="0092542F"/>
    <w:rsid w:val="0092551A"/>
    <w:rsid w:val="009258E4"/>
    <w:rsid w:val="009268E5"/>
    <w:rsid w:val="00926BE3"/>
    <w:rsid w:val="00926D40"/>
    <w:rsid w:val="0092752A"/>
    <w:rsid w:val="00927F54"/>
    <w:rsid w:val="009306BC"/>
    <w:rsid w:val="0093288E"/>
    <w:rsid w:val="00933FBD"/>
    <w:rsid w:val="009342CF"/>
    <w:rsid w:val="00937978"/>
    <w:rsid w:val="00940506"/>
    <w:rsid w:val="009415FB"/>
    <w:rsid w:val="00941ECE"/>
    <w:rsid w:val="00943CAD"/>
    <w:rsid w:val="00944D2B"/>
    <w:rsid w:val="0094723A"/>
    <w:rsid w:val="0094741B"/>
    <w:rsid w:val="00954A09"/>
    <w:rsid w:val="00955F9B"/>
    <w:rsid w:val="00960C47"/>
    <w:rsid w:val="009614EE"/>
    <w:rsid w:val="00964089"/>
    <w:rsid w:val="00965577"/>
    <w:rsid w:val="009656DB"/>
    <w:rsid w:val="00967A1B"/>
    <w:rsid w:val="00970D1D"/>
    <w:rsid w:val="00971D4D"/>
    <w:rsid w:val="00973E07"/>
    <w:rsid w:val="00974658"/>
    <w:rsid w:val="00975D9D"/>
    <w:rsid w:val="00976B46"/>
    <w:rsid w:val="009808F2"/>
    <w:rsid w:val="00980FA5"/>
    <w:rsid w:val="00981F23"/>
    <w:rsid w:val="009823E1"/>
    <w:rsid w:val="009839A5"/>
    <w:rsid w:val="0098523B"/>
    <w:rsid w:val="00985689"/>
    <w:rsid w:val="009869F7"/>
    <w:rsid w:val="00986B0F"/>
    <w:rsid w:val="00992569"/>
    <w:rsid w:val="00994655"/>
    <w:rsid w:val="00996462"/>
    <w:rsid w:val="009A1215"/>
    <w:rsid w:val="009A396D"/>
    <w:rsid w:val="009A4E59"/>
    <w:rsid w:val="009A5257"/>
    <w:rsid w:val="009A5C64"/>
    <w:rsid w:val="009A66FB"/>
    <w:rsid w:val="009A79E6"/>
    <w:rsid w:val="009B0A38"/>
    <w:rsid w:val="009B2AAD"/>
    <w:rsid w:val="009B5556"/>
    <w:rsid w:val="009B6520"/>
    <w:rsid w:val="009B6E61"/>
    <w:rsid w:val="009B70E4"/>
    <w:rsid w:val="009C058C"/>
    <w:rsid w:val="009C34B9"/>
    <w:rsid w:val="009C4078"/>
    <w:rsid w:val="009C4C4D"/>
    <w:rsid w:val="009C506F"/>
    <w:rsid w:val="009C5D13"/>
    <w:rsid w:val="009D051E"/>
    <w:rsid w:val="009D0DE9"/>
    <w:rsid w:val="009D14CE"/>
    <w:rsid w:val="009D2F74"/>
    <w:rsid w:val="009D5164"/>
    <w:rsid w:val="009D6A53"/>
    <w:rsid w:val="009D6C0F"/>
    <w:rsid w:val="009E0680"/>
    <w:rsid w:val="009E35B5"/>
    <w:rsid w:val="009E52B1"/>
    <w:rsid w:val="009E5931"/>
    <w:rsid w:val="009E7335"/>
    <w:rsid w:val="009F38CC"/>
    <w:rsid w:val="009F42C3"/>
    <w:rsid w:val="009F46E0"/>
    <w:rsid w:val="009F56A9"/>
    <w:rsid w:val="00A0078B"/>
    <w:rsid w:val="00A038CD"/>
    <w:rsid w:val="00A0542F"/>
    <w:rsid w:val="00A06ED5"/>
    <w:rsid w:val="00A13112"/>
    <w:rsid w:val="00A1558E"/>
    <w:rsid w:val="00A17F7B"/>
    <w:rsid w:val="00A207A4"/>
    <w:rsid w:val="00A20EA4"/>
    <w:rsid w:val="00A22AF6"/>
    <w:rsid w:val="00A25BA8"/>
    <w:rsid w:val="00A30E40"/>
    <w:rsid w:val="00A31E84"/>
    <w:rsid w:val="00A32F98"/>
    <w:rsid w:val="00A340A7"/>
    <w:rsid w:val="00A35A3B"/>
    <w:rsid w:val="00A36572"/>
    <w:rsid w:val="00A40688"/>
    <w:rsid w:val="00A40B26"/>
    <w:rsid w:val="00A43378"/>
    <w:rsid w:val="00A43C1E"/>
    <w:rsid w:val="00A44ADF"/>
    <w:rsid w:val="00A45BFF"/>
    <w:rsid w:val="00A51A82"/>
    <w:rsid w:val="00A52E72"/>
    <w:rsid w:val="00A558FE"/>
    <w:rsid w:val="00A63A42"/>
    <w:rsid w:val="00A6429C"/>
    <w:rsid w:val="00A64ACA"/>
    <w:rsid w:val="00A650B0"/>
    <w:rsid w:val="00A70D8D"/>
    <w:rsid w:val="00A72A79"/>
    <w:rsid w:val="00A743E7"/>
    <w:rsid w:val="00A75299"/>
    <w:rsid w:val="00A7710D"/>
    <w:rsid w:val="00A81228"/>
    <w:rsid w:val="00A862E9"/>
    <w:rsid w:val="00A864FE"/>
    <w:rsid w:val="00A87EFE"/>
    <w:rsid w:val="00A90748"/>
    <w:rsid w:val="00A90F9F"/>
    <w:rsid w:val="00A92222"/>
    <w:rsid w:val="00A93066"/>
    <w:rsid w:val="00A956D0"/>
    <w:rsid w:val="00A96531"/>
    <w:rsid w:val="00A972D0"/>
    <w:rsid w:val="00A972DF"/>
    <w:rsid w:val="00AA315C"/>
    <w:rsid w:val="00AA5BA1"/>
    <w:rsid w:val="00AA63F1"/>
    <w:rsid w:val="00AA6D8F"/>
    <w:rsid w:val="00AB0005"/>
    <w:rsid w:val="00AB1266"/>
    <w:rsid w:val="00AB135B"/>
    <w:rsid w:val="00AB210F"/>
    <w:rsid w:val="00AB2121"/>
    <w:rsid w:val="00AB2759"/>
    <w:rsid w:val="00AB65D4"/>
    <w:rsid w:val="00AC0FB4"/>
    <w:rsid w:val="00AC3723"/>
    <w:rsid w:val="00AC4C0A"/>
    <w:rsid w:val="00AC5A0C"/>
    <w:rsid w:val="00AC6029"/>
    <w:rsid w:val="00AD0ADC"/>
    <w:rsid w:val="00AD0F23"/>
    <w:rsid w:val="00AD3D6B"/>
    <w:rsid w:val="00AD3DC9"/>
    <w:rsid w:val="00AD4B22"/>
    <w:rsid w:val="00AD5BD5"/>
    <w:rsid w:val="00AD6C06"/>
    <w:rsid w:val="00AD78F9"/>
    <w:rsid w:val="00AE3415"/>
    <w:rsid w:val="00AE641D"/>
    <w:rsid w:val="00AF0055"/>
    <w:rsid w:val="00AF08CB"/>
    <w:rsid w:val="00AF13FB"/>
    <w:rsid w:val="00AF145B"/>
    <w:rsid w:val="00AF1FC5"/>
    <w:rsid w:val="00AF45DD"/>
    <w:rsid w:val="00AF5517"/>
    <w:rsid w:val="00AF5BD4"/>
    <w:rsid w:val="00AF65D7"/>
    <w:rsid w:val="00AF6B75"/>
    <w:rsid w:val="00AF6B81"/>
    <w:rsid w:val="00B009D5"/>
    <w:rsid w:val="00B0313F"/>
    <w:rsid w:val="00B035EB"/>
    <w:rsid w:val="00B03A60"/>
    <w:rsid w:val="00B07560"/>
    <w:rsid w:val="00B11DDA"/>
    <w:rsid w:val="00B11EC4"/>
    <w:rsid w:val="00B137A2"/>
    <w:rsid w:val="00B16431"/>
    <w:rsid w:val="00B17452"/>
    <w:rsid w:val="00B20011"/>
    <w:rsid w:val="00B20505"/>
    <w:rsid w:val="00B22604"/>
    <w:rsid w:val="00B23F15"/>
    <w:rsid w:val="00B2564A"/>
    <w:rsid w:val="00B25978"/>
    <w:rsid w:val="00B3003B"/>
    <w:rsid w:val="00B3138A"/>
    <w:rsid w:val="00B317C4"/>
    <w:rsid w:val="00B32B22"/>
    <w:rsid w:val="00B340D0"/>
    <w:rsid w:val="00B35596"/>
    <w:rsid w:val="00B35DD7"/>
    <w:rsid w:val="00B37473"/>
    <w:rsid w:val="00B40595"/>
    <w:rsid w:val="00B40D9A"/>
    <w:rsid w:val="00B41412"/>
    <w:rsid w:val="00B41A57"/>
    <w:rsid w:val="00B42405"/>
    <w:rsid w:val="00B4418E"/>
    <w:rsid w:val="00B466CC"/>
    <w:rsid w:val="00B474A5"/>
    <w:rsid w:val="00B51A44"/>
    <w:rsid w:val="00B535FB"/>
    <w:rsid w:val="00B54330"/>
    <w:rsid w:val="00B56362"/>
    <w:rsid w:val="00B57F4D"/>
    <w:rsid w:val="00B646A9"/>
    <w:rsid w:val="00B64951"/>
    <w:rsid w:val="00B70951"/>
    <w:rsid w:val="00B71B79"/>
    <w:rsid w:val="00B745FF"/>
    <w:rsid w:val="00B769EA"/>
    <w:rsid w:val="00B800B1"/>
    <w:rsid w:val="00B81409"/>
    <w:rsid w:val="00B8313B"/>
    <w:rsid w:val="00B8705A"/>
    <w:rsid w:val="00B90C03"/>
    <w:rsid w:val="00B917F0"/>
    <w:rsid w:val="00B919C9"/>
    <w:rsid w:val="00B95AB6"/>
    <w:rsid w:val="00B96280"/>
    <w:rsid w:val="00BA0D44"/>
    <w:rsid w:val="00BA134B"/>
    <w:rsid w:val="00BA20FB"/>
    <w:rsid w:val="00BA3D61"/>
    <w:rsid w:val="00BB27A9"/>
    <w:rsid w:val="00BB28B6"/>
    <w:rsid w:val="00BB2E30"/>
    <w:rsid w:val="00BB4227"/>
    <w:rsid w:val="00BB5466"/>
    <w:rsid w:val="00BB6FAC"/>
    <w:rsid w:val="00BC0705"/>
    <w:rsid w:val="00BC3888"/>
    <w:rsid w:val="00BC742B"/>
    <w:rsid w:val="00BC7959"/>
    <w:rsid w:val="00BD1B21"/>
    <w:rsid w:val="00BD3F6C"/>
    <w:rsid w:val="00BD4A79"/>
    <w:rsid w:val="00BD4E7A"/>
    <w:rsid w:val="00BD544B"/>
    <w:rsid w:val="00BD5B77"/>
    <w:rsid w:val="00BD6F76"/>
    <w:rsid w:val="00BD77B8"/>
    <w:rsid w:val="00BE04E1"/>
    <w:rsid w:val="00BE11E4"/>
    <w:rsid w:val="00BE28E7"/>
    <w:rsid w:val="00BE47EE"/>
    <w:rsid w:val="00BE5896"/>
    <w:rsid w:val="00BE67A8"/>
    <w:rsid w:val="00BE69B1"/>
    <w:rsid w:val="00BE76CC"/>
    <w:rsid w:val="00BF2D50"/>
    <w:rsid w:val="00BF3554"/>
    <w:rsid w:val="00C01EA9"/>
    <w:rsid w:val="00C02614"/>
    <w:rsid w:val="00C02DFF"/>
    <w:rsid w:val="00C05161"/>
    <w:rsid w:val="00C06A41"/>
    <w:rsid w:val="00C072E8"/>
    <w:rsid w:val="00C12585"/>
    <w:rsid w:val="00C12A0F"/>
    <w:rsid w:val="00C13F99"/>
    <w:rsid w:val="00C16111"/>
    <w:rsid w:val="00C220D3"/>
    <w:rsid w:val="00C31481"/>
    <w:rsid w:val="00C3390C"/>
    <w:rsid w:val="00C34E57"/>
    <w:rsid w:val="00C3562C"/>
    <w:rsid w:val="00C35952"/>
    <w:rsid w:val="00C4067C"/>
    <w:rsid w:val="00C44430"/>
    <w:rsid w:val="00C446AA"/>
    <w:rsid w:val="00C4483C"/>
    <w:rsid w:val="00C44ED8"/>
    <w:rsid w:val="00C46FA2"/>
    <w:rsid w:val="00C567D1"/>
    <w:rsid w:val="00C57704"/>
    <w:rsid w:val="00C6193E"/>
    <w:rsid w:val="00C6522E"/>
    <w:rsid w:val="00C673DB"/>
    <w:rsid w:val="00C67FFC"/>
    <w:rsid w:val="00C703B8"/>
    <w:rsid w:val="00C70B92"/>
    <w:rsid w:val="00C70D81"/>
    <w:rsid w:val="00C719FD"/>
    <w:rsid w:val="00C71B48"/>
    <w:rsid w:val="00C77E0E"/>
    <w:rsid w:val="00C808E7"/>
    <w:rsid w:val="00C84123"/>
    <w:rsid w:val="00C8737C"/>
    <w:rsid w:val="00C90D13"/>
    <w:rsid w:val="00C93CE9"/>
    <w:rsid w:val="00CA32A4"/>
    <w:rsid w:val="00CA3AA6"/>
    <w:rsid w:val="00CA454B"/>
    <w:rsid w:val="00CA4650"/>
    <w:rsid w:val="00CA4D69"/>
    <w:rsid w:val="00CB0094"/>
    <w:rsid w:val="00CB0FE0"/>
    <w:rsid w:val="00CB26DA"/>
    <w:rsid w:val="00CB5BA2"/>
    <w:rsid w:val="00CC0E9B"/>
    <w:rsid w:val="00CC1B19"/>
    <w:rsid w:val="00CC2A6B"/>
    <w:rsid w:val="00CC382A"/>
    <w:rsid w:val="00CC5E1B"/>
    <w:rsid w:val="00CC60CC"/>
    <w:rsid w:val="00CC637E"/>
    <w:rsid w:val="00CC684E"/>
    <w:rsid w:val="00CC69C7"/>
    <w:rsid w:val="00CC6FC0"/>
    <w:rsid w:val="00CD0DE4"/>
    <w:rsid w:val="00CD12A4"/>
    <w:rsid w:val="00CD15BE"/>
    <w:rsid w:val="00CD1CBB"/>
    <w:rsid w:val="00CD36C9"/>
    <w:rsid w:val="00CD378F"/>
    <w:rsid w:val="00CD49A0"/>
    <w:rsid w:val="00CD5781"/>
    <w:rsid w:val="00CD6092"/>
    <w:rsid w:val="00CE06E6"/>
    <w:rsid w:val="00CE3864"/>
    <w:rsid w:val="00CF1572"/>
    <w:rsid w:val="00CF1FB8"/>
    <w:rsid w:val="00CF451B"/>
    <w:rsid w:val="00CF4EEF"/>
    <w:rsid w:val="00D00534"/>
    <w:rsid w:val="00D07437"/>
    <w:rsid w:val="00D1050E"/>
    <w:rsid w:val="00D124D8"/>
    <w:rsid w:val="00D12A98"/>
    <w:rsid w:val="00D23516"/>
    <w:rsid w:val="00D24519"/>
    <w:rsid w:val="00D25DAD"/>
    <w:rsid w:val="00D263C4"/>
    <w:rsid w:val="00D27EA1"/>
    <w:rsid w:val="00D30CD3"/>
    <w:rsid w:val="00D325C0"/>
    <w:rsid w:val="00D328CA"/>
    <w:rsid w:val="00D3549A"/>
    <w:rsid w:val="00D355C3"/>
    <w:rsid w:val="00D35866"/>
    <w:rsid w:val="00D364EA"/>
    <w:rsid w:val="00D45052"/>
    <w:rsid w:val="00D45891"/>
    <w:rsid w:val="00D47447"/>
    <w:rsid w:val="00D51956"/>
    <w:rsid w:val="00D54B6A"/>
    <w:rsid w:val="00D555D0"/>
    <w:rsid w:val="00D5628B"/>
    <w:rsid w:val="00D57208"/>
    <w:rsid w:val="00D5757A"/>
    <w:rsid w:val="00D575C4"/>
    <w:rsid w:val="00D57688"/>
    <w:rsid w:val="00D62494"/>
    <w:rsid w:val="00D62592"/>
    <w:rsid w:val="00D63FBC"/>
    <w:rsid w:val="00D64713"/>
    <w:rsid w:val="00D72542"/>
    <w:rsid w:val="00D750C3"/>
    <w:rsid w:val="00D801A1"/>
    <w:rsid w:val="00D8341C"/>
    <w:rsid w:val="00D85385"/>
    <w:rsid w:val="00D855F7"/>
    <w:rsid w:val="00D859A4"/>
    <w:rsid w:val="00D901A3"/>
    <w:rsid w:val="00D918C0"/>
    <w:rsid w:val="00D96648"/>
    <w:rsid w:val="00D96A0A"/>
    <w:rsid w:val="00D972DA"/>
    <w:rsid w:val="00D9783A"/>
    <w:rsid w:val="00D97EEC"/>
    <w:rsid w:val="00DA10E2"/>
    <w:rsid w:val="00DA1782"/>
    <w:rsid w:val="00DA1BB5"/>
    <w:rsid w:val="00DA375E"/>
    <w:rsid w:val="00DA39EF"/>
    <w:rsid w:val="00DA3DF9"/>
    <w:rsid w:val="00DA546E"/>
    <w:rsid w:val="00DA58EB"/>
    <w:rsid w:val="00DB0C44"/>
    <w:rsid w:val="00DB2509"/>
    <w:rsid w:val="00DB356D"/>
    <w:rsid w:val="00DB418A"/>
    <w:rsid w:val="00DB47DA"/>
    <w:rsid w:val="00DB4EBD"/>
    <w:rsid w:val="00DB5695"/>
    <w:rsid w:val="00DB5802"/>
    <w:rsid w:val="00DB5A54"/>
    <w:rsid w:val="00DC3194"/>
    <w:rsid w:val="00DC47C7"/>
    <w:rsid w:val="00DC6028"/>
    <w:rsid w:val="00DC697F"/>
    <w:rsid w:val="00DC6E10"/>
    <w:rsid w:val="00DD0563"/>
    <w:rsid w:val="00DD2B00"/>
    <w:rsid w:val="00DD35F6"/>
    <w:rsid w:val="00DD3ADA"/>
    <w:rsid w:val="00DD3CCD"/>
    <w:rsid w:val="00DD54A1"/>
    <w:rsid w:val="00DD5B18"/>
    <w:rsid w:val="00DD647D"/>
    <w:rsid w:val="00DE1768"/>
    <w:rsid w:val="00DE5431"/>
    <w:rsid w:val="00DF0AD9"/>
    <w:rsid w:val="00DF351A"/>
    <w:rsid w:val="00DF3546"/>
    <w:rsid w:val="00DF3674"/>
    <w:rsid w:val="00DF37B5"/>
    <w:rsid w:val="00E00EE3"/>
    <w:rsid w:val="00E01EC2"/>
    <w:rsid w:val="00E07032"/>
    <w:rsid w:val="00E076D2"/>
    <w:rsid w:val="00E07AAC"/>
    <w:rsid w:val="00E1720D"/>
    <w:rsid w:val="00E20EE6"/>
    <w:rsid w:val="00E21949"/>
    <w:rsid w:val="00E21BE9"/>
    <w:rsid w:val="00E269E8"/>
    <w:rsid w:val="00E27D77"/>
    <w:rsid w:val="00E3010B"/>
    <w:rsid w:val="00E3177B"/>
    <w:rsid w:val="00E345ED"/>
    <w:rsid w:val="00E347C7"/>
    <w:rsid w:val="00E35C96"/>
    <w:rsid w:val="00E35F12"/>
    <w:rsid w:val="00E365A9"/>
    <w:rsid w:val="00E36DCF"/>
    <w:rsid w:val="00E404AB"/>
    <w:rsid w:val="00E4644A"/>
    <w:rsid w:val="00E507E0"/>
    <w:rsid w:val="00E50E83"/>
    <w:rsid w:val="00E521C0"/>
    <w:rsid w:val="00E567C0"/>
    <w:rsid w:val="00E6120F"/>
    <w:rsid w:val="00E6171A"/>
    <w:rsid w:val="00E624A1"/>
    <w:rsid w:val="00E659A7"/>
    <w:rsid w:val="00E66DE2"/>
    <w:rsid w:val="00E67696"/>
    <w:rsid w:val="00E712B7"/>
    <w:rsid w:val="00E719D9"/>
    <w:rsid w:val="00E72D9B"/>
    <w:rsid w:val="00E7569C"/>
    <w:rsid w:val="00E80780"/>
    <w:rsid w:val="00E84787"/>
    <w:rsid w:val="00E85A23"/>
    <w:rsid w:val="00E8632A"/>
    <w:rsid w:val="00E864AD"/>
    <w:rsid w:val="00E95761"/>
    <w:rsid w:val="00E95A81"/>
    <w:rsid w:val="00E978AD"/>
    <w:rsid w:val="00EA0EA9"/>
    <w:rsid w:val="00EA299D"/>
    <w:rsid w:val="00EA36EE"/>
    <w:rsid w:val="00EA39C7"/>
    <w:rsid w:val="00EA4283"/>
    <w:rsid w:val="00EB07E1"/>
    <w:rsid w:val="00EB0B63"/>
    <w:rsid w:val="00EB1086"/>
    <w:rsid w:val="00EB1383"/>
    <w:rsid w:val="00EB17DE"/>
    <w:rsid w:val="00EB3D23"/>
    <w:rsid w:val="00EB4E18"/>
    <w:rsid w:val="00EB6360"/>
    <w:rsid w:val="00EB72F5"/>
    <w:rsid w:val="00EC01E3"/>
    <w:rsid w:val="00EC01F7"/>
    <w:rsid w:val="00EC0D70"/>
    <w:rsid w:val="00EC3BF8"/>
    <w:rsid w:val="00EC4F91"/>
    <w:rsid w:val="00EC5EE8"/>
    <w:rsid w:val="00EC6316"/>
    <w:rsid w:val="00ED0B6A"/>
    <w:rsid w:val="00ED6307"/>
    <w:rsid w:val="00ED63CA"/>
    <w:rsid w:val="00EE4B01"/>
    <w:rsid w:val="00EE7DE8"/>
    <w:rsid w:val="00EF1045"/>
    <w:rsid w:val="00EF2A57"/>
    <w:rsid w:val="00EF3504"/>
    <w:rsid w:val="00EF3868"/>
    <w:rsid w:val="00EF456C"/>
    <w:rsid w:val="00F01D27"/>
    <w:rsid w:val="00F029B2"/>
    <w:rsid w:val="00F06F9B"/>
    <w:rsid w:val="00F07568"/>
    <w:rsid w:val="00F119FE"/>
    <w:rsid w:val="00F1242A"/>
    <w:rsid w:val="00F12E10"/>
    <w:rsid w:val="00F137C3"/>
    <w:rsid w:val="00F20403"/>
    <w:rsid w:val="00F238A0"/>
    <w:rsid w:val="00F31595"/>
    <w:rsid w:val="00F31905"/>
    <w:rsid w:val="00F33BBD"/>
    <w:rsid w:val="00F35D9C"/>
    <w:rsid w:val="00F37B66"/>
    <w:rsid w:val="00F40470"/>
    <w:rsid w:val="00F42CC1"/>
    <w:rsid w:val="00F45773"/>
    <w:rsid w:val="00F46312"/>
    <w:rsid w:val="00F525BF"/>
    <w:rsid w:val="00F56221"/>
    <w:rsid w:val="00F57FB1"/>
    <w:rsid w:val="00F61CEA"/>
    <w:rsid w:val="00F61D62"/>
    <w:rsid w:val="00F6348E"/>
    <w:rsid w:val="00F653EA"/>
    <w:rsid w:val="00F66CC9"/>
    <w:rsid w:val="00F671DA"/>
    <w:rsid w:val="00F70954"/>
    <w:rsid w:val="00F70B01"/>
    <w:rsid w:val="00F70CC2"/>
    <w:rsid w:val="00F7176A"/>
    <w:rsid w:val="00F72563"/>
    <w:rsid w:val="00F73AB2"/>
    <w:rsid w:val="00F74DB2"/>
    <w:rsid w:val="00F76C8D"/>
    <w:rsid w:val="00F77524"/>
    <w:rsid w:val="00F775FE"/>
    <w:rsid w:val="00F816B7"/>
    <w:rsid w:val="00F8192A"/>
    <w:rsid w:val="00F81DB9"/>
    <w:rsid w:val="00F81ECD"/>
    <w:rsid w:val="00F8248B"/>
    <w:rsid w:val="00F83BA6"/>
    <w:rsid w:val="00F878CD"/>
    <w:rsid w:val="00F92751"/>
    <w:rsid w:val="00F97F50"/>
    <w:rsid w:val="00FA3118"/>
    <w:rsid w:val="00FA3F27"/>
    <w:rsid w:val="00FA46B2"/>
    <w:rsid w:val="00FA56EF"/>
    <w:rsid w:val="00FA5FB2"/>
    <w:rsid w:val="00FA6025"/>
    <w:rsid w:val="00FA74D2"/>
    <w:rsid w:val="00FA7641"/>
    <w:rsid w:val="00FB2561"/>
    <w:rsid w:val="00FB360B"/>
    <w:rsid w:val="00FB5F12"/>
    <w:rsid w:val="00FB60C6"/>
    <w:rsid w:val="00FB7CE6"/>
    <w:rsid w:val="00FC0322"/>
    <w:rsid w:val="00FC0ED1"/>
    <w:rsid w:val="00FC20EB"/>
    <w:rsid w:val="00FC451C"/>
    <w:rsid w:val="00FC4A45"/>
    <w:rsid w:val="00FC78F5"/>
    <w:rsid w:val="00FD0024"/>
    <w:rsid w:val="00FD08FD"/>
    <w:rsid w:val="00FD727A"/>
    <w:rsid w:val="00FE2DE9"/>
    <w:rsid w:val="00FE4B37"/>
    <w:rsid w:val="00FE68B6"/>
    <w:rsid w:val="00FF0BE1"/>
    <w:rsid w:val="00FF1A64"/>
    <w:rsid w:val="00FF2247"/>
    <w:rsid w:val="00FF27B5"/>
    <w:rsid w:val="00FF2A0C"/>
    <w:rsid w:val="00FF541A"/>
    <w:rsid w:val="00FF74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284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A63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00C8A"/>
    <w:pPr>
      <w:spacing w:after="0" w:line="240" w:lineRule="auto"/>
    </w:pPr>
    <w:rPr>
      <w:sz w:val="20"/>
      <w:szCs w:val="20"/>
    </w:rPr>
  </w:style>
  <w:style w:type="character" w:customStyle="1" w:styleId="FootnoteTextChar">
    <w:name w:val="Footnote Text Char"/>
    <w:basedOn w:val="DefaultParagraphFont"/>
    <w:link w:val="FootnoteText"/>
    <w:uiPriority w:val="99"/>
    <w:rsid w:val="00700C8A"/>
    <w:rPr>
      <w:sz w:val="20"/>
      <w:szCs w:val="20"/>
    </w:rPr>
  </w:style>
  <w:style w:type="character" w:styleId="FootnoteReference">
    <w:name w:val="footnote reference"/>
    <w:basedOn w:val="DefaultParagraphFont"/>
    <w:uiPriority w:val="99"/>
    <w:semiHidden/>
    <w:unhideWhenUsed/>
    <w:rsid w:val="00700C8A"/>
    <w:rPr>
      <w:vertAlign w:val="superscript"/>
    </w:rPr>
  </w:style>
  <w:style w:type="character" w:styleId="Emphasis">
    <w:name w:val="Emphasis"/>
    <w:basedOn w:val="DefaultParagraphFont"/>
    <w:uiPriority w:val="20"/>
    <w:qFormat/>
    <w:rsid w:val="004314FE"/>
    <w:rPr>
      <w:i/>
      <w:iCs/>
    </w:rPr>
  </w:style>
  <w:style w:type="character" w:customStyle="1" w:styleId="Heading1Char">
    <w:name w:val="Heading 1 Char"/>
    <w:basedOn w:val="DefaultParagraphFont"/>
    <w:link w:val="Heading1"/>
    <w:uiPriority w:val="9"/>
    <w:rsid w:val="00AA63F1"/>
    <w:rPr>
      <w:rFonts w:ascii="Times New Roman" w:eastAsia="Times New Roman" w:hAnsi="Times New Roman" w:cs="Times New Roman"/>
      <w:b/>
      <w:bCs/>
      <w:kern w:val="36"/>
      <w:sz w:val="48"/>
      <w:szCs w:val="48"/>
      <w:lang w:eastAsia="it-IT"/>
    </w:rPr>
  </w:style>
  <w:style w:type="character" w:customStyle="1" w:styleId="fn">
    <w:name w:val="fn"/>
    <w:basedOn w:val="DefaultParagraphFont"/>
    <w:rsid w:val="00AA63F1"/>
  </w:style>
  <w:style w:type="paragraph" w:styleId="NormalWeb">
    <w:name w:val="Normal (Web)"/>
    <w:basedOn w:val="Normal"/>
    <w:uiPriority w:val="99"/>
    <w:semiHidden/>
    <w:unhideWhenUsed/>
    <w:rsid w:val="002237A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Header">
    <w:name w:val="header"/>
    <w:basedOn w:val="Normal"/>
    <w:link w:val="HeaderChar"/>
    <w:uiPriority w:val="99"/>
    <w:unhideWhenUsed/>
    <w:rsid w:val="003D7A57"/>
    <w:pPr>
      <w:tabs>
        <w:tab w:val="center" w:pos="4819"/>
        <w:tab w:val="right" w:pos="9638"/>
      </w:tabs>
      <w:spacing w:after="0" w:line="240" w:lineRule="auto"/>
    </w:pPr>
  </w:style>
  <w:style w:type="character" w:customStyle="1" w:styleId="HeaderChar">
    <w:name w:val="Header Char"/>
    <w:basedOn w:val="DefaultParagraphFont"/>
    <w:link w:val="Header"/>
    <w:uiPriority w:val="99"/>
    <w:rsid w:val="003D7A57"/>
  </w:style>
  <w:style w:type="paragraph" w:styleId="Footer">
    <w:name w:val="footer"/>
    <w:basedOn w:val="Normal"/>
    <w:link w:val="FooterChar"/>
    <w:uiPriority w:val="99"/>
    <w:unhideWhenUsed/>
    <w:rsid w:val="003D7A57"/>
    <w:pPr>
      <w:tabs>
        <w:tab w:val="center" w:pos="4819"/>
        <w:tab w:val="right" w:pos="9638"/>
      </w:tabs>
      <w:spacing w:after="0" w:line="240" w:lineRule="auto"/>
    </w:pPr>
  </w:style>
  <w:style w:type="character" w:customStyle="1" w:styleId="FooterChar">
    <w:name w:val="Footer Char"/>
    <w:basedOn w:val="DefaultParagraphFont"/>
    <w:link w:val="Footer"/>
    <w:uiPriority w:val="99"/>
    <w:rsid w:val="003D7A57"/>
  </w:style>
  <w:style w:type="paragraph" w:styleId="BalloonText">
    <w:name w:val="Balloon Text"/>
    <w:basedOn w:val="Normal"/>
    <w:link w:val="BalloonTextChar"/>
    <w:uiPriority w:val="99"/>
    <w:semiHidden/>
    <w:unhideWhenUsed/>
    <w:rsid w:val="003D7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A57"/>
    <w:rPr>
      <w:rFonts w:ascii="Tahoma" w:hAnsi="Tahoma" w:cs="Tahoma"/>
      <w:sz w:val="16"/>
      <w:szCs w:val="16"/>
    </w:rPr>
  </w:style>
  <w:style w:type="character" w:styleId="CommentReference">
    <w:name w:val="annotation reference"/>
    <w:basedOn w:val="DefaultParagraphFont"/>
    <w:uiPriority w:val="99"/>
    <w:semiHidden/>
    <w:unhideWhenUsed/>
    <w:rsid w:val="00487C6A"/>
    <w:rPr>
      <w:sz w:val="16"/>
      <w:szCs w:val="16"/>
    </w:rPr>
  </w:style>
  <w:style w:type="paragraph" w:styleId="CommentText">
    <w:name w:val="annotation text"/>
    <w:basedOn w:val="Normal"/>
    <w:link w:val="CommentTextChar"/>
    <w:uiPriority w:val="99"/>
    <w:semiHidden/>
    <w:unhideWhenUsed/>
    <w:rsid w:val="00487C6A"/>
    <w:pPr>
      <w:spacing w:line="240" w:lineRule="auto"/>
    </w:pPr>
    <w:rPr>
      <w:sz w:val="20"/>
      <w:szCs w:val="20"/>
    </w:rPr>
  </w:style>
  <w:style w:type="character" w:customStyle="1" w:styleId="CommentTextChar">
    <w:name w:val="Comment Text Char"/>
    <w:basedOn w:val="DefaultParagraphFont"/>
    <w:link w:val="CommentText"/>
    <w:uiPriority w:val="99"/>
    <w:semiHidden/>
    <w:rsid w:val="00487C6A"/>
    <w:rPr>
      <w:sz w:val="20"/>
      <w:szCs w:val="20"/>
    </w:rPr>
  </w:style>
  <w:style w:type="paragraph" w:styleId="CommentSubject">
    <w:name w:val="annotation subject"/>
    <w:basedOn w:val="CommentText"/>
    <w:next w:val="CommentText"/>
    <w:link w:val="CommentSubjectChar"/>
    <w:uiPriority w:val="99"/>
    <w:semiHidden/>
    <w:unhideWhenUsed/>
    <w:rsid w:val="00487C6A"/>
    <w:rPr>
      <w:b/>
      <w:bCs/>
    </w:rPr>
  </w:style>
  <w:style w:type="character" w:customStyle="1" w:styleId="CommentSubjectChar">
    <w:name w:val="Comment Subject Char"/>
    <w:basedOn w:val="CommentTextChar"/>
    <w:link w:val="CommentSubject"/>
    <w:uiPriority w:val="99"/>
    <w:semiHidden/>
    <w:rsid w:val="00487C6A"/>
    <w:rPr>
      <w:b/>
      <w:bCs/>
      <w:sz w:val="20"/>
      <w:szCs w:val="20"/>
    </w:rPr>
  </w:style>
  <w:style w:type="paragraph" w:styleId="ListParagraph">
    <w:name w:val="List Paragraph"/>
    <w:basedOn w:val="Normal"/>
    <w:uiPriority w:val="34"/>
    <w:qFormat/>
    <w:rsid w:val="004C3D3B"/>
    <w:pPr>
      <w:ind w:left="720"/>
      <w:contextualSpacing/>
    </w:pPr>
  </w:style>
  <w:style w:type="character" w:styleId="Hyperlink">
    <w:name w:val="Hyperlink"/>
    <w:basedOn w:val="DefaultParagraphFont"/>
    <w:uiPriority w:val="99"/>
    <w:unhideWhenUsed/>
    <w:rsid w:val="00AF45D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A63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00C8A"/>
    <w:pPr>
      <w:spacing w:after="0" w:line="240" w:lineRule="auto"/>
    </w:pPr>
    <w:rPr>
      <w:sz w:val="20"/>
      <w:szCs w:val="20"/>
    </w:rPr>
  </w:style>
  <w:style w:type="character" w:customStyle="1" w:styleId="FootnoteTextChar">
    <w:name w:val="Footnote Text Char"/>
    <w:basedOn w:val="DefaultParagraphFont"/>
    <w:link w:val="FootnoteText"/>
    <w:uiPriority w:val="99"/>
    <w:rsid w:val="00700C8A"/>
    <w:rPr>
      <w:sz w:val="20"/>
      <w:szCs w:val="20"/>
    </w:rPr>
  </w:style>
  <w:style w:type="character" w:styleId="FootnoteReference">
    <w:name w:val="footnote reference"/>
    <w:basedOn w:val="DefaultParagraphFont"/>
    <w:uiPriority w:val="99"/>
    <w:semiHidden/>
    <w:unhideWhenUsed/>
    <w:rsid w:val="00700C8A"/>
    <w:rPr>
      <w:vertAlign w:val="superscript"/>
    </w:rPr>
  </w:style>
  <w:style w:type="character" w:styleId="Emphasis">
    <w:name w:val="Emphasis"/>
    <w:basedOn w:val="DefaultParagraphFont"/>
    <w:uiPriority w:val="20"/>
    <w:qFormat/>
    <w:rsid w:val="004314FE"/>
    <w:rPr>
      <w:i/>
      <w:iCs/>
    </w:rPr>
  </w:style>
  <w:style w:type="character" w:customStyle="1" w:styleId="Heading1Char">
    <w:name w:val="Heading 1 Char"/>
    <w:basedOn w:val="DefaultParagraphFont"/>
    <w:link w:val="Heading1"/>
    <w:uiPriority w:val="9"/>
    <w:rsid w:val="00AA63F1"/>
    <w:rPr>
      <w:rFonts w:ascii="Times New Roman" w:eastAsia="Times New Roman" w:hAnsi="Times New Roman" w:cs="Times New Roman"/>
      <w:b/>
      <w:bCs/>
      <w:kern w:val="36"/>
      <w:sz w:val="48"/>
      <w:szCs w:val="48"/>
      <w:lang w:eastAsia="it-IT"/>
    </w:rPr>
  </w:style>
  <w:style w:type="character" w:customStyle="1" w:styleId="fn">
    <w:name w:val="fn"/>
    <w:basedOn w:val="DefaultParagraphFont"/>
    <w:rsid w:val="00AA63F1"/>
  </w:style>
  <w:style w:type="paragraph" w:styleId="NormalWeb">
    <w:name w:val="Normal (Web)"/>
    <w:basedOn w:val="Normal"/>
    <w:uiPriority w:val="99"/>
    <w:semiHidden/>
    <w:unhideWhenUsed/>
    <w:rsid w:val="002237A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Header">
    <w:name w:val="header"/>
    <w:basedOn w:val="Normal"/>
    <w:link w:val="HeaderChar"/>
    <w:uiPriority w:val="99"/>
    <w:unhideWhenUsed/>
    <w:rsid w:val="003D7A57"/>
    <w:pPr>
      <w:tabs>
        <w:tab w:val="center" w:pos="4819"/>
        <w:tab w:val="right" w:pos="9638"/>
      </w:tabs>
      <w:spacing w:after="0" w:line="240" w:lineRule="auto"/>
    </w:pPr>
  </w:style>
  <w:style w:type="character" w:customStyle="1" w:styleId="HeaderChar">
    <w:name w:val="Header Char"/>
    <w:basedOn w:val="DefaultParagraphFont"/>
    <w:link w:val="Header"/>
    <w:uiPriority w:val="99"/>
    <w:rsid w:val="003D7A57"/>
  </w:style>
  <w:style w:type="paragraph" w:styleId="Footer">
    <w:name w:val="footer"/>
    <w:basedOn w:val="Normal"/>
    <w:link w:val="FooterChar"/>
    <w:uiPriority w:val="99"/>
    <w:unhideWhenUsed/>
    <w:rsid w:val="003D7A57"/>
    <w:pPr>
      <w:tabs>
        <w:tab w:val="center" w:pos="4819"/>
        <w:tab w:val="right" w:pos="9638"/>
      </w:tabs>
      <w:spacing w:after="0" w:line="240" w:lineRule="auto"/>
    </w:pPr>
  </w:style>
  <w:style w:type="character" w:customStyle="1" w:styleId="FooterChar">
    <w:name w:val="Footer Char"/>
    <w:basedOn w:val="DefaultParagraphFont"/>
    <w:link w:val="Footer"/>
    <w:uiPriority w:val="99"/>
    <w:rsid w:val="003D7A57"/>
  </w:style>
  <w:style w:type="paragraph" w:styleId="BalloonText">
    <w:name w:val="Balloon Text"/>
    <w:basedOn w:val="Normal"/>
    <w:link w:val="BalloonTextChar"/>
    <w:uiPriority w:val="99"/>
    <w:semiHidden/>
    <w:unhideWhenUsed/>
    <w:rsid w:val="003D7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A57"/>
    <w:rPr>
      <w:rFonts w:ascii="Tahoma" w:hAnsi="Tahoma" w:cs="Tahoma"/>
      <w:sz w:val="16"/>
      <w:szCs w:val="16"/>
    </w:rPr>
  </w:style>
  <w:style w:type="character" w:styleId="CommentReference">
    <w:name w:val="annotation reference"/>
    <w:basedOn w:val="DefaultParagraphFont"/>
    <w:uiPriority w:val="99"/>
    <w:semiHidden/>
    <w:unhideWhenUsed/>
    <w:rsid w:val="00487C6A"/>
    <w:rPr>
      <w:sz w:val="16"/>
      <w:szCs w:val="16"/>
    </w:rPr>
  </w:style>
  <w:style w:type="paragraph" w:styleId="CommentText">
    <w:name w:val="annotation text"/>
    <w:basedOn w:val="Normal"/>
    <w:link w:val="CommentTextChar"/>
    <w:uiPriority w:val="99"/>
    <w:semiHidden/>
    <w:unhideWhenUsed/>
    <w:rsid w:val="00487C6A"/>
    <w:pPr>
      <w:spacing w:line="240" w:lineRule="auto"/>
    </w:pPr>
    <w:rPr>
      <w:sz w:val="20"/>
      <w:szCs w:val="20"/>
    </w:rPr>
  </w:style>
  <w:style w:type="character" w:customStyle="1" w:styleId="CommentTextChar">
    <w:name w:val="Comment Text Char"/>
    <w:basedOn w:val="DefaultParagraphFont"/>
    <w:link w:val="CommentText"/>
    <w:uiPriority w:val="99"/>
    <w:semiHidden/>
    <w:rsid w:val="00487C6A"/>
    <w:rPr>
      <w:sz w:val="20"/>
      <w:szCs w:val="20"/>
    </w:rPr>
  </w:style>
  <w:style w:type="paragraph" w:styleId="CommentSubject">
    <w:name w:val="annotation subject"/>
    <w:basedOn w:val="CommentText"/>
    <w:next w:val="CommentText"/>
    <w:link w:val="CommentSubjectChar"/>
    <w:uiPriority w:val="99"/>
    <w:semiHidden/>
    <w:unhideWhenUsed/>
    <w:rsid w:val="00487C6A"/>
    <w:rPr>
      <w:b/>
      <w:bCs/>
    </w:rPr>
  </w:style>
  <w:style w:type="character" w:customStyle="1" w:styleId="CommentSubjectChar">
    <w:name w:val="Comment Subject Char"/>
    <w:basedOn w:val="CommentTextChar"/>
    <w:link w:val="CommentSubject"/>
    <w:uiPriority w:val="99"/>
    <w:semiHidden/>
    <w:rsid w:val="00487C6A"/>
    <w:rPr>
      <w:b/>
      <w:bCs/>
      <w:sz w:val="20"/>
      <w:szCs w:val="20"/>
    </w:rPr>
  </w:style>
  <w:style w:type="paragraph" w:styleId="ListParagraph">
    <w:name w:val="List Paragraph"/>
    <w:basedOn w:val="Normal"/>
    <w:uiPriority w:val="34"/>
    <w:qFormat/>
    <w:rsid w:val="004C3D3B"/>
    <w:pPr>
      <w:ind w:left="720"/>
      <w:contextualSpacing/>
    </w:pPr>
  </w:style>
  <w:style w:type="character" w:styleId="Hyperlink">
    <w:name w:val="Hyperlink"/>
    <w:basedOn w:val="DefaultParagraphFont"/>
    <w:uiPriority w:val="99"/>
    <w:unhideWhenUsed/>
    <w:rsid w:val="00AF45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20515">
      <w:bodyDiv w:val="1"/>
      <w:marLeft w:val="0"/>
      <w:marRight w:val="0"/>
      <w:marTop w:val="0"/>
      <w:marBottom w:val="0"/>
      <w:divBdr>
        <w:top w:val="none" w:sz="0" w:space="0" w:color="auto"/>
        <w:left w:val="none" w:sz="0" w:space="0" w:color="auto"/>
        <w:bottom w:val="none" w:sz="0" w:space="0" w:color="auto"/>
        <w:right w:val="none" w:sz="0" w:space="0" w:color="auto"/>
      </w:divBdr>
      <w:divsChild>
        <w:div w:id="549148705">
          <w:marLeft w:val="480"/>
          <w:marRight w:val="0"/>
          <w:marTop w:val="0"/>
          <w:marBottom w:val="0"/>
          <w:divBdr>
            <w:top w:val="none" w:sz="0" w:space="0" w:color="auto"/>
            <w:left w:val="none" w:sz="0" w:space="0" w:color="auto"/>
            <w:bottom w:val="none" w:sz="0" w:space="0" w:color="auto"/>
            <w:right w:val="none" w:sz="0" w:space="0" w:color="auto"/>
          </w:divBdr>
          <w:divsChild>
            <w:div w:id="100717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5631">
      <w:bodyDiv w:val="1"/>
      <w:marLeft w:val="0"/>
      <w:marRight w:val="0"/>
      <w:marTop w:val="0"/>
      <w:marBottom w:val="0"/>
      <w:divBdr>
        <w:top w:val="none" w:sz="0" w:space="0" w:color="auto"/>
        <w:left w:val="none" w:sz="0" w:space="0" w:color="auto"/>
        <w:bottom w:val="none" w:sz="0" w:space="0" w:color="auto"/>
        <w:right w:val="none" w:sz="0" w:space="0" w:color="auto"/>
      </w:divBdr>
      <w:divsChild>
        <w:div w:id="1105033025">
          <w:marLeft w:val="480"/>
          <w:marRight w:val="0"/>
          <w:marTop w:val="0"/>
          <w:marBottom w:val="0"/>
          <w:divBdr>
            <w:top w:val="none" w:sz="0" w:space="0" w:color="auto"/>
            <w:left w:val="none" w:sz="0" w:space="0" w:color="auto"/>
            <w:bottom w:val="none" w:sz="0" w:space="0" w:color="auto"/>
            <w:right w:val="none" w:sz="0" w:space="0" w:color="auto"/>
          </w:divBdr>
          <w:divsChild>
            <w:div w:id="196542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07776">
      <w:bodyDiv w:val="1"/>
      <w:marLeft w:val="0"/>
      <w:marRight w:val="0"/>
      <w:marTop w:val="0"/>
      <w:marBottom w:val="0"/>
      <w:divBdr>
        <w:top w:val="none" w:sz="0" w:space="0" w:color="auto"/>
        <w:left w:val="none" w:sz="0" w:space="0" w:color="auto"/>
        <w:bottom w:val="none" w:sz="0" w:space="0" w:color="auto"/>
        <w:right w:val="none" w:sz="0" w:space="0" w:color="auto"/>
      </w:divBdr>
      <w:divsChild>
        <w:div w:id="1280381344">
          <w:marLeft w:val="480"/>
          <w:marRight w:val="0"/>
          <w:marTop w:val="0"/>
          <w:marBottom w:val="0"/>
          <w:divBdr>
            <w:top w:val="none" w:sz="0" w:space="0" w:color="auto"/>
            <w:left w:val="none" w:sz="0" w:space="0" w:color="auto"/>
            <w:bottom w:val="none" w:sz="0" w:space="0" w:color="auto"/>
            <w:right w:val="none" w:sz="0" w:space="0" w:color="auto"/>
          </w:divBdr>
          <w:divsChild>
            <w:div w:id="5492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29500">
      <w:bodyDiv w:val="1"/>
      <w:marLeft w:val="0"/>
      <w:marRight w:val="0"/>
      <w:marTop w:val="0"/>
      <w:marBottom w:val="0"/>
      <w:divBdr>
        <w:top w:val="none" w:sz="0" w:space="0" w:color="auto"/>
        <w:left w:val="none" w:sz="0" w:space="0" w:color="auto"/>
        <w:bottom w:val="none" w:sz="0" w:space="0" w:color="auto"/>
        <w:right w:val="none" w:sz="0" w:space="0" w:color="auto"/>
      </w:divBdr>
      <w:divsChild>
        <w:div w:id="1050885476">
          <w:marLeft w:val="480"/>
          <w:marRight w:val="0"/>
          <w:marTop w:val="0"/>
          <w:marBottom w:val="0"/>
          <w:divBdr>
            <w:top w:val="none" w:sz="0" w:space="0" w:color="auto"/>
            <w:left w:val="none" w:sz="0" w:space="0" w:color="auto"/>
            <w:bottom w:val="none" w:sz="0" w:space="0" w:color="auto"/>
            <w:right w:val="none" w:sz="0" w:space="0" w:color="auto"/>
          </w:divBdr>
          <w:divsChild>
            <w:div w:id="18374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4347">
      <w:bodyDiv w:val="1"/>
      <w:marLeft w:val="0"/>
      <w:marRight w:val="0"/>
      <w:marTop w:val="0"/>
      <w:marBottom w:val="0"/>
      <w:divBdr>
        <w:top w:val="none" w:sz="0" w:space="0" w:color="auto"/>
        <w:left w:val="none" w:sz="0" w:space="0" w:color="auto"/>
        <w:bottom w:val="none" w:sz="0" w:space="0" w:color="auto"/>
        <w:right w:val="none" w:sz="0" w:space="0" w:color="auto"/>
      </w:divBdr>
    </w:div>
    <w:div w:id="1994022460">
      <w:bodyDiv w:val="1"/>
      <w:marLeft w:val="0"/>
      <w:marRight w:val="0"/>
      <w:marTop w:val="0"/>
      <w:marBottom w:val="0"/>
      <w:divBdr>
        <w:top w:val="none" w:sz="0" w:space="0" w:color="auto"/>
        <w:left w:val="none" w:sz="0" w:space="0" w:color="auto"/>
        <w:bottom w:val="none" w:sz="0" w:space="0" w:color="auto"/>
        <w:right w:val="none" w:sz="0" w:space="0" w:color="auto"/>
      </w:divBdr>
      <w:divsChild>
        <w:div w:id="116263169">
          <w:marLeft w:val="480"/>
          <w:marRight w:val="0"/>
          <w:marTop w:val="0"/>
          <w:marBottom w:val="0"/>
          <w:divBdr>
            <w:top w:val="none" w:sz="0" w:space="0" w:color="auto"/>
            <w:left w:val="none" w:sz="0" w:space="0" w:color="auto"/>
            <w:bottom w:val="none" w:sz="0" w:space="0" w:color="auto"/>
            <w:right w:val="none" w:sz="0" w:space="0" w:color="auto"/>
          </w:divBdr>
          <w:divsChild>
            <w:div w:id="1973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play.google.com/books/reader?id=ks9HAAAAYAAJ&amp;printsec=frontcover&amp;pg=GBS.PP1" TargetMode="Externa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7.jpeg"/><Relationship Id="rId23" Type="http://schemas.microsoft.com/office/2018/08/relationships/commentsExtensible" Target="commentsExtensible.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007/s11698-014-0106-x" TargetMode="External"/><Relationship Id="rId2" Type="http://schemas.openxmlformats.org/officeDocument/2006/relationships/hyperlink" Target="https://doi.org/10.1007/s11698-014-0106-x" TargetMode="External"/><Relationship Id="rId1" Type="http://schemas.openxmlformats.org/officeDocument/2006/relationships/hyperlink" Target="https://play.google.com/books/reader?id=ks9HAAAAYAAJ&amp;printsec=frontcover&amp;pg=GBS.PP1" TargetMode="External"/><Relationship Id="rId4" Type="http://schemas.openxmlformats.org/officeDocument/2006/relationships/hyperlink" Target="https://doi.org/10.1007/s11698-014-0106-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2343B-D2DC-4867-8EDB-86D89F69F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3332</TotalTime>
  <Pages>40</Pages>
  <Words>12952</Words>
  <Characters>70334</Characters>
  <Application>Microsoft Office Word</Application>
  <DocSecurity>0</DocSecurity>
  <Lines>1134</Lines>
  <Paragraphs>89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dc:creator>
  <cp:keywords/>
  <dc:description/>
  <cp:lastModifiedBy>Luca</cp:lastModifiedBy>
  <cp:revision>259</cp:revision>
  <dcterms:created xsi:type="dcterms:W3CDTF">2021-03-23T05:39:00Z</dcterms:created>
  <dcterms:modified xsi:type="dcterms:W3CDTF">2021-04-13T17:05:00Z</dcterms:modified>
</cp:coreProperties>
</file>